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AD2B280">
      <w:pPr>
        <w:pStyle w:val="2"/>
        <w:rPr>
          <w:rFonts w:hint="default" w:ascii="Times New Roman" w:hAnsi="Times New Roman" w:cs="Times New Roman"/>
          <w:color w:val="auto"/>
        </w:rPr>
      </w:pPr>
      <w:bookmarkStart w:id="0" w:name="_Hlk58435118"/>
      <w:r>
        <w:rPr>
          <w:rFonts w:hint="default" w:ascii="Times New Roman" w:hAnsi="Times New Roman" w:cs="Times New Roman"/>
          <w:color w:val="auto"/>
        </w:rPr>
        <w:t>一、建设项目基本情况</w:t>
      </w:r>
    </w:p>
    <w:tbl>
      <w:tblPr>
        <w:tblStyle w:val="44"/>
        <w:tblW w:w="8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55"/>
        <w:gridCol w:w="1985"/>
        <w:gridCol w:w="2126"/>
        <w:gridCol w:w="3204"/>
      </w:tblGrid>
      <w:tr w14:paraId="3664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55" w:type="dxa"/>
            <w:tcMar>
              <w:top w:w="16" w:type="dxa"/>
              <w:left w:w="16" w:type="dxa"/>
              <w:right w:w="16" w:type="dxa"/>
            </w:tcMar>
            <w:vAlign w:val="center"/>
          </w:tcPr>
          <w:p w14:paraId="64B8A952">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建设项目名称</w:t>
            </w:r>
          </w:p>
        </w:tc>
        <w:tc>
          <w:tcPr>
            <w:tcW w:w="7315" w:type="dxa"/>
            <w:gridSpan w:val="3"/>
            <w:vAlign w:val="center"/>
          </w:tcPr>
          <w:p w14:paraId="716589A6">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重庆市九龙坡区汽车注塑件改性塑料颗粒生产项目</w:t>
            </w:r>
          </w:p>
        </w:tc>
      </w:tr>
      <w:tr w14:paraId="02526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55" w:type="dxa"/>
            <w:tcMar>
              <w:top w:w="16" w:type="dxa"/>
              <w:left w:w="16" w:type="dxa"/>
              <w:right w:w="16" w:type="dxa"/>
            </w:tcMar>
            <w:vAlign w:val="center"/>
          </w:tcPr>
          <w:p w14:paraId="2857441F">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项目代码</w:t>
            </w:r>
          </w:p>
        </w:tc>
        <w:tc>
          <w:tcPr>
            <w:tcW w:w="7315" w:type="dxa"/>
            <w:gridSpan w:val="3"/>
            <w:vAlign w:val="center"/>
          </w:tcPr>
          <w:p w14:paraId="6289A949">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2604-500107-04-05-235590</w:t>
            </w:r>
          </w:p>
        </w:tc>
      </w:tr>
      <w:tr w14:paraId="6563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55" w:type="dxa"/>
            <w:tcMar>
              <w:top w:w="16" w:type="dxa"/>
              <w:left w:w="16" w:type="dxa"/>
              <w:right w:w="16" w:type="dxa"/>
            </w:tcMar>
            <w:vAlign w:val="center"/>
          </w:tcPr>
          <w:p w14:paraId="407DFDF9">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建设单位联系人</w:t>
            </w:r>
          </w:p>
        </w:tc>
        <w:tc>
          <w:tcPr>
            <w:tcW w:w="1985" w:type="dxa"/>
            <w:vAlign w:val="center"/>
          </w:tcPr>
          <w:p w14:paraId="0381E0EB">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王敏</w:t>
            </w:r>
          </w:p>
        </w:tc>
        <w:tc>
          <w:tcPr>
            <w:tcW w:w="2126" w:type="dxa"/>
            <w:vAlign w:val="center"/>
          </w:tcPr>
          <w:p w14:paraId="3D1F4B1D">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联系方式</w:t>
            </w:r>
          </w:p>
        </w:tc>
        <w:tc>
          <w:tcPr>
            <w:tcW w:w="3204" w:type="dxa"/>
            <w:vAlign w:val="center"/>
          </w:tcPr>
          <w:p w14:paraId="7A6EB866">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13883813790</w:t>
            </w:r>
          </w:p>
        </w:tc>
      </w:tr>
      <w:tr w14:paraId="5A3B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55" w:type="dxa"/>
            <w:tcMar>
              <w:top w:w="16" w:type="dxa"/>
              <w:left w:w="16" w:type="dxa"/>
              <w:right w:w="16" w:type="dxa"/>
            </w:tcMar>
            <w:vAlign w:val="center"/>
          </w:tcPr>
          <w:p w14:paraId="1C9149A6">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建设地点</w:t>
            </w:r>
          </w:p>
        </w:tc>
        <w:tc>
          <w:tcPr>
            <w:tcW w:w="7315" w:type="dxa"/>
            <w:gridSpan w:val="3"/>
            <w:vAlign w:val="center"/>
          </w:tcPr>
          <w:p w14:paraId="5FED141D">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u w:val="single"/>
              </w:rPr>
              <w:t xml:space="preserve">重庆 </w:t>
            </w:r>
            <w:r>
              <w:rPr>
                <w:rFonts w:hint="default" w:ascii="Times New Roman" w:hAnsi="Times New Roman" w:cs="Times New Roman"/>
                <w:color w:val="auto"/>
                <w:kern w:val="2"/>
                <w:szCs w:val="24"/>
              </w:rPr>
              <w:t>市</w:t>
            </w:r>
            <w:r>
              <w:rPr>
                <w:rFonts w:hint="default" w:ascii="Times New Roman" w:hAnsi="Times New Roman" w:cs="Times New Roman"/>
                <w:color w:val="auto"/>
                <w:kern w:val="2"/>
                <w:szCs w:val="24"/>
                <w:u w:val="single"/>
              </w:rPr>
              <w:t xml:space="preserve"> 九龙坡 </w:t>
            </w:r>
            <w:r>
              <w:rPr>
                <w:rFonts w:hint="default" w:ascii="Times New Roman" w:hAnsi="Times New Roman" w:cs="Times New Roman"/>
                <w:color w:val="auto"/>
                <w:kern w:val="2"/>
                <w:szCs w:val="24"/>
              </w:rPr>
              <w:t>县（区）</w:t>
            </w:r>
            <w:r>
              <w:rPr>
                <w:rFonts w:hint="default" w:ascii="Times New Roman" w:hAnsi="Times New Roman" w:cs="Times New Roman"/>
                <w:color w:val="auto"/>
                <w:kern w:val="2"/>
                <w:szCs w:val="24"/>
                <w:u w:val="single"/>
              </w:rPr>
              <w:t xml:space="preserve"> 陶家镇开锣路86号</w:t>
            </w:r>
          </w:p>
        </w:tc>
      </w:tr>
      <w:tr w14:paraId="4294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55" w:type="dxa"/>
            <w:tcMar>
              <w:top w:w="16" w:type="dxa"/>
              <w:left w:w="16" w:type="dxa"/>
              <w:right w:w="16" w:type="dxa"/>
            </w:tcMar>
            <w:vAlign w:val="center"/>
          </w:tcPr>
          <w:p w14:paraId="0D412770">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地理坐标</w:t>
            </w:r>
          </w:p>
        </w:tc>
        <w:tc>
          <w:tcPr>
            <w:tcW w:w="7315" w:type="dxa"/>
            <w:gridSpan w:val="3"/>
            <w:vAlign w:val="center"/>
          </w:tcPr>
          <w:p w14:paraId="044AB491">
            <w:pPr>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u w:val="single"/>
              </w:rPr>
              <w:t>106</w:t>
            </w:r>
            <w:r>
              <w:rPr>
                <w:rFonts w:hint="default" w:ascii="Times New Roman" w:hAnsi="Times New Roman" w:cs="Times New Roman"/>
                <w:color w:val="auto"/>
                <w:kern w:val="2"/>
                <w:szCs w:val="24"/>
              </w:rPr>
              <w:t>度</w:t>
            </w:r>
            <w:r>
              <w:rPr>
                <w:rFonts w:hint="default" w:ascii="Times New Roman" w:hAnsi="Times New Roman" w:cs="Times New Roman"/>
                <w:color w:val="auto"/>
                <w:kern w:val="2"/>
                <w:szCs w:val="24"/>
                <w:u w:val="single"/>
              </w:rPr>
              <w:t>21</w:t>
            </w:r>
            <w:r>
              <w:rPr>
                <w:rFonts w:hint="default" w:ascii="Times New Roman" w:hAnsi="Times New Roman" w:cs="Times New Roman"/>
                <w:color w:val="auto"/>
                <w:kern w:val="2"/>
                <w:szCs w:val="24"/>
              </w:rPr>
              <w:t>分</w:t>
            </w:r>
            <w:r>
              <w:rPr>
                <w:rFonts w:hint="default" w:ascii="Times New Roman" w:hAnsi="Times New Roman" w:cs="Times New Roman"/>
                <w:color w:val="auto"/>
                <w:kern w:val="2"/>
                <w:szCs w:val="24"/>
                <w:u w:val="single"/>
              </w:rPr>
              <w:t>15.101</w:t>
            </w:r>
            <w:r>
              <w:rPr>
                <w:rFonts w:hint="default" w:ascii="Times New Roman" w:hAnsi="Times New Roman" w:cs="Times New Roman"/>
                <w:color w:val="auto"/>
                <w:kern w:val="2"/>
                <w:szCs w:val="24"/>
              </w:rPr>
              <w:t>秒，</w:t>
            </w:r>
            <w:r>
              <w:rPr>
                <w:rFonts w:hint="default" w:ascii="Times New Roman" w:hAnsi="Times New Roman" w:cs="Times New Roman"/>
                <w:color w:val="auto"/>
                <w:kern w:val="2"/>
                <w:szCs w:val="24"/>
                <w:u w:val="single"/>
              </w:rPr>
              <w:t>29</w:t>
            </w:r>
            <w:r>
              <w:rPr>
                <w:rFonts w:hint="default" w:ascii="Times New Roman" w:hAnsi="Times New Roman" w:cs="Times New Roman"/>
                <w:color w:val="auto"/>
                <w:kern w:val="2"/>
                <w:szCs w:val="24"/>
              </w:rPr>
              <w:t>度</w:t>
            </w:r>
            <w:r>
              <w:rPr>
                <w:rFonts w:hint="default" w:ascii="Times New Roman" w:hAnsi="Times New Roman" w:cs="Times New Roman"/>
                <w:color w:val="auto"/>
                <w:kern w:val="2"/>
                <w:szCs w:val="24"/>
                <w:u w:val="single"/>
              </w:rPr>
              <w:t>20</w:t>
            </w:r>
            <w:r>
              <w:rPr>
                <w:rFonts w:hint="default" w:ascii="Times New Roman" w:hAnsi="Times New Roman" w:cs="Times New Roman"/>
                <w:color w:val="auto"/>
                <w:kern w:val="2"/>
                <w:szCs w:val="24"/>
              </w:rPr>
              <w:t>分</w:t>
            </w:r>
            <w:r>
              <w:rPr>
                <w:rFonts w:hint="default" w:ascii="Times New Roman" w:hAnsi="Times New Roman" w:cs="Times New Roman"/>
                <w:color w:val="auto"/>
                <w:kern w:val="2"/>
                <w:szCs w:val="24"/>
                <w:u w:val="single"/>
              </w:rPr>
              <w:t>56.544</w:t>
            </w:r>
            <w:r>
              <w:rPr>
                <w:rFonts w:hint="default" w:ascii="Times New Roman" w:hAnsi="Times New Roman" w:cs="Times New Roman"/>
                <w:color w:val="auto"/>
                <w:kern w:val="2"/>
                <w:szCs w:val="24"/>
              </w:rPr>
              <w:t>秒</w:t>
            </w:r>
          </w:p>
        </w:tc>
      </w:tr>
      <w:tr w14:paraId="1C77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555" w:type="dxa"/>
            <w:tcMar>
              <w:top w:w="16" w:type="dxa"/>
              <w:left w:w="16" w:type="dxa"/>
              <w:right w:w="16" w:type="dxa"/>
            </w:tcMar>
            <w:vAlign w:val="center"/>
          </w:tcPr>
          <w:p w14:paraId="2894CFC4">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国民经济</w:t>
            </w:r>
          </w:p>
          <w:p w14:paraId="02D0A74C">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行业类别</w:t>
            </w:r>
          </w:p>
        </w:tc>
        <w:tc>
          <w:tcPr>
            <w:tcW w:w="1985" w:type="dxa"/>
            <w:vAlign w:val="center"/>
          </w:tcPr>
          <w:p w14:paraId="5EFC1D9B">
            <w:pPr>
              <w:adjustRightInd w:val="0"/>
              <w:snapToGrid w:val="0"/>
              <w:spacing w:line="240" w:lineRule="auto"/>
              <w:ind w:firstLine="0" w:firstLineChars="0"/>
              <w:jc w:val="left"/>
              <w:rPr>
                <w:rFonts w:hint="default" w:ascii="Times New Roman" w:hAnsi="Times New Roman" w:cs="Times New Roman"/>
                <w:color w:val="auto"/>
                <w:kern w:val="2"/>
                <w:szCs w:val="22"/>
              </w:rPr>
            </w:pPr>
            <w:r>
              <w:rPr>
                <w:rFonts w:hint="default" w:ascii="Times New Roman" w:hAnsi="Times New Roman" w:cs="Times New Roman"/>
                <w:color w:val="auto"/>
                <w:kern w:val="2"/>
                <w:szCs w:val="22"/>
              </w:rPr>
              <w:t>C2929塑料零件及其他塑料制品制造；</w:t>
            </w:r>
          </w:p>
        </w:tc>
        <w:tc>
          <w:tcPr>
            <w:tcW w:w="2126" w:type="dxa"/>
            <w:vAlign w:val="center"/>
          </w:tcPr>
          <w:p w14:paraId="2D9F831B">
            <w:pPr>
              <w:adjustRightInd w:val="0"/>
              <w:snapToGrid w:val="0"/>
              <w:spacing w:line="240" w:lineRule="auto"/>
              <w:ind w:firstLine="0" w:firstLineChars="0"/>
              <w:jc w:val="center"/>
              <w:rPr>
                <w:rFonts w:hint="default" w:ascii="Times New Roman" w:hAnsi="Times New Roman" w:cs="Times New Roman"/>
                <w:color w:val="auto"/>
                <w:kern w:val="2"/>
                <w:szCs w:val="24"/>
              </w:rPr>
            </w:pPr>
            <w:bookmarkStart w:id="1" w:name="_Hlk49843745"/>
            <w:r>
              <w:rPr>
                <w:rFonts w:hint="default" w:ascii="Times New Roman" w:hAnsi="Times New Roman" w:cs="Times New Roman"/>
                <w:color w:val="auto"/>
                <w:kern w:val="2"/>
                <w:szCs w:val="24"/>
              </w:rPr>
              <w:t>建设项目</w:t>
            </w:r>
          </w:p>
          <w:p w14:paraId="39376C9A">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行业类别</w:t>
            </w:r>
            <w:bookmarkEnd w:id="1"/>
          </w:p>
        </w:tc>
        <w:tc>
          <w:tcPr>
            <w:tcW w:w="3204" w:type="dxa"/>
            <w:vAlign w:val="center"/>
          </w:tcPr>
          <w:p w14:paraId="1CBCA95B">
            <w:pPr>
              <w:adjustRightInd w:val="0"/>
              <w:snapToGrid w:val="0"/>
              <w:spacing w:line="240" w:lineRule="auto"/>
              <w:ind w:firstLine="0" w:firstLineChars="0"/>
              <w:jc w:val="left"/>
              <w:rPr>
                <w:rFonts w:hint="default" w:ascii="Times New Roman" w:hAnsi="Times New Roman" w:cs="Times New Roman"/>
                <w:color w:val="auto"/>
                <w:kern w:val="2"/>
                <w:szCs w:val="22"/>
              </w:rPr>
            </w:pPr>
            <w:r>
              <w:rPr>
                <w:rFonts w:hint="default" w:ascii="Times New Roman" w:hAnsi="Times New Roman" w:cs="Times New Roman"/>
                <w:color w:val="auto"/>
                <w:kern w:val="2"/>
                <w:szCs w:val="22"/>
              </w:rPr>
              <w:t>二十六、橡胶和塑料制品业29</w:t>
            </w:r>
          </w:p>
          <w:p w14:paraId="04B3C4BB">
            <w:pPr>
              <w:adjustRightInd w:val="0"/>
              <w:snapToGrid w:val="0"/>
              <w:spacing w:line="240" w:lineRule="auto"/>
              <w:ind w:firstLine="0" w:firstLineChars="0"/>
              <w:jc w:val="left"/>
              <w:rPr>
                <w:rFonts w:hint="default" w:ascii="Times New Roman" w:hAnsi="Times New Roman" w:cs="Times New Roman"/>
                <w:color w:val="auto"/>
                <w:szCs w:val="21"/>
              </w:rPr>
            </w:pPr>
            <w:r>
              <w:rPr>
                <w:rFonts w:hint="default" w:ascii="Times New Roman" w:hAnsi="Times New Roman" w:cs="Times New Roman"/>
                <w:color w:val="auto"/>
                <w:kern w:val="2"/>
                <w:szCs w:val="22"/>
              </w:rPr>
              <w:t>53.塑料制品业292</w:t>
            </w:r>
          </w:p>
        </w:tc>
      </w:tr>
      <w:tr w14:paraId="21BB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6" w:hRule="atLeast"/>
          <w:jc w:val="center"/>
        </w:trPr>
        <w:tc>
          <w:tcPr>
            <w:tcW w:w="1555" w:type="dxa"/>
            <w:tcMar>
              <w:top w:w="16" w:type="dxa"/>
              <w:left w:w="16" w:type="dxa"/>
              <w:right w:w="16" w:type="dxa"/>
            </w:tcMar>
            <w:vAlign w:val="center"/>
          </w:tcPr>
          <w:p w14:paraId="0B0FE417">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建设性质</w:t>
            </w:r>
          </w:p>
        </w:tc>
        <w:tc>
          <w:tcPr>
            <w:tcW w:w="1985" w:type="dxa"/>
            <w:vAlign w:val="center"/>
          </w:tcPr>
          <w:p w14:paraId="3C31AE1C">
            <w:pPr>
              <w:adjustRightInd w:val="0"/>
              <w:snapToGrid w:val="0"/>
              <w:spacing w:line="240" w:lineRule="auto"/>
              <w:ind w:firstLine="0" w:firstLineChars="0"/>
              <w:jc w:val="left"/>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sym w:font="Wingdings 2" w:char="0052"/>
            </w:r>
            <w:r>
              <w:rPr>
                <w:rFonts w:hint="default" w:ascii="Times New Roman" w:hAnsi="Times New Roman" w:cs="Times New Roman"/>
                <w:color w:val="auto"/>
                <w:kern w:val="2"/>
                <w:szCs w:val="24"/>
              </w:rPr>
              <w:t>新建（迁建）</w:t>
            </w:r>
          </w:p>
          <w:p w14:paraId="643CF8DB">
            <w:pPr>
              <w:adjustRightInd w:val="0"/>
              <w:snapToGrid w:val="0"/>
              <w:spacing w:line="240" w:lineRule="auto"/>
              <w:ind w:firstLine="0" w:firstLineChars="0"/>
              <w:jc w:val="left"/>
              <w:rPr>
                <w:rFonts w:hint="default" w:ascii="Times New Roman" w:hAnsi="Times New Roman" w:cs="Times New Roman"/>
                <w:color w:val="auto"/>
                <w:kern w:val="2"/>
                <w:szCs w:val="22"/>
              </w:rPr>
            </w:pPr>
            <w:r>
              <w:rPr>
                <w:rFonts w:hint="default" w:ascii="Times New Roman" w:hAnsi="Times New Roman" w:cs="Times New Roman"/>
                <w:color w:val="auto"/>
                <w:kern w:val="2"/>
                <w:szCs w:val="22"/>
              </w:rPr>
              <w:sym w:font="Wingdings 2" w:char="00A3"/>
            </w:r>
            <w:r>
              <w:rPr>
                <w:rFonts w:hint="default" w:ascii="Times New Roman" w:hAnsi="Times New Roman" w:cs="Times New Roman"/>
                <w:color w:val="auto"/>
                <w:kern w:val="2"/>
                <w:szCs w:val="22"/>
              </w:rPr>
              <w:t>改建</w:t>
            </w:r>
          </w:p>
          <w:p w14:paraId="386DC95F">
            <w:pPr>
              <w:adjustRightInd w:val="0"/>
              <w:snapToGrid w:val="0"/>
              <w:spacing w:line="240" w:lineRule="auto"/>
              <w:ind w:firstLine="0" w:firstLineChars="0"/>
              <w:jc w:val="left"/>
              <w:rPr>
                <w:rFonts w:hint="default" w:ascii="Times New Roman" w:hAnsi="Times New Roman" w:cs="Times New Roman"/>
                <w:color w:val="auto"/>
                <w:kern w:val="2"/>
                <w:szCs w:val="22"/>
              </w:rPr>
            </w:pPr>
            <w:r>
              <w:rPr>
                <w:rFonts w:hint="default" w:ascii="Times New Roman" w:hAnsi="Times New Roman" w:cs="Times New Roman"/>
                <w:color w:val="auto"/>
                <w:kern w:val="2"/>
                <w:szCs w:val="22"/>
              </w:rPr>
              <w:sym w:font="Wingdings 2" w:char="00A3"/>
            </w:r>
            <w:r>
              <w:rPr>
                <w:rFonts w:hint="default" w:ascii="Times New Roman" w:hAnsi="Times New Roman" w:cs="Times New Roman"/>
                <w:color w:val="auto"/>
                <w:kern w:val="2"/>
                <w:szCs w:val="22"/>
              </w:rPr>
              <w:t>扩建</w:t>
            </w:r>
          </w:p>
          <w:p w14:paraId="686BB182">
            <w:pPr>
              <w:adjustRightInd w:val="0"/>
              <w:snapToGrid w:val="0"/>
              <w:spacing w:line="240" w:lineRule="auto"/>
              <w:ind w:firstLine="0" w:firstLineChars="0"/>
              <w:jc w:val="left"/>
              <w:rPr>
                <w:rFonts w:hint="default" w:ascii="Times New Roman" w:hAnsi="Times New Roman" w:cs="Times New Roman"/>
                <w:color w:val="auto"/>
                <w:kern w:val="2"/>
                <w:szCs w:val="24"/>
              </w:rPr>
            </w:pPr>
            <w:r>
              <w:rPr>
                <w:rFonts w:hint="default" w:ascii="Times New Roman" w:hAnsi="Times New Roman" w:cs="Times New Roman"/>
                <w:color w:val="auto"/>
                <w:kern w:val="2"/>
                <w:szCs w:val="22"/>
              </w:rPr>
              <w:sym w:font="Wingdings 2" w:char="00A3"/>
            </w:r>
            <w:r>
              <w:rPr>
                <w:rFonts w:hint="default" w:ascii="Times New Roman" w:hAnsi="Times New Roman" w:cs="Times New Roman"/>
                <w:color w:val="auto"/>
                <w:kern w:val="2"/>
                <w:szCs w:val="22"/>
              </w:rPr>
              <w:t>技术改造</w:t>
            </w:r>
          </w:p>
        </w:tc>
        <w:tc>
          <w:tcPr>
            <w:tcW w:w="2126" w:type="dxa"/>
            <w:vAlign w:val="center"/>
          </w:tcPr>
          <w:p w14:paraId="6A4520C8">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建设项目</w:t>
            </w:r>
          </w:p>
          <w:p w14:paraId="2F7485D8">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申报情形</w:t>
            </w:r>
          </w:p>
        </w:tc>
        <w:tc>
          <w:tcPr>
            <w:tcW w:w="3204" w:type="dxa"/>
            <w:vAlign w:val="center"/>
          </w:tcPr>
          <w:p w14:paraId="6D6E2386">
            <w:pPr>
              <w:adjustRightInd w:val="0"/>
              <w:snapToGrid w:val="0"/>
              <w:spacing w:line="240" w:lineRule="auto"/>
              <w:ind w:firstLine="0" w:firstLineChars="0"/>
              <w:jc w:val="left"/>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sym w:font="Wingdings 2" w:char="0052"/>
            </w:r>
            <w:r>
              <w:rPr>
                <w:rFonts w:hint="default" w:ascii="Times New Roman" w:hAnsi="Times New Roman" w:cs="Times New Roman"/>
                <w:color w:val="auto"/>
                <w:kern w:val="2"/>
                <w:szCs w:val="24"/>
              </w:rPr>
              <w:t xml:space="preserve">首次申报项目             </w:t>
            </w:r>
          </w:p>
          <w:p w14:paraId="3BD2DE24">
            <w:pPr>
              <w:adjustRightInd w:val="0"/>
              <w:snapToGrid w:val="0"/>
              <w:spacing w:line="240" w:lineRule="auto"/>
              <w:ind w:firstLine="0" w:firstLineChars="0"/>
              <w:jc w:val="left"/>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sym w:font="Wingdings 2" w:char="00A3"/>
            </w:r>
            <w:r>
              <w:rPr>
                <w:rFonts w:hint="default" w:ascii="Times New Roman" w:hAnsi="Times New Roman" w:cs="Times New Roman"/>
                <w:color w:val="auto"/>
                <w:kern w:val="2"/>
                <w:szCs w:val="24"/>
              </w:rPr>
              <w:t>不予批准后再次申报项目</w:t>
            </w:r>
          </w:p>
          <w:p w14:paraId="45224F53">
            <w:pPr>
              <w:adjustRightInd w:val="0"/>
              <w:snapToGrid w:val="0"/>
              <w:spacing w:line="240" w:lineRule="auto"/>
              <w:ind w:firstLine="0" w:firstLineChars="0"/>
              <w:jc w:val="left"/>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sym w:font="Wingdings 2" w:char="00A3"/>
            </w:r>
            <w:r>
              <w:rPr>
                <w:rFonts w:hint="default" w:ascii="Times New Roman" w:hAnsi="Times New Roman" w:cs="Times New Roman"/>
                <w:color w:val="auto"/>
                <w:kern w:val="2"/>
                <w:szCs w:val="24"/>
              </w:rPr>
              <w:t xml:space="preserve">超五年重新审核项目     </w:t>
            </w:r>
          </w:p>
          <w:p w14:paraId="038A45BF">
            <w:pPr>
              <w:adjustRightInd w:val="0"/>
              <w:snapToGrid w:val="0"/>
              <w:spacing w:line="240" w:lineRule="auto"/>
              <w:ind w:firstLine="0" w:firstLineChars="0"/>
              <w:jc w:val="left"/>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sym w:font="Wingdings 2" w:char="00A3"/>
            </w:r>
            <w:r>
              <w:rPr>
                <w:rFonts w:hint="default" w:ascii="Times New Roman" w:hAnsi="Times New Roman" w:cs="Times New Roman"/>
                <w:color w:val="auto"/>
                <w:kern w:val="2"/>
                <w:szCs w:val="24"/>
              </w:rPr>
              <w:t>重大变动</w:t>
            </w:r>
            <w:r>
              <w:rPr>
                <w:rFonts w:hint="default" w:ascii="Times New Roman" w:hAnsi="Times New Roman" w:cs="Times New Roman"/>
                <w:color w:val="auto"/>
                <w:kern w:val="2"/>
                <w:szCs w:val="22"/>
              </w:rPr>
              <w:t>重新</w:t>
            </w:r>
            <w:r>
              <w:rPr>
                <w:rFonts w:hint="default" w:ascii="Times New Roman" w:hAnsi="Times New Roman" w:cs="Times New Roman"/>
                <w:color w:val="auto"/>
                <w:kern w:val="2"/>
                <w:szCs w:val="24"/>
              </w:rPr>
              <w:t>报批项目</w:t>
            </w:r>
          </w:p>
        </w:tc>
      </w:tr>
      <w:tr w14:paraId="0F38C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555" w:type="dxa"/>
            <w:tcMar>
              <w:top w:w="16" w:type="dxa"/>
              <w:left w:w="16" w:type="dxa"/>
              <w:right w:w="16" w:type="dxa"/>
            </w:tcMar>
            <w:vAlign w:val="center"/>
          </w:tcPr>
          <w:p w14:paraId="5343F97B">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项目审批（核准/</w:t>
            </w:r>
          </w:p>
          <w:p w14:paraId="09346C9A">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备案）部门（选填）</w:t>
            </w:r>
          </w:p>
        </w:tc>
        <w:tc>
          <w:tcPr>
            <w:tcW w:w="1985" w:type="dxa"/>
            <w:vAlign w:val="center"/>
          </w:tcPr>
          <w:p w14:paraId="2BFAE545">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重庆市九龙坡区发展和改革委员会</w:t>
            </w:r>
          </w:p>
        </w:tc>
        <w:tc>
          <w:tcPr>
            <w:tcW w:w="2126" w:type="dxa"/>
            <w:vAlign w:val="center"/>
          </w:tcPr>
          <w:p w14:paraId="5FC401A1">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项目审批（核准/</w:t>
            </w:r>
          </w:p>
          <w:p w14:paraId="7BF7F3A3">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备案）文号（选填）</w:t>
            </w:r>
          </w:p>
        </w:tc>
        <w:tc>
          <w:tcPr>
            <w:tcW w:w="3204" w:type="dxa"/>
            <w:vAlign w:val="center"/>
          </w:tcPr>
          <w:p w14:paraId="09E03142">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w:t>
            </w:r>
          </w:p>
        </w:tc>
      </w:tr>
      <w:tr w14:paraId="40FB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55" w:type="dxa"/>
            <w:tcMar>
              <w:top w:w="16" w:type="dxa"/>
              <w:left w:w="16" w:type="dxa"/>
              <w:right w:w="16" w:type="dxa"/>
            </w:tcMar>
            <w:vAlign w:val="center"/>
          </w:tcPr>
          <w:p w14:paraId="0B3A7DF6">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总投资（万元）</w:t>
            </w:r>
          </w:p>
        </w:tc>
        <w:tc>
          <w:tcPr>
            <w:tcW w:w="1985" w:type="dxa"/>
            <w:vAlign w:val="center"/>
          </w:tcPr>
          <w:p w14:paraId="2603461C">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2"/>
              </w:rPr>
              <w:t>800</w:t>
            </w:r>
          </w:p>
        </w:tc>
        <w:tc>
          <w:tcPr>
            <w:tcW w:w="2126" w:type="dxa"/>
            <w:tcMar>
              <w:top w:w="16" w:type="dxa"/>
              <w:left w:w="16" w:type="dxa"/>
              <w:right w:w="16" w:type="dxa"/>
            </w:tcMar>
            <w:vAlign w:val="center"/>
          </w:tcPr>
          <w:p w14:paraId="082E30C7">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环保投资（万元）</w:t>
            </w:r>
          </w:p>
        </w:tc>
        <w:tc>
          <w:tcPr>
            <w:tcW w:w="3204" w:type="dxa"/>
            <w:vAlign w:val="center"/>
          </w:tcPr>
          <w:p w14:paraId="498D302F">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40</w:t>
            </w:r>
          </w:p>
        </w:tc>
      </w:tr>
      <w:tr w14:paraId="2923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55" w:type="dxa"/>
            <w:tcMar>
              <w:top w:w="16" w:type="dxa"/>
              <w:left w:w="16" w:type="dxa"/>
              <w:right w:w="16" w:type="dxa"/>
            </w:tcMar>
            <w:vAlign w:val="center"/>
          </w:tcPr>
          <w:p w14:paraId="16B3CCB1">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环保投资占比（%）</w:t>
            </w:r>
          </w:p>
        </w:tc>
        <w:tc>
          <w:tcPr>
            <w:tcW w:w="1985" w:type="dxa"/>
            <w:vAlign w:val="center"/>
          </w:tcPr>
          <w:p w14:paraId="25C4A839">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5</w:t>
            </w:r>
          </w:p>
        </w:tc>
        <w:tc>
          <w:tcPr>
            <w:tcW w:w="2126" w:type="dxa"/>
            <w:tcMar>
              <w:top w:w="16" w:type="dxa"/>
              <w:left w:w="16" w:type="dxa"/>
              <w:right w:w="16" w:type="dxa"/>
            </w:tcMar>
            <w:vAlign w:val="center"/>
          </w:tcPr>
          <w:p w14:paraId="25FFC3F3">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施工工期</w:t>
            </w:r>
          </w:p>
        </w:tc>
        <w:tc>
          <w:tcPr>
            <w:tcW w:w="3204" w:type="dxa"/>
            <w:vAlign w:val="center"/>
          </w:tcPr>
          <w:p w14:paraId="6C4C3F2B">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1个月</w:t>
            </w:r>
          </w:p>
        </w:tc>
      </w:tr>
      <w:tr w14:paraId="2A130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55" w:type="dxa"/>
            <w:tcMar>
              <w:top w:w="16" w:type="dxa"/>
              <w:left w:w="16" w:type="dxa"/>
              <w:right w:w="16" w:type="dxa"/>
            </w:tcMar>
            <w:vAlign w:val="center"/>
          </w:tcPr>
          <w:p w14:paraId="5F3AF3D7">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是否开工建设</w:t>
            </w:r>
          </w:p>
        </w:tc>
        <w:tc>
          <w:tcPr>
            <w:tcW w:w="1985" w:type="dxa"/>
            <w:vAlign w:val="center"/>
          </w:tcPr>
          <w:p w14:paraId="04FB744A">
            <w:pPr>
              <w:adjustRightInd w:val="0"/>
              <w:snapToGrid w:val="0"/>
              <w:spacing w:line="240" w:lineRule="auto"/>
              <w:ind w:firstLine="0" w:firstLineChars="0"/>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sym w:font="Wingdings 2" w:char="0052"/>
            </w:r>
            <w:r>
              <w:rPr>
                <w:rFonts w:hint="default" w:ascii="Times New Roman" w:hAnsi="Times New Roman" w:cs="Times New Roman"/>
                <w:color w:val="auto"/>
                <w:kern w:val="2"/>
                <w:szCs w:val="24"/>
              </w:rPr>
              <w:t>否</w:t>
            </w:r>
          </w:p>
          <w:p w14:paraId="3524819A">
            <w:pPr>
              <w:adjustRightInd w:val="0"/>
              <w:snapToGrid w:val="0"/>
              <w:spacing w:line="240" w:lineRule="auto"/>
              <w:ind w:firstLine="0" w:firstLineChars="0"/>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sym w:font="Wingdings 2" w:char="00A3"/>
            </w:r>
            <w:r>
              <w:rPr>
                <w:rFonts w:hint="default" w:ascii="Times New Roman" w:hAnsi="Times New Roman" w:cs="Times New Roman"/>
                <w:color w:val="auto"/>
                <w:kern w:val="2"/>
                <w:szCs w:val="24"/>
              </w:rPr>
              <w:t>是：</w:t>
            </w:r>
            <w:r>
              <w:rPr>
                <w:rFonts w:hint="default" w:ascii="Times New Roman" w:hAnsi="Times New Roman" w:cs="Times New Roman"/>
                <w:color w:val="auto"/>
                <w:kern w:val="2"/>
                <w:szCs w:val="24"/>
                <w:u w:val="single"/>
              </w:rPr>
              <w:t xml:space="preserve">             </w:t>
            </w:r>
          </w:p>
        </w:tc>
        <w:tc>
          <w:tcPr>
            <w:tcW w:w="2126" w:type="dxa"/>
            <w:tcMar>
              <w:top w:w="16" w:type="dxa"/>
              <w:left w:w="16" w:type="dxa"/>
              <w:right w:w="16" w:type="dxa"/>
            </w:tcMar>
            <w:vAlign w:val="center"/>
          </w:tcPr>
          <w:p w14:paraId="0937C83E">
            <w:pPr>
              <w:adjustRightInd w:val="0"/>
              <w:snapToGrid w:val="0"/>
              <w:spacing w:line="240" w:lineRule="auto"/>
              <w:ind w:firstLine="0" w:firstLineChars="0"/>
              <w:jc w:val="center"/>
              <w:rPr>
                <w:rFonts w:hint="default" w:ascii="Times New Roman" w:hAnsi="Times New Roman" w:cs="Times New Roman"/>
                <w:color w:val="auto"/>
                <w:spacing w:val="-6"/>
                <w:kern w:val="2"/>
                <w:szCs w:val="24"/>
              </w:rPr>
            </w:pPr>
            <w:r>
              <w:rPr>
                <w:rFonts w:hint="default" w:ascii="Times New Roman" w:hAnsi="Times New Roman" w:cs="Times New Roman"/>
                <w:color w:val="auto"/>
                <w:spacing w:val="-6"/>
                <w:kern w:val="2"/>
                <w:szCs w:val="24"/>
              </w:rPr>
              <w:t>用地（用海）</w:t>
            </w:r>
          </w:p>
          <w:p w14:paraId="1340FDBC">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spacing w:val="-6"/>
                <w:kern w:val="2"/>
                <w:szCs w:val="24"/>
              </w:rPr>
              <w:t>面积（m</w:t>
            </w:r>
            <w:r>
              <w:rPr>
                <w:rFonts w:hint="default" w:ascii="Times New Roman" w:hAnsi="Times New Roman" w:cs="Times New Roman"/>
                <w:color w:val="auto"/>
                <w:spacing w:val="-6"/>
                <w:kern w:val="2"/>
                <w:szCs w:val="24"/>
                <w:vertAlign w:val="superscript"/>
              </w:rPr>
              <w:t>2</w:t>
            </w:r>
            <w:r>
              <w:rPr>
                <w:rFonts w:hint="default" w:ascii="Times New Roman" w:hAnsi="Times New Roman" w:cs="Times New Roman"/>
                <w:color w:val="auto"/>
                <w:spacing w:val="-6"/>
                <w:kern w:val="2"/>
                <w:szCs w:val="24"/>
              </w:rPr>
              <w:t>）</w:t>
            </w:r>
          </w:p>
        </w:tc>
        <w:tc>
          <w:tcPr>
            <w:tcW w:w="3204" w:type="dxa"/>
            <w:vAlign w:val="center"/>
          </w:tcPr>
          <w:p w14:paraId="78959E06">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租用中铁二局集团物资有限公司重庆分公司已建3号楼1号仓间、2号仓间(工业用地)共3524.52m</w:t>
            </w:r>
            <w:r>
              <w:rPr>
                <w:rFonts w:hint="default" w:ascii="Times New Roman" w:hAnsi="Times New Roman" w:cs="Times New Roman"/>
                <w:color w:val="auto"/>
                <w:kern w:val="2"/>
                <w:szCs w:val="24"/>
                <w:vertAlign w:val="superscript"/>
              </w:rPr>
              <w:t>2</w:t>
            </w:r>
          </w:p>
        </w:tc>
      </w:tr>
      <w:tr w14:paraId="043E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555" w:type="dxa"/>
            <w:vAlign w:val="center"/>
          </w:tcPr>
          <w:p w14:paraId="4F9F9511">
            <w:pPr>
              <w:autoSpaceDE w:val="0"/>
              <w:autoSpaceDN w:val="0"/>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专项评价设置情况</w:t>
            </w:r>
          </w:p>
        </w:tc>
        <w:tc>
          <w:tcPr>
            <w:tcW w:w="7315" w:type="dxa"/>
            <w:gridSpan w:val="3"/>
            <w:vAlign w:val="center"/>
          </w:tcPr>
          <w:p w14:paraId="096D5888">
            <w:pPr>
              <w:ind w:firstLine="480"/>
              <w:rPr>
                <w:rFonts w:hint="default" w:ascii="Times New Roman" w:hAnsi="Times New Roman" w:cs="Times New Roman"/>
                <w:color w:val="auto"/>
                <w:kern w:val="2"/>
                <w:szCs w:val="22"/>
              </w:rPr>
            </w:pPr>
            <w:r>
              <w:rPr>
                <w:rFonts w:hint="default" w:ascii="Times New Roman" w:hAnsi="Times New Roman" w:cs="Times New Roman"/>
                <w:color w:val="auto"/>
                <w:kern w:val="2"/>
                <w:szCs w:val="22"/>
              </w:rPr>
              <w:t>本项目专项评价设置情况如下表所示。</w:t>
            </w:r>
          </w:p>
          <w:p w14:paraId="42D9DF18">
            <w:pPr>
              <w:adjustRightInd w:val="0"/>
              <w:spacing w:before="120"/>
              <w:ind w:firstLine="0" w:firstLineChars="0"/>
              <w:jc w:val="center"/>
              <w:textAlignment w:val="baseline"/>
              <w:outlineLvl w:val="4"/>
              <w:rPr>
                <w:rFonts w:hint="default" w:ascii="Times New Roman" w:hAnsi="Times New Roman" w:cs="Times New Roman"/>
                <w:color w:val="auto"/>
                <w:kern w:val="2"/>
                <w:szCs w:val="22"/>
              </w:rPr>
            </w:pPr>
            <w:r>
              <w:rPr>
                <w:rFonts w:hint="default" w:ascii="Times New Roman" w:hAnsi="Times New Roman" w:cs="Times New Roman"/>
                <w:color w:val="auto"/>
                <w:kern w:val="2"/>
                <w:szCs w:val="22"/>
              </w:rPr>
              <w:t>专项评价设置评价表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3544"/>
              <w:gridCol w:w="2379"/>
            </w:tblGrid>
            <w:tr w14:paraId="3613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1" w:type="dxa"/>
                  <w:shd w:val="clear" w:color="auto" w:fill="auto"/>
                  <w:vAlign w:val="center"/>
                </w:tcPr>
                <w:p w14:paraId="4F4CF8F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专项评价的类别</w:t>
                  </w:r>
                </w:p>
              </w:tc>
              <w:tc>
                <w:tcPr>
                  <w:tcW w:w="3544" w:type="dxa"/>
                  <w:shd w:val="clear" w:color="auto" w:fill="auto"/>
                  <w:vAlign w:val="center"/>
                </w:tcPr>
                <w:p w14:paraId="2610C0F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设置原则</w:t>
                  </w:r>
                </w:p>
              </w:tc>
              <w:tc>
                <w:tcPr>
                  <w:tcW w:w="2379" w:type="dxa"/>
                  <w:shd w:val="clear" w:color="auto" w:fill="auto"/>
                  <w:vAlign w:val="center"/>
                </w:tcPr>
                <w:p w14:paraId="07B47C1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w:t>
                  </w:r>
                </w:p>
              </w:tc>
            </w:tr>
            <w:tr w14:paraId="5FF5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1" w:type="dxa"/>
                  <w:shd w:val="clear" w:color="auto" w:fill="auto"/>
                  <w:vAlign w:val="center"/>
                </w:tcPr>
                <w:p w14:paraId="0CDB249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大气</w:t>
                  </w:r>
                </w:p>
              </w:tc>
              <w:tc>
                <w:tcPr>
                  <w:tcW w:w="3544" w:type="dxa"/>
                  <w:shd w:val="clear" w:color="auto" w:fill="auto"/>
                  <w:vAlign w:val="center"/>
                </w:tcPr>
                <w:p w14:paraId="4892A101">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排放废气含有毒有害污染物</w:t>
                  </w:r>
                  <w:r>
                    <w:rPr>
                      <w:rFonts w:hint="default" w:ascii="Times New Roman" w:hAnsi="Times New Roman" w:cs="Times New Roman"/>
                      <w:color w:val="auto"/>
                      <w:kern w:val="2"/>
                      <w:sz w:val="21"/>
                      <w:szCs w:val="21"/>
                      <w:vertAlign w:val="superscript"/>
                    </w:rPr>
                    <w:t>1</w:t>
                  </w:r>
                  <w:r>
                    <w:rPr>
                      <w:rFonts w:hint="default" w:ascii="Times New Roman" w:hAnsi="Times New Roman" w:cs="Times New Roman"/>
                      <w:color w:val="auto"/>
                      <w:kern w:val="2"/>
                      <w:sz w:val="21"/>
                      <w:szCs w:val="21"/>
                    </w:rPr>
                    <w:t>、二噁英、苯并[a]芘、氰化物、氯气且厂界外500米范围内有环境空气保护目标</w:t>
                  </w:r>
                  <w:r>
                    <w:rPr>
                      <w:rFonts w:hint="default" w:ascii="Times New Roman" w:hAnsi="Times New Roman" w:cs="Times New Roman"/>
                      <w:color w:val="auto"/>
                      <w:kern w:val="2"/>
                      <w:sz w:val="21"/>
                      <w:szCs w:val="21"/>
                      <w:vertAlign w:val="superscript"/>
                    </w:rPr>
                    <w:t>2</w:t>
                  </w:r>
                  <w:r>
                    <w:rPr>
                      <w:rFonts w:hint="default" w:ascii="Times New Roman" w:hAnsi="Times New Roman" w:cs="Times New Roman"/>
                      <w:color w:val="auto"/>
                      <w:kern w:val="2"/>
                      <w:sz w:val="21"/>
                      <w:szCs w:val="21"/>
                    </w:rPr>
                    <w:t>的建设项目</w:t>
                  </w:r>
                </w:p>
              </w:tc>
              <w:tc>
                <w:tcPr>
                  <w:tcW w:w="2379" w:type="dxa"/>
                  <w:shd w:val="clear" w:color="auto" w:fill="auto"/>
                  <w:vAlign w:val="center"/>
                </w:tcPr>
                <w:p w14:paraId="2733D7A9">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本项目废气不含有有毒有害污染物、二噁英、苯并[a]芘、氰化物、氯气。</w:t>
                  </w:r>
                </w:p>
              </w:tc>
            </w:tr>
            <w:tr w14:paraId="0C257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1" w:type="dxa"/>
                  <w:shd w:val="clear" w:color="auto" w:fill="auto"/>
                  <w:vAlign w:val="center"/>
                </w:tcPr>
                <w:p w14:paraId="2438379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地表水</w:t>
                  </w:r>
                </w:p>
              </w:tc>
              <w:tc>
                <w:tcPr>
                  <w:tcW w:w="3544" w:type="dxa"/>
                  <w:shd w:val="clear" w:color="auto" w:fill="auto"/>
                  <w:vAlign w:val="center"/>
                </w:tcPr>
                <w:p w14:paraId="0E39445B">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新增工业废水直排建设项目（槽罐车外送污水处理厂的除外）；新增废水直排的污水集中处理厂</w:t>
                  </w:r>
                </w:p>
              </w:tc>
              <w:tc>
                <w:tcPr>
                  <w:tcW w:w="2379" w:type="dxa"/>
                  <w:shd w:val="clear" w:color="auto" w:fill="auto"/>
                  <w:vAlign w:val="center"/>
                </w:tcPr>
                <w:p w14:paraId="0604E85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本项目污废水排入园区污水处理厂处理</w:t>
                  </w:r>
                </w:p>
              </w:tc>
            </w:tr>
            <w:tr w14:paraId="22C7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1" w:type="dxa"/>
                  <w:shd w:val="clear" w:color="auto" w:fill="auto"/>
                  <w:vAlign w:val="center"/>
                </w:tcPr>
                <w:p w14:paraId="2BBD001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环境风险</w:t>
                  </w:r>
                </w:p>
              </w:tc>
              <w:tc>
                <w:tcPr>
                  <w:tcW w:w="3544" w:type="dxa"/>
                  <w:shd w:val="clear" w:color="auto" w:fill="auto"/>
                  <w:vAlign w:val="center"/>
                </w:tcPr>
                <w:p w14:paraId="550697FE">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有毒有害和易燃易爆危险物质存储量超过临界量</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的建设项目</w:t>
                  </w:r>
                </w:p>
              </w:tc>
              <w:tc>
                <w:tcPr>
                  <w:tcW w:w="2379" w:type="dxa"/>
                  <w:shd w:val="clear" w:color="auto" w:fill="auto"/>
                  <w:vAlign w:val="center"/>
                </w:tcPr>
                <w:p w14:paraId="4280998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本项目风险物质Q值为0.0</w:t>
                  </w:r>
                  <w:r>
                    <w:rPr>
                      <w:rFonts w:hint="eastAsia" w:cs="Times New Roman"/>
                      <w:color w:val="auto"/>
                      <w:kern w:val="2"/>
                      <w:sz w:val="21"/>
                      <w:szCs w:val="21"/>
                      <w:lang w:val="en-US" w:eastAsia="zh-CN"/>
                    </w:rPr>
                    <w:t>7</w:t>
                  </w:r>
                  <w:r>
                    <w:rPr>
                      <w:rFonts w:hint="default" w:ascii="Times New Roman" w:hAnsi="Times New Roman" w:cs="Times New Roman"/>
                      <w:color w:val="auto"/>
                      <w:kern w:val="2"/>
                      <w:sz w:val="21"/>
                      <w:szCs w:val="21"/>
                    </w:rPr>
                    <w:t>6，未超过临界量</w:t>
                  </w:r>
                </w:p>
              </w:tc>
            </w:tr>
            <w:tr w14:paraId="67D6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1" w:type="dxa"/>
                  <w:shd w:val="clear" w:color="auto" w:fill="auto"/>
                  <w:vAlign w:val="center"/>
                </w:tcPr>
                <w:p w14:paraId="4DDD8EF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生态</w:t>
                  </w:r>
                </w:p>
              </w:tc>
              <w:tc>
                <w:tcPr>
                  <w:tcW w:w="3544" w:type="dxa"/>
                  <w:shd w:val="clear" w:color="auto" w:fill="auto"/>
                  <w:vAlign w:val="center"/>
                </w:tcPr>
                <w:p w14:paraId="164EBA34">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取水口下游500米范围内有重要水生生物的自然产卵场、索饵场、越冬场和洄游通道的新增河道取水的污染类建设项目</w:t>
                  </w:r>
                </w:p>
              </w:tc>
              <w:tc>
                <w:tcPr>
                  <w:tcW w:w="2379" w:type="dxa"/>
                  <w:shd w:val="clear" w:color="auto" w:fill="auto"/>
                  <w:vAlign w:val="center"/>
                </w:tcPr>
                <w:p w14:paraId="29C4CF1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本项目不涉及取水口及其他地表水保护目标</w:t>
                  </w:r>
                </w:p>
              </w:tc>
            </w:tr>
            <w:tr w14:paraId="543C9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1" w:type="dxa"/>
                  <w:shd w:val="clear" w:color="auto" w:fill="auto"/>
                  <w:vAlign w:val="center"/>
                </w:tcPr>
                <w:p w14:paraId="3E9B260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海洋</w:t>
                  </w:r>
                </w:p>
              </w:tc>
              <w:tc>
                <w:tcPr>
                  <w:tcW w:w="3544" w:type="dxa"/>
                  <w:shd w:val="clear" w:color="auto" w:fill="auto"/>
                  <w:vAlign w:val="center"/>
                </w:tcPr>
                <w:p w14:paraId="6C3CE159">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直接向海排放污染物的海洋工程建设项目</w:t>
                  </w:r>
                </w:p>
              </w:tc>
              <w:tc>
                <w:tcPr>
                  <w:tcW w:w="2379" w:type="dxa"/>
                  <w:shd w:val="clear" w:color="auto" w:fill="auto"/>
                  <w:vAlign w:val="center"/>
                </w:tcPr>
                <w:p w14:paraId="243546F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非海洋工程建设项目</w:t>
                  </w:r>
                </w:p>
              </w:tc>
            </w:tr>
          </w:tbl>
          <w:p w14:paraId="74DB3803">
            <w:pPr>
              <w:spacing w:line="240" w:lineRule="auto"/>
              <w:ind w:firstLine="0" w:firstLineChars="0"/>
              <w:jc w:val="left"/>
              <w:rPr>
                <w:rFonts w:hint="default" w:ascii="Times New Roman" w:hAnsi="Times New Roman" w:cs="Times New Roman"/>
                <w:color w:val="auto"/>
                <w:kern w:val="2"/>
                <w:sz w:val="18"/>
                <w:szCs w:val="22"/>
              </w:rPr>
            </w:pPr>
            <w:r>
              <w:rPr>
                <w:rFonts w:hint="default" w:ascii="Times New Roman" w:hAnsi="Times New Roman" w:cs="Times New Roman"/>
                <w:color w:val="auto"/>
                <w:kern w:val="2"/>
                <w:sz w:val="18"/>
                <w:szCs w:val="22"/>
              </w:rPr>
              <w:t>注：1.废气中有毒有害污染物指纳入《有毒有害大气污染物名录》 的污染物（不包括无排放标准的污染物）。</w:t>
            </w:r>
          </w:p>
          <w:p w14:paraId="7F239150">
            <w:pPr>
              <w:spacing w:line="240" w:lineRule="auto"/>
              <w:ind w:firstLine="0" w:firstLineChars="0"/>
              <w:jc w:val="left"/>
              <w:rPr>
                <w:rFonts w:hint="default" w:ascii="Times New Roman" w:hAnsi="Times New Roman" w:cs="Times New Roman"/>
                <w:color w:val="auto"/>
                <w:kern w:val="2"/>
                <w:sz w:val="18"/>
                <w:szCs w:val="22"/>
              </w:rPr>
            </w:pPr>
            <w:r>
              <w:rPr>
                <w:rFonts w:hint="default" w:ascii="Times New Roman" w:hAnsi="Times New Roman" w:cs="Times New Roman"/>
                <w:color w:val="auto"/>
                <w:kern w:val="2"/>
                <w:sz w:val="18"/>
                <w:szCs w:val="22"/>
              </w:rPr>
              <w:t>2.环境空气保护目标指自然保护区、风景名胜区、居住区、文化区和农村地区中人群较集中的区域。</w:t>
            </w:r>
          </w:p>
          <w:p w14:paraId="753D5838">
            <w:pPr>
              <w:spacing w:line="240" w:lineRule="auto"/>
              <w:ind w:firstLine="0" w:firstLineChars="0"/>
              <w:jc w:val="left"/>
              <w:rPr>
                <w:rFonts w:hint="default" w:ascii="Times New Roman" w:hAnsi="Times New Roman" w:cs="Times New Roman"/>
                <w:color w:val="auto"/>
                <w:kern w:val="2"/>
                <w:sz w:val="18"/>
                <w:szCs w:val="22"/>
              </w:rPr>
            </w:pPr>
            <w:r>
              <w:rPr>
                <w:rFonts w:hint="default" w:ascii="Times New Roman" w:hAnsi="Times New Roman" w:cs="Times New Roman"/>
                <w:color w:val="auto"/>
                <w:kern w:val="2"/>
                <w:sz w:val="18"/>
                <w:szCs w:val="22"/>
              </w:rPr>
              <w:t>3.临界量及其计算方法可参考《建设项目环境风险评价技术导则》（HJ 169） 附录B、附录C。</w:t>
            </w:r>
          </w:p>
          <w:p w14:paraId="303EDF6C">
            <w:pPr>
              <w:ind w:firstLine="480"/>
              <w:rPr>
                <w:rFonts w:hint="default" w:ascii="Times New Roman" w:hAnsi="Times New Roman" w:cs="Times New Roman"/>
                <w:color w:val="auto"/>
                <w:kern w:val="2"/>
                <w:szCs w:val="22"/>
              </w:rPr>
            </w:pPr>
            <w:r>
              <w:rPr>
                <w:rFonts w:hint="default" w:ascii="Times New Roman" w:hAnsi="Times New Roman" w:cs="Times New Roman"/>
                <w:color w:val="auto"/>
                <w:kern w:val="2"/>
                <w:szCs w:val="22"/>
              </w:rPr>
              <w:t>从上表可知，本项目不需要设置专项评价。</w:t>
            </w:r>
          </w:p>
        </w:tc>
      </w:tr>
      <w:tr w14:paraId="6D072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1555" w:type="dxa"/>
            <w:vAlign w:val="center"/>
          </w:tcPr>
          <w:p w14:paraId="6E494687">
            <w:pPr>
              <w:autoSpaceDE w:val="0"/>
              <w:autoSpaceDN w:val="0"/>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规划情况</w:t>
            </w:r>
          </w:p>
        </w:tc>
        <w:tc>
          <w:tcPr>
            <w:tcW w:w="7315" w:type="dxa"/>
            <w:gridSpan w:val="3"/>
            <w:vAlign w:val="center"/>
          </w:tcPr>
          <w:p w14:paraId="7A215A08">
            <w:pPr>
              <w:ind w:firstLine="480"/>
              <w:rPr>
                <w:rFonts w:hint="default" w:ascii="Times New Roman" w:hAnsi="Times New Roman" w:cs="Times New Roman"/>
                <w:color w:val="auto"/>
              </w:rPr>
            </w:pPr>
            <w:r>
              <w:rPr>
                <w:rFonts w:hint="default" w:ascii="Times New Roman" w:hAnsi="Times New Roman" w:cs="Times New Roman"/>
                <w:color w:val="auto"/>
              </w:rPr>
              <w:t>规划名称：《西部（重庆）科学城九龙新城园区规划》（2024年9月）</w:t>
            </w:r>
          </w:p>
          <w:p w14:paraId="2FB8C38D">
            <w:pPr>
              <w:ind w:firstLine="480"/>
              <w:rPr>
                <w:rFonts w:hint="default" w:ascii="Times New Roman" w:hAnsi="Times New Roman" w:cs="Times New Roman"/>
                <w:color w:val="auto"/>
              </w:rPr>
            </w:pPr>
            <w:r>
              <w:rPr>
                <w:rFonts w:hint="default" w:ascii="Times New Roman" w:hAnsi="Times New Roman" w:cs="Times New Roman"/>
                <w:color w:val="auto"/>
              </w:rPr>
              <w:t>审查机关：重庆市人民政府</w:t>
            </w:r>
          </w:p>
          <w:p w14:paraId="7A14EDD6">
            <w:pPr>
              <w:ind w:firstLine="480"/>
              <w:rPr>
                <w:rFonts w:hint="default" w:ascii="Times New Roman" w:hAnsi="Times New Roman" w:cs="Times New Roman"/>
                <w:color w:val="auto"/>
              </w:rPr>
            </w:pPr>
            <w:r>
              <w:rPr>
                <w:rFonts w:hint="default" w:ascii="Times New Roman" w:hAnsi="Times New Roman" w:cs="Times New Roman"/>
                <w:color w:val="auto"/>
              </w:rPr>
              <w:t>审查文件名称及文号：《重庆市人民政府关于同意整合设立西部（重庆）科学城九龙新城园区及核准规划建设范围的批复》（渝府〔2024〕68号）</w:t>
            </w:r>
          </w:p>
        </w:tc>
      </w:tr>
      <w:tr w14:paraId="77925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1555" w:type="dxa"/>
            <w:vAlign w:val="center"/>
          </w:tcPr>
          <w:p w14:paraId="0B28239D">
            <w:pPr>
              <w:adjustRightInd w:val="0"/>
              <w:snapToGrid w:val="0"/>
              <w:spacing w:line="240" w:lineRule="auto"/>
              <w:ind w:firstLine="0" w:firstLineChars="0"/>
              <w:jc w:val="center"/>
              <w:rPr>
                <w:rFonts w:hint="default" w:ascii="Times New Roman" w:hAnsi="Times New Roman" w:cs="Times New Roman"/>
                <w:color w:val="auto"/>
                <w:kern w:val="2"/>
                <w:szCs w:val="24"/>
              </w:rPr>
            </w:pPr>
            <w:r>
              <w:rPr>
                <w:rFonts w:hint="default" w:ascii="Times New Roman" w:hAnsi="Times New Roman" w:cs="Times New Roman"/>
                <w:color w:val="auto"/>
                <w:kern w:val="2"/>
                <w:szCs w:val="24"/>
              </w:rPr>
              <w:t>规划环境影响评价情况</w:t>
            </w:r>
          </w:p>
        </w:tc>
        <w:tc>
          <w:tcPr>
            <w:tcW w:w="7315" w:type="dxa"/>
            <w:gridSpan w:val="3"/>
            <w:vAlign w:val="center"/>
          </w:tcPr>
          <w:p w14:paraId="7CA14396">
            <w:pPr>
              <w:pStyle w:val="18"/>
              <w:numPr>
                <w:ilvl w:val="0"/>
                <w:numId w:val="0"/>
              </w:numPr>
              <w:rPr>
                <w:rFonts w:hint="default" w:ascii="Times New Roman" w:hAnsi="Times New Roman" w:cs="Times New Roman"/>
                <w:color w:val="auto"/>
                <w:kern w:val="2"/>
                <w:szCs w:val="22"/>
              </w:rPr>
            </w:pPr>
            <w:r>
              <w:rPr>
                <w:rFonts w:hint="default" w:ascii="Times New Roman" w:hAnsi="Times New Roman" w:cs="Times New Roman"/>
                <w:color w:val="auto"/>
                <w:kern w:val="2"/>
                <w:szCs w:val="22"/>
              </w:rPr>
              <w:t>规划环境影响评价文件名称：《西部（重庆）科学城九龙新城园区规划环境影响报告书》；</w:t>
            </w:r>
          </w:p>
          <w:p w14:paraId="781A8D1D">
            <w:pPr>
              <w:pStyle w:val="18"/>
              <w:numPr>
                <w:ilvl w:val="0"/>
                <w:numId w:val="0"/>
              </w:numPr>
              <w:rPr>
                <w:rFonts w:hint="default" w:ascii="Times New Roman" w:hAnsi="Times New Roman" w:cs="Times New Roman"/>
                <w:color w:val="auto"/>
                <w:kern w:val="2"/>
                <w:szCs w:val="22"/>
              </w:rPr>
            </w:pPr>
            <w:r>
              <w:rPr>
                <w:rFonts w:hint="default" w:ascii="Times New Roman" w:hAnsi="Times New Roman" w:cs="Times New Roman"/>
                <w:color w:val="auto"/>
                <w:kern w:val="2"/>
                <w:szCs w:val="22"/>
              </w:rPr>
              <w:t>召集审查机关：重庆市生态环境局；</w:t>
            </w:r>
          </w:p>
          <w:p w14:paraId="4154160A">
            <w:pPr>
              <w:pStyle w:val="18"/>
              <w:numPr>
                <w:ilvl w:val="0"/>
                <w:numId w:val="0"/>
              </w:numPr>
              <w:rPr>
                <w:rFonts w:hint="default" w:ascii="Times New Roman" w:hAnsi="Times New Roman" w:cs="Times New Roman"/>
                <w:color w:val="auto"/>
                <w:kern w:val="2"/>
                <w:szCs w:val="22"/>
              </w:rPr>
            </w:pPr>
            <w:r>
              <w:rPr>
                <w:rFonts w:hint="default" w:ascii="Times New Roman" w:hAnsi="Times New Roman" w:cs="Times New Roman"/>
                <w:color w:val="auto"/>
                <w:kern w:val="2"/>
                <w:szCs w:val="22"/>
              </w:rPr>
              <w:t>审查文件名称及文号：《重庆市生态环境局关于西部（重庆）科学城九龙新城园区规划环境影响报告书审查意见的函》（渝环函〔2025〕421号）。</w:t>
            </w:r>
          </w:p>
          <w:p w14:paraId="33716002">
            <w:pPr>
              <w:pStyle w:val="18"/>
              <w:numPr>
                <w:ilvl w:val="0"/>
                <w:numId w:val="0"/>
              </w:numPr>
              <w:rPr>
                <w:rFonts w:hint="default" w:ascii="Times New Roman" w:hAnsi="Times New Roman" w:cs="Times New Roman"/>
                <w:color w:val="auto"/>
                <w:kern w:val="2"/>
                <w:szCs w:val="22"/>
              </w:rPr>
            </w:pPr>
            <w:r>
              <w:rPr>
                <w:rFonts w:hint="default" w:ascii="Times New Roman" w:hAnsi="Times New Roman" w:cs="Times New Roman"/>
                <w:color w:val="auto"/>
                <w:kern w:val="2"/>
                <w:szCs w:val="22"/>
              </w:rPr>
              <w:t>审查时间：2025年10月24日</w:t>
            </w:r>
          </w:p>
        </w:tc>
      </w:tr>
    </w:tbl>
    <w:p w14:paraId="2901AC83">
      <w:pPr>
        <w:ind w:firstLine="480"/>
        <w:rPr>
          <w:rFonts w:hint="default" w:ascii="Times New Roman" w:hAnsi="Times New Roman" w:cs="Times New Roman"/>
          <w:color w:val="auto"/>
        </w:rPr>
        <w:sectPr>
          <w:headerReference r:id="rId7" w:type="first"/>
          <w:footerReference r:id="rId10" w:type="first"/>
          <w:headerReference r:id="rId5" w:type="default"/>
          <w:footerReference r:id="rId8" w:type="default"/>
          <w:headerReference r:id="rId6" w:type="even"/>
          <w:footerReference r:id="rId9" w:type="even"/>
          <w:pgSz w:w="11907" w:h="16840"/>
          <w:pgMar w:top="1440" w:right="1797" w:bottom="1440" w:left="1797" w:header="851" w:footer="992" w:gutter="0"/>
          <w:pgNumType w:start="1"/>
          <w:cols w:space="720" w:num="1"/>
          <w:docGrid w:type="lines" w:linePitch="312" w:charSpace="0"/>
        </w:sectPr>
      </w:pPr>
    </w:p>
    <w:p w14:paraId="58568722">
      <w:pPr>
        <w:pStyle w:val="3"/>
        <w:rPr>
          <w:rFonts w:hint="default" w:ascii="Times New Roman" w:hAnsi="Times New Roman" w:cs="Times New Roman"/>
          <w:color w:val="auto"/>
        </w:rPr>
      </w:pPr>
      <w:r>
        <w:rPr>
          <w:rFonts w:hint="default" w:ascii="Times New Roman" w:hAnsi="Times New Roman" w:cs="Times New Roman"/>
          <w:color w:val="auto"/>
        </w:rPr>
        <w:t>1.1 规划及规划环境影响评价符合性分析</w:t>
      </w:r>
    </w:p>
    <w:p w14:paraId="0B570700">
      <w:pPr>
        <w:pStyle w:val="258"/>
        <w:rPr>
          <w:rFonts w:hint="default" w:ascii="Times New Roman" w:hAnsi="Times New Roman" w:cs="Times New Roman"/>
          <w:color w:val="auto"/>
        </w:rPr>
      </w:pPr>
      <w:r>
        <w:rPr>
          <w:rFonts w:hint="default" w:ascii="Times New Roman" w:hAnsi="Times New Roman" w:cs="Times New Roman"/>
          <w:color w:val="auto"/>
        </w:rPr>
        <w:t>1.1.1 与《西部（重庆）科学城九龙新城园区规划》符合性分析</w:t>
      </w:r>
    </w:p>
    <w:p w14:paraId="6354DCE3">
      <w:pPr>
        <w:ind w:firstLine="480"/>
        <w:rPr>
          <w:rFonts w:hint="default" w:ascii="Times New Roman" w:hAnsi="Times New Roman" w:cs="Times New Roman"/>
          <w:color w:val="auto"/>
        </w:rPr>
      </w:pPr>
      <w:r>
        <w:rPr>
          <w:rFonts w:hint="default" w:ascii="Times New Roman" w:hAnsi="Times New Roman" w:cs="Times New Roman"/>
          <w:color w:val="auto"/>
        </w:rPr>
        <w:t>（1）规划范围</w:t>
      </w:r>
    </w:p>
    <w:p w14:paraId="7CCA1FF5">
      <w:pPr>
        <w:ind w:firstLine="480"/>
        <w:rPr>
          <w:rFonts w:hint="default" w:ascii="Times New Roman" w:hAnsi="Times New Roman" w:cs="Times New Roman"/>
          <w:color w:val="auto"/>
        </w:rPr>
      </w:pPr>
      <w:r>
        <w:rPr>
          <w:rFonts w:hint="default" w:ascii="Times New Roman" w:hAnsi="Times New Roman" w:cs="Times New Roman"/>
          <w:color w:val="auto"/>
        </w:rPr>
        <w:t>本次规划范围包含西彭组团、陶家组团、铜罐驿组团、华岩-二郎组团和环杨家坪新经济组团，总规划面积3402.08hm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p w14:paraId="52350D54">
      <w:pPr>
        <w:ind w:firstLine="480"/>
        <w:rPr>
          <w:rFonts w:hint="default" w:ascii="Times New Roman" w:hAnsi="Times New Roman" w:cs="Times New Roman"/>
          <w:color w:val="auto"/>
        </w:rPr>
      </w:pPr>
      <w:r>
        <w:rPr>
          <w:rFonts w:hint="default" w:ascii="Times New Roman" w:hAnsi="Times New Roman" w:cs="Times New Roman"/>
          <w:color w:val="auto"/>
        </w:rPr>
        <w:t>其中陶家组团规划面积925.14hm</w:t>
      </w:r>
      <w:r>
        <w:rPr>
          <w:rFonts w:hint="default" w:ascii="Times New Roman" w:hAnsi="Times New Roman" w:cs="Times New Roman"/>
          <w:color w:val="auto"/>
          <w:vertAlign w:val="superscript"/>
        </w:rPr>
        <w:t>2</w:t>
      </w:r>
      <w:r>
        <w:rPr>
          <w:rFonts w:hint="default" w:ascii="Times New Roman" w:hAnsi="Times New Roman" w:cs="Times New Roman"/>
          <w:color w:val="auto"/>
        </w:rPr>
        <w:t>，规划范围东至兴强路，南至陡石塔村陡仓路，西至宝华村铝城大道，北至九龙西苑。与渝府〔2024〕68号批复陶家区块范围保持一致。</w:t>
      </w:r>
    </w:p>
    <w:p w14:paraId="4C43857C">
      <w:pPr>
        <w:ind w:firstLine="480"/>
        <w:rPr>
          <w:rFonts w:hint="default" w:ascii="Times New Roman" w:hAnsi="Times New Roman" w:cs="Times New Roman"/>
          <w:color w:val="auto"/>
        </w:rPr>
      </w:pPr>
      <w:r>
        <w:rPr>
          <w:rFonts w:hint="default" w:ascii="Times New Roman" w:hAnsi="Times New Roman" w:cs="Times New Roman"/>
          <w:color w:val="auto"/>
        </w:rPr>
        <w:t>（2）功能定位</w:t>
      </w:r>
    </w:p>
    <w:p w14:paraId="43B6D67A">
      <w:pPr>
        <w:ind w:firstLine="480"/>
        <w:rPr>
          <w:rFonts w:hint="default" w:ascii="Times New Roman" w:hAnsi="Times New Roman" w:cs="Times New Roman"/>
          <w:color w:val="auto"/>
        </w:rPr>
      </w:pPr>
      <w:r>
        <w:rPr>
          <w:rFonts w:hint="default" w:ascii="Times New Roman" w:hAnsi="Times New Roman" w:cs="Times New Roman"/>
          <w:color w:val="auto"/>
        </w:rPr>
        <w:t>九龙新城园区是国家重要产业战略备份承接地、国家跨境产业转移蓄水池、全国重大技术装备集成创新高地。</w:t>
      </w:r>
    </w:p>
    <w:p w14:paraId="3F057112">
      <w:pPr>
        <w:ind w:firstLine="480"/>
        <w:rPr>
          <w:rFonts w:hint="default" w:ascii="Times New Roman" w:hAnsi="Times New Roman" w:cs="Times New Roman"/>
          <w:color w:val="auto"/>
        </w:rPr>
      </w:pPr>
      <w:r>
        <w:rPr>
          <w:rFonts w:hint="default" w:ascii="Times New Roman" w:hAnsi="Times New Roman" w:cs="Times New Roman"/>
          <w:color w:val="auto"/>
        </w:rPr>
        <w:t>（3）产业结构</w:t>
      </w:r>
    </w:p>
    <w:p w14:paraId="37A79FA2">
      <w:pPr>
        <w:ind w:firstLine="480"/>
        <w:rPr>
          <w:rFonts w:hint="default" w:ascii="Times New Roman" w:hAnsi="Times New Roman" w:cs="Times New Roman"/>
          <w:color w:val="auto"/>
        </w:rPr>
      </w:pPr>
      <w:r>
        <w:rPr>
          <w:rFonts w:hint="default" w:ascii="Times New Roman" w:hAnsi="Times New Roman" w:cs="Times New Roman"/>
          <w:color w:val="auto"/>
        </w:rPr>
        <w:t>陶家组团主导产业：汽车制造业、电气机械和器材制造业、铁路、船舶、航空航天和其他运输设备制造业。</w:t>
      </w:r>
    </w:p>
    <w:p w14:paraId="1F3B4909">
      <w:pPr>
        <w:ind w:firstLine="480"/>
        <w:rPr>
          <w:rFonts w:hint="default" w:ascii="Times New Roman" w:hAnsi="Times New Roman" w:cs="Times New Roman"/>
          <w:color w:val="auto"/>
        </w:rPr>
      </w:pPr>
      <w:r>
        <w:rPr>
          <w:rFonts w:hint="default" w:ascii="Times New Roman" w:hAnsi="Times New Roman" w:cs="Times New Roman"/>
          <w:color w:val="auto"/>
        </w:rPr>
        <w:t>（4）规划布局</w:t>
      </w:r>
    </w:p>
    <w:p w14:paraId="569664EF">
      <w:pPr>
        <w:ind w:firstLine="480"/>
        <w:rPr>
          <w:rFonts w:hint="default" w:ascii="Times New Roman" w:hAnsi="Times New Roman" w:cs="Times New Roman"/>
          <w:color w:val="auto"/>
        </w:rPr>
      </w:pPr>
      <w:r>
        <w:rPr>
          <w:rFonts w:hint="default" w:ascii="Times New Roman" w:hAnsi="Times New Roman" w:cs="Times New Roman"/>
          <w:color w:val="auto"/>
        </w:rPr>
        <w:t>陶家组团北侧重点发展电气机械和器材制造业和汽车制造业，中部区域重点发展汽车制造业、铁路、船舶、航空航天和其他运输设备制造业，南侧重点发展生产性服务业。</w:t>
      </w:r>
    </w:p>
    <w:p w14:paraId="6A04A6FB">
      <w:pPr>
        <w:ind w:firstLine="480"/>
        <w:rPr>
          <w:rFonts w:hint="default" w:ascii="Times New Roman" w:hAnsi="Times New Roman" w:cs="Times New Roman"/>
          <w:color w:val="auto"/>
        </w:rPr>
      </w:pPr>
      <w:r>
        <w:rPr>
          <w:rFonts w:hint="default" w:ascii="Times New Roman" w:hAnsi="Times New Roman" w:cs="Times New Roman"/>
          <w:color w:val="auto"/>
        </w:rPr>
        <w:t>（5）排水规划</w:t>
      </w:r>
    </w:p>
    <w:p w14:paraId="1EDC9DE2">
      <w:pPr>
        <w:ind w:firstLine="480"/>
        <w:rPr>
          <w:rFonts w:hint="default" w:ascii="Times New Roman" w:hAnsi="Times New Roman" w:cs="Times New Roman"/>
          <w:color w:val="auto"/>
        </w:rPr>
      </w:pPr>
      <w:r>
        <w:rPr>
          <w:rFonts w:hint="default" w:ascii="Times New Roman" w:hAnsi="Times New Roman" w:cs="Times New Roman"/>
          <w:color w:val="auto"/>
        </w:rPr>
        <w:t>规划排水体制为雨、污分流制。</w:t>
      </w:r>
    </w:p>
    <w:p w14:paraId="6DCF5639">
      <w:pPr>
        <w:ind w:firstLine="480"/>
        <w:rPr>
          <w:rFonts w:hint="default" w:ascii="Times New Roman" w:hAnsi="Times New Roman" w:cs="Times New Roman"/>
          <w:color w:val="auto"/>
        </w:rPr>
      </w:pPr>
      <w:r>
        <w:rPr>
          <w:rFonts w:hint="default" w:ascii="Times New Roman" w:hAnsi="Times New Roman" w:cs="Times New Roman"/>
          <w:color w:val="auto"/>
        </w:rPr>
        <w:t>陶家组团污废水排入陶家工业污水处理厂进行处理。陶家工业污水处理厂设计总处理规模为1.0万m</w:t>
      </w:r>
      <w:r>
        <w:rPr>
          <w:rFonts w:hint="default" w:ascii="Times New Roman" w:hAnsi="Times New Roman" w:cs="Times New Roman"/>
          <w:color w:val="auto"/>
          <w:vertAlign w:val="superscript"/>
        </w:rPr>
        <w:t>3</w:t>
      </w:r>
      <w:r>
        <w:rPr>
          <w:rFonts w:hint="default" w:ascii="Times New Roman" w:hAnsi="Times New Roman" w:cs="Times New Roman"/>
          <w:color w:val="auto"/>
        </w:rPr>
        <w:t>/d，分期建设。其中一期设计处理规模为0.5万m</w:t>
      </w:r>
      <w:r>
        <w:rPr>
          <w:rFonts w:hint="default" w:ascii="Times New Roman" w:hAnsi="Times New Roman" w:cs="Times New Roman"/>
          <w:color w:val="auto"/>
          <w:vertAlign w:val="superscript"/>
        </w:rPr>
        <w:t>3</w:t>
      </w:r>
      <w:r>
        <w:rPr>
          <w:rFonts w:hint="default" w:ascii="Times New Roman" w:hAnsi="Times New Roman" w:cs="Times New Roman"/>
          <w:color w:val="auto"/>
        </w:rPr>
        <w:t>/d，采用“预处理+水解酸化+改良型A</w:t>
      </w:r>
      <w:r>
        <w:rPr>
          <w:rFonts w:hint="default" w:ascii="Times New Roman" w:hAnsi="Times New Roman" w:cs="Times New Roman"/>
          <w:color w:val="auto"/>
          <w:vertAlign w:val="superscript"/>
        </w:rPr>
        <w:t>2</w:t>
      </w:r>
      <w:r>
        <w:rPr>
          <w:rFonts w:hint="default" w:ascii="Times New Roman" w:hAnsi="Times New Roman" w:cs="Times New Roman"/>
          <w:color w:val="auto"/>
        </w:rPr>
        <w:t>/O+深度处理”的污水处理工艺，尾水中COD、NH</w:t>
      </w:r>
      <w:r>
        <w:rPr>
          <w:rFonts w:hint="default" w:ascii="Times New Roman" w:hAnsi="Times New Roman" w:cs="Times New Roman"/>
          <w:color w:val="auto"/>
          <w:vertAlign w:val="subscript"/>
        </w:rPr>
        <w:t>3</w:t>
      </w:r>
      <w:r>
        <w:rPr>
          <w:rFonts w:hint="default" w:ascii="Times New Roman" w:hAnsi="Times New Roman" w:cs="Times New Roman"/>
          <w:color w:val="auto"/>
        </w:rPr>
        <w:t>-N、TP等主要指标达《地表水环境质量标准》（GB3838-2002）Ⅳ类标准，其余指标达《城镇污水处理厂污染物排放标准》（GB18918-2002）一级A标后，排入杨柳曲河，再汇入大溪河，服务范围为整个陶家组团。</w:t>
      </w:r>
    </w:p>
    <w:p w14:paraId="6DCEFDE4">
      <w:pPr>
        <w:ind w:firstLine="480"/>
        <w:rPr>
          <w:rFonts w:hint="default" w:ascii="Times New Roman" w:hAnsi="Times New Roman" w:cs="Times New Roman"/>
          <w:color w:val="auto"/>
        </w:rPr>
      </w:pPr>
      <w:r>
        <w:rPr>
          <w:rFonts w:hint="default" w:ascii="Times New Roman" w:hAnsi="Times New Roman" w:cs="Times New Roman"/>
          <w:color w:val="auto"/>
        </w:rPr>
        <w:t>本项目为汽车注塑件改性塑料颗粒生产，位于西部（重庆）科学城九龙新城园区的陶家组团中部，符合西部（重庆）科学城九龙新城园区的陶家组团的产业定位和规划布局要求。</w:t>
      </w:r>
    </w:p>
    <w:p w14:paraId="0CA51DE0">
      <w:pPr>
        <w:pStyle w:val="258"/>
        <w:rPr>
          <w:rFonts w:hint="default" w:ascii="Times New Roman" w:hAnsi="Times New Roman" w:cs="Times New Roman"/>
          <w:color w:val="auto"/>
        </w:rPr>
      </w:pPr>
      <w:r>
        <w:rPr>
          <w:rFonts w:hint="default" w:ascii="Times New Roman" w:hAnsi="Times New Roman" w:cs="Times New Roman"/>
          <w:color w:val="auto"/>
        </w:rPr>
        <w:t>1.1.</w:t>
      </w:r>
      <w:r>
        <w:rPr>
          <w:rFonts w:hint="default" w:ascii="Times New Roman" w:hAnsi="Times New Roman" w:eastAsia="宋体" w:cs="Times New Roman"/>
          <w:color w:val="auto"/>
        </w:rPr>
        <w:t>2</w:t>
      </w:r>
      <w:r>
        <w:rPr>
          <w:rFonts w:hint="default" w:ascii="Times New Roman" w:hAnsi="Times New Roman" w:cs="Times New Roman"/>
          <w:color w:val="auto"/>
        </w:rPr>
        <w:t xml:space="preserve"> </w:t>
      </w:r>
      <w:r>
        <w:rPr>
          <w:rFonts w:hint="default" w:ascii="Times New Roman" w:hAnsi="Times New Roman" w:eastAsia="宋体" w:cs="Times New Roman"/>
          <w:color w:val="auto"/>
        </w:rPr>
        <w:t>规划环评及其审查意见符合性分析</w:t>
      </w:r>
    </w:p>
    <w:p w14:paraId="615132CC">
      <w:pPr>
        <w:ind w:firstLine="480"/>
        <w:rPr>
          <w:rFonts w:hint="default" w:ascii="Times New Roman" w:hAnsi="Times New Roman" w:cs="Times New Roman"/>
          <w:color w:val="auto"/>
        </w:rPr>
      </w:pPr>
      <w:r>
        <w:rPr>
          <w:rFonts w:hint="default" w:ascii="Times New Roman" w:hAnsi="Times New Roman" w:cs="Times New Roman"/>
          <w:color w:val="auto"/>
        </w:rPr>
        <w:t>（1）与规划环评符合性分析</w:t>
      </w:r>
    </w:p>
    <w:p w14:paraId="134EE4F7">
      <w:pPr>
        <w:ind w:firstLine="480"/>
        <w:rPr>
          <w:rFonts w:hint="default" w:ascii="Times New Roman" w:hAnsi="Times New Roman" w:cs="Times New Roman"/>
          <w:color w:val="auto"/>
        </w:rPr>
      </w:pPr>
      <w:r>
        <w:rPr>
          <w:rFonts w:hint="default" w:ascii="Times New Roman" w:hAnsi="Times New Roman" w:cs="Times New Roman"/>
          <w:color w:val="auto"/>
        </w:rPr>
        <w:t>根据《</w:t>
      </w:r>
      <w:r>
        <w:rPr>
          <w:rFonts w:hint="default" w:ascii="Times New Roman" w:hAnsi="Times New Roman" w:cs="Times New Roman"/>
          <w:color w:val="auto"/>
          <w:szCs w:val="24"/>
        </w:rPr>
        <w:t>西部（重庆）科学城九龙新城园区规划环境影响报告书</w:t>
      </w:r>
      <w:r>
        <w:rPr>
          <w:rFonts w:hint="default" w:ascii="Times New Roman" w:hAnsi="Times New Roman" w:cs="Times New Roman"/>
          <w:color w:val="auto"/>
        </w:rPr>
        <w:t>》，本项目与陶家组团生态环境分区管控要求见表1.1.2-1。</w:t>
      </w:r>
    </w:p>
    <w:p w14:paraId="1FEEC60E">
      <w:pPr>
        <w:pStyle w:val="93"/>
        <w:rPr>
          <w:rFonts w:hint="default" w:ascii="Times New Roman" w:hAnsi="Times New Roman" w:cs="Times New Roman"/>
          <w:color w:val="auto"/>
        </w:rPr>
      </w:pPr>
      <w:r>
        <w:rPr>
          <w:rFonts w:hint="default" w:ascii="Times New Roman" w:hAnsi="Times New Roman" w:cs="Times New Roman"/>
          <w:color w:val="auto"/>
        </w:rPr>
        <w:t>表1.1.2-1     与陶家组团生态环境分区管控要求符合性分析</w:t>
      </w:r>
    </w:p>
    <w:tbl>
      <w:tblPr>
        <w:tblStyle w:val="44"/>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4396"/>
        <w:gridCol w:w="3411"/>
      </w:tblGrid>
      <w:tr w14:paraId="2F50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418" w:type="pct"/>
            <w:vAlign w:val="center"/>
          </w:tcPr>
          <w:p w14:paraId="4C9E8C8B">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分类</w:t>
            </w:r>
          </w:p>
        </w:tc>
        <w:tc>
          <w:tcPr>
            <w:tcW w:w="2579" w:type="pct"/>
            <w:vAlign w:val="center"/>
          </w:tcPr>
          <w:p w14:paraId="3AEF71EB">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环境准入要求</w:t>
            </w:r>
          </w:p>
        </w:tc>
        <w:tc>
          <w:tcPr>
            <w:tcW w:w="2001" w:type="pct"/>
            <w:vAlign w:val="center"/>
          </w:tcPr>
          <w:p w14:paraId="66B1EC19">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符合性分析</w:t>
            </w:r>
          </w:p>
        </w:tc>
      </w:tr>
      <w:tr w14:paraId="4A27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18" w:type="pct"/>
            <w:vMerge w:val="restart"/>
            <w:vAlign w:val="center"/>
          </w:tcPr>
          <w:p w14:paraId="47EDE062">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空间布局约束</w:t>
            </w:r>
          </w:p>
        </w:tc>
        <w:tc>
          <w:tcPr>
            <w:tcW w:w="2579" w:type="pct"/>
            <w:vAlign w:val="center"/>
          </w:tcPr>
          <w:p w14:paraId="5509CF0B">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陶家组团规划的工业用地（L9-01/02、L27-02-1/04地块）禁止引入涉及喷漆、重力铸造、酸洗等大气污染较大的工业项目</w:t>
            </w:r>
          </w:p>
        </w:tc>
        <w:tc>
          <w:tcPr>
            <w:tcW w:w="2001" w:type="pct"/>
            <w:vAlign w:val="center"/>
          </w:tcPr>
          <w:p w14:paraId="3D793B82">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本项目为汽车注塑件改性塑料颗粒生产，不涉及</w:t>
            </w:r>
            <w:r>
              <w:rPr>
                <w:rFonts w:hint="default" w:ascii="Times New Roman" w:hAnsi="Times New Roman" w:cs="Times New Roman"/>
                <w:color w:val="auto"/>
                <w:sz w:val="21"/>
                <w:szCs w:val="21"/>
              </w:rPr>
              <w:t>喷漆、重力铸造、酸洗等大气污染工艺，符合</w:t>
            </w:r>
          </w:p>
        </w:tc>
      </w:tr>
      <w:tr w14:paraId="3B7D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18" w:type="pct"/>
            <w:vMerge w:val="continue"/>
            <w:vAlign w:val="center"/>
          </w:tcPr>
          <w:p w14:paraId="5C532D89">
            <w:pPr>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2579" w:type="pct"/>
            <w:vAlign w:val="center"/>
          </w:tcPr>
          <w:p w14:paraId="0A414FB6">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涉及环境防护距离的工业企业或项目应通过选址或调整布局原则上将环境防护距离控制在园区边界或用地红线内。园区边界的界定原则按《重庆市生态环境局办公室关于产业园区规划环评及建设项目环评所涉环境防护距离审核相关事宜的通知》执行</w:t>
            </w:r>
          </w:p>
        </w:tc>
        <w:tc>
          <w:tcPr>
            <w:tcW w:w="2001" w:type="pct"/>
            <w:vAlign w:val="center"/>
          </w:tcPr>
          <w:p w14:paraId="366F89BA">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本项目不设置</w:t>
            </w:r>
            <w:r>
              <w:rPr>
                <w:rFonts w:hint="default" w:ascii="Times New Roman" w:hAnsi="Times New Roman" w:cs="Times New Roman"/>
                <w:color w:val="auto"/>
                <w:sz w:val="21"/>
                <w:szCs w:val="21"/>
              </w:rPr>
              <w:t>环境防护距离</w:t>
            </w:r>
          </w:p>
        </w:tc>
      </w:tr>
      <w:tr w14:paraId="2A8A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18" w:type="pct"/>
            <w:vMerge w:val="continue"/>
            <w:vAlign w:val="center"/>
          </w:tcPr>
          <w:p w14:paraId="44904E0C">
            <w:pPr>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2579" w:type="pct"/>
            <w:vAlign w:val="center"/>
          </w:tcPr>
          <w:p w14:paraId="709BF757">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禁止新建、扩建木质家具制造、报废汽车拆解、平板玻璃制造工业项目</w:t>
            </w:r>
          </w:p>
        </w:tc>
        <w:tc>
          <w:tcPr>
            <w:tcW w:w="2001" w:type="pct"/>
            <w:vAlign w:val="center"/>
          </w:tcPr>
          <w:p w14:paraId="17505627">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本项目为汽车注塑件改性塑料颗粒生产，非</w:t>
            </w:r>
            <w:r>
              <w:rPr>
                <w:rFonts w:hint="default" w:ascii="Times New Roman" w:hAnsi="Times New Roman" w:cs="Times New Roman"/>
                <w:color w:val="auto"/>
                <w:sz w:val="21"/>
                <w:szCs w:val="21"/>
              </w:rPr>
              <w:t>木质家具制造、报废汽车拆解、平板玻璃制造工业项目</w:t>
            </w:r>
            <w:r>
              <w:rPr>
                <w:rFonts w:hint="default" w:ascii="Times New Roman" w:hAnsi="Times New Roman" w:cs="Times New Roman"/>
                <w:color w:val="auto"/>
                <w:kern w:val="2"/>
                <w:sz w:val="21"/>
                <w:szCs w:val="21"/>
              </w:rPr>
              <w:t>，符合</w:t>
            </w:r>
          </w:p>
        </w:tc>
      </w:tr>
      <w:tr w14:paraId="554D4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blHeader/>
          <w:jc w:val="center"/>
        </w:trPr>
        <w:tc>
          <w:tcPr>
            <w:tcW w:w="418" w:type="pct"/>
            <w:vMerge w:val="restart"/>
            <w:vAlign w:val="center"/>
          </w:tcPr>
          <w:p w14:paraId="340556FF">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污染物排放管控</w:t>
            </w:r>
          </w:p>
        </w:tc>
        <w:tc>
          <w:tcPr>
            <w:tcW w:w="2579" w:type="pct"/>
            <w:vAlign w:val="center"/>
          </w:tcPr>
          <w:p w14:paraId="75E84DA1">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规划区范围内污染物排放总量不得突破本次规划环评确定的污染物排放总量限值（COD76.94t/a，氨氮3.85/a，NO</w:t>
            </w:r>
            <w:r>
              <w:rPr>
                <w:rFonts w:hint="default" w:ascii="Times New Roman" w:hAnsi="Times New Roman" w:cs="Times New Roman"/>
                <w:color w:val="auto"/>
                <w:sz w:val="21"/>
                <w:szCs w:val="21"/>
                <w:vertAlign w:val="subscript"/>
              </w:rPr>
              <w:t>X</w:t>
            </w:r>
            <w:r>
              <w:rPr>
                <w:rFonts w:hint="default" w:ascii="Times New Roman" w:hAnsi="Times New Roman" w:cs="Times New Roman"/>
                <w:color w:val="auto"/>
                <w:sz w:val="21"/>
                <w:szCs w:val="21"/>
              </w:rPr>
              <w:t>184.81t/a，VOCs247.73t/a）</w:t>
            </w:r>
          </w:p>
        </w:tc>
        <w:tc>
          <w:tcPr>
            <w:tcW w:w="2001" w:type="pct"/>
            <w:vAlign w:val="center"/>
          </w:tcPr>
          <w:p w14:paraId="3BDF38F3">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本项目废气通过优化废气治理措施、产生废水量少，废气污染物和废水污染物排放总量均未突破本次规划环评确定的污染物排放总量限值</w:t>
            </w:r>
            <w:r>
              <w:rPr>
                <w:rFonts w:hint="default" w:ascii="Times New Roman" w:hAnsi="Times New Roman" w:cs="Times New Roman"/>
                <w:color w:val="auto"/>
                <w:kern w:val="2"/>
                <w:sz w:val="21"/>
                <w:szCs w:val="21"/>
              </w:rPr>
              <w:t>，符合</w:t>
            </w:r>
            <w:r>
              <w:rPr>
                <w:rFonts w:hint="default" w:ascii="Times New Roman" w:hAnsi="Times New Roman" w:cs="Times New Roman"/>
                <w:color w:val="auto"/>
                <w:sz w:val="21"/>
                <w:szCs w:val="21"/>
              </w:rPr>
              <w:t>。</w:t>
            </w:r>
          </w:p>
        </w:tc>
      </w:tr>
      <w:tr w14:paraId="3957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18" w:type="pct"/>
            <w:vMerge w:val="continue"/>
            <w:vAlign w:val="center"/>
          </w:tcPr>
          <w:p w14:paraId="1FF73B48">
            <w:pPr>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2579" w:type="pct"/>
            <w:vAlign w:val="center"/>
          </w:tcPr>
          <w:p w14:paraId="24368832">
            <w:pPr>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引导企业选择多种技术的组合工艺提高VOCs治理效率，</w:t>
            </w:r>
            <w:r>
              <w:rPr>
                <w:rFonts w:hint="default" w:ascii="Times New Roman" w:hAnsi="Times New Roman" w:cs="Times New Roman"/>
                <w:color w:val="auto"/>
                <w:sz w:val="21"/>
                <w:szCs w:val="21"/>
              </w:rPr>
              <w:t>推广使用低（无）VOCs含量或者低反应活性的原辅料替代；现有排放挥发性有机物的企业应深化废气污染防治，强化有机废气治理及无组织排放控制，按照“应收尽收”的原则梳理并提升废气收集率</w:t>
            </w:r>
          </w:p>
        </w:tc>
        <w:tc>
          <w:tcPr>
            <w:tcW w:w="2001" w:type="pct"/>
            <w:vAlign w:val="center"/>
          </w:tcPr>
          <w:p w14:paraId="647A061D">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本项目挤出造粒产生的有机废气均处理后达标排放</w:t>
            </w:r>
            <w:r>
              <w:rPr>
                <w:rFonts w:hint="default" w:ascii="Times New Roman" w:hAnsi="Times New Roman" w:cs="Times New Roman"/>
                <w:color w:val="auto"/>
                <w:kern w:val="2"/>
                <w:sz w:val="21"/>
                <w:szCs w:val="21"/>
              </w:rPr>
              <w:t>，符合</w:t>
            </w:r>
            <w:r>
              <w:rPr>
                <w:rFonts w:hint="default" w:ascii="Times New Roman" w:hAnsi="Times New Roman" w:cs="Times New Roman"/>
                <w:color w:val="auto"/>
                <w:spacing w:val="-6"/>
                <w:sz w:val="21"/>
                <w:szCs w:val="21"/>
              </w:rPr>
              <w:t>。</w:t>
            </w:r>
          </w:p>
        </w:tc>
      </w:tr>
      <w:tr w14:paraId="6C14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18" w:type="pct"/>
            <w:vMerge w:val="continue"/>
            <w:vAlign w:val="center"/>
          </w:tcPr>
          <w:p w14:paraId="4AFB7552">
            <w:pPr>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2579" w:type="pct"/>
            <w:vAlign w:val="center"/>
          </w:tcPr>
          <w:p w14:paraId="31FC2997">
            <w:pPr>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涉及工艺粉尘排放的入驻工业企业或项目，应配置有效的除尘设备，严格控制工业粉尘排放；产尘点应按照“应收尽收”原则尽量提高废气收集率，采取合理有效的治理措施减少无组织排放</w:t>
            </w:r>
          </w:p>
        </w:tc>
        <w:tc>
          <w:tcPr>
            <w:tcW w:w="2001" w:type="pct"/>
            <w:vAlign w:val="center"/>
          </w:tcPr>
          <w:p w14:paraId="40ACD894">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本项目投料混合产生的粉尘均处理后达标排放</w:t>
            </w:r>
            <w:r>
              <w:rPr>
                <w:rFonts w:hint="default" w:ascii="Times New Roman" w:hAnsi="Times New Roman" w:cs="Times New Roman"/>
                <w:color w:val="auto"/>
                <w:kern w:val="2"/>
                <w:sz w:val="21"/>
                <w:szCs w:val="21"/>
              </w:rPr>
              <w:t>，符合</w:t>
            </w:r>
          </w:p>
        </w:tc>
      </w:tr>
      <w:tr w14:paraId="7A9F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18" w:type="pct"/>
            <w:vAlign w:val="center"/>
          </w:tcPr>
          <w:p w14:paraId="6ECF26B0">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环境风险防控</w:t>
            </w:r>
          </w:p>
        </w:tc>
        <w:tc>
          <w:tcPr>
            <w:tcW w:w="2579" w:type="pct"/>
            <w:vAlign w:val="center"/>
          </w:tcPr>
          <w:p w14:paraId="4805930A">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禁止新建、扩建排放废水含有五类重金属（铬、镉、汞、砷、铅）、剧毒物质和持久性有机污染物的工业项目</w:t>
            </w:r>
          </w:p>
        </w:tc>
        <w:tc>
          <w:tcPr>
            <w:tcW w:w="2001" w:type="pct"/>
            <w:vAlign w:val="center"/>
          </w:tcPr>
          <w:p w14:paraId="1885A1D9">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pacing w:val="-6"/>
                <w:sz w:val="21"/>
                <w:szCs w:val="21"/>
              </w:rPr>
              <w:t>本项目不排放</w:t>
            </w:r>
            <w:r>
              <w:rPr>
                <w:rFonts w:hint="default" w:ascii="Times New Roman" w:hAnsi="Times New Roman" w:cs="Times New Roman"/>
                <w:color w:val="auto"/>
                <w:sz w:val="21"/>
                <w:szCs w:val="21"/>
              </w:rPr>
              <w:t>五类重金属（铬、镉、汞、砷、铅）、剧毒物质和持久性有机污染物</w:t>
            </w:r>
            <w:r>
              <w:rPr>
                <w:rFonts w:hint="default" w:ascii="Times New Roman" w:hAnsi="Times New Roman" w:cs="Times New Roman"/>
                <w:color w:val="auto"/>
                <w:kern w:val="2"/>
                <w:sz w:val="21"/>
                <w:szCs w:val="21"/>
              </w:rPr>
              <w:t>，符合</w:t>
            </w:r>
          </w:p>
        </w:tc>
      </w:tr>
      <w:tr w14:paraId="4F01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18" w:type="pct"/>
            <w:vMerge w:val="restart"/>
            <w:vAlign w:val="center"/>
          </w:tcPr>
          <w:p w14:paraId="76BD2968">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资源开发利用要求</w:t>
            </w:r>
          </w:p>
        </w:tc>
        <w:tc>
          <w:tcPr>
            <w:tcW w:w="2579" w:type="pct"/>
            <w:vAlign w:val="center"/>
          </w:tcPr>
          <w:p w14:paraId="76D708CB">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禁止新建、扩建燃用煤、重油等高污染燃料的工业项目</w:t>
            </w:r>
          </w:p>
        </w:tc>
        <w:tc>
          <w:tcPr>
            <w:tcW w:w="2001" w:type="pct"/>
            <w:vAlign w:val="center"/>
          </w:tcPr>
          <w:p w14:paraId="0EEC9122">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本项目不使用</w:t>
            </w:r>
            <w:r>
              <w:rPr>
                <w:rFonts w:hint="default" w:ascii="Times New Roman" w:hAnsi="Times New Roman" w:cs="Times New Roman"/>
                <w:color w:val="auto"/>
                <w:kern w:val="2"/>
                <w:sz w:val="21"/>
                <w:szCs w:val="21"/>
              </w:rPr>
              <w:t>燃用煤、重油等高污染燃料，符合</w:t>
            </w:r>
          </w:p>
        </w:tc>
      </w:tr>
      <w:tr w14:paraId="004C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18" w:type="pct"/>
            <w:vMerge w:val="continue"/>
            <w:vAlign w:val="center"/>
          </w:tcPr>
          <w:p w14:paraId="6285BE5F">
            <w:pPr>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2579" w:type="pct"/>
            <w:vAlign w:val="center"/>
          </w:tcPr>
          <w:p w14:paraId="2F6C52D3">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新建和改、扩建的工业项目清洁生产水平应达到国内先进水平</w:t>
            </w:r>
          </w:p>
        </w:tc>
        <w:tc>
          <w:tcPr>
            <w:tcW w:w="2001" w:type="pct"/>
            <w:vAlign w:val="center"/>
          </w:tcPr>
          <w:p w14:paraId="7EF6B350">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本项目清洁生产水平应达到国内先进水平，符合</w:t>
            </w:r>
          </w:p>
        </w:tc>
      </w:tr>
      <w:tr w14:paraId="11CB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18" w:type="pct"/>
            <w:vMerge w:val="continue"/>
            <w:vAlign w:val="center"/>
          </w:tcPr>
          <w:p w14:paraId="7E740EFE">
            <w:pPr>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2579" w:type="pct"/>
            <w:vAlign w:val="center"/>
          </w:tcPr>
          <w:p w14:paraId="236EC799">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提高有色金属冶炼及压延加工业和汽车制造业等工业企业的节能水平，降低区域的能耗强度。加强重点行业能效管理，升级工艺技术，提高用能设备能效水平</w:t>
            </w:r>
          </w:p>
        </w:tc>
        <w:tc>
          <w:tcPr>
            <w:tcW w:w="2001" w:type="pct"/>
            <w:vAlign w:val="center"/>
          </w:tcPr>
          <w:p w14:paraId="0EF67ABA">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不涉及</w:t>
            </w:r>
          </w:p>
        </w:tc>
      </w:tr>
    </w:tbl>
    <w:p w14:paraId="2162E48B">
      <w:pPr>
        <w:ind w:firstLine="480"/>
        <w:rPr>
          <w:rFonts w:hint="default" w:ascii="Times New Roman" w:hAnsi="Times New Roman" w:cs="Times New Roman"/>
          <w:color w:val="auto"/>
        </w:rPr>
      </w:pPr>
      <w:r>
        <w:rPr>
          <w:rFonts w:hint="default" w:ascii="Times New Roman" w:hAnsi="Times New Roman" w:cs="Times New Roman"/>
          <w:color w:val="auto"/>
        </w:rPr>
        <w:t>（2）与规划审查意见函符合性分析</w:t>
      </w:r>
    </w:p>
    <w:p w14:paraId="51B42D00">
      <w:pPr>
        <w:ind w:firstLine="480"/>
        <w:rPr>
          <w:rFonts w:hint="default" w:ascii="Times New Roman" w:hAnsi="Times New Roman" w:cs="Times New Roman"/>
          <w:color w:val="auto"/>
        </w:rPr>
      </w:pPr>
      <w:r>
        <w:rPr>
          <w:rFonts w:hint="default" w:ascii="Times New Roman" w:hAnsi="Times New Roman" w:cs="Times New Roman"/>
          <w:color w:val="auto"/>
        </w:rPr>
        <w:t>本项目与</w:t>
      </w:r>
      <w:r>
        <w:rPr>
          <w:rFonts w:hint="default" w:ascii="Times New Roman" w:hAnsi="Times New Roman" w:cs="Times New Roman"/>
          <w:color w:val="auto"/>
          <w:szCs w:val="24"/>
          <w:lang w:bidi="ar"/>
        </w:rPr>
        <w:t>《重庆市生态环境局关于西部（重庆）科学城九龙新城园区规划环境影响报告书审查意见的函》（渝环函〔2025〕421号）</w:t>
      </w:r>
      <w:r>
        <w:rPr>
          <w:rFonts w:hint="default" w:ascii="Times New Roman" w:hAnsi="Times New Roman" w:cs="Times New Roman"/>
          <w:color w:val="auto"/>
        </w:rPr>
        <w:t>的符合性见下表1.1.2-3。</w:t>
      </w:r>
    </w:p>
    <w:p w14:paraId="3FEADC17">
      <w:pPr>
        <w:pStyle w:val="93"/>
        <w:rPr>
          <w:rFonts w:hint="default" w:ascii="Times New Roman" w:hAnsi="Times New Roman" w:cs="Times New Roman"/>
          <w:color w:val="auto"/>
        </w:rPr>
      </w:pPr>
      <w:r>
        <w:rPr>
          <w:rFonts w:hint="default" w:ascii="Times New Roman" w:hAnsi="Times New Roman" w:cs="Times New Roman"/>
          <w:color w:val="auto"/>
        </w:rPr>
        <w:t>表1.1.2-3     与审查意见的函符合性分析</w:t>
      </w:r>
    </w:p>
    <w:tbl>
      <w:tblPr>
        <w:tblStyle w:val="44"/>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28" w:type="dxa"/>
          <w:bottom w:w="0" w:type="dxa"/>
          <w:right w:w="28" w:type="dxa"/>
        </w:tblCellMar>
      </w:tblPr>
      <w:tblGrid>
        <w:gridCol w:w="497"/>
        <w:gridCol w:w="536"/>
        <w:gridCol w:w="494"/>
        <w:gridCol w:w="4144"/>
        <w:gridCol w:w="2257"/>
        <w:gridCol w:w="439"/>
      </w:tblGrid>
      <w:tr w14:paraId="4A15E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297" w:type="pct"/>
            <w:vAlign w:val="center"/>
          </w:tcPr>
          <w:p w14:paraId="3013A230">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320" w:type="pct"/>
            <w:vAlign w:val="center"/>
          </w:tcPr>
          <w:p w14:paraId="0E40FCEF">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类别</w:t>
            </w:r>
          </w:p>
        </w:tc>
        <w:tc>
          <w:tcPr>
            <w:tcW w:w="2770" w:type="pct"/>
            <w:gridSpan w:val="2"/>
            <w:vAlign w:val="center"/>
          </w:tcPr>
          <w:p w14:paraId="428FF0A8">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审查意见要求</w:t>
            </w:r>
          </w:p>
        </w:tc>
        <w:tc>
          <w:tcPr>
            <w:tcW w:w="1348" w:type="pct"/>
            <w:vAlign w:val="center"/>
          </w:tcPr>
          <w:p w14:paraId="72B681FB">
            <w:pPr>
              <w:pStyle w:val="282"/>
              <w:overflowPunct w:val="0"/>
              <w:topLinePunct/>
              <w:spacing w:line="240" w:lineRule="auto"/>
              <w:ind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本项目</w:t>
            </w:r>
          </w:p>
        </w:tc>
        <w:tc>
          <w:tcPr>
            <w:tcW w:w="262" w:type="pct"/>
            <w:vAlign w:val="center"/>
          </w:tcPr>
          <w:p w14:paraId="652DA672">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符合性</w:t>
            </w:r>
          </w:p>
        </w:tc>
      </w:tr>
      <w:tr w14:paraId="21373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297" w:type="pct"/>
            <w:vAlign w:val="center"/>
          </w:tcPr>
          <w:p w14:paraId="66404C65">
            <w:pPr>
              <w:overflowPunct w:val="0"/>
              <w:topLinePunct/>
              <w:spacing w:line="240" w:lineRule="auto"/>
              <w:ind w:firstLine="0" w:firstLine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1</w:t>
            </w:r>
          </w:p>
        </w:tc>
        <w:tc>
          <w:tcPr>
            <w:tcW w:w="320" w:type="pct"/>
            <w:vAlign w:val="center"/>
          </w:tcPr>
          <w:p w14:paraId="2E4C2EC9">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严格生态环境准入</w:t>
            </w:r>
          </w:p>
        </w:tc>
        <w:tc>
          <w:tcPr>
            <w:tcW w:w="2770" w:type="pct"/>
            <w:gridSpan w:val="2"/>
            <w:vAlign w:val="center"/>
          </w:tcPr>
          <w:p w14:paraId="310D082E">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强化规划环评与生态环境分区管控的联动，主要管控措施应符合重庆市及九龙坡区生态环境分区管控要求。严格建设项目环境准入，入驻工业企业需符合国家和重庆市相关产业和环境准入要求以及《报告书》制定的生态环境管控要求。有序推动华岩-二郎组团、环杨家坪新经济组团内环以内工业用地转型升级，后续重点发展研发创新、软件信息等生产性服务业。华岩-二郎组团和环杨家坪新经济组团禁止新增排放重金属（铬、镉、汞、砷、铅等五类重金属）、剧毒物质和持久性有机污染物的工业项目。禁止新建、改扩建化工项目（安全、环保、节能和智能化改造等，本项目除外），现有化工项目按国家和重庆市相关要求适时搬入合规化工园区。</w:t>
            </w:r>
          </w:p>
        </w:tc>
        <w:tc>
          <w:tcPr>
            <w:tcW w:w="1348" w:type="pct"/>
            <w:vAlign w:val="center"/>
          </w:tcPr>
          <w:p w14:paraId="4BC3C3A5">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本项目位于西部（重庆）科学城九龙新城园区陶家组团内，符合重庆市及九龙坡生态环境分区管控要求，符合国家和重庆市相关产业和环境准入要求以及《报告书》制定的生态环境管控要求，不属于化工项目。</w:t>
            </w:r>
          </w:p>
        </w:tc>
        <w:tc>
          <w:tcPr>
            <w:tcW w:w="262" w:type="pct"/>
            <w:vAlign w:val="center"/>
          </w:tcPr>
          <w:p w14:paraId="266B3F1D">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27F64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297" w:type="pct"/>
            <w:vMerge w:val="restart"/>
            <w:vAlign w:val="center"/>
          </w:tcPr>
          <w:p w14:paraId="28CB1A4F">
            <w:pPr>
              <w:overflowPunct w:val="0"/>
              <w:topLinePunct/>
              <w:spacing w:line="240" w:lineRule="auto"/>
              <w:ind w:firstLine="0" w:firstLine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2</w:t>
            </w:r>
          </w:p>
        </w:tc>
        <w:tc>
          <w:tcPr>
            <w:tcW w:w="320" w:type="pct"/>
            <w:vMerge w:val="restart"/>
            <w:vAlign w:val="center"/>
          </w:tcPr>
          <w:p w14:paraId="0CD432EA">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强化</w:t>
            </w:r>
            <w:r>
              <w:rPr>
                <w:rFonts w:hint="default" w:ascii="Times New Roman" w:hAnsi="Times New Roman" w:cs="Times New Roman"/>
                <w:color w:val="auto"/>
                <w:sz w:val="21"/>
                <w:szCs w:val="21"/>
              </w:rPr>
              <w:t>空间布局约束</w:t>
            </w:r>
          </w:p>
        </w:tc>
        <w:tc>
          <w:tcPr>
            <w:tcW w:w="2770" w:type="pct"/>
            <w:gridSpan w:val="2"/>
            <w:vAlign w:val="center"/>
          </w:tcPr>
          <w:p w14:paraId="6AD393CD">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规划区开发建设应符合重庆市、九龙坡区国土空间规划及用途管制要求。规划实施不得占用九龙坡区生态环境分区管控方案中划定的优先保护单元。涉及环境防护距离的工业企业或项目应通过选址或调整布局原则上将环境防护距离控制在园区边界或用地红线内。</w:t>
            </w:r>
          </w:p>
        </w:tc>
        <w:tc>
          <w:tcPr>
            <w:tcW w:w="1348" w:type="pct"/>
            <w:vAlign w:val="center"/>
          </w:tcPr>
          <w:p w14:paraId="1B556FB8">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本项目符合重庆市、九龙坡区国土空间规划及用途管制要求；本项目不涉及优先保护单元，满足规划要求；本项目不涉及环境防护距离。</w:t>
            </w:r>
          </w:p>
        </w:tc>
        <w:tc>
          <w:tcPr>
            <w:tcW w:w="262" w:type="pct"/>
            <w:vAlign w:val="center"/>
          </w:tcPr>
          <w:p w14:paraId="0FDF4AA4">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0B62F8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297" w:type="pct"/>
            <w:vMerge w:val="continue"/>
            <w:vAlign w:val="center"/>
          </w:tcPr>
          <w:p w14:paraId="2ADD612A">
            <w:pPr>
              <w:overflowPunct w:val="0"/>
              <w:topLinePunct/>
              <w:spacing w:line="240" w:lineRule="auto"/>
              <w:ind w:firstLine="0" w:firstLineChars="0"/>
              <w:jc w:val="center"/>
              <w:rPr>
                <w:rFonts w:hint="default" w:ascii="Times New Roman" w:hAnsi="Times New Roman" w:eastAsia="Times New Roman" w:cs="Times New Roman"/>
                <w:color w:val="auto"/>
                <w:sz w:val="21"/>
                <w:szCs w:val="21"/>
              </w:rPr>
            </w:pPr>
          </w:p>
        </w:tc>
        <w:tc>
          <w:tcPr>
            <w:tcW w:w="320" w:type="pct"/>
            <w:vMerge w:val="continue"/>
            <w:vAlign w:val="center"/>
          </w:tcPr>
          <w:p w14:paraId="1298E756">
            <w:pPr>
              <w:pStyle w:val="282"/>
              <w:overflowPunct w:val="0"/>
              <w:topLinePunct/>
              <w:spacing w:line="240" w:lineRule="auto"/>
              <w:ind w:firstLine="0" w:firstLineChars="0"/>
              <w:jc w:val="center"/>
              <w:rPr>
                <w:rFonts w:hint="default" w:ascii="Times New Roman" w:hAnsi="Times New Roman" w:cs="Times New Roman"/>
                <w:color w:val="auto"/>
                <w:sz w:val="21"/>
                <w:szCs w:val="21"/>
              </w:rPr>
            </w:pPr>
          </w:p>
        </w:tc>
        <w:tc>
          <w:tcPr>
            <w:tcW w:w="2770" w:type="pct"/>
            <w:gridSpan w:val="2"/>
            <w:vAlign w:val="center"/>
          </w:tcPr>
          <w:p w14:paraId="0DB08F03">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合理规划布局，工业用地紧邻居住用地等环境敏感区一侧宜布局宿舍、办公楼等非生产设施，避免对周边环境敏感目标造成影响。西彭组团与居住用地相邻的规划工业用地（A34、A33地块）及东北侧规划科研用地兼工业用地禁止新布局高噪声和涉及喷漆、重力铸造、酸洗、熔炼等大气污染较大的工业项目，陶家组团与居住用地相邻的规划工业用地（L9-01、L27-02-1地块）禁止新布局高噪声和涉及喷漆、重力铸造、酸洗、熔炼等大气污染较大的工业项目。</w:t>
            </w:r>
          </w:p>
        </w:tc>
        <w:tc>
          <w:tcPr>
            <w:tcW w:w="1348" w:type="pct"/>
            <w:vAlign w:val="center"/>
          </w:tcPr>
          <w:p w14:paraId="0A0D782E">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本项目位于重庆市九龙坡区陶家镇开锣路86号，不与居住用地紧邻。</w:t>
            </w:r>
          </w:p>
        </w:tc>
        <w:tc>
          <w:tcPr>
            <w:tcW w:w="262" w:type="pct"/>
            <w:vAlign w:val="center"/>
          </w:tcPr>
          <w:p w14:paraId="6E1C4577">
            <w:pPr>
              <w:pStyle w:val="282"/>
              <w:overflowPunct w:val="0"/>
              <w:topLinePunct/>
              <w:spacing w:line="240" w:lineRule="auto"/>
              <w:ind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符合</w:t>
            </w:r>
          </w:p>
        </w:tc>
      </w:tr>
      <w:tr w14:paraId="4BE652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297" w:type="pct"/>
            <w:vAlign w:val="center"/>
          </w:tcPr>
          <w:p w14:paraId="13C21A68">
            <w:pPr>
              <w:overflowPunct w:val="0"/>
              <w:topLinePunct/>
              <w:spacing w:line="240" w:lineRule="auto"/>
              <w:ind w:firstLine="0" w:firstLine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3</w:t>
            </w:r>
          </w:p>
        </w:tc>
        <w:tc>
          <w:tcPr>
            <w:tcW w:w="320" w:type="pct"/>
            <w:vMerge w:val="restart"/>
            <w:vAlign w:val="center"/>
          </w:tcPr>
          <w:p w14:paraId="20097CA7">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加强</w:t>
            </w:r>
            <w:r>
              <w:rPr>
                <w:rFonts w:hint="default" w:ascii="Times New Roman" w:hAnsi="Times New Roman" w:cs="Times New Roman"/>
                <w:color w:val="auto"/>
                <w:sz w:val="21"/>
                <w:szCs w:val="21"/>
              </w:rPr>
              <w:t>污染排放管控</w:t>
            </w:r>
          </w:p>
        </w:tc>
        <w:tc>
          <w:tcPr>
            <w:tcW w:w="295" w:type="pct"/>
            <w:vAlign w:val="center"/>
          </w:tcPr>
          <w:p w14:paraId="3062EDAB">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水污染排放管控</w:t>
            </w:r>
          </w:p>
        </w:tc>
        <w:tc>
          <w:tcPr>
            <w:tcW w:w="2474" w:type="pct"/>
            <w:vAlign w:val="center"/>
          </w:tcPr>
          <w:p w14:paraId="7A984AD5">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规划区排水系统采用雨、污分流制。西彭组团、陶家组团、铜罐驿组团禁止新增废水排放五类重金属（铬、镉、汞、砷、铅）、剧毒物质和持久性有机污染物的工业项目。西彭组团（除西南铝企业外）污废水经企业预处理达接管要求后进入西彭工业园区污水处理厂，西彭工业园区污水处理厂提标扩建预计2025年年底前完成；西南铝企业污废水进入自建污水处理站处理。陶家组团污废水经企业预处理达接管要求后排入陶家工业污水处理厂进一步处理，陶家工业污水处理厂配套管网建设预计2025年年底前完成。铜罐驿组团污废水（除重庆和友实业股份有限公司）经企业预处理达接管要求后进入铜罐驿污水处理厂进一步处理；同时加快推进铜罐驿污水处理厂配套管网建设工作，小可食品污废水接入铜罐驿污水处理厂前不得实施增加入河污染物的改、扩建项目；重庆和友实业股份有限公司进入自建污水处理站处理。华岩-二郎组团中华岩区块（成渝铁路以西区域）污废水经企业预处理达接管要求后接入九龙工业园区B3区污水处理厂进一步处理；华岩-二郎组团其他区域依托规划区外大九污水处理厂和彩云湖污水处理厂处理达标后排放。环杨家坪新经济组团污废水经扬声桥污水处理厂、鸡冠石污水处理厂处理达标后排放。</w:t>
            </w:r>
          </w:p>
        </w:tc>
        <w:tc>
          <w:tcPr>
            <w:tcW w:w="1348" w:type="pct"/>
            <w:vAlign w:val="center"/>
          </w:tcPr>
          <w:p w14:paraId="15FF01B3">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本项目排水系统为雨、污分流，不属于新增废水排放五类重金属（铬、镉、汞、砷、铅）、剧毒物质和持久性有机污染物的工业项目，位于陶家组团，污水经预处理后进入陶家工业污水处理厂进一步处理。</w:t>
            </w:r>
          </w:p>
        </w:tc>
        <w:tc>
          <w:tcPr>
            <w:tcW w:w="262" w:type="pct"/>
            <w:vAlign w:val="center"/>
          </w:tcPr>
          <w:p w14:paraId="5C91A6FA">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12381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297" w:type="pct"/>
            <w:vAlign w:val="center"/>
          </w:tcPr>
          <w:p w14:paraId="7254F7BF">
            <w:pPr>
              <w:overflowPunct w:val="0"/>
              <w:topLinePunct/>
              <w:spacing w:line="240" w:lineRule="auto"/>
              <w:ind w:firstLine="0" w:firstLine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4</w:t>
            </w:r>
          </w:p>
        </w:tc>
        <w:tc>
          <w:tcPr>
            <w:tcW w:w="320" w:type="pct"/>
            <w:vMerge w:val="continue"/>
            <w:vAlign w:val="center"/>
          </w:tcPr>
          <w:p w14:paraId="57EA03A4">
            <w:pPr>
              <w:overflowPunct w:val="0"/>
              <w:topLinePunct/>
              <w:spacing w:line="240" w:lineRule="auto"/>
              <w:ind w:firstLine="0" w:firstLineChars="0"/>
              <w:jc w:val="center"/>
              <w:rPr>
                <w:rFonts w:hint="default" w:ascii="Times New Roman" w:hAnsi="Times New Roman" w:cs="Times New Roman"/>
                <w:color w:val="auto"/>
                <w:sz w:val="21"/>
                <w:szCs w:val="21"/>
              </w:rPr>
            </w:pPr>
          </w:p>
        </w:tc>
        <w:tc>
          <w:tcPr>
            <w:tcW w:w="295" w:type="pct"/>
            <w:vAlign w:val="center"/>
          </w:tcPr>
          <w:p w14:paraId="5BE8FF5B">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大气污染物排放管控</w:t>
            </w:r>
          </w:p>
        </w:tc>
        <w:tc>
          <w:tcPr>
            <w:tcW w:w="2474" w:type="pct"/>
            <w:vAlign w:val="center"/>
          </w:tcPr>
          <w:p w14:paraId="505BC129">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优化能源结构，严格落实清洁能源计划，鼓励使用天然气、电等清洁能源。燃气锅炉应采用低氮燃烧工艺。加强工业企业大气污染综合治理，各入驻企业应采取有效的废气处理措施，确保工艺废气稳定达标排放。严格按照国家及重庆市关于挥发性有机物治理的相关要求落实污染防治措施，涉及挥发性有机物排放的项目应从源头加强控制，优先使用低（无）VOCs含量的原辅料，并按相关要求采用先进高效工艺，减少工艺过程无组织排放。汽车制造业、通用设备制造业企业应根据生产工艺、污染物类型，对工艺废气实施分类收集、分质处理，按照“应收尽收”原则提高废气收集率。严格控制工业企业粉尘无组织排放，加强工业企业废气污染防治，确保厂界达标，减少对周边环境敏感目标的影响。</w:t>
            </w:r>
          </w:p>
        </w:tc>
        <w:tc>
          <w:tcPr>
            <w:tcW w:w="1348" w:type="pct"/>
            <w:vAlign w:val="center"/>
          </w:tcPr>
          <w:p w14:paraId="6AD446C5">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本项目使用电；项目产生的粉尘经除尘后达标排放，产生有机废气采取二级活性炭吸附工艺处理可实现稳定达标排放，严格按照国家及重庆市关于挥发性有机物治理的相关要求落实污染防治措施。</w:t>
            </w:r>
          </w:p>
        </w:tc>
        <w:tc>
          <w:tcPr>
            <w:tcW w:w="262" w:type="pct"/>
            <w:vAlign w:val="center"/>
          </w:tcPr>
          <w:p w14:paraId="13B5DCAF">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02323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297" w:type="pct"/>
            <w:vAlign w:val="center"/>
          </w:tcPr>
          <w:p w14:paraId="4025BC41">
            <w:pPr>
              <w:overflowPunct w:val="0"/>
              <w:topLinePunct/>
              <w:spacing w:line="240" w:lineRule="auto"/>
              <w:ind w:firstLine="0" w:firstLine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5</w:t>
            </w:r>
          </w:p>
        </w:tc>
        <w:tc>
          <w:tcPr>
            <w:tcW w:w="320" w:type="pct"/>
            <w:vMerge w:val="continue"/>
            <w:vAlign w:val="center"/>
          </w:tcPr>
          <w:p w14:paraId="26B760B1">
            <w:pPr>
              <w:overflowPunct w:val="0"/>
              <w:topLinePunct/>
              <w:spacing w:line="240" w:lineRule="auto"/>
              <w:ind w:firstLine="0" w:firstLineChars="0"/>
              <w:jc w:val="center"/>
              <w:rPr>
                <w:rFonts w:hint="default" w:ascii="Times New Roman" w:hAnsi="Times New Roman" w:cs="Times New Roman"/>
                <w:color w:val="auto"/>
                <w:sz w:val="21"/>
                <w:szCs w:val="21"/>
              </w:rPr>
            </w:pPr>
          </w:p>
        </w:tc>
        <w:tc>
          <w:tcPr>
            <w:tcW w:w="295" w:type="pct"/>
            <w:vAlign w:val="center"/>
          </w:tcPr>
          <w:p w14:paraId="2334FFE5">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工业固废排放管控</w:t>
            </w:r>
          </w:p>
        </w:tc>
        <w:tc>
          <w:tcPr>
            <w:tcW w:w="2474" w:type="pct"/>
            <w:vAlign w:val="center"/>
          </w:tcPr>
          <w:p w14:paraId="11D1F4D4">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加强一般工业固体废物综合利用和处置，鼓励企业自行回收利用一般工业固体废物，按减量化、资源化、无害化原则妥善收集、处置。危险废物产生单位应严格落实危险废物环境管理制度，做好危险废物管理计划和管理台账，对项目危险废物收集、贮存、运输、利用、处置各环节进行全过程环境监管；严格按照《危险废物贮存污染控制标准》(GB18597-2023）等有关规定，设置危险废物暂存场所；危险废物转移应严格执行《危险废物转移管理办法》（生态环境部公安部交通运输部 部令第23号）等相关要求。</w:t>
            </w:r>
          </w:p>
        </w:tc>
        <w:tc>
          <w:tcPr>
            <w:tcW w:w="1348" w:type="pct"/>
            <w:vAlign w:val="center"/>
          </w:tcPr>
          <w:p w14:paraId="5AB8A120">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本项目各类固体废物均能得到妥善处置，厂区内按《危险废物贮存污染控制标准》（GB</w:t>
            </w:r>
            <w:r>
              <w:rPr>
                <w:rFonts w:hint="default" w:ascii="Times New Roman" w:hAnsi="Times New Roman" w:eastAsia="Times New Roman" w:cs="Times New Roman"/>
                <w:color w:val="auto"/>
                <w:sz w:val="21"/>
                <w:szCs w:val="21"/>
                <w:lang w:eastAsia="zh-CN"/>
              </w:rPr>
              <w:t>185</w:t>
            </w:r>
            <w:r>
              <w:rPr>
                <w:rFonts w:hint="default" w:ascii="Times New Roman" w:hAnsi="Times New Roman" w:cs="Times New Roman"/>
                <w:color w:val="auto"/>
                <w:sz w:val="21"/>
                <w:szCs w:val="21"/>
                <w:lang w:eastAsia="zh-CN"/>
              </w:rPr>
              <w:t>97</w:t>
            </w:r>
            <w:r>
              <w:rPr>
                <w:rFonts w:hint="default" w:ascii="Times New Roman" w:hAnsi="Times New Roman" w:eastAsia="Times New Roman" w:cs="Times New Roman"/>
                <w:color w:val="auto"/>
                <w:sz w:val="21"/>
                <w:szCs w:val="21"/>
                <w:lang w:eastAsia="zh-CN"/>
              </w:rPr>
              <w:t>-2023</w:t>
            </w:r>
            <w:r>
              <w:rPr>
                <w:rFonts w:hint="default" w:ascii="Times New Roman" w:hAnsi="Times New Roman" w:cs="Times New Roman"/>
                <w:color w:val="auto"/>
                <w:sz w:val="21"/>
                <w:szCs w:val="21"/>
                <w:lang w:eastAsia="zh-CN"/>
              </w:rPr>
              <w:t>）有关规定设置危险废物贮存点。</w:t>
            </w:r>
          </w:p>
        </w:tc>
        <w:tc>
          <w:tcPr>
            <w:tcW w:w="262" w:type="pct"/>
            <w:vAlign w:val="center"/>
          </w:tcPr>
          <w:p w14:paraId="0E7EFD5E">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22E80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297" w:type="pct"/>
            <w:vAlign w:val="center"/>
          </w:tcPr>
          <w:p w14:paraId="626721D0">
            <w:pPr>
              <w:overflowPunct w:val="0"/>
              <w:topLinePunct/>
              <w:spacing w:line="240" w:lineRule="auto"/>
              <w:ind w:firstLine="0" w:firstLine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6</w:t>
            </w:r>
          </w:p>
        </w:tc>
        <w:tc>
          <w:tcPr>
            <w:tcW w:w="320" w:type="pct"/>
            <w:vMerge w:val="continue"/>
            <w:vAlign w:val="center"/>
          </w:tcPr>
          <w:p w14:paraId="280F114C">
            <w:pPr>
              <w:overflowPunct w:val="0"/>
              <w:topLinePunct/>
              <w:spacing w:line="240" w:lineRule="auto"/>
              <w:ind w:firstLine="0" w:firstLineChars="0"/>
              <w:jc w:val="center"/>
              <w:rPr>
                <w:rFonts w:hint="default" w:ascii="Times New Roman" w:hAnsi="Times New Roman" w:cs="Times New Roman"/>
                <w:color w:val="auto"/>
                <w:sz w:val="21"/>
                <w:szCs w:val="21"/>
              </w:rPr>
            </w:pPr>
          </w:p>
        </w:tc>
        <w:tc>
          <w:tcPr>
            <w:tcW w:w="295" w:type="pct"/>
            <w:vAlign w:val="center"/>
          </w:tcPr>
          <w:p w14:paraId="7D5E2902">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噪声污染排放管控</w:t>
            </w:r>
          </w:p>
        </w:tc>
        <w:tc>
          <w:tcPr>
            <w:tcW w:w="2474" w:type="pct"/>
            <w:vAlign w:val="center"/>
          </w:tcPr>
          <w:p w14:paraId="408AF7E2">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加强交通噪声污染防治，合理规划工业片区运输线路和时间，对车辆实行限速、限时、禁鸣，减轻运输过程对沿线居民的影响。合理布局企业噪声源，高噪声源企业选址和布局尽量远离居住、学校等声环境敏感目标；工业企业应优先选择低噪声设备，采取消声、隔声、减振等措施，确保厂界噪声达标。</w:t>
            </w:r>
          </w:p>
        </w:tc>
        <w:tc>
          <w:tcPr>
            <w:tcW w:w="1348" w:type="pct"/>
            <w:vAlign w:val="center"/>
          </w:tcPr>
          <w:p w14:paraId="7178B207">
            <w:pPr>
              <w:pStyle w:val="282"/>
              <w:overflowPunct w:val="0"/>
              <w:topLinePunct/>
              <w:spacing w:line="240" w:lineRule="auto"/>
              <w:ind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本项目选择低噪声设备，采取消声、隔声、减振等措施，厂界噪声达标。</w:t>
            </w:r>
          </w:p>
        </w:tc>
        <w:tc>
          <w:tcPr>
            <w:tcW w:w="262" w:type="pct"/>
            <w:vAlign w:val="center"/>
          </w:tcPr>
          <w:p w14:paraId="317EB2F6">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031B8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297" w:type="pct"/>
            <w:vAlign w:val="center"/>
          </w:tcPr>
          <w:p w14:paraId="60F61658">
            <w:pPr>
              <w:overflowPunct w:val="0"/>
              <w:topLinePunct/>
              <w:spacing w:line="240" w:lineRule="auto"/>
              <w:ind w:firstLine="0" w:firstLineChars="0"/>
              <w:jc w:val="center"/>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7</w:t>
            </w:r>
          </w:p>
        </w:tc>
        <w:tc>
          <w:tcPr>
            <w:tcW w:w="320" w:type="pct"/>
            <w:vMerge w:val="continue"/>
            <w:vAlign w:val="center"/>
          </w:tcPr>
          <w:p w14:paraId="41260476">
            <w:pPr>
              <w:overflowPunct w:val="0"/>
              <w:topLinePunct/>
              <w:spacing w:line="240" w:lineRule="auto"/>
              <w:ind w:firstLine="0" w:firstLineChars="0"/>
              <w:jc w:val="center"/>
              <w:rPr>
                <w:rFonts w:hint="default" w:ascii="Times New Roman" w:hAnsi="Times New Roman" w:cs="Times New Roman"/>
                <w:color w:val="auto"/>
                <w:sz w:val="21"/>
                <w:szCs w:val="21"/>
              </w:rPr>
            </w:pPr>
          </w:p>
        </w:tc>
        <w:tc>
          <w:tcPr>
            <w:tcW w:w="295" w:type="pct"/>
            <w:vAlign w:val="center"/>
          </w:tcPr>
          <w:p w14:paraId="16FF4228">
            <w:pPr>
              <w:pStyle w:val="282"/>
              <w:overflowPunct w:val="0"/>
              <w:topLinePunct/>
              <w:spacing w:line="240" w:lineRule="auto"/>
              <w:ind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土壤、地下水污染防控</w:t>
            </w:r>
          </w:p>
        </w:tc>
        <w:tc>
          <w:tcPr>
            <w:tcW w:w="2474" w:type="pct"/>
            <w:vAlign w:val="center"/>
          </w:tcPr>
          <w:p w14:paraId="6752100D">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规划区应按照《中华人民共和国土壤污染防治法》《地下水管理条例》等相关要求加强区域土壤、地下水环境保护。按源头防控的原则，可能产生地下水、土壤污染的企业，应严格落实分区、分级防渗措施，防范规划实施对土壤、地下水环境造成污染。定期开展土壤、地下水跟踪监测，根据监测结果完善污染防控措施，确保规划区土壤、地下水环境质量稳定达标。规划区应按照《重庆市建设用地土壤污染防治办法》等规定要求，依法开展土壤污染状况调查等工作，未达到土壤污染风险评估报告确定的风险管控、修复目标的地块，禁止开工建设任何与风险管控、修复无关的项目。</w:t>
            </w:r>
          </w:p>
        </w:tc>
        <w:tc>
          <w:tcPr>
            <w:tcW w:w="1348" w:type="pct"/>
            <w:vAlign w:val="center"/>
          </w:tcPr>
          <w:p w14:paraId="1EC696A5">
            <w:pPr>
              <w:pStyle w:val="282"/>
              <w:overflowPunct w:val="0"/>
              <w:topLinePunct/>
              <w:spacing w:line="240" w:lineRule="auto"/>
              <w:ind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本项目在现有厂区范围内进行建设，厂房地面拟采取分区防渗措施，对地下水、土壤影响较小。</w:t>
            </w:r>
          </w:p>
        </w:tc>
        <w:tc>
          <w:tcPr>
            <w:tcW w:w="262" w:type="pct"/>
            <w:vAlign w:val="center"/>
          </w:tcPr>
          <w:p w14:paraId="4146C93C">
            <w:pPr>
              <w:pStyle w:val="282"/>
              <w:overflowPunct w:val="0"/>
              <w:topLinePunct/>
              <w:spacing w:line="240" w:lineRule="auto"/>
              <w:ind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符合</w:t>
            </w:r>
          </w:p>
        </w:tc>
      </w:tr>
      <w:tr w14:paraId="7AAC0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297" w:type="pct"/>
            <w:vAlign w:val="center"/>
          </w:tcPr>
          <w:p w14:paraId="11AD0832">
            <w:pPr>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w:t>
            </w:r>
          </w:p>
        </w:tc>
        <w:tc>
          <w:tcPr>
            <w:tcW w:w="320" w:type="pct"/>
            <w:vMerge w:val="continue"/>
            <w:vAlign w:val="center"/>
          </w:tcPr>
          <w:p w14:paraId="2FAB2EE3">
            <w:pPr>
              <w:overflowPunct w:val="0"/>
              <w:topLinePunct/>
              <w:spacing w:line="240" w:lineRule="auto"/>
              <w:ind w:firstLine="0" w:firstLineChars="0"/>
              <w:jc w:val="center"/>
              <w:rPr>
                <w:rFonts w:hint="default" w:ascii="Times New Roman" w:hAnsi="Times New Roman" w:cs="Times New Roman"/>
                <w:color w:val="auto"/>
                <w:sz w:val="21"/>
                <w:szCs w:val="21"/>
              </w:rPr>
            </w:pPr>
          </w:p>
        </w:tc>
        <w:tc>
          <w:tcPr>
            <w:tcW w:w="295" w:type="pct"/>
            <w:vAlign w:val="center"/>
          </w:tcPr>
          <w:p w14:paraId="1B24150D">
            <w:pPr>
              <w:pStyle w:val="282"/>
              <w:overflowPunct w:val="0"/>
              <w:topLinePunct/>
              <w:spacing w:line="240" w:lineRule="auto"/>
              <w:ind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温室气体排放管控</w:t>
            </w:r>
          </w:p>
        </w:tc>
        <w:tc>
          <w:tcPr>
            <w:tcW w:w="2474" w:type="pct"/>
            <w:vAlign w:val="center"/>
          </w:tcPr>
          <w:p w14:paraId="64A778F5">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按照碳达峰、碳中和相关政策和国家减污降碳协同创新试点、国家碳达峰试点要求，以能源、交通、产业等领域为重点，统筹抓好碳排放控制管理和生态环境保护工作，推动实现减污降碳协同共治。督促规划区企业采用先进的生产工艺，提高能源综合利用效率，从源头减少和控制温室气体排放，促进产业绿色低碳循环发展。</w:t>
            </w:r>
          </w:p>
        </w:tc>
        <w:tc>
          <w:tcPr>
            <w:tcW w:w="1348" w:type="pct"/>
            <w:vAlign w:val="center"/>
          </w:tcPr>
          <w:p w14:paraId="2207323C">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本评价要求建设单位在项目建成后积极配合碳减排政策进行减排。</w:t>
            </w:r>
          </w:p>
        </w:tc>
        <w:tc>
          <w:tcPr>
            <w:tcW w:w="262" w:type="pct"/>
            <w:vAlign w:val="center"/>
          </w:tcPr>
          <w:p w14:paraId="50ABC5D2">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450CD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297" w:type="pct"/>
            <w:vAlign w:val="center"/>
          </w:tcPr>
          <w:p w14:paraId="6E802066">
            <w:pPr>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w:t>
            </w:r>
          </w:p>
        </w:tc>
        <w:tc>
          <w:tcPr>
            <w:tcW w:w="320" w:type="pct"/>
            <w:vMerge w:val="continue"/>
            <w:vAlign w:val="center"/>
          </w:tcPr>
          <w:p w14:paraId="6757F854">
            <w:pPr>
              <w:overflowPunct w:val="0"/>
              <w:topLinePunct/>
              <w:spacing w:line="240" w:lineRule="auto"/>
              <w:ind w:firstLine="0" w:firstLineChars="0"/>
              <w:jc w:val="center"/>
              <w:rPr>
                <w:rFonts w:hint="default" w:ascii="Times New Roman" w:hAnsi="Times New Roman" w:cs="Times New Roman"/>
                <w:color w:val="auto"/>
                <w:sz w:val="21"/>
                <w:szCs w:val="21"/>
              </w:rPr>
            </w:pPr>
          </w:p>
        </w:tc>
        <w:tc>
          <w:tcPr>
            <w:tcW w:w="295" w:type="pct"/>
            <w:vAlign w:val="center"/>
          </w:tcPr>
          <w:p w14:paraId="2EFACBBB">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环境风险防控</w:t>
            </w:r>
          </w:p>
        </w:tc>
        <w:tc>
          <w:tcPr>
            <w:tcW w:w="2474" w:type="pct"/>
            <w:vAlign w:val="center"/>
          </w:tcPr>
          <w:p w14:paraId="549FF179">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规划区应健全环境风险防范体系，按要求修订突发环境事件风险评估和应急预案，并定期开展突发性环境事件应急演练，以提升环境风险防范和事故应急处置能力。加强对企业环境风险源的监督管理，相关企业应严格落实各项环境风险防范措施，防范突发性环境风险事故发生，保障区域环境安全。西彭组团南侧临近长江区域开发建设时应同步在紧邻长江一侧雨水排放口设置雨污切换阀，并配套建设园区级事故池，确保事故废水得到有效收集、处理；西彭组团小冲沟以西尚未开发建设的区域，应禁止引入水环境风险较大或重大的项目。沿江1公里范围内规划仓储用地禁止新引入从事危险化学品储存、运输的仓储物流项目。铜罐驿组团应尽快完成金竹沟闸坝的建设，金竹沟闸坝未建成前，应强化现有重大环境风险源企业的日常环境风险监管，储备足够应急物资，定期开展应急演练，确保事故废水得到有效收集、处理。</w:t>
            </w:r>
          </w:p>
        </w:tc>
        <w:tc>
          <w:tcPr>
            <w:tcW w:w="1348" w:type="pct"/>
            <w:vAlign w:val="center"/>
          </w:tcPr>
          <w:p w14:paraId="39E5CF97">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本项目位于陶家组团，在项目建成后按要求加强环境风险防范措施，及时编制突发环境事件风险评估和应急预案，并定期开展突发性环境事件应急演练，以提升环境风险防范和事故应急处置能力。</w:t>
            </w:r>
          </w:p>
        </w:tc>
        <w:tc>
          <w:tcPr>
            <w:tcW w:w="262" w:type="pct"/>
            <w:vAlign w:val="center"/>
          </w:tcPr>
          <w:p w14:paraId="55B4EFFE">
            <w:pPr>
              <w:pStyle w:val="282"/>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0F5AA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297" w:type="pct"/>
            <w:vAlign w:val="center"/>
          </w:tcPr>
          <w:p w14:paraId="4F72B8A7">
            <w:pPr>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320" w:type="pct"/>
            <w:vAlign w:val="center"/>
          </w:tcPr>
          <w:p w14:paraId="33259E81">
            <w:pPr>
              <w:overflowPunct w:val="0"/>
              <w:topLinePunct/>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规范环境管理</w:t>
            </w:r>
          </w:p>
        </w:tc>
        <w:tc>
          <w:tcPr>
            <w:tcW w:w="2770" w:type="pct"/>
            <w:gridSpan w:val="2"/>
            <w:vAlign w:val="center"/>
          </w:tcPr>
          <w:p w14:paraId="6190C1C5">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加强日常环境监管，落实建设项目环境影响评价和固定污染源排污许可制度。规划区应建立环境空气、地表水、地下水、土壤等环境要素的监控体系，落实环境跟踪监测计划，适时开展环境影响跟踪评价。规划在实施过程中，若规划范围、规划期限、规模及结构、布局等方面发生重大调整或修订的，应重新或补充进行规划环境影响评价。</w:t>
            </w:r>
          </w:p>
        </w:tc>
        <w:tc>
          <w:tcPr>
            <w:tcW w:w="1348" w:type="pct"/>
            <w:vAlign w:val="center"/>
          </w:tcPr>
          <w:p w14:paraId="1FDB1A69">
            <w:pPr>
              <w:pStyle w:val="282"/>
              <w:overflowPunct w:val="0"/>
              <w:topLinePunct/>
              <w:spacing w:line="240" w:lineRule="auto"/>
              <w:ind w:firstLine="0" w:firstLineChars="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本项目运营后，严格落实各项环境管理制度。</w:t>
            </w:r>
          </w:p>
        </w:tc>
        <w:tc>
          <w:tcPr>
            <w:tcW w:w="262" w:type="pct"/>
            <w:vAlign w:val="center"/>
          </w:tcPr>
          <w:p w14:paraId="34837AD1">
            <w:pPr>
              <w:pStyle w:val="282"/>
              <w:overflowPunct w:val="0"/>
              <w:topLinePunct/>
              <w:spacing w:line="240" w:lineRule="auto"/>
              <w:ind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符合</w:t>
            </w:r>
          </w:p>
        </w:tc>
      </w:tr>
    </w:tbl>
    <w:p w14:paraId="4AD83393">
      <w:pPr>
        <w:ind w:firstLine="480"/>
        <w:rPr>
          <w:rFonts w:hint="default" w:ascii="Times New Roman" w:hAnsi="Times New Roman" w:cs="Times New Roman"/>
          <w:color w:val="auto"/>
        </w:rPr>
        <w:sectPr>
          <w:headerReference r:id="rId11" w:type="default"/>
          <w:pgSz w:w="11907" w:h="16840"/>
          <w:pgMar w:top="1440" w:right="1797" w:bottom="1440" w:left="1797" w:header="851" w:footer="992" w:gutter="0"/>
          <w:cols w:space="720" w:num="1"/>
          <w:docGrid w:type="lines" w:linePitch="312" w:charSpace="0"/>
        </w:sectPr>
      </w:pPr>
      <w:r>
        <w:rPr>
          <w:rFonts w:hint="default" w:ascii="Times New Roman" w:hAnsi="Times New Roman" w:cs="Times New Roman"/>
          <w:color w:val="auto"/>
        </w:rPr>
        <w:t>根据上表分析，本项目不属于园区禁止、限制引进的项目，符合园区规划要求。</w:t>
      </w:r>
    </w:p>
    <w:p w14:paraId="0A45C155">
      <w:pPr>
        <w:pStyle w:val="3"/>
        <w:rPr>
          <w:rFonts w:hint="default" w:ascii="Times New Roman" w:hAnsi="Times New Roman" w:cs="Times New Roman"/>
          <w:color w:val="auto"/>
        </w:rPr>
      </w:pPr>
      <w:r>
        <w:rPr>
          <w:rFonts w:hint="default" w:ascii="Times New Roman" w:hAnsi="Times New Roman" w:cs="Times New Roman"/>
          <w:color w:val="auto"/>
        </w:rPr>
        <w:t>1.2 其他符合性分析</w:t>
      </w:r>
    </w:p>
    <w:p w14:paraId="16D05A11">
      <w:pPr>
        <w:pStyle w:val="258"/>
        <w:rPr>
          <w:rFonts w:hint="default" w:ascii="Times New Roman" w:hAnsi="Times New Roman" w:cs="Times New Roman"/>
          <w:color w:val="auto"/>
        </w:rPr>
      </w:pPr>
      <w:r>
        <w:rPr>
          <w:rFonts w:hint="default" w:ascii="Times New Roman" w:hAnsi="Times New Roman" w:cs="Times New Roman"/>
          <w:color w:val="auto"/>
        </w:rPr>
        <w:t xml:space="preserve">1.2.1 </w:t>
      </w:r>
      <w:r>
        <w:rPr>
          <w:rFonts w:hint="default" w:ascii="Times New Roman" w:hAnsi="Times New Roman" w:eastAsia="宋体" w:cs="Times New Roman"/>
          <w:color w:val="auto"/>
        </w:rPr>
        <w:t>与生态环境分区管控符合性分析</w:t>
      </w:r>
    </w:p>
    <w:p w14:paraId="31263B12">
      <w:pPr>
        <w:ind w:firstLine="480"/>
        <w:rPr>
          <w:rFonts w:hint="default" w:ascii="Times New Roman" w:hAnsi="Times New Roman" w:cs="Times New Roman"/>
          <w:color w:val="auto"/>
        </w:rPr>
      </w:pPr>
      <w:r>
        <w:rPr>
          <w:rFonts w:hint="default" w:ascii="Times New Roman" w:hAnsi="Times New Roman" w:cs="Times New Roman"/>
          <w:color w:val="auto"/>
        </w:rPr>
        <w:t>（1）建设项目与环境管控单元位置关系</w:t>
      </w:r>
    </w:p>
    <w:p w14:paraId="384DADC1">
      <w:pPr>
        <w:ind w:firstLine="480"/>
        <w:rPr>
          <w:rFonts w:hint="default" w:ascii="Times New Roman" w:hAnsi="Times New Roman" w:cs="Times New Roman"/>
          <w:color w:val="auto"/>
        </w:rPr>
      </w:pPr>
      <w:r>
        <w:rPr>
          <w:rFonts w:hint="default" w:ascii="Times New Roman" w:hAnsi="Times New Roman" w:cs="Times New Roman"/>
          <w:color w:val="auto"/>
        </w:rPr>
        <w:t>根据《重庆市生态环境局关于印发</w:t>
      </w:r>
      <w:r>
        <w:rPr>
          <w:rFonts w:hint="default" w:ascii="Times New Roman" w:hAnsi="Times New Roman" w:cs="Times New Roman"/>
          <w:color w:val="auto"/>
          <w:szCs w:val="24"/>
        </w:rPr>
        <w:t>〈</w:t>
      </w:r>
      <w:r>
        <w:rPr>
          <w:rFonts w:hint="default" w:ascii="Times New Roman" w:hAnsi="Times New Roman" w:cs="Times New Roman"/>
          <w:color w:val="auto"/>
        </w:rPr>
        <w:t>重庆市“三线一单”生态环境分区管控调整方案（2023年）</w:t>
      </w:r>
      <w:r>
        <w:rPr>
          <w:rFonts w:hint="default" w:ascii="Times New Roman" w:hAnsi="Times New Roman" w:cs="Times New Roman"/>
          <w:color w:val="auto"/>
          <w:szCs w:val="24"/>
        </w:rPr>
        <w:t>〉</w:t>
      </w:r>
      <w:r>
        <w:rPr>
          <w:rFonts w:hint="default" w:ascii="Times New Roman" w:hAnsi="Times New Roman" w:cs="Times New Roman"/>
          <w:color w:val="auto"/>
        </w:rPr>
        <w:t>的通知》（渝环规〔2024〕2号）文件规定，调整优先保护、重点管控、一般管控三类环境管控单元。通过在重庆市生态环境分区管控智检服务平台进行分析，本项目所在区域位于ZH50010720002九龙坡区工业城镇重点管控单元-九龙西城片区（重点管控单元2）。</w:t>
      </w:r>
    </w:p>
    <w:p w14:paraId="73900842">
      <w:pPr>
        <w:spacing w:line="240" w:lineRule="auto"/>
        <w:ind w:firstLine="0" w:firstLineChars="0"/>
        <w:rPr>
          <w:rFonts w:hint="default" w:ascii="Times New Roman" w:hAnsi="Times New Roman" w:cs="Times New Roman"/>
          <w:color w:val="auto"/>
        </w:rPr>
      </w:pPr>
      <w:r>
        <w:rPr>
          <w:rFonts w:hint="default" w:ascii="Times New Roman" w:hAnsi="Times New Roman" w:cs="Times New Roman"/>
          <w:color w:val="auto"/>
        </w:rPr>
        <mc:AlternateContent>
          <mc:Choice Requires="wps">
            <w:drawing>
              <wp:anchor distT="0" distB="0" distL="114300" distR="114300" simplePos="0" relativeHeight="251660288" behindDoc="0" locked="0" layoutInCell="1" allowOverlap="1">
                <wp:simplePos x="0" y="0"/>
                <wp:positionH relativeFrom="column">
                  <wp:posOffset>2265045</wp:posOffset>
                </wp:positionH>
                <wp:positionV relativeFrom="paragraph">
                  <wp:posOffset>1473835</wp:posOffset>
                </wp:positionV>
                <wp:extent cx="775970" cy="302895"/>
                <wp:effectExtent l="243840" t="554355" r="8890" b="0"/>
                <wp:wrapNone/>
                <wp:docPr id="29" name="矩形标注 29"/>
                <wp:cNvGraphicFramePr/>
                <a:graphic xmlns:a="http://schemas.openxmlformats.org/drawingml/2006/main">
                  <a:graphicData uri="http://schemas.microsoft.com/office/word/2010/wordprocessingShape">
                    <wps:wsp>
                      <wps:cNvSpPr/>
                      <wps:spPr>
                        <a:xfrm>
                          <a:off x="3658870" y="4651375"/>
                          <a:ext cx="775970" cy="302895"/>
                        </a:xfrm>
                        <a:prstGeom prst="wedgeRectCallout">
                          <a:avLst>
                            <a:gd name="adj1" fmla="val -81423"/>
                            <a:gd name="adj2" fmla="val -233018"/>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D26302">
                            <w:pPr>
                              <w:spacing w:line="240" w:lineRule="auto"/>
                              <w:ind w:firstLine="0" w:firstLineChars="0"/>
                              <w:jc w:val="center"/>
                            </w:pPr>
                            <w:r>
                              <w:rPr>
                                <w:rFonts w:hint="eastAsia"/>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78.35pt;margin-top:116.05pt;height:23.85pt;width:61.1pt;z-index:251660288;v-text-anchor:middle;mso-width-relative:page;mso-height-relative:page;" fillcolor="#4F81BD [3204]" filled="t" stroked="f" coordsize="21600,21600" o:gfxdata="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PWwbutsAAAALAQAADwAAAAAAAAABACAAAAAiAAAAZHJz&#10;L2Rvd25yZXYueG1sUEsBAhQAFAAAAAgAh07iQPIw5+esAgAAMgUAAA4AAAAAAAAAAQAgAAAAKgEA&#10;AGRycy9lMm9Eb2MueG1sUEsFBgAAAAAGAAYAWQEAAEgGAAAAAA==&#10;" adj="-6787,-39532">
                <v:fill on="t" focussize="0,0"/>
                <v:stroke on="f" weight="2pt"/>
                <v:imagedata o:title=""/>
                <o:lock v:ext="edit" aspectratio="f"/>
                <v:textbox>
                  <w:txbxContent>
                    <w:p w14:paraId="55D26302">
                      <w:pPr>
                        <w:spacing w:line="240" w:lineRule="auto"/>
                        <w:ind w:firstLine="0" w:firstLineChars="0"/>
                        <w:jc w:val="center"/>
                      </w:pPr>
                      <w:r>
                        <w:rPr>
                          <w:rFonts w:hint="eastAsia"/>
                        </w:rPr>
                        <w:t>本项目</w:t>
                      </w:r>
                    </w:p>
                  </w:txbxContent>
                </v:textbox>
              </v:shape>
            </w:pict>
          </mc:Fallback>
        </mc:AlternateContent>
      </w:r>
      <w:r>
        <w:rPr>
          <w:rFonts w:hint="default" w:ascii="Times New Roman" w:hAnsi="Times New Roman" w:cs="Times New Roman"/>
          <w:color w:val="auto"/>
        </w:rPr>
        <w:drawing>
          <wp:inline distT="0" distB="0" distL="114300" distR="114300">
            <wp:extent cx="5278120" cy="3868420"/>
            <wp:effectExtent l="0" t="0" r="17780" b="17780"/>
            <wp:docPr id="19" name="图片 19" descr="9fc27da1-b0b5-455d-8c3f-e7f3598c5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9fc27da1-b0b5-455d-8c3f-e7f3598c5ad2"/>
                    <pic:cNvPicPr>
                      <a:picLocks noChangeAspect="1"/>
                    </pic:cNvPicPr>
                  </pic:nvPicPr>
                  <pic:blipFill>
                    <a:blip r:embed="rId35"/>
                    <a:stretch>
                      <a:fillRect/>
                    </a:stretch>
                  </pic:blipFill>
                  <pic:spPr>
                    <a:xfrm>
                      <a:off x="0" y="0"/>
                      <a:ext cx="5278120" cy="3868420"/>
                    </a:xfrm>
                    <a:prstGeom prst="rect">
                      <a:avLst/>
                    </a:prstGeom>
                  </pic:spPr>
                </pic:pic>
              </a:graphicData>
            </a:graphic>
          </wp:inline>
        </w:drawing>
      </w:r>
    </w:p>
    <w:p w14:paraId="388C78F5">
      <w:pPr>
        <w:ind w:firstLine="480"/>
        <w:rPr>
          <w:rFonts w:hint="default" w:ascii="Times New Roman" w:hAnsi="Times New Roman" w:cs="Times New Roman"/>
          <w:color w:val="auto"/>
        </w:rPr>
      </w:pPr>
      <w:r>
        <w:rPr>
          <w:rFonts w:hint="default" w:ascii="Times New Roman" w:hAnsi="Times New Roman" w:cs="Times New Roman"/>
          <w:color w:val="auto"/>
        </w:rPr>
        <w:t>评价区域不涉及生态保护红线等优先保护单元和一般生态空间。本项目与生态环境分区管控的符合性分析见表1.2.1-1。</w:t>
      </w:r>
    </w:p>
    <w:p w14:paraId="29627F18">
      <w:pPr>
        <w:ind w:firstLine="480"/>
        <w:rPr>
          <w:rStyle w:val="94"/>
          <w:rFonts w:hint="default" w:ascii="Times New Roman" w:hAnsi="Times New Roman" w:cs="Times New Roman"/>
          <w:color w:val="auto"/>
        </w:rPr>
      </w:pPr>
      <w:r>
        <w:rPr>
          <w:rFonts w:hint="default" w:ascii="Times New Roman" w:hAnsi="Times New Roman" w:cs="Times New Roman"/>
          <w:color w:val="auto"/>
        </w:rPr>
        <w:t>（2）</w:t>
      </w:r>
      <w:r>
        <w:rPr>
          <w:rStyle w:val="94"/>
          <w:rFonts w:hint="default" w:ascii="Times New Roman" w:hAnsi="Times New Roman" w:cs="Times New Roman"/>
          <w:color w:val="auto"/>
        </w:rPr>
        <w:t>符合性分析</w:t>
      </w:r>
    </w:p>
    <w:p w14:paraId="73FF0247">
      <w:pPr>
        <w:ind w:firstLine="480"/>
        <w:rPr>
          <w:rFonts w:hint="default" w:ascii="Times New Roman" w:hAnsi="Times New Roman" w:cs="Times New Roman"/>
          <w:color w:val="auto"/>
        </w:rPr>
      </w:pPr>
      <w:r>
        <w:rPr>
          <w:rFonts w:hint="default" w:ascii="Times New Roman" w:hAnsi="Times New Roman" w:cs="Times New Roman"/>
          <w:color w:val="auto"/>
        </w:rPr>
        <w:t>本项目与生态环境分区管控的符合性分析见表1.2.1-1。</w:t>
      </w:r>
    </w:p>
    <w:p w14:paraId="7D533F57">
      <w:pPr>
        <w:pStyle w:val="93"/>
        <w:rPr>
          <w:rFonts w:hint="default" w:ascii="Times New Roman" w:hAnsi="Times New Roman" w:cs="Times New Roman"/>
          <w:color w:val="auto"/>
        </w:rPr>
      </w:pPr>
      <w:r>
        <w:rPr>
          <w:rFonts w:hint="default" w:ascii="Times New Roman" w:hAnsi="Times New Roman" w:cs="Times New Roman"/>
          <w:color w:val="auto"/>
        </w:rPr>
        <w:t>表1.2.1-1  建设项目与生态环境分区管控的符合性分析表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821"/>
        <w:gridCol w:w="878"/>
        <w:gridCol w:w="3555"/>
        <w:gridCol w:w="1288"/>
        <w:gridCol w:w="838"/>
      </w:tblGrid>
      <w:tr w14:paraId="17C6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8" w:type="dxa"/>
            <w:gridSpan w:val="3"/>
            <w:vAlign w:val="center"/>
          </w:tcPr>
          <w:p w14:paraId="01598514">
            <w:pPr>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环境管控单元编码</w:t>
            </w:r>
          </w:p>
        </w:tc>
        <w:tc>
          <w:tcPr>
            <w:tcW w:w="3555" w:type="dxa"/>
            <w:vAlign w:val="center"/>
          </w:tcPr>
          <w:p w14:paraId="30FD9286">
            <w:pPr>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环境管控单元名称</w:t>
            </w:r>
          </w:p>
        </w:tc>
        <w:tc>
          <w:tcPr>
            <w:tcW w:w="2126" w:type="dxa"/>
            <w:gridSpan w:val="2"/>
            <w:vAlign w:val="center"/>
          </w:tcPr>
          <w:p w14:paraId="1A97105F">
            <w:pPr>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环境管控单元类型</w:t>
            </w:r>
          </w:p>
        </w:tc>
      </w:tr>
      <w:tr w14:paraId="488F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8" w:type="dxa"/>
            <w:gridSpan w:val="3"/>
            <w:vAlign w:val="center"/>
          </w:tcPr>
          <w:p w14:paraId="3CF4E4FE">
            <w:pPr>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ZH50010720002</w:t>
            </w:r>
          </w:p>
        </w:tc>
        <w:tc>
          <w:tcPr>
            <w:tcW w:w="3555" w:type="dxa"/>
            <w:vAlign w:val="center"/>
          </w:tcPr>
          <w:p w14:paraId="6B1FCA73">
            <w:pPr>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九龙坡区工业城镇重点管控单元-九龙西城片区</w:t>
            </w:r>
          </w:p>
        </w:tc>
        <w:tc>
          <w:tcPr>
            <w:tcW w:w="2126" w:type="dxa"/>
            <w:gridSpan w:val="2"/>
            <w:vAlign w:val="center"/>
          </w:tcPr>
          <w:p w14:paraId="42C36C7D">
            <w:pPr>
              <w:snapToGrid w:val="0"/>
              <w:spacing w:line="240" w:lineRule="auto"/>
              <w:ind w:firstLine="0" w:firstLineChars="0"/>
              <w:jc w:val="center"/>
              <w:rPr>
                <w:rFonts w:hint="default" w:ascii="Times New Roman" w:hAnsi="Times New Roman" w:cs="Times New Roman"/>
                <w:bCs/>
                <w:color w:val="auto"/>
                <w:sz w:val="21"/>
                <w:szCs w:val="21"/>
              </w:rPr>
            </w:pPr>
            <w:r>
              <w:rPr>
                <w:rStyle w:val="94"/>
                <w:rFonts w:hint="default" w:ascii="Times New Roman" w:hAnsi="Times New Roman" w:cs="Times New Roman"/>
                <w:color w:val="auto"/>
                <w:sz w:val="21"/>
                <w:szCs w:val="21"/>
              </w:rPr>
              <w:t>重点管控单元2</w:t>
            </w:r>
          </w:p>
        </w:tc>
      </w:tr>
      <w:tr w14:paraId="6105A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4936C73C">
            <w:pPr>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管控要求层级</w:t>
            </w:r>
          </w:p>
        </w:tc>
        <w:tc>
          <w:tcPr>
            <w:tcW w:w="821" w:type="dxa"/>
            <w:vAlign w:val="center"/>
          </w:tcPr>
          <w:p w14:paraId="66E58261">
            <w:pPr>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管控类型</w:t>
            </w:r>
          </w:p>
        </w:tc>
        <w:tc>
          <w:tcPr>
            <w:tcW w:w="4433" w:type="dxa"/>
            <w:gridSpan w:val="2"/>
            <w:vAlign w:val="center"/>
          </w:tcPr>
          <w:p w14:paraId="3BDF7F76">
            <w:pPr>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管控要求</w:t>
            </w:r>
          </w:p>
        </w:tc>
        <w:tc>
          <w:tcPr>
            <w:tcW w:w="1288" w:type="dxa"/>
            <w:vAlign w:val="center"/>
          </w:tcPr>
          <w:p w14:paraId="23BBDB58">
            <w:pPr>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建设项目相关情况</w:t>
            </w:r>
          </w:p>
        </w:tc>
        <w:tc>
          <w:tcPr>
            <w:tcW w:w="838" w:type="dxa"/>
            <w:vAlign w:val="center"/>
          </w:tcPr>
          <w:p w14:paraId="34A543AC">
            <w:pPr>
              <w:snapToGrid w:val="0"/>
              <w:spacing w:line="240" w:lineRule="auto"/>
              <w:ind w:firstLine="0" w:firstLineChars="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符合性分析结论</w:t>
            </w:r>
          </w:p>
        </w:tc>
      </w:tr>
      <w:tr w14:paraId="14B0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atLeast"/>
          <w:jc w:val="center"/>
        </w:trPr>
        <w:tc>
          <w:tcPr>
            <w:tcW w:w="959" w:type="dxa"/>
            <w:vMerge w:val="restart"/>
            <w:vAlign w:val="center"/>
          </w:tcPr>
          <w:p w14:paraId="057FA4DB">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全市总体管控要求</w:t>
            </w:r>
          </w:p>
        </w:tc>
        <w:tc>
          <w:tcPr>
            <w:tcW w:w="821" w:type="dxa"/>
            <w:vMerge w:val="restart"/>
            <w:vAlign w:val="center"/>
          </w:tcPr>
          <w:p w14:paraId="4742740C">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空间布局约束</w:t>
            </w:r>
          </w:p>
        </w:tc>
        <w:tc>
          <w:tcPr>
            <w:tcW w:w="4433" w:type="dxa"/>
            <w:gridSpan w:val="2"/>
            <w:vAlign w:val="center"/>
          </w:tcPr>
          <w:p w14:paraId="3642E7F3">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第一条  深入贯彻习近平生态文明思想，筑牢长江上游重要生态屏障，推动优势区域重点发展、生态功能区重点保护、</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"http://guihuayun.com/baike/%E5%9F%8E%E4%B9%A1%E8%9E%8D%E5%90%88%E5%8F%91%E5%B1%95" \t "http://www.gui-hua.com/post/_blank" </w:instrText>
            </w:r>
            <w:r>
              <w:rPr>
                <w:rFonts w:hint="default" w:ascii="Times New Roman" w:hAnsi="Times New Roman" w:cs="Times New Roman"/>
                <w:color w:val="auto"/>
              </w:rPr>
              <w:fldChar w:fldCharType="separate"/>
            </w:r>
            <w:r>
              <w:rPr>
                <w:rFonts w:hint="default" w:ascii="Times New Roman" w:hAnsi="Times New Roman" w:cs="Times New Roman"/>
                <w:color w:val="auto"/>
                <w:kern w:val="2"/>
                <w:sz w:val="21"/>
                <w:szCs w:val="21"/>
              </w:rPr>
              <w:t>城乡融合发展</w:t>
            </w:r>
            <w:r>
              <w:rPr>
                <w:rFonts w:hint="default" w:ascii="Times New Roman" w:hAnsi="Times New Roman" w:cs="Times New Roman"/>
                <w:color w:val="auto"/>
                <w:kern w:val="2"/>
                <w:sz w:val="21"/>
                <w:szCs w:val="21"/>
              </w:rPr>
              <w:fldChar w:fldCharType="end"/>
            </w:r>
            <w:r>
              <w:rPr>
                <w:rFonts w:hint="default" w:ascii="Times New Roman" w:hAnsi="Times New Roman" w:cs="Times New Roman"/>
                <w:color w:val="auto"/>
                <w:kern w:val="2"/>
                <w:sz w:val="21"/>
                <w:szCs w:val="21"/>
              </w:rPr>
              <w:t>，优化重点区域、流域、产业的空间布局。</w:t>
            </w:r>
          </w:p>
        </w:tc>
        <w:tc>
          <w:tcPr>
            <w:tcW w:w="1288" w:type="dxa"/>
            <w:vAlign w:val="center"/>
          </w:tcPr>
          <w:p w14:paraId="0B3954D4">
            <w:pPr>
              <w:pStyle w:val="195"/>
              <w:adjustRightInd w:val="0"/>
              <w:snapToGrid w:val="0"/>
              <w:spacing w:before="0" w:after="0"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本项目为改性粒料生产，符合重点区域产业空间布局准入要求</w:t>
            </w:r>
          </w:p>
        </w:tc>
        <w:tc>
          <w:tcPr>
            <w:tcW w:w="838" w:type="dxa"/>
            <w:vMerge w:val="restart"/>
            <w:vAlign w:val="center"/>
          </w:tcPr>
          <w:p w14:paraId="126FB67D">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1CFB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atLeast"/>
          <w:jc w:val="center"/>
        </w:trPr>
        <w:tc>
          <w:tcPr>
            <w:tcW w:w="959" w:type="dxa"/>
            <w:vMerge w:val="continue"/>
            <w:vAlign w:val="center"/>
          </w:tcPr>
          <w:p w14:paraId="4B2CE25D">
            <w:pPr>
              <w:snapToGrid w:val="0"/>
              <w:spacing w:line="240" w:lineRule="auto"/>
              <w:ind w:firstLine="480"/>
              <w:rPr>
                <w:rFonts w:hint="default" w:ascii="Times New Roman" w:hAnsi="Times New Roman" w:cs="Times New Roman"/>
                <w:color w:val="auto"/>
              </w:rPr>
            </w:pPr>
          </w:p>
        </w:tc>
        <w:tc>
          <w:tcPr>
            <w:tcW w:w="821" w:type="dxa"/>
            <w:vMerge w:val="continue"/>
            <w:vAlign w:val="center"/>
          </w:tcPr>
          <w:p w14:paraId="0BDF99E6">
            <w:pPr>
              <w:snapToGrid w:val="0"/>
              <w:spacing w:line="240" w:lineRule="auto"/>
              <w:ind w:firstLine="480"/>
              <w:rPr>
                <w:rFonts w:hint="default" w:ascii="Times New Roman" w:hAnsi="Times New Roman" w:cs="Times New Roman"/>
                <w:color w:val="auto"/>
              </w:rPr>
            </w:pPr>
          </w:p>
        </w:tc>
        <w:tc>
          <w:tcPr>
            <w:tcW w:w="4433" w:type="dxa"/>
            <w:gridSpan w:val="2"/>
            <w:vAlign w:val="center"/>
          </w:tcPr>
          <w:p w14:paraId="230DCB73">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第二条  禁止在长江干支流、重要湖泊岸线一公里范围内新建、扩建化工园区和化工项目。禁止在长江干流岸线三公里范围内和重要支流岸线一公里范围内新建、改建、扩建尾矿库、冶炼渣库、磷石膏库，以提升安全、生态环境保护水平为目的的改建除外。禁止在长江、嘉陵江、乌江岸线一公里范围内布局新建重化工、纸浆制造、印染等存在环境风险的项目。</w:t>
            </w:r>
          </w:p>
        </w:tc>
        <w:tc>
          <w:tcPr>
            <w:tcW w:w="1288" w:type="dxa"/>
            <w:vAlign w:val="center"/>
          </w:tcPr>
          <w:p w14:paraId="576F7CA0">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本项目为改性粒料生产，非化工项目、尾矿库、冶炼渣库、磷石膏库、重化工、纸浆制造、印染等存在环境风险的项目。</w:t>
            </w:r>
          </w:p>
        </w:tc>
        <w:tc>
          <w:tcPr>
            <w:tcW w:w="838" w:type="dxa"/>
            <w:vMerge w:val="continue"/>
            <w:vAlign w:val="center"/>
          </w:tcPr>
          <w:p w14:paraId="012445D7">
            <w:pPr>
              <w:snapToGrid w:val="0"/>
              <w:spacing w:line="240" w:lineRule="auto"/>
              <w:ind w:firstLine="420"/>
              <w:rPr>
                <w:rFonts w:hint="default" w:ascii="Times New Roman" w:hAnsi="Times New Roman" w:cs="Times New Roman"/>
                <w:color w:val="auto"/>
                <w:sz w:val="21"/>
                <w:szCs w:val="21"/>
              </w:rPr>
            </w:pPr>
          </w:p>
        </w:tc>
      </w:tr>
      <w:tr w14:paraId="6C6CC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atLeast"/>
          <w:jc w:val="center"/>
        </w:trPr>
        <w:tc>
          <w:tcPr>
            <w:tcW w:w="959" w:type="dxa"/>
            <w:vMerge w:val="continue"/>
            <w:vAlign w:val="center"/>
          </w:tcPr>
          <w:p w14:paraId="22EB6EB9">
            <w:pPr>
              <w:snapToGrid w:val="0"/>
              <w:spacing w:line="240" w:lineRule="auto"/>
              <w:ind w:firstLine="420"/>
              <w:rPr>
                <w:rFonts w:hint="default" w:ascii="Times New Roman" w:hAnsi="Times New Roman" w:cs="Times New Roman"/>
                <w:color w:val="auto"/>
                <w:sz w:val="21"/>
                <w:szCs w:val="21"/>
              </w:rPr>
            </w:pPr>
          </w:p>
        </w:tc>
        <w:tc>
          <w:tcPr>
            <w:tcW w:w="821" w:type="dxa"/>
            <w:vMerge w:val="continue"/>
            <w:vAlign w:val="center"/>
          </w:tcPr>
          <w:p w14:paraId="15E449E4">
            <w:pPr>
              <w:snapToGrid w:val="0"/>
              <w:spacing w:line="240" w:lineRule="auto"/>
              <w:ind w:firstLine="420"/>
              <w:rPr>
                <w:rFonts w:hint="default" w:ascii="Times New Roman" w:hAnsi="Times New Roman" w:cs="Times New Roman"/>
                <w:color w:val="auto"/>
                <w:sz w:val="21"/>
                <w:szCs w:val="21"/>
              </w:rPr>
            </w:pPr>
          </w:p>
        </w:tc>
        <w:tc>
          <w:tcPr>
            <w:tcW w:w="4433" w:type="dxa"/>
            <w:gridSpan w:val="2"/>
            <w:vAlign w:val="center"/>
          </w:tcPr>
          <w:p w14:paraId="16A64827">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第三条  禁止在合规园区外新建、扩建钢铁、石化、化工、焦化、建材、有色、制浆造纸等高污染项目（高污染项目严格按照《环境保护综合名录》“高污染”产品名录执行）。禁止新建、扩建不符合国家石化、现代煤化工等产业布局规划的项目。新建、改建、扩建“两高”项目须符合生态环境保护法律法规和相关法定规划，满足重点污染物排放总量控制、碳排放达峰目标、生态环境准入清单、相关规划环评和相应行业建设项目环境准入条件、环评文件审批原则要求。</w:t>
            </w:r>
          </w:p>
        </w:tc>
        <w:tc>
          <w:tcPr>
            <w:tcW w:w="1288" w:type="dxa"/>
            <w:vAlign w:val="center"/>
          </w:tcPr>
          <w:p w14:paraId="5F6E699D">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本项目为改性粒料生产，非钢铁、石化、化工、焦化、建材、有色、制浆造纸、煤化工等项目。</w:t>
            </w:r>
          </w:p>
        </w:tc>
        <w:tc>
          <w:tcPr>
            <w:tcW w:w="838" w:type="dxa"/>
            <w:vMerge w:val="continue"/>
            <w:vAlign w:val="center"/>
          </w:tcPr>
          <w:p w14:paraId="541F16F4">
            <w:pPr>
              <w:snapToGrid w:val="0"/>
              <w:spacing w:line="240" w:lineRule="auto"/>
              <w:ind w:firstLine="420"/>
              <w:rPr>
                <w:rFonts w:hint="default" w:ascii="Times New Roman" w:hAnsi="Times New Roman" w:cs="Times New Roman"/>
                <w:color w:val="auto"/>
                <w:sz w:val="21"/>
                <w:szCs w:val="21"/>
              </w:rPr>
            </w:pPr>
          </w:p>
        </w:tc>
      </w:tr>
      <w:tr w14:paraId="28E9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atLeast"/>
          <w:jc w:val="center"/>
        </w:trPr>
        <w:tc>
          <w:tcPr>
            <w:tcW w:w="959" w:type="dxa"/>
            <w:vMerge w:val="continue"/>
            <w:vAlign w:val="center"/>
          </w:tcPr>
          <w:p w14:paraId="4D81D3C2">
            <w:pPr>
              <w:snapToGrid w:val="0"/>
              <w:spacing w:line="240" w:lineRule="auto"/>
              <w:ind w:firstLine="420"/>
              <w:rPr>
                <w:rFonts w:hint="default" w:ascii="Times New Roman" w:hAnsi="Times New Roman" w:cs="Times New Roman"/>
                <w:color w:val="auto"/>
                <w:sz w:val="21"/>
                <w:szCs w:val="21"/>
              </w:rPr>
            </w:pPr>
          </w:p>
        </w:tc>
        <w:tc>
          <w:tcPr>
            <w:tcW w:w="821" w:type="dxa"/>
            <w:vMerge w:val="continue"/>
            <w:vAlign w:val="center"/>
          </w:tcPr>
          <w:p w14:paraId="301356B7">
            <w:pPr>
              <w:snapToGrid w:val="0"/>
              <w:spacing w:line="240" w:lineRule="auto"/>
              <w:ind w:firstLine="420"/>
              <w:rPr>
                <w:rFonts w:hint="default" w:ascii="Times New Roman" w:hAnsi="Times New Roman" w:cs="Times New Roman"/>
                <w:color w:val="auto"/>
                <w:sz w:val="21"/>
                <w:szCs w:val="21"/>
              </w:rPr>
            </w:pPr>
          </w:p>
        </w:tc>
        <w:tc>
          <w:tcPr>
            <w:tcW w:w="4433" w:type="dxa"/>
            <w:gridSpan w:val="2"/>
            <w:vAlign w:val="center"/>
          </w:tcPr>
          <w:p w14:paraId="2F8BE6C2">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第四条  严把项目准入关口，对不符合要求的高耗能、高排放、低水平项目坚决不予准入。除在安全或者产业布局等方面有特殊要求的项目外，新建有污染物排放的工业项目应当进入工业集聚区。新建化工项目应当进入全市统一布局的化工产业集聚区。鼓励现有工业项目、化工项目分别搬入工业集聚区、化工产业集聚区。</w:t>
            </w:r>
          </w:p>
        </w:tc>
        <w:tc>
          <w:tcPr>
            <w:tcW w:w="1288" w:type="dxa"/>
            <w:vAlign w:val="center"/>
          </w:tcPr>
          <w:p w14:paraId="70FCA729">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本项目为改性粒料生产，非高耗能、高排放、低水平项目，位于重庆经济技术开发区。</w:t>
            </w:r>
          </w:p>
        </w:tc>
        <w:tc>
          <w:tcPr>
            <w:tcW w:w="838" w:type="dxa"/>
            <w:vMerge w:val="continue"/>
            <w:vAlign w:val="center"/>
          </w:tcPr>
          <w:p w14:paraId="4253B2C5">
            <w:pPr>
              <w:snapToGrid w:val="0"/>
              <w:spacing w:line="240" w:lineRule="auto"/>
              <w:ind w:firstLine="420"/>
              <w:rPr>
                <w:rFonts w:hint="default" w:ascii="Times New Roman" w:hAnsi="Times New Roman" w:cs="Times New Roman"/>
                <w:color w:val="auto"/>
                <w:sz w:val="21"/>
                <w:szCs w:val="21"/>
              </w:rPr>
            </w:pPr>
          </w:p>
        </w:tc>
      </w:tr>
      <w:tr w14:paraId="3CD9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atLeast"/>
          <w:jc w:val="center"/>
        </w:trPr>
        <w:tc>
          <w:tcPr>
            <w:tcW w:w="959" w:type="dxa"/>
            <w:vMerge w:val="continue"/>
            <w:vAlign w:val="center"/>
          </w:tcPr>
          <w:p w14:paraId="54AB4786">
            <w:pPr>
              <w:snapToGrid w:val="0"/>
              <w:spacing w:line="240" w:lineRule="auto"/>
              <w:ind w:firstLine="420"/>
              <w:rPr>
                <w:rFonts w:hint="default" w:ascii="Times New Roman" w:hAnsi="Times New Roman" w:cs="Times New Roman"/>
                <w:color w:val="auto"/>
                <w:sz w:val="21"/>
                <w:szCs w:val="21"/>
              </w:rPr>
            </w:pPr>
          </w:p>
        </w:tc>
        <w:tc>
          <w:tcPr>
            <w:tcW w:w="821" w:type="dxa"/>
            <w:vMerge w:val="continue"/>
            <w:vAlign w:val="center"/>
          </w:tcPr>
          <w:p w14:paraId="2A5883F1">
            <w:pPr>
              <w:snapToGrid w:val="0"/>
              <w:spacing w:line="240" w:lineRule="auto"/>
              <w:ind w:firstLine="420"/>
              <w:rPr>
                <w:rFonts w:hint="default" w:ascii="Times New Roman" w:hAnsi="Times New Roman" w:cs="Times New Roman"/>
                <w:color w:val="auto"/>
                <w:sz w:val="21"/>
                <w:szCs w:val="21"/>
              </w:rPr>
            </w:pPr>
          </w:p>
        </w:tc>
        <w:tc>
          <w:tcPr>
            <w:tcW w:w="4433" w:type="dxa"/>
            <w:gridSpan w:val="2"/>
            <w:vAlign w:val="center"/>
          </w:tcPr>
          <w:p w14:paraId="7D7210AE">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第五条  新建、扩建有色金属冶炼、电镀、铅蓄电池等企业应布设在依法合规设立并经过规划环评的产业园区。</w:t>
            </w:r>
          </w:p>
        </w:tc>
        <w:tc>
          <w:tcPr>
            <w:tcW w:w="1288" w:type="dxa"/>
            <w:vAlign w:val="center"/>
          </w:tcPr>
          <w:p w14:paraId="19AA4569">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本项目非有色金属冶炼、电镀、铅蓄电池等企业。</w:t>
            </w:r>
          </w:p>
        </w:tc>
        <w:tc>
          <w:tcPr>
            <w:tcW w:w="838" w:type="dxa"/>
            <w:vMerge w:val="continue"/>
            <w:vAlign w:val="center"/>
          </w:tcPr>
          <w:p w14:paraId="4FC292AA">
            <w:pPr>
              <w:snapToGrid w:val="0"/>
              <w:spacing w:line="240" w:lineRule="auto"/>
              <w:ind w:firstLine="420"/>
              <w:rPr>
                <w:rFonts w:hint="default" w:ascii="Times New Roman" w:hAnsi="Times New Roman" w:cs="Times New Roman"/>
                <w:color w:val="auto"/>
                <w:sz w:val="21"/>
                <w:szCs w:val="21"/>
              </w:rPr>
            </w:pPr>
          </w:p>
        </w:tc>
      </w:tr>
      <w:tr w14:paraId="356A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atLeast"/>
          <w:jc w:val="center"/>
        </w:trPr>
        <w:tc>
          <w:tcPr>
            <w:tcW w:w="959" w:type="dxa"/>
            <w:vMerge w:val="continue"/>
            <w:vAlign w:val="center"/>
          </w:tcPr>
          <w:p w14:paraId="791680BD">
            <w:pPr>
              <w:snapToGrid w:val="0"/>
              <w:spacing w:line="240" w:lineRule="auto"/>
              <w:ind w:firstLine="420"/>
              <w:rPr>
                <w:rFonts w:hint="default" w:ascii="Times New Roman" w:hAnsi="Times New Roman" w:cs="Times New Roman"/>
                <w:color w:val="auto"/>
                <w:sz w:val="21"/>
                <w:szCs w:val="21"/>
              </w:rPr>
            </w:pPr>
          </w:p>
        </w:tc>
        <w:tc>
          <w:tcPr>
            <w:tcW w:w="821" w:type="dxa"/>
            <w:vMerge w:val="continue"/>
            <w:vAlign w:val="center"/>
          </w:tcPr>
          <w:p w14:paraId="30D02B69">
            <w:pPr>
              <w:snapToGrid w:val="0"/>
              <w:spacing w:line="240" w:lineRule="auto"/>
              <w:ind w:firstLine="420"/>
              <w:rPr>
                <w:rFonts w:hint="default" w:ascii="Times New Roman" w:hAnsi="Times New Roman" w:cs="Times New Roman"/>
                <w:color w:val="auto"/>
                <w:sz w:val="21"/>
                <w:szCs w:val="21"/>
              </w:rPr>
            </w:pPr>
          </w:p>
        </w:tc>
        <w:tc>
          <w:tcPr>
            <w:tcW w:w="4433" w:type="dxa"/>
            <w:gridSpan w:val="2"/>
            <w:vAlign w:val="center"/>
          </w:tcPr>
          <w:p w14:paraId="153352ED">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第六条  涉及环境防护距离的工业企业或项目应通过选址或调整布局原则上将环境防护距离控制在园区边界或用地红线内，提前合理规划项目地块布置、预防环境风险。</w:t>
            </w:r>
          </w:p>
        </w:tc>
        <w:tc>
          <w:tcPr>
            <w:tcW w:w="1288" w:type="dxa"/>
            <w:vAlign w:val="center"/>
          </w:tcPr>
          <w:p w14:paraId="51D38AE9">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本项目不设置环境防护距离。</w:t>
            </w:r>
          </w:p>
        </w:tc>
        <w:tc>
          <w:tcPr>
            <w:tcW w:w="838" w:type="dxa"/>
            <w:vMerge w:val="continue"/>
            <w:vAlign w:val="center"/>
          </w:tcPr>
          <w:p w14:paraId="60451EB0">
            <w:pPr>
              <w:snapToGrid w:val="0"/>
              <w:spacing w:line="240" w:lineRule="auto"/>
              <w:ind w:firstLine="420"/>
              <w:rPr>
                <w:rFonts w:hint="default" w:ascii="Times New Roman" w:hAnsi="Times New Roman" w:cs="Times New Roman"/>
                <w:color w:val="auto"/>
                <w:sz w:val="21"/>
                <w:szCs w:val="21"/>
              </w:rPr>
            </w:pPr>
          </w:p>
        </w:tc>
      </w:tr>
      <w:tr w14:paraId="1815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atLeast"/>
          <w:jc w:val="center"/>
        </w:trPr>
        <w:tc>
          <w:tcPr>
            <w:tcW w:w="959" w:type="dxa"/>
            <w:vMerge w:val="continue"/>
            <w:vAlign w:val="center"/>
          </w:tcPr>
          <w:p w14:paraId="6D9721A5">
            <w:pPr>
              <w:snapToGrid w:val="0"/>
              <w:spacing w:line="240" w:lineRule="auto"/>
              <w:ind w:firstLine="420"/>
              <w:rPr>
                <w:rFonts w:hint="default" w:ascii="Times New Roman" w:hAnsi="Times New Roman" w:cs="Times New Roman"/>
                <w:color w:val="auto"/>
                <w:sz w:val="21"/>
                <w:szCs w:val="21"/>
              </w:rPr>
            </w:pPr>
          </w:p>
        </w:tc>
        <w:tc>
          <w:tcPr>
            <w:tcW w:w="821" w:type="dxa"/>
            <w:vMerge w:val="continue"/>
            <w:vAlign w:val="center"/>
          </w:tcPr>
          <w:p w14:paraId="7584A487">
            <w:pPr>
              <w:snapToGrid w:val="0"/>
              <w:spacing w:line="240" w:lineRule="auto"/>
              <w:ind w:firstLine="420"/>
              <w:rPr>
                <w:rFonts w:hint="default" w:ascii="Times New Roman" w:hAnsi="Times New Roman" w:cs="Times New Roman"/>
                <w:color w:val="auto"/>
                <w:sz w:val="21"/>
                <w:szCs w:val="21"/>
              </w:rPr>
            </w:pPr>
          </w:p>
        </w:tc>
        <w:tc>
          <w:tcPr>
            <w:tcW w:w="4433" w:type="dxa"/>
            <w:gridSpan w:val="2"/>
            <w:vAlign w:val="center"/>
          </w:tcPr>
          <w:p w14:paraId="1DBFA698">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第七条  有效规范空间开发秩序，合理控制空间开发强度，切实将各类开发活动限制在资源环境承载能力之内，为构建高效协调可持续的国土空间开发格局奠定坚实基础。</w:t>
            </w:r>
          </w:p>
        </w:tc>
        <w:tc>
          <w:tcPr>
            <w:tcW w:w="1288" w:type="dxa"/>
            <w:vAlign w:val="center"/>
          </w:tcPr>
          <w:p w14:paraId="5D214DEF">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本项目非高耗能、高排放、低水平项目，在资源环境承载能力之内。</w:t>
            </w:r>
          </w:p>
        </w:tc>
        <w:tc>
          <w:tcPr>
            <w:tcW w:w="838" w:type="dxa"/>
            <w:vAlign w:val="center"/>
          </w:tcPr>
          <w:p w14:paraId="221E69B8">
            <w:pPr>
              <w:snapToGrid w:val="0"/>
              <w:spacing w:line="240" w:lineRule="auto"/>
              <w:ind w:firstLine="420"/>
              <w:rPr>
                <w:rFonts w:hint="default" w:ascii="Times New Roman" w:hAnsi="Times New Roman" w:cs="Times New Roman"/>
                <w:color w:val="auto"/>
                <w:sz w:val="21"/>
                <w:szCs w:val="21"/>
              </w:rPr>
            </w:pPr>
          </w:p>
        </w:tc>
      </w:tr>
      <w:tr w14:paraId="35F9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959" w:type="dxa"/>
            <w:vMerge w:val="continue"/>
            <w:vAlign w:val="center"/>
          </w:tcPr>
          <w:p w14:paraId="5CD79362">
            <w:pPr>
              <w:snapToGrid w:val="0"/>
              <w:spacing w:line="240" w:lineRule="auto"/>
              <w:ind w:firstLine="0" w:firstLineChars="0"/>
              <w:jc w:val="center"/>
              <w:rPr>
                <w:rFonts w:hint="default" w:ascii="Times New Roman" w:hAnsi="Times New Roman" w:cs="Times New Roman"/>
                <w:color w:val="auto"/>
                <w:sz w:val="21"/>
                <w:szCs w:val="21"/>
              </w:rPr>
            </w:pPr>
          </w:p>
        </w:tc>
        <w:tc>
          <w:tcPr>
            <w:tcW w:w="821" w:type="dxa"/>
            <w:vMerge w:val="restart"/>
            <w:vAlign w:val="center"/>
          </w:tcPr>
          <w:p w14:paraId="4D3C9F22">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污染物排放管控</w:t>
            </w:r>
          </w:p>
        </w:tc>
        <w:tc>
          <w:tcPr>
            <w:tcW w:w="4433" w:type="dxa"/>
            <w:gridSpan w:val="2"/>
            <w:vAlign w:val="center"/>
          </w:tcPr>
          <w:p w14:paraId="57C76257">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第八条  新建石化、煤化工、燃煤发电（含热电）、钢铁、有色金属冶炼、制浆造纸行业依据区域环境质量改善目标，制定配套区域污染物削减方案，采取有效的污染物区域削减措施，腾出足够的环境容量。严格按照国家及我市有关规定，对钢铁、水泥熟料、平板玻璃、电解铝等行业新建、扩建项目实行产能等量或减量置换。国家或地方已出台超低排放要求的“两高”行业建设项目应满足超低排放要求。加强水泥和平板玻璃行业差别化管理，新改扩建项目严格落实相关产业政策要求，满足能效标杆水平、环保绩效A级指标要求。</w:t>
            </w:r>
          </w:p>
        </w:tc>
        <w:tc>
          <w:tcPr>
            <w:tcW w:w="1288" w:type="dxa"/>
            <w:vAlign w:val="center"/>
          </w:tcPr>
          <w:p w14:paraId="39ECDAEA">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本项目非高耗能、高排放、低水平项目，非石化、煤化工、燃煤发电（含热电）、钢铁、有色金属冶炼、制浆造纸、钢铁、水泥熟料、平板玻璃、电解铝行业，不属于“两高”行业。</w:t>
            </w:r>
          </w:p>
        </w:tc>
        <w:tc>
          <w:tcPr>
            <w:tcW w:w="838" w:type="dxa"/>
            <w:vMerge w:val="restart"/>
            <w:vAlign w:val="center"/>
          </w:tcPr>
          <w:p w14:paraId="365983D4">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6FCF3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959" w:type="dxa"/>
            <w:vMerge w:val="continue"/>
            <w:vAlign w:val="center"/>
          </w:tcPr>
          <w:p w14:paraId="6DCB6A80">
            <w:pPr>
              <w:snapToGrid w:val="0"/>
              <w:spacing w:line="240" w:lineRule="auto"/>
              <w:ind w:firstLine="480"/>
              <w:rPr>
                <w:rFonts w:hint="default" w:ascii="Times New Roman" w:hAnsi="Times New Roman" w:cs="Times New Roman"/>
                <w:color w:val="auto"/>
              </w:rPr>
            </w:pPr>
          </w:p>
        </w:tc>
        <w:tc>
          <w:tcPr>
            <w:tcW w:w="821" w:type="dxa"/>
            <w:vMerge w:val="continue"/>
            <w:vAlign w:val="center"/>
          </w:tcPr>
          <w:p w14:paraId="609908E2">
            <w:pPr>
              <w:snapToGrid w:val="0"/>
              <w:spacing w:line="240" w:lineRule="auto"/>
              <w:ind w:firstLine="480"/>
              <w:rPr>
                <w:rFonts w:hint="default" w:ascii="Times New Roman" w:hAnsi="Times New Roman" w:cs="Times New Roman"/>
                <w:color w:val="auto"/>
              </w:rPr>
            </w:pPr>
          </w:p>
        </w:tc>
        <w:tc>
          <w:tcPr>
            <w:tcW w:w="4433" w:type="dxa"/>
            <w:gridSpan w:val="2"/>
            <w:vAlign w:val="center"/>
          </w:tcPr>
          <w:p w14:paraId="017B90A4">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第九条  严格落实国家及我市大气污染防控相关要求，对大气环境质量未达标地区，新建、改扩建项目实施更严格的污染物排放总量控制要求。严格落实区域削减要求，所在区域、流域控制单元环境质量未达到国家或者地方环境质量标准的，建设项目需提出有效的区域削减方案，主要污染物实行区域倍量削减。</w:t>
            </w:r>
          </w:p>
        </w:tc>
        <w:tc>
          <w:tcPr>
            <w:tcW w:w="1288" w:type="dxa"/>
            <w:vAlign w:val="center"/>
          </w:tcPr>
          <w:p w14:paraId="2591DC00">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本项目位于大气环境质量不达标地区，大气污染排放必须严格采取环保措施达标排放。</w:t>
            </w:r>
          </w:p>
        </w:tc>
        <w:tc>
          <w:tcPr>
            <w:tcW w:w="838" w:type="dxa"/>
            <w:vMerge w:val="continue"/>
            <w:vAlign w:val="center"/>
          </w:tcPr>
          <w:p w14:paraId="5BCDC56D">
            <w:pPr>
              <w:snapToGrid w:val="0"/>
              <w:spacing w:line="240" w:lineRule="auto"/>
              <w:ind w:firstLine="420"/>
              <w:rPr>
                <w:rFonts w:hint="default" w:ascii="Times New Roman" w:hAnsi="Times New Roman" w:cs="Times New Roman"/>
                <w:color w:val="auto"/>
                <w:sz w:val="21"/>
                <w:szCs w:val="21"/>
              </w:rPr>
            </w:pPr>
          </w:p>
        </w:tc>
      </w:tr>
      <w:tr w14:paraId="21B9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959" w:type="dxa"/>
            <w:vMerge w:val="continue"/>
            <w:vAlign w:val="center"/>
          </w:tcPr>
          <w:p w14:paraId="416C13E6">
            <w:pPr>
              <w:snapToGrid w:val="0"/>
              <w:spacing w:line="240" w:lineRule="auto"/>
              <w:ind w:firstLine="420"/>
              <w:rPr>
                <w:rFonts w:hint="default" w:ascii="Times New Roman" w:hAnsi="Times New Roman" w:cs="Times New Roman"/>
                <w:color w:val="auto"/>
                <w:sz w:val="21"/>
                <w:szCs w:val="21"/>
              </w:rPr>
            </w:pPr>
          </w:p>
        </w:tc>
        <w:tc>
          <w:tcPr>
            <w:tcW w:w="821" w:type="dxa"/>
            <w:vMerge w:val="continue"/>
            <w:vAlign w:val="center"/>
          </w:tcPr>
          <w:p w14:paraId="509EE588">
            <w:pPr>
              <w:snapToGrid w:val="0"/>
              <w:spacing w:line="240" w:lineRule="auto"/>
              <w:ind w:firstLine="420"/>
              <w:rPr>
                <w:rFonts w:hint="default" w:ascii="Times New Roman" w:hAnsi="Times New Roman" w:cs="Times New Roman"/>
                <w:color w:val="auto"/>
                <w:sz w:val="21"/>
                <w:szCs w:val="21"/>
              </w:rPr>
            </w:pPr>
          </w:p>
        </w:tc>
        <w:tc>
          <w:tcPr>
            <w:tcW w:w="4433" w:type="dxa"/>
            <w:gridSpan w:val="2"/>
            <w:vAlign w:val="center"/>
          </w:tcPr>
          <w:p w14:paraId="3CE65588">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第十条  在重点行业（石化、化工、工业涂装、包装印刷、油品储运销等）推进挥发性有机物综合治理，推动低挥发性有机物原辅材料和产品源头替代，推广使用低挥发性有机物含量产品，推动纳入政府绿色采购名录。有条件的工业集聚区建设集中喷涂工程中心，配备高效治污设施，替代企业独立喷涂工序，对涉及喷漆、喷粉、印刷等废气进行集中处理。</w:t>
            </w:r>
          </w:p>
        </w:tc>
        <w:tc>
          <w:tcPr>
            <w:tcW w:w="1288" w:type="dxa"/>
            <w:vAlign w:val="center"/>
          </w:tcPr>
          <w:p w14:paraId="2F29321B">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本项目为改性粒料生产，采用低挥发性原辅材料，挤出废气集中处理后达标排放。</w:t>
            </w:r>
          </w:p>
        </w:tc>
        <w:tc>
          <w:tcPr>
            <w:tcW w:w="838" w:type="dxa"/>
            <w:vMerge w:val="continue"/>
            <w:vAlign w:val="center"/>
          </w:tcPr>
          <w:p w14:paraId="679D312A">
            <w:pPr>
              <w:snapToGrid w:val="0"/>
              <w:spacing w:line="240" w:lineRule="auto"/>
              <w:ind w:firstLine="420"/>
              <w:rPr>
                <w:rFonts w:hint="default" w:ascii="Times New Roman" w:hAnsi="Times New Roman" w:cs="Times New Roman"/>
                <w:color w:val="auto"/>
                <w:sz w:val="21"/>
                <w:szCs w:val="21"/>
              </w:rPr>
            </w:pPr>
          </w:p>
        </w:tc>
      </w:tr>
      <w:tr w14:paraId="47D6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959" w:type="dxa"/>
            <w:vMerge w:val="continue"/>
            <w:vAlign w:val="center"/>
          </w:tcPr>
          <w:p w14:paraId="5AA09F8D">
            <w:pPr>
              <w:snapToGrid w:val="0"/>
              <w:spacing w:line="240" w:lineRule="auto"/>
              <w:ind w:firstLine="420"/>
              <w:rPr>
                <w:rFonts w:hint="default" w:ascii="Times New Roman" w:hAnsi="Times New Roman" w:cs="Times New Roman"/>
                <w:color w:val="auto"/>
                <w:sz w:val="21"/>
                <w:szCs w:val="21"/>
              </w:rPr>
            </w:pPr>
          </w:p>
        </w:tc>
        <w:tc>
          <w:tcPr>
            <w:tcW w:w="821" w:type="dxa"/>
            <w:vMerge w:val="continue"/>
            <w:vAlign w:val="center"/>
          </w:tcPr>
          <w:p w14:paraId="506C98B8">
            <w:pPr>
              <w:snapToGrid w:val="0"/>
              <w:spacing w:line="240" w:lineRule="auto"/>
              <w:ind w:firstLine="420"/>
              <w:rPr>
                <w:rFonts w:hint="default" w:ascii="Times New Roman" w:hAnsi="Times New Roman" w:cs="Times New Roman"/>
                <w:color w:val="auto"/>
                <w:sz w:val="21"/>
                <w:szCs w:val="21"/>
              </w:rPr>
            </w:pPr>
          </w:p>
        </w:tc>
        <w:tc>
          <w:tcPr>
            <w:tcW w:w="4433" w:type="dxa"/>
            <w:gridSpan w:val="2"/>
            <w:vAlign w:val="center"/>
          </w:tcPr>
          <w:p w14:paraId="700C8BE4">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第十一条  工业集聚区应当按照有关规定配套建设相应的污水集中处理设施，安装自动监测设备，工业集聚区内的企业向污水集中处理设施排放工业废水的，应当按照国家有关规定进行预处理，达到集中处理设施处理工艺要求后方可排放。</w:t>
            </w:r>
          </w:p>
        </w:tc>
        <w:tc>
          <w:tcPr>
            <w:tcW w:w="1288" w:type="dxa"/>
            <w:vAlign w:val="center"/>
          </w:tcPr>
          <w:p w14:paraId="6B9A6F27">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不涉及</w:t>
            </w:r>
          </w:p>
        </w:tc>
        <w:tc>
          <w:tcPr>
            <w:tcW w:w="838" w:type="dxa"/>
            <w:vMerge w:val="continue"/>
            <w:vAlign w:val="center"/>
          </w:tcPr>
          <w:p w14:paraId="70D1DFBB">
            <w:pPr>
              <w:snapToGrid w:val="0"/>
              <w:spacing w:line="240" w:lineRule="auto"/>
              <w:ind w:firstLine="420"/>
              <w:rPr>
                <w:rFonts w:hint="default" w:ascii="Times New Roman" w:hAnsi="Times New Roman" w:cs="Times New Roman"/>
                <w:color w:val="auto"/>
                <w:sz w:val="21"/>
                <w:szCs w:val="21"/>
              </w:rPr>
            </w:pPr>
          </w:p>
        </w:tc>
      </w:tr>
      <w:tr w14:paraId="6EBB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959" w:type="dxa"/>
            <w:vMerge w:val="continue"/>
            <w:vAlign w:val="center"/>
          </w:tcPr>
          <w:p w14:paraId="79233B60">
            <w:pPr>
              <w:snapToGrid w:val="0"/>
              <w:spacing w:line="240" w:lineRule="auto"/>
              <w:ind w:firstLine="420"/>
              <w:rPr>
                <w:rFonts w:hint="default" w:ascii="Times New Roman" w:hAnsi="Times New Roman" w:cs="Times New Roman"/>
                <w:color w:val="auto"/>
                <w:sz w:val="21"/>
                <w:szCs w:val="21"/>
              </w:rPr>
            </w:pPr>
          </w:p>
        </w:tc>
        <w:tc>
          <w:tcPr>
            <w:tcW w:w="821" w:type="dxa"/>
            <w:vMerge w:val="continue"/>
            <w:vAlign w:val="center"/>
          </w:tcPr>
          <w:p w14:paraId="7167726D">
            <w:pPr>
              <w:snapToGrid w:val="0"/>
              <w:spacing w:line="240" w:lineRule="auto"/>
              <w:ind w:firstLine="420"/>
              <w:rPr>
                <w:rFonts w:hint="default" w:ascii="Times New Roman" w:hAnsi="Times New Roman" w:cs="Times New Roman"/>
                <w:color w:val="auto"/>
                <w:sz w:val="21"/>
                <w:szCs w:val="21"/>
              </w:rPr>
            </w:pPr>
          </w:p>
        </w:tc>
        <w:tc>
          <w:tcPr>
            <w:tcW w:w="4433" w:type="dxa"/>
            <w:gridSpan w:val="2"/>
            <w:vAlign w:val="center"/>
          </w:tcPr>
          <w:p w14:paraId="7C02E948">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第十二条  推进乡镇生活污水处理设施达标改造。新建城市生活污水处理厂全部按照一级A标及以上排放标准设计、施工、验收，建制乡镇生活污水处理设施出水水质不得低于一级B标排放标准；对现有截留制排水管网实施雨污分流改造，针对无法彻底雨污分流的老城区，尊重现实合理保留截留制区域，合理提高截留倍数；对新建的排水管网，全部按照雨污分流模式实施建设。</w:t>
            </w:r>
          </w:p>
        </w:tc>
        <w:tc>
          <w:tcPr>
            <w:tcW w:w="1288" w:type="dxa"/>
            <w:vAlign w:val="center"/>
          </w:tcPr>
          <w:p w14:paraId="67BD6EDB">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不涉及</w:t>
            </w:r>
          </w:p>
        </w:tc>
        <w:tc>
          <w:tcPr>
            <w:tcW w:w="838" w:type="dxa"/>
            <w:vMerge w:val="continue"/>
            <w:vAlign w:val="center"/>
          </w:tcPr>
          <w:p w14:paraId="1AC4F6BA">
            <w:pPr>
              <w:snapToGrid w:val="0"/>
              <w:spacing w:line="240" w:lineRule="auto"/>
              <w:ind w:firstLine="420"/>
              <w:rPr>
                <w:rFonts w:hint="default" w:ascii="Times New Roman" w:hAnsi="Times New Roman" w:cs="Times New Roman"/>
                <w:color w:val="auto"/>
                <w:sz w:val="21"/>
                <w:szCs w:val="21"/>
              </w:rPr>
            </w:pPr>
          </w:p>
        </w:tc>
      </w:tr>
      <w:tr w14:paraId="0509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959" w:type="dxa"/>
            <w:vMerge w:val="continue"/>
            <w:vAlign w:val="center"/>
          </w:tcPr>
          <w:p w14:paraId="029C6D9D">
            <w:pPr>
              <w:snapToGrid w:val="0"/>
              <w:spacing w:line="240" w:lineRule="auto"/>
              <w:ind w:firstLine="420"/>
              <w:rPr>
                <w:rFonts w:hint="default" w:ascii="Times New Roman" w:hAnsi="Times New Roman" w:cs="Times New Roman"/>
                <w:color w:val="auto"/>
                <w:sz w:val="21"/>
                <w:szCs w:val="21"/>
              </w:rPr>
            </w:pPr>
          </w:p>
        </w:tc>
        <w:tc>
          <w:tcPr>
            <w:tcW w:w="821" w:type="dxa"/>
            <w:vMerge w:val="continue"/>
            <w:vAlign w:val="center"/>
          </w:tcPr>
          <w:p w14:paraId="627EC387">
            <w:pPr>
              <w:snapToGrid w:val="0"/>
              <w:spacing w:line="240" w:lineRule="auto"/>
              <w:ind w:firstLine="420"/>
              <w:rPr>
                <w:rFonts w:hint="default" w:ascii="Times New Roman" w:hAnsi="Times New Roman" w:cs="Times New Roman"/>
                <w:color w:val="auto"/>
                <w:sz w:val="21"/>
                <w:szCs w:val="21"/>
              </w:rPr>
            </w:pPr>
          </w:p>
        </w:tc>
        <w:tc>
          <w:tcPr>
            <w:tcW w:w="4433" w:type="dxa"/>
            <w:gridSpan w:val="2"/>
            <w:vAlign w:val="center"/>
          </w:tcPr>
          <w:p w14:paraId="31B99D7C">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第十三条  新、改、扩建重点行业〔重有色金属矿采选业（铜、铅锌、镍钴、锡、锑和汞矿采选）、重有色金属冶炼业（铜、铅锌、镍钴、锡、锑和汞冶炼）、铅蓄电池制造业、皮革鞣制加工业、化学原料及化学制品制造业（电石法聚氯乙烯制造、铬盐制造、以工业固废为原料的锌无机化合物工业等）、电镀行业〕重点重金属污染物排放执行“等量替代”原则。</w:t>
            </w:r>
          </w:p>
        </w:tc>
        <w:tc>
          <w:tcPr>
            <w:tcW w:w="1288" w:type="dxa"/>
            <w:vAlign w:val="center"/>
          </w:tcPr>
          <w:p w14:paraId="5CEF1E70">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本项目为改性粒料生产，非重点行业，不需要进行“等量替代”</w:t>
            </w:r>
          </w:p>
        </w:tc>
        <w:tc>
          <w:tcPr>
            <w:tcW w:w="838" w:type="dxa"/>
            <w:vMerge w:val="continue"/>
            <w:vAlign w:val="center"/>
          </w:tcPr>
          <w:p w14:paraId="58E8E62E">
            <w:pPr>
              <w:snapToGrid w:val="0"/>
              <w:spacing w:line="240" w:lineRule="auto"/>
              <w:ind w:firstLine="420"/>
              <w:rPr>
                <w:rFonts w:hint="default" w:ascii="Times New Roman" w:hAnsi="Times New Roman" w:cs="Times New Roman"/>
                <w:color w:val="auto"/>
                <w:sz w:val="21"/>
                <w:szCs w:val="21"/>
              </w:rPr>
            </w:pPr>
          </w:p>
        </w:tc>
      </w:tr>
      <w:tr w14:paraId="4DD5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959" w:type="dxa"/>
            <w:vMerge w:val="continue"/>
            <w:vAlign w:val="center"/>
          </w:tcPr>
          <w:p w14:paraId="582634F2">
            <w:pPr>
              <w:snapToGrid w:val="0"/>
              <w:spacing w:line="240" w:lineRule="auto"/>
              <w:ind w:firstLine="420"/>
              <w:rPr>
                <w:rFonts w:hint="default" w:ascii="Times New Roman" w:hAnsi="Times New Roman" w:cs="Times New Roman"/>
                <w:color w:val="auto"/>
                <w:sz w:val="21"/>
                <w:szCs w:val="21"/>
              </w:rPr>
            </w:pPr>
          </w:p>
        </w:tc>
        <w:tc>
          <w:tcPr>
            <w:tcW w:w="821" w:type="dxa"/>
            <w:vMerge w:val="continue"/>
            <w:vAlign w:val="center"/>
          </w:tcPr>
          <w:p w14:paraId="324F99C8">
            <w:pPr>
              <w:snapToGrid w:val="0"/>
              <w:spacing w:line="240" w:lineRule="auto"/>
              <w:ind w:firstLine="420"/>
              <w:rPr>
                <w:rFonts w:hint="default" w:ascii="Times New Roman" w:hAnsi="Times New Roman" w:cs="Times New Roman"/>
                <w:color w:val="auto"/>
                <w:sz w:val="21"/>
                <w:szCs w:val="21"/>
              </w:rPr>
            </w:pPr>
          </w:p>
        </w:tc>
        <w:tc>
          <w:tcPr>
            <w:tcW w:w="4433" w:type="dxa"/>
            <w:gridSpan w:val="2"/>
            <w:vAlign w:val="center"/>
          </w:tcPr>
          <w:p w14:paraId="7B8D2E1C">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第十四条  固体废物污染环境防治坚持减量化、资源化和无害化的原则。产生工业固体废物的单位应当建立健全工业固体废物产生、收集、贮存、运输、利用、处置全过程的污染环境防治责任制度，建立工业固体废物管理台账。</w:t>
            </w:r>
          </w:p>
        </w:tc>
        <w:tc>
          <w:tcPr>
            <w:tcW w:w="1288" w:type="dxa"/>
            <w:vAlign w:val="center"/>
          </w:tcPr>
          <w:p w14:paraId="49F298B1">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本项目为改性粒料生产，固废均分类收集处置。</w:t>
            </w:r>
          </w:p>
        </w:tc>
        <w:tc>
          <w:tcPr>
            <w:tcW w:w="838" w:type="dxa"/>
            <w:vMerge w:val="continue"/>
            <w:vAlign w:val="center"/>
          </w:tcPr>
          <w:p w14:paraId="4C4334B9">
            <w:pPr>
              <w:snapToGrid w:val="0"/>
              <w:spacing w:line="240" w:lineRule="auto"/>
              <w:ind w:firstLine="420"/>
              <w:rPr>
                <w:rFonts w:hint="default" w:ascii="Times New Roman" w:hAnsi="Times New Roman" w:cs="Times New Roman"/>
                <w:color w:val="auto"/>
                <w:sz w:val="21"/>
                <w:szCs w:val="21"/>
              </w:rPr>
            </w:pPr>
          </w:p>
        </w:tc>
      </w:tr>
      <w:tr w14:paraId="0B60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959" w:type="dxa"/>
            <w:vMerge w:val="continue"/>
            <w:vAlign w:val="center"/>
          </w:tcPr>
          <w:p w14:paraId="0F46109F">
            <w:pPr>
              <w:snapToGrid w:val="0"/>
              <w:spacing w:line="240" w:lineRule="auto"/>
              <w:ind w:firstLine="420"/>
              <w:rPr>
                <w:rFonts w:hint="default" w:ascii="Times New Roman" w:hAnsi="Times New Roman" w:cs="Times New Roman"/>
                <w:color w:val="auto"/>
                <w:sz w:val="21"/>
                <w:szCs w:val="21"/>
              </w:rPr>
            </w:pPr>
          </w:p>
        </w:tc>
        <w:tc>
          <w:tcPr>
            <w:tcW w:w="821" w:type="dxa"/>
            <w:vMerge w:val="continue"/>
            <w:vAlign w:val="center"/>
          </w:tcPr>
          <w:p w14:paraId="5387A4C1">
            <w:pPr>
              <w:snapToGrid w:val="0"/>
              <w:spacing w:line="240" w:lineRule="auto"/>
              <w:ind w:firstLine="420"/>
              <w:rPr>
                <w:rFonts w:hint="default" w:ascii="Times New Roman" w:hAnsi="Times New Roman" w:cs="Times New Roman"/>
                <w:color w:val="auto"/>
                <w:sz w:val="21"/>
                <w:szCs w:val="21"/>
              </w:rPr>
            </w:pPr>
          </w:p>
        </w:tc>
        <w:tc>
          <w:tcPr>
            <w:tcW w:w="4433" w:type="dxa"/>
            <w:gridSpan w:val="2"/>
            <w:vAlign w:val="center"/>
          </w:tcPr>
          <w:p w14:paraId="23B4A7DA">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第十五条  建设分类投放、分类收集、分类运输、分类处理的生活垃圾处理系统。合理布局生活垃圾分类收集站点，完善分类运输系统，加快补齐分类收集转运设施能力短板。强化“无废城市”制度、技术、市场、监管、全民行动“五大体系”建设，推进城市固体废物精细化管理。</w:t>
            </w:r>
          </w:p>
        </w:tc>
        <w:tc>
          <w:tcPr>
            <w:tcW w:w="1288" w:type="dxa"/>
            <w:vAlign w:val="center"/>
          </w:tcPr>
          <w:p w14:paraId="00326F39">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本项目为改性粒料生产，生活垃圾分类收集处置。</w:t>
            </w:r>
          </w:p>
        </w:tc>
        <w:tc>
          <w:tcPr>
            <w:tcW w:w="838" w:type="dxa"/>
            <w:vMerge w:val="continue"/>
            <w:vAlign w:val="center"/>
          </w:tcPr>
          <w:p w14:paraId="308B2D98">
            <w:pPr>
              <w:snapToGrid w:val="0"/>
              <w:spacing w:line="240" w:lineRule="auto"/>
              <w:ind w:firstLine="420"/>
              <w:rPr>
                <w:rFonts w:hint="default" w:ascii="Times New Roman" w:hAnsi="Times New Roman" w:cs="Times New Roman"/>
                <w:color w:val="auto"/>
                <w:sz w:val="21"/>
                <w:szCs w:val="21"/>
              </w:rPr>
            </w:pPr>
          </w:p>
        </w:tc>
      </w:tr>
      <w:tr w14:paraId="06932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 w:type="dxa"/>
            <w:vMerge w:val="continue"/>
            <w:vAlign w:val="center"/>
          </w:tcPr>
          <w:p w14:paraId="66040E70">
            <w:pPr>
              <w:snapToGrid w:val="0"/>
              <w:spacing w:line="240" w:lineRule="auto"/>
              <w:ind w:firstLine="0" w:firstLineChars="0"/>
              <w:jc w:val="center"/>
              <w:rPr>
                <w:rFonts w:hint="default" w:ascii="Times New Roman" w:hAnsi="Times New Roman" w:cs="Times New Roman"/>
                <w:color w:val="auto"/>
                <w:sz w:val="21"/>
                <w:szCs w:val="21"/>
              </w:rPr>
            </w:pPr>
          </w:p>
        </w:tc>
        <w:tc>
          <w:tcPr>
            <w:tcW w:w="821" w:type="dxa"/>
            <w:vMerge w:val="restart"/>
            <w:vAlign w:val="center"/>
          </w:tcPr>
          <w:p w14:paraId="1AE4518F">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环境风险防控</w:t>
            </w:r>
          </w:p>
        </w:tc>
        <w:tc>
          <w:tcPr>
            <w:tcW w:w="4433" w:type="dxa"/>
            <w:gridSpan w:val="2"/>
            <w:vAlign w:val="center"/>
          </w:tcPr>
          <w:p w14:paraId="790D3F8D">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第十六条  深入开展行政区域、重点流域、重点饮用水源、化工园区等突发环境事件风险评估，建立区域突发环境事件风险评估数据信息获取与动态更新机制。落实企业突发环境事件风险评估制度，推进突发环境事件风险分类分级管理，严格监管重大突发环境事件风险企业。</w:t>
            </w:r>
          </w:p>
        </w:tc>
        <w:tc>
          <w:tcPr>
            <w:tcW w:w="1288" w:type="dxa"/>
            <w:vAlign w:val="center"/>
          </w:tcPr>
          <w:p w14:paraId="145EB37E">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本项目采取了风险防范措施，且不属于重大突发环境事件风险企业。</w:t>
            </w:r>
          </w:p>
        </w:tc>
        <w:tc>
          <w:tcPr>
            <w:tcW w:w="838" w:type="dxa"/>
            <w:vMerge w:val="restart"/>
            <w:vAlign w:val="center"/>
          </w:tcPr>
          <w:p w14:paraId="71CBF402">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6AC95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 w:type="dxa"/>
            <w:vMerge w:val="continue"/>
            <w:vAlign w:val="center"/>
          </w:tcPr>
          <w:p w14:paraId="3F5C77F3">
            <w:pPr>
              <w:snapToGrid w:val="0"/>
              <w:spacing w:line="240" w:lineRule="auto"/>
              <w:ind w:firstLine="480"/>
              <w:rPr>
                <w:rFonts w:hint="default" w:ascii="Times New Roman" w:hAnsi="Times New Roman" w:cs="Times New Roman"/>
                <w:color w:val="auto"/>
              </w:rPr>
            </w:pPr>
          </w:p>
        </w:tc>
        <w:tc>
          <w:tcPr>
            <w:tcW w:w="821" w:type="dxa"/>
            <w:vMerge w:val="continue"/>
            <w:vAlign w:val="center"/>
          </w:tcPr>
          <w:p w14:paraId="72946569">
            <w:pPr>
              <w:snapToGrid w:val="0"/>
              <w:spacing w:line="240" w:lineRule="auto"/>
              <w:ind w:firstLine="480"/>
              <w:rPr>
                <w:rFonts w:hint="default" w:ascii="Times New Roman" w:hAnsi="Times New Roman" w:cs="Times New Roman"/>
                <w:color w:val="auto"/>
              </w:rPr>
            </w:pPr>
          </w:p>
        </w:tc>
        <w:tc>
          <w:tcPr>
            <w:tcW w:w="4433" w:type="dxa"/>
            <w:gridSpan w:val="2"/>
            <w:vAlign w:val="center"/>
          </w:tcPr>
          <w:p w14:paraId="3AD3A928">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第十七条  强化化工园区涉水突发环境事件四级环境风险防范体系建设。持续推进重点化工园区（化工集中区）建设有毒有害气体监测预警体系和水质生物毒性预警体系。</w:t>
            </w:r>
          </w:p>
        </w:tc>
        <w:tc>
          <w:tcPr>
            <w:tcW w:w="1288" w:type="dxa"/>
            <w:vAlign w:val="center"/>
          </w:tcPr>
          <w:p w14:paraId="3382D897">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不涉及</w:t>
            </w:r>
          </w:p>
        </w:tc>
        <w:tc>
          <w:tcPr>
            <w:tcW w:w="838" w:type="dxa"/>
            <w:vMerge w:val="continue"/>
            <w:vAlign w:val="center"/>
          </w:tcPr>
          <w:p w14:paraId="3DEF768F">
            <w:pPr>
              <w:snapToGrid w:val="0"/>
              <w:spacing w:line="240" w:lineRule="auto"/>
              <w:ind w:firstLine="420"/>
              <w:rPr>
                <w:rFonts w:hint="default" w:ascii="Times New Roman" w:hAnsi="Times New Roman" w:cs="Times New Roman"/>
                <w:color w:val="auto"/>
                <w:sz w:val="21"/>
                <w:szCs w:val="21"/>
              </w:rPr>
            </w:pPr>
          </w:p>
        </w:tc>
      </w:tr>
      <w:tr w14:paraId="6BB0C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 w:type="dxa"/>
            <w:vMerge w:val="continue"/>
            <w:vAlign w:val="center"/>
          </w:tcPr>
          <w:p w14:paraId="08F148F2">
            <w:pPr>
              <w:snapToGrid w:val="0"/>
              <w:spacing w:line="240" w:lineRule="auto"/>
              <w:ind w:firstLine="420"/>
              <w:rPr>
                <w:rFonts w:hint="default" w:ascii="Times New Roman" w:hAnsi="Times New Roman" w:cs="Times New Roman"/>
                <w:color w:val="auto"/>
                <w:sz w:val="21"/>
                <w:szCs w:val="21"/>
              </w:rPr>
            </w:pPr>
          </w:p>
        </w:tc>
        <w:tc>
          <w:tcPr>
            <w:tcW w:w="821" w:type="dxa"/>
            <w:vMerge w:val="continue"/>
            <w:vAlign w:val="center"/>
          </w:tcPr>
          <w:p w14:paraId="38F208FB">
            <w:pPr>
              <w:snapToGrid w:val="0"/>
              <w:spacing w:line="240" w:lineRule="auto"/>
              <w:ind w:firstLine="420"/>
              <w:rPr>
                <w:rFonts w:hint="default" w:ascii="Times New Roman" w:hAnsi="Times New Roman" w:cs="Times New Roman"/>
                <w:color w:val="auto"/>
                <w:sz w:val="21"/>
                <w:szCs w:val="21"/>
              </w:rPr>
            </w:pPr>
          </w:p>
        </w:tc>
        <w:tc>
          <w:tcPr>
            <w:tcW w:w="4433" w:type="dxa"/>
            <w:gridSpan w:val="2"/>
            <w:vAlign w:val="center"/>
          </w:tcPr>
          <w:p w14:paraId="19B0329C">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第十六条  深入开展行政区域、重点流域、重点饮用水源、化工园区等突发环境事件风险评估，建立区域突发环境事件风险评估数据信息获取与动态更新机制。落实企业突发环境事件风险评估制度，推进突发环境事件风险分类分级管理，严格监管重大突发环境事件风险企业。</w:t>
            </w:r>
          </w:p>
        </w:tc>
        <w:tc>
          <w:tcPr>
            <w:tcW w:w="1288" w:type="dxa"/>
            <w:vAlign w:val="center"/>
          </w:tcPr>
          <w:p w14:paraId="4761F750">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本项目采取了风险防范措施，且不属于重大突发环境事件风险企业。</w:t>
            </w:r>
          </w:p>
        </w:tc>
        <w:tc>
          <w:tcPr>
            <w:tcW w:w="838" w:type="dxa"/>
            <w:vMerge w:val="continue"/>
            <w:vAlign w:val="center"/>
          </w:tcPr>
          <w:p w14:paraId="4C84B998">
            <w:pPr>
              <w:snapToGrid w:val="0"/>
              <w:spacing w:line="240" w:lineRule="auto"/>
              <w:ind w:firstLine="420"/>
              <w:rPr>
                <w:rFonts w:hint="default" w:ascii="Times New Roman" w:hAnsi="Times New Roman" w:cs="Times New Roman"/>
                <w:color w:val="auto"/>
                <w:sz w:val="21"/>
                <w:szCs w:val="21"/>
              </w:rPr>
            </w:pPr>
          </w:p>
        </w:tc>
      </w:tr>
      <w:tr w14:paraId="4988A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959" w:type="dxa"/>
            <w:vMerge w:val="continue"/>
            <w:vAlign w:val="center"/>
          </w:tcPr>
          <w:p w14:paraId="54897E0C">
            <w:pPr>
              <w:snapToGrid w:val="0"/>
              <w:spacing w:line="240" w:lineRule="auto"/>
              <w:ind w:firstLine="0" w:firstLineChars="0"/>
              <w:jc w:val="center"/>
              <w:rPr>
                <w:rFonts w:hint="default" w:ascii="Times New Roman" w:hAnsi="Times New Roman" w:cs="Times New Roman"/>
                <w:color w:val="auto"/>
                <w:sz w:val="21"/>
                <w:szCs w:val="21"/>
              </w:rPr>
            </w:pPr>
          </w:p>
        </w:tc>
        <w:tc>
          <w:tcPr>
            <w:tcW w:w="821" w:type="dxa"/>
            <w:vMerge w:val="restart"/>
            <w:vAlign w:val="center"/>
          </w:tcPr>
          <w:p w14:paraId="7D9E5676">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资源开发利用效率</w:t>
            </w:r>
          </w:p>
        </w:tc>
        <w:tc>
          <w:tcPr>
            <w:tcW w:w="4433" w:type="dxa"/>
            <w:gridSpan w:val="2"/>
            <w:vAlign w:val="center"/>
          </w:tcPr>
          <w:p w14:paraId="27827E65">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第十八条  实施能源领域碳达峰碳中和行动，科学有序推动能源生产消费方式绿色低碳变革。实施可再生能源替代，减少化石能源消费。加强产业布局和能耗“双控”政策衔接，促进重点用能领域用能结构优化和能效提升。</w:t>
            </w:r>
          </w:p>
        </w:tc>
        <w:tc>
          <w:tcPr>
            <w:tcW w:w="1288" w:type="dxa"/>
            <w:vAlign w:val="center"/>
          </w:tcPr>
          <w:p w14:paraId="553BE2DD">
            <w:pPr>
              <w:pStyle w:val="195"/>
              <w:adjustRightInd w:val="0"/>
              <w:snapToGrid w:val="0"/>
              <w:spacing w:before="0" w:after="0"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本项目使用电能。</w:t>
            </w:r>
          </w:p>
        </w:tc>
        <w:tc>
          <w:tcPr>
            <w:tcW w:w="838" w:type="dxa"/>
            <w:vMerge w:val="restart"/>
            <w:vAlign w:val="center"/>
          </w:tcPr>
          <w:p w14:paraId="348AC302">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69210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959" w:type="dxa"/>
            <w:vMerge w:val="continue"/>
            <w:vAlign w:val="center"/>
          </w:tcPr>
          <w:p w14:paraId="0BE6CD7A">
            <w:pPr>
              <w:snapToGrid w:val="0"/>
              <w:spacing w:line="240" w:lineRule="auto"/>
              <w:ind w:firstLine="480"/>
              <w:rPr>
                <w:rFonts w:hint="default" w:ascii="Times New Roman" w:hAnsi="Times New Roman" w:cs="Times New Roman"/>
                <w:color w:val="auto"/>
              </w:rPr>
            </w:pPr>
          </w:p>
        </w:tc>
        <w:tc>
          <w:tcPr>
            <w:tcW w:w="821" w:type="dxa"/>
            <w:vMerge w:val="continue"/>
            <w:vAlign w:val="center"/>
          </w:tcPr>
          <w:p w14:paraId="450BF4E3">
            <w:pPr>
              <w:snapToGrid w:val="0"/>
              <w:spacing w:line="240" w:lineRule="auto"/>
              <w:ind w:firstLine="480"/>
              <w:rPr>
                <w:rFonts w:hint="default" w:ascii="Times New Roman" w:hAnsi="Times New Roman" w:cs="Times New Roman"/>
                <w:color w:val="auto"/>
              </w:rPr>
            </w:pPr>
          </w:p>
        </w:tc>
        <w:tc>
          <w:tcPr>
            <w:tcW w:w="4433" w:type="dxa"/>
            <w:gridSpan w:val="2"/>
            <w:vAlign w:val="center"/>
          </w:tcPr>
          <w:p w14:paraId="69304ACB">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第十九条  鼓励企业对标能耗限额标准先进值或国际先进水平，加快主要产品工艺升级与绿色化改造，推动工业窑炉、锅炉、电机、压缩机、泵、变压器等重点用能设备系统节能改造。推动现有企业、园区生产过程清洁化转型，精准提升市场主体绿色低碳水平，引导绿色园区低碳发展。</w:t>
            </w:r>
          </w:p>
        </w:tc>
        <w:tc>
          <w:tcPr>
            <w:tcW w:w="1288" w:type="dxa"/>
            <w:vAlign w:val="center"/>
          </w:tcPr>
          <w:p w14:paraId="1C633674">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本项目电机、泵、变压器等均为环保设备。</w:t>
            </w:r>
          </w:p>
        </w:tc>
        <w:tc>
          <w:tcPr>
            <w:tcW w:w="838" w:type="dxa"/>
            <w:vMerge w:val="continue"/>
            <w:vAlign w:val="center"/>
          </w:tcPr>
          <w:p w14:paraId="2519275B">
            <w:pPr>
              <w:snapToGrid w:val="0"/>
              <w:spacing w:line="240" w:lineRule="auto"/>
              <w:ind w:firstLine="420"/>
              <w:rPr>
                <w:rFonts w:hint="default" w:ascii="Times New Roman" w:hAnsi="Times New Roman" w:cs="Times New Roman"/>
                <w:color w:val="auto"/>
                <w:sz w:val="21"/>
                <w:szCs w:val="21"/>
              </w:rPr>
            </w:pPr>
          </w:p>
        </w:tc>
      </w:tr>
      <w:tr w14:paraId="06035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959" w:type="dxa"/>
            <w:vMerge w:val="continue"/>
            <w:vAlign w:val="center"/>
          </w:tcPr>
          <w:p w14:paraId="4E2FCF7F">
            <w:pPr>
              <w:snapToGrid w:val="0"/>
              <w:spacing w:line="240" w:lineRule="auto"/>
              <w:ind w:firstLine="420"/>
              <w:rPr>
                <w:rFonts w:hint="default" w:ascii="Times New Roman" w:hAnsi="Times New Roman" w:cs="Times New Roman"/>
                <w:color w:val="auto"/>
                <w:sz w:val="21"/>
                <w:szCs w:val="21"/>
              </w:rPr>
            </w:pPr>
          </w:p>
        </w:tc>
        <w:tc>
          <w:tcPr>
            <w:tcW w:w="821" w:type="dxa"/>
            <w:vMerge w:val="continue"/>
            <w:vAlign w:val="center"/>
          </w:tcPr>
          <w:p w14:paraId="38AC47E5">
            <w:pPr>
              <w:snapToGrid w:val="0"/>
              <w:spacing w:line="240" w:lineRule="auto"/>
              <w:ind w:firstLine="420"/>
              <w:rPr>
                <w:rFonts w:hint="default" w:ascii="Times New Roman" w:hAnsi="Times New Roman" w:cs="Times New Roman"/>
                <w:color w:val="auto"/>
                <w:sz w:val="21"/>
                <w:szCs w:val="21"/>
              </w:rPr>
            </w:pPr>
          </w:p>
        </w:tc>
        <w:tc>
          <w:tcPr>
            <w:tcW w:w="4433" w:type="dxa"/>
            <w:gridSpan w:val="2"/>
            <w:vAlign w:val="center"/>
          </w:tcPr>
          <w:p w14:paraId="05589754">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第二十条  新建、扩建“两高”项目应采用先进适用的工艺技术和装备，单位产品物耗、能耗、水耗等达到清洁生产先进水平。</w:t>
            </w:r>
          </w:p>
        </w:tc>
        <w:tc>
          <w:tcPr>
            <w:tcW w:w="1288" w:type="dxa"/>
            <w:vAlign w:val="center"/>
          </w:tcPr>
          <w:p w14:paraId="494766DB">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本项目不属于“两高”项目</w:t>
            </w:r>
          </w:p>
        </w:tc>
        <w:tc>
          <w:tcPr>
            <w:tcW w:w="838" w:type="dxa"/>
            <w:vMerge w:val="continue"/>
            <w:vAlign w:val="center"/>
          </w:tcPr>
          <w:p w14:paraId="118600B2">
            <w:pPr>
              <w:snapToGrid w:val="0"/>
              <w:spacing w:line="240" w:lineRule="auto"/>
              <w:ind w:firstLine="420"/>
              <w:rPr>
                <w:rFonts w:hint="default" w:ascii="Times New Roman" w:hAnsi="Times New Roman" w:cs="Times New Roman"/>
                <w:color w:val="auto"/>
                <w:sz w:val="21"/>
                <w:szCs w:val="21"/>
              </w:rPr>
            </w:pPr>
          </w:p>
        </w:tc>
      </w:tr>
      <w:tr w14:paraId="1CBD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959" w:type="dxa"/>
            <w:vMerge w:val="continue"/>
            <w:vAlign w:val="center"/>
          </w:tcPr>
          <w:p w14:paraId="24D87C54">
            <w:pPr>
              <w:snapToGrid w:val="0"/>
              <w:spacing w:line="240" w:lineRule="auto"/>
              <w:ind w:firstLine="420"/>
              <w:rPr>
                <w:rFonts w:hint="default" w:ascii="Times New Roman" w:hAnsi="Times New Roman" w:cs="Times New Roman"/>
                <w:color w:val="auto"/>
                <w:sz w:val="21"/>
                <w:szCs w:val="21"/>
              </w:rPr>
            </w:pPr>
          </w:p>
        </w:tc>
        <w:tc>
          <w:tcPr>
            <w:tcW w:w="821" w:type="dxa"/>
            <w:vMerge w:val="continue"/>
            <w:vAlign w:val="center"/>
          </w:tcPr>
          <w:p w14:paraId="50656554">
            <w:pPr>
              <w:snapToGrid w:val="0"/>
              <w:spacing w:line="240" w:lineRule="auto"/>
              <w:ind w:firstLine="420"/>
              <w:rPr>
                <w:rFonts w:hint="default" w:ascii="Times New Roman" w:hAnsi="Times New Roman" w:cs="Times New Roman"/>
                <w:color w:val="auto"/>
                <w:sz w:val="21"/>
                <w:szCs w:val="21"/>
              </w:rPr>
            </w:pPr>
          </w:p>
        </w:tc>
        <w:tc>
          <w:tcPr>
            <w:tcW w:w="4433" w:type="dxa"/>
            <w:gridSpan w:val="2"/>
            <w:vAlign w:val="center"/>
          </w:tcPr>
          <w:p w14:paraId="1461A155">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第二十一条  推进企业内部工业用水循环利用、园区内企业间用水系统集成优化。开展火电、石化、有色金属、造纸、印染等高耗水行业工业废水循环利用示范。根据区域水资源禀赋和行业特点，结合用水总量控制措施，引导区域工业布局和产业结构调整，大力推广工业水循环利用，加快淘汰落后用水工艺和技术。</w:t>
            </w:r>
          </w:p>
        </w:tc>
        <w:tc>
          <w:tcPr>
            <w:tcW w:w="1288" w:type="dxa"/>
            <w:vAlign w:val="center"/>
          </w:tcPr>
          <w:p w14:paraId="776207A7">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根据市发改委的节能审查意见，本项目符合国家和重庆市相关产业政策和节能管理规定，未采用国家禁止或淘汰的工艺及设备。</w:t>
            </w:r>
          </w:p>
        </w:tc>
        <w:tc>
          <w:tcPr>
            <w:tcW w:w="838" w:type="dxa"/>
            <w:vMerge w:val="continue"/>
            <w:vAlign w:val="center"/>
          </w:tcPr>
          <w:p w14:paraId="7C2D9619">
            <w:pPr>
              <w:snapToGrid w:val="0"/>
              <w:spacing w:line="240" w:lineRule="auto"/>
              <w:ind w:firstLine="420"/>
              <w:rPr>
                <w:rFonts w:hint="default" w:ascii="Times New Roman" w:hAnsi="Times New Roman" w:cs="Times New Roman"/>
                <w:color w:val="auto"/>
                <w:sz w:val="21"/>
                <w:szCs w:val="21"/>
              </w:rPr>
            </w:pPr>
          </w:p>
        </w:tc>
      </w:tr>
      <w:tr w14:paraId="48260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959" w:type="dxa"/>
            <w:vMerge w:val="continue"/>
            <w:vAlign w:val="center"/>
          </w:tcPr>
          <w:p w14:paraId="76E18833">
            <w:pPr>
              <w:snapToGrid w:val="0"/>
              <w:spacing w:line="240" w:lineRule="auto"/>
              <w:ind w:firstLine="420"/>
              <w:rPr>
                <w:rFonts w:hint="default" w:ascii="Times New Roman" w:hAnsi="Times New Roman" w:cs="Times New Roman"/>
                <w:color w:val="auto"/>
                <w:sz w:val="21"/>
                <w:szCs w:val="21"/>
              </w:rPr>
            </w:pPr>
          </w:p>
        </w:tc>
        <w:tc>
          <w:tcPr>
            <w:tcW w:w="821" w:type="dxa"/>
            <w:vMerge w:val="continue"/>
            <w:vAlign w:val="center"/>
          </w:tcPr>
          <w:p w14:paraId="61121F6B">
            <w:pPr>
              <w:snapToGrid w:val="0"/>
              <w:spacing w:line="240" w:lineRule="auto"/>
              <w:ind w:firstLine="420"/>
              <w:rPr>
                <w:rFonts w:hint="default" w:ascii="Times New Roman" w:hAnsi="Times New Roman" w:cs="Times New Roman"/>
                <w:color w:val="auto"/>
                <w:sz w:val="21"/>
                <w:szCs w:val="21"/>
              </w:rPr>
            </w:pPr>
          </w:p>
        </w:tc>
        <w:tc>
          <w:tcPr>
            <w:tcW w:w="4433" w:type="dxa"/>
            <w:gridSpan w:val="2"/>
            <w:vAlign w:val="center"/>
          </w:tcPr>
          <w:p w14:paraId="43A5D2B2">
            <w:pPr>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第二十二条  加快推进节水配套设施建设，加强再生水、雨水等非常规水多元、梯级和安全利用，逐年提高非常规水利用比例。结合现有污水处理设施提标升级扩能改造，系统规划城镇污水再生利用设施。</w:t>
            </w:r>
          </w:p>
        </w:tc>
        <w:tc>
          <w:tcPr>
            <w:tcW w:w="1288" w:type="dxa"/>
            <w:vAlign w:val="center"/>
          </w:tcPr>
          <w:p w14:paraId="6B372974">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不涉及</w:t>
            </w:r>
          </w:p>
        </w:tc>
        <w:tc>
          <w:tcPr>
            <w:tcW w:w="838" w:type="dxa"/>
            <w:vMerge w:val="continue"/>
            <w:vAlign w:val="center"/>
          </w:tcPr>
          <w:p w14:paraId="1DC913D5">
            <w:pPr>
              <w:snapToGrid w:val="0"/>
              <w:spacing w:line="240" w:lineRule="auto"/>
              <w:ind w:firstLine="420"/>
              <w:rPr>
                <w:rFonts w:hint="default" w:ascii="Times New Roman" w:hAnsi="Times New Roman" w:cs="Times New Roman"/>
                <w:color w:val="auto"/>
                <w:sz w:val="21"/>
                <w:szCs w:val="21"/>
              </w:rPr>
            </w:pPr>
          </w:p>
        </w:tc>
      </w:tr>
      <w:tr w14:paraId="5DE0C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7" w:hRule="atLeast"/>
          <w:jc w:val="center"/>
        </w:trPr>
        <w:tc>
          <w:tcPr>
            <w:tcW w:w="959" w:type="dxa"/>
            <w:vMerge w:val="restart"/>
            <w:vAlign w:val="center"/>
          </w:tcPr>
          <w:p w14:paraId="6989CA85">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九龙坡区总体管控要求</w:t>
            </w:r>
          </w:p>
        </w:tc>
        <w:tc>
          <w:tcPr>
            <w:tcW w:w="821" w:type="dxa"/>
            <w:vMerge w:val="restart"/>
            <w:vAlign w:val="center"/>
          </w:tcPr>
          <w:p w14:paraId="68509F82">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空间布局约束</w:t>
            </w:r>
          </w:p>
        </w:tc>
        <w:tc>
          <w:tcPr>
            <w:tcW w:w="4433" w:type="dxa"/>
            <w:gridSpan w:val="2"/>
            <w:vAlign w:val="center"/>
          </w:tcPr>
          <w:p w14:paraId="7FFA883C">
            <w:pPr>
              <w:spacing w:line="28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第一条 执行重点管控单元市级总体管控要求第一条、第二条、第三条、第四条、第五条和第七条。</w:t>
            </w:r>
          </w:p>
        </w:tc>
        <w:tc>
          <w:tcPr>
            <w:tcW w:w="1288" w:type="dxa"/>
            <w:vAlign w:val="center"/>
          </w:tcPr>
          <w:p w14:paraId="48DA7882">
            <w:pPr>
              <w:pStyle w:val="195"/>
              <w:adjustRightInd w:val="0"/>
              <w:snapToGrid w:val="0"/>
              <w:spacing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本项目为改性粒料生产，非化工项目、尾矿库、冶炼渣库、磷石膏库、重化工、纸浆制造、印染等存在环境风险的项目，非高耗能、高排放、低水平项目，不设环境防护距离，位于重庆经济技术开发区。</w:t>
            </w:r>
          </w:p>
        </w:tc>
        <w:tc>
          <w:tcPr>
            <w:tcW w:w="838" w:type="dxa"/>
            <w:vMerge w:val="restart"/>
            <w:vAlign w:val="center"/>
          </w:tcPr>
          <w:p w14:paraId="1580B66C">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69FE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7" w:hRule="atLeast"/>
          <w:jc w:val="center"/>
        </w:trPr>
        <w:tc>
          <w:tcPr>
            <w:tcW w:w="959" w:type="dxa"/>
            <w:vMerge w:val="continue"/>
            <w:vAlign w:val="center"/>
          </w:tcPr>
          <w:p w14:paraId="02E857B6">
            <w:pPr>
              <w:spacing w:line="280" w:lineRule="exact"/>
              <w:ind w:firstLine="0" w:firstLineChars="0"/>
              <w:rPr>
                <w:rFonts w:hint="default" w:ascii="Times New Roman" w:hAnsi="Times New Roman" w:cs="Times New Roman"/>
                <w:color w:val="auto"/>
              </w:rPr>
            </w:pPr>
          </w:p>
        </w:tc>
        <w:tc>
          <w:tcPr>
            <w:tcW w:w="821" w:type="dxa"/>
            <w:vMerge w:val="continue"/>
            <w:vAlign w:val="center"/>
          </w:tcPr>
          <w:p w14:paraId="67E526D3">
            <w:pPr>
              <w:spacing w:line="280" w:lineRule="exact"/>
              <w:ind w:firstLine="0" w:firstLineChars="0"/>
              <w:rPr>
                <w:rFonts w:hint="default" w:ascii="Times New Roman" w:hAnsi="Times New Roman" w:cs="Times New Roman"/>
                <w:color w:val="auto"/>
              </w:rPr>
            </w:pPr>
          </w:p>
        </w:tc>
        <w:tc>
          <w:tcPr>
            <w:tcW w:w="4433" w:type="dxa"/>
            <w:gridSpan w:val="2"/>
            <w:vAlign w:val="center"/>
          </w:tcPr>
          <w:p w14:paraId="00356327">
            <w:pPr>
              <w:spacing w:line="28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第二条 以完善优势产业链发展作为方向，科学合理优化工业用地空间布局，推进产城融合高质量发展。有序推动九龙新城园区东部片区(原九龙工业园区)“东三街”和九龙街道工业用地转型升级，重点发展制造服务业；推动九龙西城新能源、装备制造、新材料等产业往下游延伸。九龙新城园区西部片区(原西彭工业园区)内紧邻居住用地、中小学用地等的工业用地后续应严格控制高噪声、异味明显的项目入驻，并根据实际情况设置一定防护距离。</w:t>
            </w:r>
          </w:p>
        </w:tc>
        <w:tc>
          <w:tcPr>
            <w:tcW w:w="1288" w:type="dxa"/>
            <w:vAlign w:val="center"/>
          </w:tcPr>
          <w:p w14:paraId="373F4FCE">
            <w:pPr>
              <w:pStyle w:val="195"/>
              <w:adjustRightInd w:val="0"/>
              <w:snapToGrid w:val="0"/>
              <w:spacing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本项目为改性粒料生产，不涉及</w:t>
            </w:r>
            <w:r>
              <w:rPr>
                <w:rFonts w:hint="default" w:ascii="Times New Roman" w:hAnsi="Times New Roman" w:cs="Times New Roman"/>
                <w:color w:val="auto"/>
                <w:sz w:val="21"/>
                <w:szCs w:val="21"/>
              </w:rPr>
              <w:t>“东三街”和九龙街道工业用地转型升级，位于陶家组团</w:t>
            </w:r>
          </w:p>
        </w:tc>
        <w:tc>
          <w:tcPr>
            <w:tcW w:w="838" w:type="dxa"/>
            <w:vMerge w:val="continue"/>
            <w:vAlign w:val="center"/>
          </w:tcPr>
          <w:p w14:paraId="7519128C">
            <w:pPr>
              <w:spacing w:line="280" w:lineRule="exact"/>
              <w:ind w:firstLine="0" w:firstLineChars="0"/>
              <w:rPr>
                <w:rFonts w:hint="default" w:ascii="Times New Roman" w:hAnsi="Times New Roman" w:cs="Times New Roman"/>
                <w:color w:val="auto"/>
                <w:sz w:val="21"/>
                <w:szCs w:val="21"/>
              </w:rPr>
            </w:pPr>
          </w:p>
        </w:tc>
      </w:tr>
      <w:tr w14:paraId="70A7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959" w:type="dxa"/>
            <w:vMerge w:val="continue"/>
            <w:vAlign w:val="center"/>
          </w:tcPr>
          <w:p w14:paraId="1E283E56">
            <w:pPr>
              <w:snapToGrid w:val="0"/>
              <w:spacing w:line="240" w:lineRule="auto"/>
              <w:ind w:firstLine="0" w:firstLineChars="0"/>
              <w:jc w:val="center"/>
              <w:rPr>
                <w:rFonts w:hint="default" w:ascii="Times New Roman" w:hAnsi="Times New Roman" w:cs="Times New Roman"/>
                <w:color w:val="auto"/>
                <w:sz w:val="21"/>
                <w:szCs w:val="21"/>
              </w:rPr>
            </w:pPr>
          </w:p>
        </w:tc>
        <w:tc>
          <w:tcPr>
            <w:tcW w:w="821" w:type="dxa"/>
            <w:vMerge w:val="restart"/>
            <w:vAlign w:val="center"/>
          </w:tcPr>
          <w:p w14:paraId="2829F256">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污染物排放管控</w:t>
            </w:r>
          </w:p>
        </w:tc>
        <w:tc>
          <w:tcPr>
            <w:tcW w:w="4433" w:type="dxa"/>
            <w:gridSpan w:val="2"/>
            <w:vAlign w:val="center"/>
          </w:tcPr>
          <w:p w14:paraId="3628F20C">
            <w:pPr>
              <w:spacing w:line="28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第三条 执行重点管控单元市级总体管控要求第八条、第九条、第十一条、第十二条、第十四条、第十五条。</w:t>
            </w:r>
          </w:p>
        </w:tc>
        <w:tc>
          <w:tcPr>
            <w:tcW w:w="1288" w:type="dxa"/>
            <w:vAlign w:val="center"/>
          </w:tcPr>
          <w:p w14:paraId="47C2B016">
            <w:pPr>
              <w:pStyle w:val="195"/>
              <w:adjustRightInd w:val="0"/>
              <w:snapToGrid w:val="0"/>
              <w:spacing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本项目为改性粒料生产，固废均分类收集处置。</w:t>
            </w:r>
          </w:p>
        </w:tc>
        <w:tc>
          <w:tcPr>
            <w:tcW w:w="838" w:type="dxa"/>
            <w:vMerge w:val="restart"/>
            <w:vAlign w:val="center"/>
          </w:tcPr>
          <w:p w14:paraId="74BA1145">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3756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959" w:type="dxa"/>
            <w:vMerge w:val="continue"/>
            <w:vAlign w:val="center"/>
          </w:tcPr>
          <w:p w14:paraId="1527513C">
            <w:pPr>
              <w:spacing w:line="280" w:lineRule="exact"/>
              <w:ind w:firstLine="0" w:firstLineChars="0"/>
              <w:rPr>
                <w:rFonts w:hint="default" w:ascii="Times New Roman" w:hAnsi="Times New Roman" w:cs="Times New Roman"/>
                <w:color w:val="auto"/>
              </w:rPr>
            </w:pPr>
          </w:p>
        </w:tc>
        <w:tc>
          <w:tcPr>
            <w:tcW w:w="821" w:type="dxa"/>
            <w:vMerge w:val="continue"/>
            <w:vAlign w:val="center"/>
          </w:tcPr>
          <w:p w14:paraId="57F56A16">
            <w:pPr>
              <w:spacing w:line="280" w:lineRule="exact"/>
              <w:ind w:firstLine="0" w:firstLineChars="0"/>
              <w:rPr>
                <w:rFonts w:hint="default" w:ascii="Times New Roman" w:hAnsi="Times New Roman" w:cs="Times New Roman"/>
                <w:color w:val="auto"/>
              </w:rPr>
            </w:pPr>
          </w:p>
        </w:tc>
        <w:tc>
          <w:tcPr>
            <w:tcW w:w="4433" w:type="dxa"/>
            <w:gridSpan w:val="2"/>
            <w:vAlign w:val="center"/>
          </w:tcPr>
          <w:p w14:paraId="0B621057">
            <w:pPr>
              <w:spacing w:line="28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第四条 以重点行业为抓手，深化挥发性有机物治理，减缓工居混杂矛盾。以工业涂装、汽车维修、油品储运销等行业为重点，推动重点行业持续提升低(无)VOCs含量、低反应活性的原辅材料替代比例，推进重点监管企业VOCs综合整治。加强投诉较为集中的重点区域废气排放企业监督检查，加强重点排污企业污染治理设施和在线监控建设和运维。</w:t>
            </w:r>
          </w:p>
        </w:tc>
        <w:tc>
          <w:tcPr>
            <w:tcW w:w="1288" w:type="dxa"/>
            <w:vAlign w:val="center"/>
          </w:tcPr>
          <w:p w14:paraId="2F039788">
            <w:pPr>
              <w:pStyle w:val="195"/>
              <w:adjustRightInd w:val="0"/>
              <w:snapToGrid w:val="0"/>
              <w:spacing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本项目为改性粒料生产，</w:t>
            </w:r>
            <w:r>
              <w:rPr>
                <w:rFonts w:hint="default" w:ascii="Times New Roman" w:hAnsi="Times New Roman" w:cs="Times New Roman"/>
                <w:color w:val="auto"/>
                <w:sz w:val="21"/>
                <w:szCs w:val="21"/>
              </w:rPr>
              <w:t>采用低挥发性原辅材料。</w:t>
            </w:r>
          </w:p>
        </w:tc>
        <w:tc>
          <w:tcPr>
            <w:tcW w:w="838" w:type="dxa"/>
            <w:vMerge w:val="continue"/>
            <w:vAlign w:val="center"/>
          </w:tcPr>
          <w:p w14:paraId="6E6011EB">
            <w:pPr>
              <w:spacing w:line="280" w:lineRule="exact"/>
              <w:ind w:firstLine="0" w:firstLineChars="0"/>
              <w:rPr>
                <w:rFonts w:hint="default" w:ascii="Times New Roman" w:hAnsi="Times New Roman" w:cs="Times New Roman"/>
                <w:color w:val="auto"/>
                <w:sz w:val="21"/>
                <w:szCs w:val="21"/>
              </w:rPr>
            </w:pPr>
          </w:p>
        </w:tc>
      </w:tr>
      <w:tr w14:paraId="43A3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959" w:type="dxa"/>
            <w:vMerge w:val="continue"/>
            <w:vAlign w:val="center"/>
          </w:tcPr>
          <w:p w14:paraId="777CC255">
            <w:pPr>
              <w:spacing w:line="280" w:lineRule="exact"/>
              <w:ind w:firstLine="0" w:firstLineChars="0"/>
              <w:rPr>
                <w:rFonts w:hint="default" w:ascii="Times New Roman" w:hAnsi="Times New Roman" w:cs="Times New Roman"/>
                <w:color w:val="auto"/>
                <w:sz w:val="21"/>
                <w:szCs w:val="21"/>
              </w:rPr>
            </w:pPr>
          </w:p>
        </w:tc>
        <w:tc>
          <w:tcPr>
            <w:tcW w:w="821" w:type="dxa"/>
            <w:vMerge w:val="continue"/>
            <w:vAlign w:val="center"/>
          </w:tcPr>
          <w:p w14:paraId="3932AAC9">
            <w:pPr>
              <w:spacing w:line="280" w:lineRule="exact"/>
              <w:ind w:firstLine="0" w:firstLineChars="0"/>
              <w:rPr>
                <w:rFonts w:hint="default" w:ascii="Times New Roman" w:hAnsi="Times New Roman" w:cs="Times New Roman"/>
                <w:color w:val="auto"/>
                <w:sz w:val="21"/>
                <w:szCs w:val="21"/>
              </w:rPr>
            </w:pPr>
          </w:p>
        </w:tc>
        <w:tc>
          <w:tcPr>
            <w:tcW w:w="4433" w:type="dxa"/>
            <w:gridSpan w:val="2"/>
            <w:vAlign w:val="center"/>
          </w:tcPr>
          <w:p w14:paraId="6CFFB1C7">
            <w:pPr>
              <w:spacing w:line="28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第五条 以餐饮油烟为重点，强化生活污染防治。加大居民生活油烟排放治理，推动具备条件的餐饮单位安装餐饮油烟在线监控设施，加强对重点区域无油烟净化设施露天摊位的管理。</w:t>
            </w:r>
          </w:p>
        </w:tc>
        <w:tc>
          <w:tcPr>
            <w:tcW w:w="1288" w:type="dxa"/>
            <w:vAlign w:val="center"/>
          </w:tcPr>
          <w:p w14:paraId="2038C2B6">
            <w:pPr>
              <w:spacing w:line="28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不涉及</w:t>
            </w:r>
          </w:p>
        </w:tc>
        <w:tc>
          <w:tcPr>
            <w:tcW w:w="838" w:type="dxa"/>
            <w:vMerge w:val="continue"/>
            <w:vAlign w:val="center"/>
          </w:tcPr>
          <w:p w14:paraId="542813B6">
            <w:pPr>
              <w:spacing w:line="280" w:lineRule="exact"/>
              <w:ind w:firstLine="0" w:firstLineChars="0"/>
              <w:rPr>
                <w:rFonts w:hint="default" w:ascii="Times New Roman" w:hAnsi="Times New Roman" w:cs="Times New Roman"/>
                <w:color w:val="auto"/>
                <w:sz w:val="21"/>
                <w:szCs w:val="21"/>
              </w:rPr>
            </w:pPr>
          </w:p>
        </w:tc>
      </w:tr>
      <w:tr w14:paraId="0FFC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959" w:type="dxa"/>
            <w:vMerge w:val="continue"/>
            <w:vAlign w:val="center"/>
          </w:tcPr>
          <w:p w14:paraId="33C7BD09">
            <w:pPr>
              <w:spacing w:line="280" w:lineRule="exact"/>
              <w:ind w:firstLine="0" w:firstLineChars="0"/>
              <w:rPr>
                <w:rFonts w:hint="default" w:ascii="Times New Roman" w:hAnsi="Times New Roman" w:cs="Times New Roman"/>
                <w:color w:val="auto"/>
                <w:sz w:val="21"/>
                <w:szCs w:val="21"/>
              </w:rPr>
            </w:pPr>
          </w:p>
        </w:tc>
        <w:tc>
          <w:tcPr>
            <w:tcW w:w="821" w:type="dxa"/>
            <w:vMerge w:val="continue"/>
            <w:vAlign w:val="center"/>
          </w:tcPr>
          <w:p w14:paraId="667D45AD">
            <w:pPr>
              <w:spacing w:line="280" w:lineRule="exact"/>
              <w:ind w:firstLine="0" w:firstLineChars="0"/>
              <w:rPr>
                <w:rFonts w:hint="default" w:ascii="Times New Roman" w:hAnsi="Times New Roman" w:cs="Times New Roman"/>
                <w:color w:val="auto"/>
                <w:sz w:val="21"/>
                <w:szCs w:val="21"/>
              </w:rPr>
            </w:pPr>
          </w:p>
        </w:tc>
        <w:tc>
          <w:tcPr>
            <w:tcW w:w="4433" w:type="dxa"/>
            <w:gridSpan w:val="2"/>
            <w:vAlign w:val="center"/>
          </w:tcPr>
          <w:p w14:paraId="6E86E376">
            <w:pPr>
              <w:spacing w:line="28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第六条 以交通和扬尘污染治理为关键，提升环境空气质量。加快淘汰国三及以下排放标准柴油车、汽油车，以运输企业和用车大户为重点，建立车辆档案并制定淘汰计划；严格落实中心城区高排放车辆限行措施；大力推广新能源车；加快发展城市轨道交通、智能交通和慢行交通，加快建设滨江步道，鼓励绿色出行；以九龙半岛、西部片区等区域为重点，加强施工扬尘监管，逐步推进建筑面积2万平方米以上的工地安装在线监控系统。</w:t>
            </w:r>
          </w:p>
        </w:tc>
        <w:tc>
          <w:tcPr>
            <w:tcW w:w="1288" w:type="dxa"/>
            <w:vAlign w:val="center"/>
          </w:tcPr>
          <w:p w14:paraId="71C38629">
            <w:pPr>
              <w:spacing w:line="28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本项目物料均采用公路运输，均由供料厂家负责，优先选取新能源车辆和国VI排放标准车辆。</w:t>
            </w:r>
          </w:p>
        </w:tc>
        <w:tc>
          <w:tcPr>
            <w:tcW w:w="838" w:type="dxa"/>
            <w:vMerge w:val="continue"/>
            <w:vAlign w:val="center"/>
          </w:tcPr>
          <w:p w14:paraId="7B707860">
            <w:pPr>
              <w:spacing w:line="280" w:lineRule="exact"/>
              <w:ind w:firstLine="0" w:firstLineChars="0"/>
              <w:rPr>
                <w:rFonts w:hint="default" w:ascii="Times New Roman" w:hAnsi="Times New Roman" w:cs="Times New Roman"/>
                <w:color w:val="auto"/>
                <w:sz w:val="21"/>
                <w:szCs w:val="21"/>
              </w:rPr>
            </w:pPr>
          </w:p>
        </w:tc>
      </w:tr>
      <w:tr w14:paraId="19F4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959" w:type="dxa"/>
            <w:vMerge w:val="continue"/>
            <w:vAlign w:val="center"/>
          </w:tcPr>
          <w:p w14:paraId="7AE78131">
            <w:pPr>
              <w:spacing w:line="280" w:lineRule="exact"/>
              <w:ind w:firstLine="0" w:firstLineChars="0"/>
              <w:rPr>
                <w:rFonts w:hint="default" w:ascii="Times New Roman" w:hAnsi="Times New Roman" w:cs="Times New Roman"/>
                <w:color w:val="auto"/>
                <w:sz w:val="21"/>
                <w:szCs w:val="21"/>
              </w:rPr>
            </w:pPr>
          </w:p>
        </w:tc>
        <w:tc>
          <w:tcPr>
            <w:tcW w:w="821" w:type="dxa"/>
            <w:vMerge w:val="continue"/>
            <w:vAlign w:val="center"/>
          </w:tcPr>
          <w:p w14:paraId="0DD00838">
            <w:pPr>
              <w:spacing w:line="280" w:lineRule="exact"/>
              <w:ind w:firstLine="0" w:firstLineChars="0"/>
              <w:rPr>
                <w:rFonts w:hint="default" w:ascii="Times New Roman" w:hAnsi="Times New Roman" w:cs="Times New Roman"/>
                <w:color w:val="auto"/>
                <w:sz w:val="21"/>
                <w:szCs w:val="21"/>
              </w:rPr>
            </w:pPr>
          </w:p>
        </w:tc>
        <w:tc>
          <w:tcPr>
            <w:tcW w:w="4433" w:type="dxa"/>
            <w:gridSpan w:val="2"/>
            <w:vAlign w:val="center"/>
          </w:tcPr>
          <w:p w14:paraId="1D804F54">
            <w:pPr>
              <w:spacing w:line="28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第七条 以“三河六溪”污染综合治理为核心，改善次级河流水质。持续推进“三河六溪”污染综合治理。实施跳磴河水质提升攻坚行动，整治突出水环境问题，完成重点流域雨污分流整治、河道清淤疏浚等措施；推进桃花溪流域雨污分流整治；实施大溪河流域整治，强化流域跨界协同治理机制；深化六条滨河污染治理，因地制宜开展水体内源污染治理和生态修复，增强河湖水体自净功能。</w:t>
            </w:r>
          </w:p>
        </w:tc>
        <w:tc>
          <w:tcPr>
            <w:tcW w:w="1288" w:type="dxa"/>
            <w:vAlign w:val="center"/>
          </w:tcPr>
          <w:p w14:paraId="2DCC362C">
            <w:pPr>
              <w:spacing w:line="28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不涉及</w:t>
            </w:r>
          </w:p>
        </w:tc>
        <w:tc>
          <w:tcPr>
            <w:tcW w:w="838" w:type="dxa"/>
            <w:vMerge w:val="continue"/>
            <w:vAlign w:val="center"/>
          </w:tcPr>
          <w:p w14:paraId="2A9098D7">
            <w:pPr>
              <w:spacing w:line="280" w:lineRule="exact"/>
              <w:ind w:firstLine="0" w:firstLineChars="0"/>
              <w:rPr>
                <w:rFonts w:hint="default" w:ascii="Times New Roman" w:hAnsi="Times New Roman" w:cs="Times New Roman"/>
                <w:color w:val="auto"/>
                <w:sz w:val="21"/>
                <w:szCs w:val="21"/>
              </w:rPr>
            </w:pPr>
          </w:p>
        </w:tc>
      </w:tr>
      <w:tr w14:paraId="7954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959" w:type="dxa"/>
            <w:vMerge w:val="continue"/>
            <w:vAlign w:val="center"/>
          </w:tcPr>
          <w:p w14:paraId="2FCD6978">
            <w:pPr>
              <w:spacing w:line="280" w:lineRule="exact"/>
              <w:ind w:firstLine="0" w:firstLineChars="0"/>
              <w:rPr>
                <w:rFonts w:hint="default" w:ascii="Times New Roman" w:hAnsi="Times New Roman" w:cs="Times New Roman"/>
                <w:color w:val="auto"/>
                <w:sz w:val="21"/>
                <w:szCs w:val="21"/>
              </w:rPr>
            </w:pPr>
          </w:p>
        </w:tc>
        <w:tc>
          <w:tcPr>
            <w:tcW w:w="821" w:type="dxa"/>
            <w:vMerge w:val="continue"/>
            <w:vAlign w:val="center"/>
          </w:tcPr>
          <w:p w14:paraId="5502CD4F">
            <w:pPr>
              <w:spacing w:line="280" w:lineRule="exact"/>
              <w:ind w:firstLine="0" w:firstLineChars="0"/>
              <w:rPr>
                <w:rFonts w:hint="default" w:ascii="Times New Roman" w:hAnsi="Times New Roman" w:cs="Times New Roman"/>
                <w:color w:val="auto"/>
                <w:sz w:val="21"/>
                <w:szCs w:val="21"/>
              </w:rPr>
            </w:pPr>
          </w:p>
        </w:tc>
        <w:tc>
          <w:tcPr>
            <w:tcW w:w="4433" w:type="dxa"/>
            <w:gridSpan w:val="2"/>
            <w:vAlign w:val="center"/>
          </w:tcPr>
          <w:p w14:paraId="6205D43B">
            <w:pPr>
              <w:spacing w:line="28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第八条 以农业种植和水产养殖为重点，强化面源污染防治。严格控制化肥农药使用量，推进化肥农药减量增效；加强九龙西城西彭镇高标准农田管护运营；以九龙西城水产养殖污染防治为重点，全面推进池塘水产养殖综合治理，提高养殖尾水治理设施覆盖率。</w:t>
            </w:r>
          </w:p>
        </w:tc>
        <w:tc>
          <w:tcPr>
            <w:tcW w:w="1288" w:type="dxa"/>
            <w:vAlign w:val="center"/>
          </w:tcPr>
          <w:p w14:paraId="0FCE2A8E">
            <w:pPr>
              <w:spacing w:line="28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不涉及</w:t>
            </w:r>
          </w:p>
        </w:tc>
        <w:tc>
          <w:tcPr>
            <w:tcW w:w="838" w:type="dxa"/>
            <w:vMerge w:val="continue"/>
            <w:vAlign w:val="center"/>
          </w:tcPr>
          <w:p w14:paraId="1CD8FF59">
            <w:pPr>
              <w:spacing w:line="280" w:lineRule="exact"/>
              <w:ind w:firstLine="0" w:firstLineChars="0"/>
              <w:rPr>
                <w:rFonts w:hint="default" w:ascii="Times New Roman" w:hAnsi="Times New Roman" w:cs="Times New Roman"/>
                <w:color w:val="auto"/>
                <w:sz w:val="21"/>
                <w:szCs w:val="21"/>
              </w:rPr>
            </w:pPr>
          </w:p>
        </w:tc>
      </w:tr>
      <w:tr w14:paraId="15E0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vMerge w:val="continue"/>
            <w:vAlign w:val="center"/>
          </w:tcPr>
          <w:p w14:paraId="7800D43D">
            <w:pPr>
              <w:snapToGrid w:val="0"/>
              <w:spacing w:line="240" w:lineRule="auto"/>
              <w:ind w:firstLine="0" w:firstLineChars="0"/>
              <w:jc w:val="center"/>
              <w:rPr>
                <w:rFonts w:hint="default" w:ascii="Times New Roman" w:hAnsi="Times New Roman" w:cs="Times New Roman"/>
                <w:color w:val="auto"/>
                <w:sz w:val="21"/>
                <w:szCs w:val="21"/>
              </w:rPr>
            </w:pPr>
          </w:p>
        </w:tc>
        <w:tc>
          <w:tcPr>
            <w:tcW w:w="821" w:type="dxa"/>
            <w:vMerge w:val="restart"/>
            <w:vAlign w:val="center"/>
          </w:tcPr>
          <w:p w14:paraId="7CA06C64">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环境风险防控</w:t>
            </w:r>
          </w:p>
        </w:tc>
        <w:tc>
          <w:tcPr>
            <w:tcW w:w="4433" w:type="dxa"/>
            <w:gridSpan w:val="2"/>
            <w:vAlign w:val="center"/>
          </w:tcPr>
          <w:p w14:paraId="3C440646">
            <w:pPr>
              <w:spacing w:line="28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第九条 执行重点管控单元市级总体要求第十六条。</w:t>
            </w:r>
          </w:p>
        </w:tc>
        <w:tc>
          <w:tcPr>
            <w:tcW w:w="1288" w:type="dxa"/>
            <w:vAlign w:val="center"/>
          </w:tcPr>
          <w:p w14:paraId="5F2B63E4">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本项目采取了风险防范措施，且不属于重大突发环境事件风险企业。</w:t>
            </w:r>
          </w:p>
        </w:tc>
        <w:tc>
          <w:tcPr>
            <w:tcW w:w="838" w:type="dxa"/>
            <w:vMerge w:val="restart"/>
            <w:vAlign w:val="center"/>
          </w:tcPr>
          <w:p w14:paraId="65C37490">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1C877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vMerge w:val="continue"/>
            <w:vAlign w:val="center"/>
          </w:tcPr>
          <w:p w14:paraId="7BD89296">
            <w:pPr>
              <w:spacing w:line="280" w:lineRule="exact"/>
              <w:ind w:firstLine="0" w:firstLineChars="0"/>
              <w:rPr>
                <w:rFonts w:hint="default" w:ascii="Times New Roman" w:hAnsi="Times New Roman" w:cs="Times New Roman"/>
                <w:color w:val="auto"/>
              </w:rPr>
            </w:pPr>
          </w:p>
        </w:tc>
        <w:tc>
          <w:tcPr>
            <w:tcW w:w="821" w:type="dxa"/>
            <w:vMerge w:val="continue"/>
            <w:vAlign w:val="center"/>
          </w:tcPr>
          <w:p w14:paraId="5518F8FC">
            <w:pPr>
              <w:spacing w:line="280" w:lineRule="exact"/>
              <w:ind w:firstLine="0" w:firstLineChars="0"/>
              <w:rPr>
                <w:rFonts w:hint="default" w:ascii="Times New Roman" w:hAnsi="Times New Roman" w:cs="Times New Roman"/>
                <w:color w:val="auto"/>
              </w:rPr>
            </w:pPr>
          </w:p>
        </w:tc>
        <w:tc>
          <w:tcPr>
            <w:tcW w:w="4433" w:type="dxa"/>
            <w:gridSpan w:val="2"/>
            <w:vAlign w:val="center"/>
          </w:tcPr>
          <w:p w14:paraId="2C288EFC">
            <w:pPr>
              <w:spacing w:line="28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第十条 以保障饮用水源安全为目标，完善区域环境风险措施。加强长江沿江1km范围内化工企业及危化品仓库环境风险监管，进一步完善西彭工业园区铜罐驿组团流域级环境风险防范措施；西彭工业园区应与下游饮用水水源取水口运营单位建立水源地突发环境事件应急联动机制。</w:t>
            </w:r>
          </w:p>
        </w:tc>
        <w:tc>
          <w:tcPr>
            <w:tcW w:w="1288" w:type="dxa"/>
            <w:vAlign w:val="center"/>
          </w:tcPr>
          <w:p w14:paraId="52035465">
            <w:pPr>
              <w:spacing w:line="28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不涉及</w:t>
            </w:r>
          </w:p>
        </w:tc>
        <w:tc>
          <w:tcPr>
            <w:tcW w:w="838" w:type="dxa"/>
            <w:vMerge w:val="continue"/>
            <w:vAlign w:val="center"/>
          </w:tcPr>
          <w:p w14:paraId="45F444DA">
            <w:pPr>
              <w:spacing w:line="280" w:lineRule="exact"/>
              <w:ind w:firstLine="0" w:firstLineChars="0"/>
              <w:rPr>
                <w:rFonts w:hint="default" w:ascii="Times New Roman" w:hAnsi="Times New Roman" w:cs="Times New Roman"/>
                <w:color w:val="auto"/>
                <w:sz w:val="21"/>
                <w:szCs w:val="21"/>
              </w:rPr>
            </w:pPr>
          </w:p>
        </w:tc>
      </w:tr>
      <w:tr w14:paraId="6031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vMerge w:val="continue"/>
            <w:vAlign w:val="center"/>
          </w:tcPr>
          <w:p w14:paraId="7651F729">
            <w:pPr>
              <w:spacing w:line="280" w:lineRule="exact"/>
              <w:ind w:firstLine="0" w:firstLineChars="0"/>
              <w:rPr>
                <w:rFonts w:hint="default" w:ascii="Times New Roman" w:hAnsi="Times New Roman" w:cs="Times New Roman"/>
                <w:color w:val="auto"/>
                <w:sz w:val="21"/>
                <w:szCs w:val="21"/>
              </w:rPr>
            </w:pPr>
          </w:p>
        </w:tc>
        <w:tc>
          <w:tcPr>
            <w:tcW w:w="821" w:type="dxa"/>
            <w:vMerge w:val="continue"/>
            <w:vAlign w:val="center"/>
          </w:tcPr>
          <w:p w14:paraId="4DF4C873">
            <w:pPr>
              <w:spacing w:line="280" w:lineRule="exact"/>
              <w:ind w:firstLine="0" w:firstLineChars="0"/>
              <w:rPr>
                <w:rFonts w:hint="default" w:ascii="Times New Roman" w:hAnsi="Times New Roman" w:cs="Times New Roman"/>
                <w:color w:val="auto"/>
                <w:sz w:val="21"/>
                <w:szCs w:val="21"/>
              </w:rPr>
            </w:pPr>
          </w:p>
        </w:tc>
        <w:tc>
          <w:tcPr>
            <w:tcW w:w="4433" w:type="dxa"/>
            <w:gridSpan w:val="2"/>
            <w:vAlign w:val="center"/>
          </w:tcPr>
          <w:p w14:paraId="26B34D58">
            <w:pPr>
              <w:spacing w:line="28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第十一条 以保障“一住两公”重点建设用地安全为目标，持续推进污染土壤治理，守牢土地安全利用底线。根据土壤污染状况合理确定土地用途，推进工业企业腾退地块土壤污染状况调查评估及治理修复。未依法完成土壤污染状况调查和风险评估的地块，不得开工建设与风险管控和修复无关的项目。</w:t>
            </w:r>
          </w:p>
        </w:tc>
        <w:tc>
          <w:tcPr>
            <w:tcW w:w="1288" w:type="dxa"/>
            <w:vAlign w:val="center"/>
          </w:tcPr>
          <w:p w14:paraId="32923B63">
            <w:pPr>
              <w:spacing w:line="28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不涉及</w:t>
            </w:r>
          </w:p>
        </w:tc>
        <w:tc>
          <w:tcPr>
            <w:tcW w:w="838" w:type="dxa"/>
            <w:vMerge w:val="continue"/>
            <w:vAlign w:val="center"/>
          </w:tcPr>
          <w:p w14:paraId="3388027E">
            <w:pPr>
              <w:spacing w:line="280" w:lineRule="exact"/>
              <w:ind w:firstLine="0" w:firstLineChars="0"/>
              <w:rPr>
                <w:rFonts w:hint="default" w:ascii="Times New Roman" w:hAnsi="Times New Roman" w:cs="Times New Roman"/>
                <w:color w:val="auto"/>
                <w:sz w:val="21"/>
                <w:szCs w:val="21"/>
              </w:rPr>
            </w:pPr>
          </w:p>
        </w:tc>
      </w:tr>
      <w:tr w14:paraId="3F73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7" w:hRule="atLeast"/>
          <w:jc w:val="center"/>
        </w:trPr>
        <w:tc>
          <w:tcPr>
            <w:tcW w:w="959" w:type="dxa"/>
            <w:vMerge w:val="continue"/>
            <w:vAlign w:val="center"/>
          </w:tcPr>
          <w:p w14:paraId="226CCADD">
            <w:pPr>
              <w:snapToGrid w:val="0"/>
              <w:spacing w:line="240" w:lineRule="auto"/>
              <w:ind w:firstLine="0" w:firstLineChars="0"/>
              <w:jc w:val="center"/>
              <w:rPr>
                <w:rFonts w:hint="default" w:ascii="Times New Roman" w:hAnsi="Times New Roman" w:cs="Times New Roman"/>
                <w:color w:val="auto"/>
                <w:sz w:val="21"/>
                <w:szCs w:val="21"/>
              </w:rPr>
            </w:pPr>
          </w:p>
        </w:tc>
        <w:tc>
          <w:tcPr>
            <w:tcW w:w="821" w:type="dxa"/>
            <w:vMerge w:val="restart"/>
            <w:vAlign w:val="center"/>
          </w:tcPr>
          <w:p w14:paraId="190E7DA2">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资源开发利用效率</w:t>
            </w:r>
          </w:p>
        </w:tc>
        <w:tc>
          <w:tcPr>
            <w:tcW w:w="4433" w:type="dxa"/>
            <w:gridSpan w:val="2"/>
            <w:vAlign w:val="center"/>
          </w:tcPr>
          <w:p w14:paraId="390CA853">
            <w:pPr>
              <w:spacing w:line="28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第十二条 执行重点管控单元市级总体要求第十八条、第十九条、第二十条、第二十一条。</w:t>
            </w:r>
          </w:p>
        </w:tc>
        <w:tc>
          <w:tcPr>
            <w:tcW w:w="1288" w:type="dxa"/>
            <w:vAlign w:val="center"/>
          </w:tcPr>
          <w:p w14:paraId="0FAE20EE">
            <w:pPr>
              <w:spacing w:line="28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本项目满足重点管控单元市级总体管控要求第十八条、第十九条、第二十条、第二十二条要求。</w:t>
            </w:r>
          </w:p>
        </w:tc>
        <w:tc>
          <w:tcPr>
            <w:tcW w:w="838" w:type="dxa"/>
            <w:vMerge w:val="restart"/>
            <w:vAlign w:val="center"/>
          </w:tcPr>
          <w:p w14:paraId="5D34E8AE">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14EE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959" w:type="dxa"/>
            <w:vMerge w:val="continue"/>
            <w:vAlign w:val="center"/>
          </w:tcPr>
          <w:p w14:paraId="6509B029">
            <w:pPr>
              <w:spacing w:line="280" w:lineRule="exact"/>
              <w:ind w:firstLine="0" w:firstLineChars="0"/>
              <w:jc w:val="center"/>
              <w:rPr>
                <w:rFonts w:hint="default" w:ascii="Times New Roman" w:hAnsi="Times New Roman" w:cs="Times New Roman"/>
                <w:color w:val="auto"/>
              </w:rPr>
            </w:pPr>
          </w:p>
        </w:tc>
        <w:tc>
          <w:tcPr>
            <w:tcW w:w="821" w:type="dxa"/>
            <w:vMerge w:val="continue"/>
            <w:vAlign w:val="center"/>
          </w:tcPr>
          <w:p w14:paraId="588792E5">
            <w:pPr>
              <w:spacing w:line="280" w:lineRule="exact"/>
              <w:ind w:firstLine="0" w:firstLineChars="0"/>
              <w:jc w:val="center"/>
              <w:rPr>
                <w:rFonts w:hint="default" w:ascii="Times New Roman" w:hAnsi="Times New Roman" w:cs="Times New Roman"/>
                <w:color w:val="auto"/>
              </w:rPr>
            </w:pPr>
          </w:p>
        </w:tc>
        <w:tc>
          <w:tcPr>
            <w:tcW w:w="4433" w:type="dxa"/>
            <w:gridSpan w:val="2"/>
            <w:vAlign w:val="center"/>
          </w:tcPr>
          <w:p w14:paraId="47C8A296">
            <w:pPr>
              <w:spacing w:line="28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第十三条 以促进产业绿色低碳循环发展为导向，推动减污降碳协同共治。结合西彭工业园区近零碳园区建设，深化有色金属冶炼及压延加工业、化学原料及化学制品制造业和汽车制造业等行业减污降碳。</w:t>
            </w:r>
          </w:p>
        </w:tc>
        <w:tc>
          <w:tcPr>
            <w:tcW w:w="1288" w:type="dxa"/>
            <w:vAlign w:val="center"/>
          </w:tcPr>
          <w:p w14:paraId="4FAAE676">
            <w:pPr>
              <w:spacing w:line="28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本项目不涉及。</w:t>
            </w:r>
          </w:p>
        </w:tc>
        <w:tc>
          <w:tcPr>
            <w:tcW w:w="838" w:type="dxa"/>
            <w:vMerge w:val="continue"/>
            <w:vAlign w:val="center"/>
          </w:tcPr>
          <w:p w14:paraId="71CB1E3E">
            <w:pPr>
              <w:spacing w:line="280" w:lineRule="exact"/>
              <w:ind w:firstLine="0" w:firstLineChars="0"/>
              <w:jc w:val="center"/>
              <w:rPr>
                <w:rFonts w:hint="default" w:ascii="Times New Roman" w:hAnsi="Times New Roman" w:cs="Times New Roman"/>
                <w:color w:val="auto"/>
                <w:sz w:val="21"/>
                <w:szCs w:val="21"/>
              </w:rPr>
            </w:pPr>
          </w:p>
        </w:tc>
      </w:tr>
      <w:tr w14:paraId="1310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3" w:hRule="atLeast"/>
          <w:jc w:val="center"/>
        </w:trPr>
        <w:tc>
          <w:tcPr>
            <w:tcW w:w="959" w:type="dxa"/>
            <w:vMerge w:val="continue"/>
            <w:vAlign w:val="center"/>
          </w:tcPr>
          <w:p w14:paraId="6A8DE65E">
            <w:pPr>
              <w:spacing w:line="280" w:lineRule="exact"/>
              <w:ind w:firstLine="0" w:firstLineChars="0"/>
              <w:jc w:val="center"/>
              <w:rPr>
                <w:rFonts w:hint="default" w:ascii="Times New Roman" w:hAnsi="Times New Roman" w:cs="Times New Roman"/>
                <w:color w:val="auto"/>
              </w:rPr>
            </w:pPr>
          </w:p>
        </w:tc>
        <w:tc>
          <w:tcPr>
            <w:tcW w:w="821" w:type="dxa"/>
            <w:vMerge w:val="continue"/>
            <w:vAlign w:val="center"/>
          </w:tcPr>
          <w:p w14:paraId="4CFFBC67">
            <w:pPr>
              <w:spacing w:line="280" w:lineRule="exact"/>
              <w:ind w:firstLine="0" w:firstLineChars="0"/>
              <w:jc w:val="center"/>
              <w:rPr>
                <w:rFonts w:hint="default" w:ascii="Times New Roman" w:hAnsi="Times New Roman" w:cs="Times New Roman"/>
                <w:color w:val="auto"/>
              </w:rPr>
            </w:pPr>
          </w:p>
        </w:tc>
        <w:tc>
          <w:tcPr>
            <w:tcW w:w="4433" w:type="dxa"/>
            <w:gridSpan w:val="2"/>
            <w:vAlign w:val="center"/>
          </w:tcPr>
          <w:p w14:paraId="4CFC3ED2">
            <w:pPr>
              <w:spacing w:line="28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第十四条 提升工业、城镇生活、农业节水能力，推进再生水循环利用，提高水资源利用效率。加强工业节水改造，限制高耗水行业发展，加强重点监控用水单位监管。加强城镇节水，开展公共建筑节水改造、城镇供水管网漏损治理工程。加强农业节水，推进九龙西城西彭镇5000亩农业节水设施建设。深入挖掘非常规水资源开发利用潜力，推进再生水、雨水等非常规水资源的开发利用。</w:t>
            </w:r>
          </w:p>
        </w:tc>
        <w:tc>
          <w:tcPr>
            <w:tcW w:w="1288" w:type="dxa"/>
            <w:vAlign w:val="center"/>
          </w:tcPr>
          <w:p w14:paraId="08E851DA">
            <w:pPr>
              <w:spacing w:line="28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本项目不属于高耗水行业，在满足运营的前提条件下优先选用节水设备。</w:t>
            </w:r>
          </w:p>
        </w:tc>
        <w:tc>
          <w:tcPr>
            <w:tcW w:w="838" w:type="dxa"/>
            <w:vMerge w:val="continue"/>
            <w:vAlign w:val="center"/>
          </w:tcPr>
          <w:p w14:paraId="0AE9DEE7">
            <w:pPr>
              <w:spacing w:line="280" w:lineRule="exact"/>
              <w:ind w:firstLine="0" w:firstLineChars="0"/>
              <w:jc w:val="center"/>
              <w:rPr>
                <w:rFonts w:hint="default" w:ascii="Times New Roman" w:hAnsi="Times New Roman" w:cs="Times New Roman"/>
                <w:color w:val="auto"/>
                <w:sz w:val="21"/>
                <w:szCs w:val="21"/>
              </w:rPr>
            </w:pPr>
          </w:p>
        </w:tc>
      </w:tr>
      <w:tr w14:paraId="61E8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Merge w:val="restart"/>
            <w:vAlign w:val="center"/>
          </w:tcPr>
          <w:p w14:paraId="151A598D">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单元管控要求</w:t>
            </w:r>
          </w:p>
        </w:tc>
        <w:tc>
          <w:tcPr>
            <w:tcW w:w="821" w:type="dxa"/>
            <w:vAlign w:val="center"/>
          </w:tcPr>
          <w:p w14:paraId="39F18F63">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空间布局约束</w:t>
            </w:r>
          </w:p>
        </w:tc>
        <w:tc>
          <w:tcPr>
            <w:tcW w:w="4433" w:type="dxa"/>
            <w:gridSpan w:val="2"/>
            <w:vAlign w:val="center"/>
          </w:tcPr>
          <w:p w14:paraId="609303D8">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1.紧邻现状及规划居住用地、中小学用地等的工业用地后续引入项目时应考虑以污染较轻的项目为主，禁止新建涉及喷漆、酸洗、熔炼等异味较大的生产工艺项目。</w:t>
            </w:r>
          </w:p>
          <w:p w14:paraId="4EDB1701">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2.推动九龙西城新能源、装备制造、新材料等产业往下游延伸；西彭工业园区禁止新建、扩建木质家具制造、报废汽车拆解、平板玻璃制造工业项目。</w:t>
            </w:r>
          </w:p>
          <w:p w14:paraId="3CA4A862">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3.重庆奇爽实业（集团）有限公司、红蜻蜓（重庆）植物油脂有限公司、重庆小可食品有限公司、重庆豆奇食品有限公司不再扩大用地规模、不新增污染物排放。</w:t>
            </w:r>
          </w:p>
        </w:tc>
        <w:tc>
          <w:tcPr>
            <w:tcW w:w="1288" w:type="dxa"/>
            <w:vAlign w:val="center"/>
          </w:tcPr>
          <w:p w14:paraId="3D3F4DCE">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1、本项目所在地块紧邻的用地类型为工业用地，且不属于喷漆、酸洗、熔炼等异味较大的生产工艺项目。</w:t>
            </w:r>
          </w:p>
          <w:p w14:paraId="297B0640">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2、本项目在陶家组团，为</w:t>
            </w:r>
            <w:r>
              <w:rPr>
                <w:rFonts w:hint="default" w:ascii="Times New Roman" w:hAnsi="Times New Roman" w:cs="Times New Roman"/>
                <w:color w:val="auto"/>
                <w:kern w:val="2"/>
                <w:sz w:val="21"/>
                <w:szCs w:val="21"/>
              </w:rPr>
              <w:t>改性粒料生产</w:t>
            </w:r>
            <w:r>
              <w:rPr>
                <w:rFonts w:hint="default" w:ascii="Times New Roman" w:hAnsi="Times New Roman" w:cs="Times New Roman"/>
                <w:color w:val="auto"/>
                <w:sz w:val="21"/>
                <w:szCs w:val="21"/>
              </w:rPr>
              <w:t>。</w:t>
            </w:r>
          </w:p>
          <w:p w14:paraId="2F266CC1">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3、不涉及</w:t>
            </w:r>
          </w:p>
        </w:tc>
        <w:tc>
          <w:tcPr>
            <w:tcW w:w="838" w:type="dxa"/>
            <w:vAlign w:val="center"/>
          </w:tcPr>
          <w:p w14:paraId="15F3E2DA">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58CC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Merge w:val="continue"/>
            <w:vAlign w:val="center"/>
          </w:tcPr>
          <w:p w14:paraId="3EB6CC8B">
            <w:pPr>
              <w:snapToGrid w:val="0"/>
              <w:spacing w:line="240" w:lineRule="auto"/>
              <w:ind w:firstLine="0" w:firstLineChars="0"/>
              <w:jc w:val="center"/>
              <w:rPr>
                <w:rFonts w:hint="default" w:ascii="Times New Roman" w:hAnsi="Times New Roman" w:cs="Times New Roman"/>
                <w:color w:val="auto"/>
                <w:sz w:val="21"/>
                <w:szCs w:val="21"/>
              </w:rPr>
            </w:pPr>
          </w:p>
        </w:tc>
        <w:tc>
          <w:tcPr>
            <w:tcW w:w="821" w:type="dxa"/>
            <w:vAlign w:val="center"/>
          </w:tcPr>
          <w:p w14:paraId="1E488C6C">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污染物排放管控</w:t>
            </w:r>
          </w:p>
        </w:tc>
        <w:tc>
          <w:tcPr>
            <w:tcW w:w="4433" w:type="dxa"/>
            <w:gridSpan w:val="2"/>
            <w:vAlign w:val="center"/>
          </w:tcPr>
          <w:p w14:paraId="2DA5B582">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1.推动重点行业持续提升低（无）VOCs含量、低反应活性的原辅材料替代比例，推进重点监管企业VOCs综合整治，加强重点排污企业污染治理设施和在线监控建设和运维。</w:t>
            </w:r>
          </w:p>
          <w:p w14:paraId="0E52FCCF">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2.推进西彭工业园区污水处理厂提标扩建工程。</w:t>
            </w:r>
          </w:p>
          <w:p w14:paraId="4E113659">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新改建铜罐驿沿江片区、西彭镇和陶家镇等区域污水管网，改造管网错混接点；推进铜罐驿污水处理厂配套管网建设工作。</w:t>
            </w:r>
          </w:p>
          <w:p w14:paraId="4AC5D5B5">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加快淘汰国三及以下排放标准柴油车、汽油车，以运输企业和用车大户为重点，建立车辆档案并制定淘汰计划。大力推广新能源车，推广公交车、出租车、网约车等公共领域用车纯电动化，机关单位示范带动新能源车使用，推进充电站等新能源汽车充换电及加氢配套基础设施建设。加快发展城市轨道交通、智能交通和慢行交通，加快建设滨江步道，鼓励绿色出行。</w:t>
            </w:r>
          </w:p>
          <w:p w14:paraId="7CE31487">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4.加强施工扬尘监管，逐步推进建筑面积2万平方米以上的工地安装在线监控系统。</w:t>
            </w:r>
          </w:p>
        </w:tc>
        <w:tc>
          <w:tcPr>
            <w:tcW w:w="1288" w:type="dxa"/>
            <w:vAlign w:val="center"/>
          </w:tcPr>
          <w:p w14:paraId="2EC23955">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1、挤出有机废气收集后达标排放</w:t>
            </w:r>
          </w:p>
          <w:p w14:paraId="60F0CB85">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2、不涉及</w:t>
            </w:r>
          </w:p>
          <w:p w14:paraId="3D97B696">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3、不涉及</w:t>
            </w:r>
          </w:p>
          <w:p w14:paraId="79B2D86C">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4、本项目无土建施工</w:t>
            </w:r>
          </w:p>
        </w:tc>
        <w:tc>
          <w:tcPr>
            <w:tcW w:w="838" w:type="dxa"/>
            <w:vAlign w:val="center"/>
          </w:tcPr>
          <w:p w14:paraId="5BBFB2EE">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33A8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Merge w:val="continue"/>
            <w:vAlign w:val="center"/>
          </w:tcPr>
          <w:p w14:paraId="5ACC1336">
            <w:pPr>
              <w:snapToGrid w:val="0"/>
              <w:spacing w:line="240" w:lineRule="auto"/>
              <w:ind w:firstLine="0" w:firstLineChars="0"/>
              <w:jc w:val="center"/>
              <w:rPr>
                <w:rFonts w:hint="default" w:ascii="Times New Roman" w:hAnsi="Times New Roman" w:cs="Times New Roman"/>
                <w:color w:val="auto"/>
                <w:sz w:val="21"/>
                <w:szCs w:val="21"/>
              </w:rPr>
            </w:pPr>
          </w:p>
        </w:tc>
        <w:tc>
          <w:tcPr>
            <w:tcW w:w="821" w:type="dxa"/>
            <w:vAlign w:val="center"/>
          </w:tcPr>
          <w:p w14:paraId="5C83BB7B">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环境风险防控</w:t>
            </w:r>
          </w:p>
        </w:tc>
        <w:tc>
          <w:tcPr>
            <w:tcW w:w="4433" w:type="dxa"/>
            <w:gridSpan w:val="2"/>
            <w:vAlign w:val="center"/>
          </w:tcPr>
          <w:p w14:paraId="7BA64D8E">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1.西彭组团和铜罐驿组团沿江1km范围内规划仓储用地禁止新引入从事危险化学品储存、运输的仓储物流项目。</w:t>
            </w:r>
          </w:p>
          <w:p w14:paraId="6C11828B">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2.禁止新建、扩建化工项目。</w:t>
            </w:r>
          </w:p>
          <w:p w14:paraId="1D38461D">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3.推进铜罐驿组团金竹沟闸坝的修建。</w:t>
            </w:r>
          </w:p>
          <w:p w14:paraId="541838E6">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4.西彭工业园区应与下游饮用水水源取水口运营单位建立水源地突发环境事件应急联动机制。</w:t>
            </w:r>
          </w:p>
          <w:p w14:paraId="65AB88E1">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5.禁止新建、扩建排放废水含有五类重金属（铬、镉、汞、砷、铅）、剧毒物质和持久性有机污染物的工业项目。</w:t>
            </w:r>
          </w:p>
        </w:tc>
        <w:tc>
          <w:tcPr>
            <w:tcW w:w="1288" w:type="dxa"/>
            <w:vAlign w:val="center"/>
          </w:tcPr>
          <w:p w14:paraId="5AC74FA4">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1、不涉及</w:t>
            </w:r>
          </w:p>
          <w:p w14:paraId="33B9AEDF">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2、不涉及</w:t>
            </w:r>
          </w:p>
          <w:p w14:paraId="7C76B50E">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3、不涉及</w:t>
            </w:r>
          </w:p>
          <w:p w14:paraId="7CCCB4CE">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4、不涉及</w:t>
            </w:r>
          </w:p>
          <w:p w14:paraId="0DB18ECF">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5、不排放五类重金属（铬、镉、汞、砷、铅）、剧毒物质和持久性有机污染物</w:t>
            </w:r>
          </w:p>
        </w:tc>
        <w:tc>
          <w:tcPr>
            <w:tcW w:w="838" w:type="dxa"/>
            <w:vAlign w:val="center"/>
          </w:tcPr>
          <w:p w14:paraId="29AACC18">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4FC5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Merge w:val="continue"/>
            <w:vAlign w:val="center"/>
          </w:tcPr>
          <w:p w14:paraId="7D7F10C0">
            <w:pPr>
              <w:snapToGrid w:val="0"/>
              <w:spacing w:line="240" w:lineRule="auto"/>
              <w:ind w:firstLine="0" w:firstLineChars="0"/>
              <w:jc w:val="center"/>
              <w:rPr>
                <w:rFonts w:hint="default" w:ascii="Times New Roman" w:hAnsi="Times New Roman" w:cs="Times New Roman"/>
                <w:color w:val="auto"/>
                <w:sz w:val="21"/>
                <w:szCs w:val="21"/>
              </w:rPr>
            </w:pPr>
          </w:p>
        </w:tc>
        <w:tc>
          <w:tcPr>
            <w:tcW w:w="821" w:type="dxa"/>
            <w:vAlign w:val="center"/>
          </w:tcPr>
          <w:p w14:paraId="74A05EBF">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资源开发利用效率</w:t>
            </w:r>
          </w:p>
        </w:tc>
        <w:tc>
          <w:tcPr>
            <w:tcW w:w="4433" w:type="dxa"/>
            <w:gridSpan w:val="2"/>
            <w:vAlign w:val="center"/>
          </w:tcPr>
          <w:p w14:paraId="63A7E92D">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1.禁止新建、扩建燃用煤、重油等高污染燃料的工业项目，重庆和友实业股份有限公司不再新增燃煤总量。</w:t>
            </w:r>
          </w:p>
          <w:p w14:paraId="55D48C3D">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2.新建和改、扩建的工业项目清洁生产水平应达到国内先进水平。</w:t>
            </w:r>
          </w:p>
          <w:p w14:paraId="38D19169">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3.提高有色金属冶炼及压延加工业、化学原料及化学制品制造业和汽车制造业等工业企业的节能水平，降低区域的能耗强度。加强重点行业能效管理，升级工艺技术，提高用能设备能效水平。</w:t>
            </w:r>
          </w:p>
          <w:p w14:paraId="3F141304">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4.加强工业节水改造，限制高耗水行业发展，加强重点监控用水单位监管。加强城镇节水，开展公共建筑节水改造、城镇供水管网漏损治理工程。</w:t>
            </w:r>
          </w:p>
        </w:tc>
        <w:tc>
          <w:tcPr>
            <w:tcW w:w="1288" w:type="dxa"/>
            <w:vAlign w:val="center"/>
          </w:tcPr>
          <w:p w14:paraId="450CA0EE">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1、本项目不燃用煤、重油</w:t>
            </w:r>
          </w:p>
          <w:p w14:paraId="10BCE034">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2、清洁生产水平达到国内先进水平</w:t>
            </w:r>
          </w:p>
          <w:p w14:paraId="682AE609">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3、不涉及</w:t>
            </w:r>
          </w:p>
          <w:p w14:paraId="0DB50444">
            <w:pPr>
              <w:pStyle w:val="195"/>
              <w:adjustRightInd w:val="0"/>
              <w:snapToGrid w:val="0"/>
              <w:spacing w:before="0" w:after="0" w:line="240" w:lineRule="auto"/>
              <w:ind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4、本项目用水量少</w:t>
            </w:r>
          </w:p>
        </w:tc>
        <w:tc>
          <w:tcPr>
            <w:tcW w:w="838" w:type="dxa"/>
            <w:vAlign w:val="center"/>
          </w:tcPr>
          <w:p w14:paraId="1674E984">
            <w:pPr>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bl>
    <w:p w14:paraId="7991615D">
      <w:pPr>
        <w:ind w:firstLine="480"/>
        <w:rPr>
          <w:rFonts w:hint="default" w:ascii="Times New Roman" w:hAnsi="Times New Roman" w:cs="Times New Roman"/>
          <w:color w:val="auto"/>
        </w:rPr>
      </w:pPr>
      <w:r>
        <w:rPr>
          <w:rFonts w:hint="default" w:ascii="Times New Roman" w:hAnsi="Times New Roman" w:cs="Times New Roman"/>
          <w:color w:val="auto"/>
        </w:rPr>
        <w:t>本项目建设符合重庆市及九龙坡区生态环境分区管控要求，厂区废水处理达标后排入园区集中式污水处理厂进一步处理，并采取了对应的风险防范措施。</w:t>
      </w:r>
    </w:p>
    <w:p w14:paraId="7848A330">
      <w:pPr>
        <w:pStyle w:val="258"/>
        <w:rPr>
          <w:rFonts w:hint="default" w:ascii="Times New Roman" w:hAnsi="Times New Roman" w:cs="Times New Roman"/>
          <w:color w:val="auto"/>
        </w:rPr>
      </w:pPr>
      <w:r>
        <w:rPr>
          <w:rFonts w:hint="default" w:ascii="Times New Roman" w:hAnsi="Times New Roman" w:cs="Times New Roman"/>
          <w:color w:val="auto"/>
        </w:rPr>
        <w:t>1.2.</w:t>
      </w:r>
      <w:r>
        <w:rPr>
          <w:rFonts w:hint="default" w:ascii="Times New Roman" w:hAnsi="Times New Roman" w:eastAsia="宋体" w:cs="Times New Roman"/>
          <w:color w:val="auto"/>
        </w:rPr>
        <w:t>2</w:t>
      </w:r>
      <w:r>
        <w:rPr>
          <w:rFonts w:hint="default" w:ascii="Times New Roman" w:hAnsi="Times New Roman" w:cs="Times New Roman"/>
          <w:color w:val="auto"/>
        </w:rPr>
        <w:t xml:space="preserve"> </w:t>
      </w:r>
      <w:r>
        <w:rPr>
          <w:rFonts w:hint="default" w:ascii="Times New Roman" w:hAnsi="Times New Roman" w:eastAsia="宋体" w:cs="Times New Roman"/>
          <w:color w:val="auto"/>
        </w:rPr>
        <w:t>与相关生态环境保护法律法规政策、生态环境保护规划的符合性分析</w:t>
      </w:r>
    </w:p>
    <w:p w14:paraId="617D036D">
      <w:pPr>
        <w:ind w:firstLine="480"/>
        <w:rPr>
          <w:rFonts w:hint="default" w:ascii="Times New Roman" w:hAnsi="Times New Roman" w:cs="Times New Roman"/>
          <w:color w:val="auto"/>
        </w:rPr>
      </w:pPr>
      <w:bookmarkStart w:id="2" w:name="_Toc5161"/>
      <w:bookmarkStart w:id="3" w:name="_Toc18766"/>
      <w:r>
        <w:rPr>
          <w:rFonts w:hint="default" w:ascii="Times New Roman" w:hAnsi="Times New Roman" w:cs="Times New Roman"/>
          <w:color w:val="auto"/>
        </w:rPr>
        <w:t>（1）与《长江经济带发展负面清单指南（试行，2022年版）》符合性分析</w:t>
      </w:r>
      <w:bookmarkEnd w:id="2"/>
      <w:bookmarkEnd w:id="3"/>
    </w:p>
    <w:p w14:paraId="0B017233">
      <w:pPr>
        <w:pStyle w:val="93"/>
        <w:rPr>
          <w:rFonts w:hint="default" w:ascii="Times New Roman" w:hAnsi="Times New Roman" w:cs="Times New Roman"/>
          <w:color w:val="auto"/>
        </w:rPr>
      </w:pPr>
      <w:r>
        <w:rPr>
          <w:rFonts w:hint="default" w:ascii="Times New Roman" w:hAnsi="Times New Roman" w:cs="Times New Roman"/>
          <w:color w:val="auto"/>
        </w:rPr>
        <w:t>表1.2.2-1 与《长江经济带发展负面清单指南（试行，2022年版）》的符合性分析</w:t>
      </w:r>
    </w:p>
    <w:tbl>
      <w:tblPr>
        <w:tblStyle w:val="44"/>
        <w:tblW w:w="48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4"/>
        <w:gridCol w:w="2121"/>
        <w:gridCol w:w="794"/>
      </w:tblGrid>
      <w:tr w14:paraId="286B8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3244" w:type="pct"/>
            <w:shd w:val="clear" w:color="auto" w:fill="auto"/>
            <w:vAlign w:val="center"/>
          </w:tcPr>
          <w:p w14:paraId="32E8056A">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内容</w:t>
            </w:r>
          </w:p>
        </w:tc>
        <w:tc>
          <w:tcPr>
            <w:tcW w:w="1278" w:type="pct"/>
            <w:shd w:val="clear" w:color="auto" w:fill="auto"/>
            <w:vAlign w:val="center"/>
          </w:tcPr>
          <w:p w14:paraId="18CA1C68">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本项目情况</w:t>
            </w:r>
          </w:p>
        </w:tc>
        <w:tc>
          <w:tcPr>
            <w:tcW w:w="478" w:type="pct"/>
            <w:shd w:val="clear" w:color="auto" w:fill="auto"/>
            <w:vAlign w:val="center"/>
          </w:tcPr>
          <w:p w14:paraId="1C6AA4E6">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是否符合</w:t>
            </w:r>
          </w:p>
        </w:tc>
      </w:tr>
      <w:tr w14:paraId="0F35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3244" w:type="pct"/>
            <w:shd w:val="clear" w:color="auto" w:fill="auto"/>
            <w:vAlign w:val="center"/>
          </w:tcPr>
          <w:p w14:paraId="60070F76">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1、禁止建设不符合全国和省级港口布局规划以及港口总体规划的码头项目，禁止建设不符合《长江干线过江通道布局规划》的过长江通道项目。</w:t>
            </w:r>
          </w:p>
        </w:tc>
        <w:tc>
          <w:tcPr>
            <w:tcW w:w="1278" w:type="pct"/>
            <w:shd w:val="clear" w:color="auto" w:fill="auto"/>
            <w:vAlign w:val="center"/>
          </w:tcPr>
          <w:p w14:paraId="29E73766">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不属于码头、长江通道项目及禁建项目。</w:t>
            </w:r>
          </w:p>
        </w:tc>
        <w:tc>
          <w:tcPr>
            <w:tcW w:w="478" w:type="pct"/>
            <w:shd w:val="clear" w:color="auto" w:fill="auto"/>
            <w:vAlign w:val="center"/>
          </w:tcPr>
          <w:p w14:paraId="5D4E2AC7">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4EF2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3244" w:type="pct"/>
            <w:shd w:val="clear" w:color="auto" w:fill="auto"/>
            <w:vAlign w:val="center"/>
          </w:tcPr>
          <w:p w14:paraId="2DE140FA">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2、禁止在自然保护区核心区、缓冲区的岸线和河段范围内投资建设旅游和生产经营项目。禁止在风景名胜区核心景区的岸线和河段范围内投资建设与风景名胜资源保护无关的项目。</w:t>
            </w:r>
          </w:p>
        </w:tc>
        <w:tc>
          <w:tcPr>
            <w:tcW w:w="1278" w:type="pct"/>
            <w:shd w:val="clear" w:color="auto" w:fill="auto"/>
            <w:vAlign w:val="center"/>
          </w:tcPr>
          <w:p w14:paraId="703889EF">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不涉及自然保护区，未在森林公园范围内，不在禁建范围内</w:t>
            </w:r>
          </w:p>
        </w:tc>
        <w:tc>
          <w:tcPr>
            <w:tcW w:w="478" w:type="pct"/>
            <w:shd w:val="clear" w:color="auto" w:fill="auto"/>
            <w:vAlign w:val="center"/>
          </w:tcPr>
          <w:p w14:paraId="5A742988">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71999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jc w:val="center"/>
        </w:trPr>
        <w:tc>
          <w:tcPr>
            <w:tcW w:w="3244" w:type="pct"/>
            <w:shd w:val="clear" w:color="auto" w:fill="auto"/>
            <w:vAlign w:val="center"/>
          </w:tcPr>
          <w:p w14:paraId="526C3163">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禁止在饮用水水源一级保护区的岸线和河段范围内新建、改建、扩建与供水设施和保护水源无关的项目，以及网箱养殖、畜禽养殖、旅游等可能污染饮用水水体的投资建设项目。禁止在饮用水水源二级保护区的岸线和河段范围内新建、改建、扩建排放污染物的投资建设项目。</w:t>
            </w:r>
          </w:p>
        </w:tc>
        <w:tc>
          <w:tcPr>
            <w:tcW w:w="1278" w:type="pct"/>
            <w:shd w:val="clear" w:color="auto" w:fill="auto"/>
            <w:vAlign w:val="center"/>
          </w:tcPr>
          <w:p w14:paraId="0A778D7C">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项目不涉及饮用水水源保护区</w:t>
            </w:r>
          </w:p>
        </w:tc>
        <w:tc>
          <w:tcPr>
            <w:tcW w:w="478" w:type="pct"/>
            <w:shd w:val="clear" w:color="auto" w:fill="auto"/>
            <w:vAlign w:val="center"/>
          </w:tcPr>
          <w:p w14:paraId="661AEC21">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50CA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3244" w:type="pct"/>
            <w:shd w:val="clear" w:color="auto" w:fill="auto"/>
            <w:vAlign w:val="center"/>
          </w:tcPr>
          <w:p w14:paraId="73437D75">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4、禁止在水产种质资源保护区的岸线和河段范围内新建围湖造田、围海造地或围填海等投资建设项目。禁止在国家湿地公园的岸线和河段范围内挖砂、采矿，以及任何不符合主体功能定位的投资建设项目。</w:t>
            </w:r>
          </w:p>
        </w:tc>
        <w:tc>
          <w:tcPr>
            <w:tcW w:w="1278" w:type="pct"/>
            <w:shd w:val="clear" w:color="auto" w:fill="auto"/>
            <w:vAlign w:val="center"/>
          </w:tcPr>
          <w:p w14:paraId="70FBC04F">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项目不涉及岸线和河段。</w:t>
            </w:r>
          </w:p>
        </w:tc>
        <w:tc>
          <w:tcPr>
            <w:tcW w:w="478" w:type="pct"/>
            <w:shd w:val="clear" w:color="auto" w:fill="auto"/>
            <w:vAlign w:val="center"/>
          </w:tcPr>
          <w:p w14:paraId="4432297B">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5614C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3" w:hRule="atLeast"/>
          <w:jc w:val="center"/>
        </w:trPr>
        <w:tc>
          <w:tcPr>
            <w:tcW w:w="3244" w:type="pct"/>
            <w:shd w:val="clear" w:color="auto" w:fill="auto"/>
            <w:vAlign w:val="center"/>
          </w:tcPr>
          <w:p w14:paraId="6E723D45">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及湖泊保护区、保留区内投资建设不利于水资源及自然生态保护的项目。</w:t>
            </w:r>
          </w:p>
        </w:tc>
        <w:tc>
          <w:tcPr>
            <w:tcW w:w="1278" w:type="pct"/>
            <w:shd w:val="clear" w:color="auto" w:fill="auto"/>
            <w:vAlign w:val="center"/>
          </w:tcPr>
          <w:p w14:paraId="547F37F9">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项目不涉及岸线</w:t>
            </w:r>
          </w:p>
        </w:tc>
        <w:tc>
          <w:tcPr>
            <w:tcW w:w="478" w:type="pct"/>
            <w:shd w:val="clear" w:color="auto" w:fill="auto"/>
            <w:vAlign w:val="center"/>
          </w:tcPr>
          <w:p w14:paraId="4D53651A">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0933B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3244" w:type="pct"/>
            <w:shd w:val="clear" w:color="auto" w:fill="auto"/>
            <w:vAlign w:val="center"/>
          </w:tcPr>
          <w:p w14:paraId="4946EEF3">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6、禁止未经许可在长江干支流及湖泊新设、改设或扩大排污口。</w:t>
            </w:r>
          </w:p>
        </w:tc>
        <w:tc>
          <w:tcPr>
            <w:tcW w:w="1278" w:type="pct"/>
            <w:shd w:val="clear" w:color="auto" w:fill="auto"/>
            <w:vAlign w:val="center"/>
          </w:tcPr>
          <w:p w14:paraId="35B79D3B">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本项目不涉及排污口</w:t>
            </w:r>
          </w:p>
        </w:tc>
        <w:tc>
          <w:tcPr>
            <w:tcW w:w="478" w:type="pct"/>
            <w:shd w:val="clear" w:color="auto" w:fill="auto"/>
            <w:vAlign w:val="center"/>
          </w:tcPr>
          <w:p w14:paraId="1966AB39">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5AA0A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244" w:type="pct"/>
            <w:shd w:val="clear" w:color="auto" w:fill="auto"/>
            <w:vAlign w:val="center"/>
          </w:tcPr>
          <w:p w14:paraId="3A1EF17C">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7、禁止在“一江一口两湖七河”和332个水生生物保护区开展生产性捕捞。</w:t>
            </w:r>
          </w:p>
        </w:tc>
        <w:tc>
          <w:tcPr>
            <w:tcW w:w="1278" w:type="pct"/>
            <w:shd w:val="clear" w:color="auto" w:fill="auto"/>
            <w:vAlign w:val="center"/>
          </w:tcPr>
          <w:p w14:paraId="2912357C">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本项目不涉及生产性捕捞</w:t>
            </w:r>
          </w:p>
        </w:tc>
        <w:tc>
          <w:tcPr>
            <w:tcW w:w="478" w:type="pct"/>
            <w:shd w:val="clear" w:color="auto" w:fill="auto"/>
            <w:vAlign w:val="center"/>
          </w:tcPr>
          <w:p w14:paraId="56692217">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2057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3244" w:type="pct"/>
            <w:shd w:val="clear" w:color="auto" w:fill="auto"/>
            <w:vAlign w:val="center"/>
          </w:tcPr>
          <w:p w14:paraId="14C6B19A">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8、禁止在长江干支流、重要湖泊岸线一公里范围内新建、扩建化工园区和化工项目。禁止在长江干流岸线三公里范围内和重要支流岸线一公里范围内新建、改建、扩建尾矿库、冶炼渣库和磷石膏库，以提升安全、生态环境保护水平为目的的改建除外。</w:t>
            </w:r>
          </w:p>
        </w:tc>
        <w:tc>
          <w:tcPr>
            <w:tcW w:w="1278" w:type="pct"/>
            <w:shd w:val="clear" w:color="auto" w:fill="auto"/>
            <w:vAlign w:val="center"/>
          </w:tcPr>
          <w:p w14:paraId="69745B14">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本项目不属于化工项目</w:t>
            </w:r>
          </w:p>
        </w:tc>
        <w:tc>
          <w:tcPr>
            <w:tcW w:w="478" w:type="pct"/>
            <w:shd w:val="clear" w:color="auto" w:fill="auto"/>
            <w:vAlign w:val="center"/>
          </w:tcPr>
          <w:p w14:paraId="0238481A">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6594C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3244" w:type="pct"/>
            <w:shd w:val="clear" w:color="auto" w:fill="auto"/>
            <w:vAlign w:val="center"/>
          </w:tcPr>
          <w:p w14:paraId="58058788">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9、禁止在合规园区外新建、扩建钢铁、石化、化工、焦化、建材、有色、制浆造纸等高污染项目</w:t>
            </w:r>
          </w:p>
        </w:tc>
        <w:tc>
          <w:tcPr>
            <w:tcW w:w="1278" w:type="pct"/>
            <w:shd w:val="clear" w:color="auto" w:fill="auto"/>
            <w:vAlign w:val="center"/>
          </w:tcPr>
          <w:p w14:paraId="14E78DEE">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本项目不属于该类高污染项目</w:t>
            </w:r>
          </w:p>
        </w:tc>
        <w:tc>
          <w:tcPr>
            <w:tcW w:w="478" w:type="pct"/>
            <w:shd w:val="clear" w:color="auto" w:fill="auto"/>
            <w:vAlign w:val="center"/>
          </w:tcPr>
          <w:p w14:paraId="1EA1F823">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1DB5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244" w:type="pct"/>
            <w:shd w:val="clear" w:color="auto" w:fill="auto"/>
            <w:vAlign w:val="center"/>
          </w:tcPr>
          <w:p w14:paraId="51979AB1">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10、禁止新建、扩建不符合国家石化、现代煤化工等产业布局规划的项目。</w:t>
            </w:r>
          </w:p>
        </w:tc>
        <w:tc>
          <w:tcPr>
            <w:tcW w:w="1278" w:type="pct"/>
            <w:shd w:val="clear" w:color="auto" w:fill="auto"/>
            <w:vAlign w:val="center"/>
          </w:tcPr>
          <w:p w14:paraId="75C6E0D7">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本项目不属于该类化工项目</w:t>
            </w:r>
          </w:p>
        </w:tc>
        <w:tc>
          <w:tcPr>
            <w:tcW w:w="478" w:type="pct"/>
            <w:shd w:val="clear" w:color="auto" w:fill="auto"/>
            <w:vAlign w:val="center"/>
          </w:tcPr>
          <w:p w14:paraId="7BDB6916">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2FBDE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3244" w:type="pct"/>
            <w:shd w:val="clear" w:color="auto" w:fill="auto"/>
            <w:vAlign w:val="center"/>
          </w:tcPr>
          <w:p w14:paraId="7077F050">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11、禁止新建、扩建法律法规和相关政策明令禁止的落后产能项目。禁止新建、扩建不符合国家产能置换要求的严重过剩产能行业的项目。禁止新建、扩建不符合要求的高耗能高排放项目。</w:t>
            </w:r>
          </w:p>
        </w:tc>
        <w:tc>
          <w:tcPr>
            <w:tcW w:w="1278" w:type="pct"/>
            <w:shd w:val="clear" w:color="auto" w:fill="auto"/>
            <w:vAlign w:val="center"/>
          </w:tcPr>
          <w:p w14:paraId="39980284">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本项目不属于该类落后产能及高耗能项目</w:t>
            </w:r>
          </w:p>
        </w:tc>
        <w:tc>
          <w:tcPr>
            <w:tcW w:w="478" w:type="pct"/>
            <w:shd w:val="clear" w:color="auto" w:fill="auto"/>
            <w:vAlign w:val="center"/>
          </w:tcPr>
          <w:p w14:paraId="16724256">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14C3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244" w:type="pct"/>
            <w:shd w:val="clear" w:color="auto" w:fill="auto"/>
            <w:vAlign w:val="center"/>
          </w:tcPr>
          <w:p w14:paraId="37398051">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12、法律法规及相关政策文件有更加严格规定的从其规定。</w:t>
            </w:r>
          </w:p>
        </w:tc>
        <w:tc>
          <w:tcPr>
            <w:tcW w:w="1278" w:type="pct"/>
            <w:shd w:val="clear" w:color="auto" w:fill="auto"/>
            <w:vAlign w:val="center"/>
          </w:tcPr>
          <w:p w14:paraId="5F8A595B">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符合国家规范</w:t>
            </w:r>
          </w:p>
        </w:tc>
        <w:tc>
          <w:tcPr>
            <w:tcW w:w="478" w:type="pct"/>
            <w:shd w:val="clear" w:color="auto" w:fill="auto"/>
            <w:vAlign w:val="center"/>
          </w:tcPr>
          <w:p w14:paraId="088FA0AB">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bl>
    <w:p w14:paraId="51795706">
      <w:pPr>
        <w:ind w:firstLine="480"/>
        <w:rPr>
          <w:rFonts w:hint="default" w:ascii="Times New Roman" w:hAnsi="Times New Roman" w:cs="Times New Roman"/>
          <w:color w:val="auto"/>
        </w:rPr>
      </w:pPr>
      <w:r>
        <w:rPr>
          <w:rFonts w:hint="default" w:ascii="Times New Roman" w:hAnsi="Times New Roman" w:cs="Times New Roman"/>
          <w:color w:val="auto"/>
        </w:rPr>
        <w:t>由表1.2.2-1可知，本项目的建设符合《长江经济带发展负面清单指南（试行，2022年版）》的要求</w:t>
      </w:r>
    </w:p>
    <w:p w14:paraId="092FD409">
      <w:pPr>
        <w:ind w:firstLine="480"/>
        <w:rPr>
          <w:rFonts w:hint="default" w:ascii="Times New Roman" w:hAnsi="Times New Roman" w:cs="Times New Roman"/>
          <w:color w:val="auto"/>
        </w:rPr>
      </w:pPr>
      <w:r>
        <w:rPr>
          <w:rFonts w:hint="default" w:ascii="Times New Roman" w:hAnsi="Times New Roman" w:cs="Times New Roman"/>
          <w:color w:val="auto"/>
        </w:rPr>
        <w:t>（2）《四川省、重庆市长江经济带发展负面清单实施细则（试行，2022年版）》（川长江办〔2022〕17号）</w:t>
      </w:r>
    </w:p>
    <w:p w14:paraId="379842E9">
      <w:pPr>
        <w:ind w:firstLine="480"/>
        <w:rPr>
          <w:rFonts w:hint="default" w:ascii="Times New Roman" w:hAnsi="Times New Roman" w:cs="Times New Roman"/>
          <w:color w:val="auto"/>
        </w:rPr>
      </w:pPr>
      <w:r>
        <w:rPr>
          <w:rFonts w:hint="default" w:ascii="Times New Roman" w:hAnsi="Times New Roman" w:cs="Times New Roman"/>
          <w:color w:val="auto"/>
        </w:rPr>
        <w:t>本项目与《四川省、重庆市长江经济带发展负面清单实施细则（试行，2022年版）》符合性分析见表1.2.2-2。</w:t>
      </w:r>
    </w:p>
    <w:p w14:paraId="2EAAF688">
      <w:pPr>
        <w:pStyle w:val="93"/>
        <w:rPr>
          <w:rFonts w:hint="default" w:ascii="Times New Roman" w:hAnsi="Times New Roman" w:cs="Times New Roman"/>
          <w:color w:val="auto"/>
        </w:rPr>
      </w:pPr>
      <w:r>
        <w:rPr>
          <w:rFonts w:hint="default" w:ascii="Times New Roman" w:hAnsi="Times New Roman" w:cs="Times New Roman"/>
          <w:color w:val="auto"/>
        </w:rPr>
        <w:t>表1.2.2-2 《四川省、重庆市长江经济带发展负面清单实施细则（试行，2022年版）》符合性分析</w:t>
      </w:r>
    </w:p>
    <w:tbl>
      <w:tblPr>
        <w:tblStyle w:val="44"/>
        <w:tblW w:w="48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5097"/>
        <w:gridCol w:w="2134"/>
      </w:tblGrid>
      <w:tr w14:paraId="07301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31A47C60">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编号</w:t>
            </w:r>
          </w:p>
        </w:tc>
        <w:tc>
          <w:tcPr>
            <w:tcW w:w="3081" w:type="pct"/>
            <w:shd w:val="clear" w:color="auto" w:fill="auto"/>
            <w:vAlign w:val="center"/>
          </w:tcPr>
          <w:p w14:paraId="3B97E55E">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负面清单内容</w:t>
            </w:r>
          </w:p>
        </w:tc>
        <w:tc>
          <w:tcPr>
            <w:tcW w:w="1290" w:type="pct"/>
            <w:shd w:val="clear" w:color="auto" w:fill="auto"/>
            <w:vAlign w:val="center"/>
          </w:tcPr>
          <w:p w14:paraId="6B413DFB">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项目符合性</w:t>
            </w:r>
          </w:p>
        </w:tc>
      </w:tr>
      <w:tr w14:paraId="02EC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6881E1F7">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一</w:t>
            </w:r>
          </w:p>
        </w:tc>
        <w:tc>
          <w:tcPr>
            <w:tcW w:w="3081" w:type="pct"/>
            <w:shd w:val="clear" w:color="auto" w:fill="auto"/>
            <w:vAlign w:val="center"/>
          </w:tcPr>
          <w:p w14:paraId="38056A2A">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禁止新建、改建和扩建不符合全国港口布局规划，以及《四川省内河水运发展规划》《泸州—宜宾—乐山港口群布局规划》《重庆港总体规划（2035年)》等省级港口布局规划及市级港口总体规划的码头项目。</w:t>
            </w:r>
          </w:p>
        </w:tc>
        <w:tc>
          <w:tcPr>
            <w:tcW w:w="1290" w:type="pct"/>
            <w:shd w:val="clear" w:color="auto" w:fill="auto"/>
            <w:vAlign w:val="center"/>
          </w:tcPr>
          <w:p w14:paraId="5D5A140F">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项目不属于码头项目，不受限</w:t>
            </w:r>
          </w:p>
        </w:tc>
      </w:tr>
      <w:tr w14:paraId="1358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55CD5D37">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二</w:t>
            </w:r>
          </w:p>
        </w:tc>
        <w:tc>
          <w:tcPr>
            <w:tcW w:w="3081" w:type="pct"/>
            <w:shd w:val="clear" w:color="auto" w:fill="auto"/>
            <w:vAlign w:val="center"/>
          </w:tcPr>
          <w:p w14:paraId="64A65024">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禁止新建、改建和扩建不符合《长江干线过江通道布局规划(2020-2035年)》的过长江通道项目(含桥梁、隧道)，国家发展改革委同意过长江通道线位调整的除外。</w:t>
            </w:r>
          </w:p>
        </w:tc>
        <w:tc>
          <w:tcPr>
            <w:tcW w:w="1290" w:type="pct"/>
            <w:shd w:val="clear" w:color="auto" w:fill="auto"/>
            <w:vAlign w:val="center"/>
          </w:tcPr>
          <w:p w14:paraId="3DE1FBB9">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不属于过长江通道项目，不受限</w:t>
            </w:r>
          </w:p>
        </w:tc>
      </w:tr>
      <w:tr w14:paraId="517A9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277CE604">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三</w:t>
            </w:r>
          </w:p>
        </w:tc>
        <w:tc>
          <w:tcPr>
            <w:tcW w:w="3081" w:type="pct"/>
            <w:shd w:val="clear" w:color="auto" w:fill="auto"/>
            <w:vAlign w:val="center"/>
          </w:tcPr>
          <w:p w14:paraId="69CE4366">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禁止在自然保护区核心区、缓冲区的岸线和河段范围内投资建设旅游和生产经营项目。自然保护区的内部未分区的，依照核心区和缓冲区的规定管控。</w:t>
            </w:r>
          </w:p>
        </w:tc>
        <w:tc>
          <w:tcPr>
            <w:tcW w:w="1290" w:type="pct"/>
            <w:shd w:val="clear" w:color="auto" w:fill="auto"/>
            <w:vAlign w:val="center"/>
          </w:tcPr>
          <w:p w14:paraId="013B3913">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不涉及自然保护区，不受限</w:t>
            </w:r>
          </w:p>
        </w:tc>
      </w:tr>
      <w:tr w14:paraId="5D56C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6FD47C20">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四</w:t>
            </w:r>
          </w:p>
        </w:tc>
        <w:tc>
          <w:tcPr>
            <w:tcW w:w="3081" w:type="pct"/>
            <w:shd w:val="clear" w:color="auto" w:fill="auto"/>
            <w:vAlign w:val="center"/>
          </w:tcPr>
          <w:p w14:paraId="0703CA29">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禁止违反风景名胜区规划，在风景名胜区内设立各类开发区。禁止在风景名胜区核心景区的岸线和河段范围内建设宾馆、招待所、培训中心、疗养院以及与风景名胜资源保护无关的项目。</w:t>
            </w:r>
          </w:p>
        </w:tc>
        <w:tc>
          <w:tcPr>
            <w:tcW w:w="1290" w:type="pct"/>
            <w:shd w:val="clear" w:color="auto" w:fill="auto"/>
            <w:vAlign w:val="center"/>
          </w:tcPr>
          <w:p w14:paraId="2359700F">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不涉及风景名胜区，不受限</w:t>
            </w:r>
          </w:p>
        </w:tc>
      </w:tr>
      <w:tr w14:paraId="337D4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27DFFA2A">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五</w:t>
            </w:r>
          </w:p>
        </w:tc>
        <w:tc>
          <w:tcPr>
            <w:tcW w:w="3081" w:type="pct"/>
            <w:shd w:val="clear" w:color="auto" w:fill="auto"/>
            <w:vAlign w:val="center"/>
          </w:tcPr>
          <w:p w14:paraId="102775EB">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禁止在饮用水水源准保护区的岸线和河段范围内新建、扩建对水体污染严重的建设项目，禁止改建增加排污量的建设项目。</w:t>
            </w:r>
          </w:p>
        </w:tc>
        <w:tc>
          <w:tcPr>
            <w:tcW w:w="1290" w:type="pct"/>
            <w:shd w:val="clear" w:color="auto" w:fill="auto"/>
            <w:vAlign w:val="center"/>
          </w:tcPr>
          <w:p w14:paraId="74E61E31">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项目不在饮用水源准保护区的相关范围内，不受限</w:t>
            </w:r>
          </w:p>
        </w:tc>
      </w:tr>
      <w:tr w14:paraId="4C38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13545BAF">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六</w:t>
            </w:r>
          </w:p>
        </w:tc>
        <w:tc>
          <w:tcPr>
            <w:tcW w:w="3081" w:type="pct"/>
            <w:shd w:val="clear" w:color="auto" w:fill="auto"/>
            <w:vAlign w:val="center"/>
          </w:tcPr>
          <w:p w14:paraId="20C67C6F">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饮用水水源二级保护区的岸线和河段范围内，除遵守准保护区规定外，禁止新建、改建、扩建排放污染物的投资建设项目；禁止从事对水体有污染的水产养殖等活动。</w:t>
            </w:r>
          </w:p>
        </w:tc>
        <w:tc>
          <w:tcPr>
            <w:tcW w:w="1290" w:type="pct"/>
            <w:shd w:val="clear" w:color="auto" w:fill="auto"/>
            <w:vAlign w:val="center"/>
          </w:tcPr>
          <w:p w14:paraId="7DE660E1">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项目不在饮用水源二级保护区的相关范围内，不受限</w:t>
            </w:r>
          </w:p>
        </w:tc>
      </w:tr>
      <w:tr w14:paraId="4BE2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09E95221">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七</w:t>
            </w:r>
          </w:p>
        </w:tc>
        <w:tc>
          <w:tcPr>
            <w:tcW w:w="3081" w:type="pct"/>
            <w:shd w:val="clear" w:color="auto" w:fill="auto"/>
            <w:vAlign w:val="center"/>
          </w:tcPr>
          <w:p w14:paraId="62D9694A">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饮用水水源一级保护区的岸线和河段范围内，除遵守二级保护区规定外，禁止新建、改建、扩建与供水设施和保护水源无关的项目，以及网箱养殖、畜禽养殖、旅游等可能污染饮用水水体的投资建设项目。</w:t>
            </w:r>
          </w:p>
        </w:tc>
        <w:tc>
          <w:tcPr>
            <w:tcW w:w="1290" w:type="pct"/>
            <w:shd w:val="clear" w:color="auto" w:fill="auto"/>
            <w:vAlign w:val="center"/>
          </w:tcPr>
          <w:p w14:paraId="7DF4BAE7">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项目不在饮用水源一级保护区的相关范围内，不受限</w:t>
            </w:r>
          </w:p>
        </w:tc>
      </w:tr>
      <w:tr w14:paraId="48857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01D1A94E">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八</w:t>
            </w:r>
          </w:p>
        </w:tc>
        <w:tc>
          <w:tcPr>
            <w:tcW w:w="3081" w:type="pct"/>
            <w:shd w:val="clear" w:color="auto" w:fill="auto"/>
            <w:vAlign w:val="center"/>
          </w:tcPr>
          <w:p w14:paraId="3B311347">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禁止在水产种质资源保护区岸线和河段范围内新建围湖造田、围湖造地或挖沙采石等投资建设项目。</w:t>
            </w:r>
          </w:p>
        </w:tc>
        <w:tc>
          <w:tcPr>
            <w:tcW w:w="1290" w:type="pct"/>
            <w:shd w:val="clear" w:color="auto" w:fill="auto"/>
            <w:vAlign w:val="center"/>
          </w:tcPr>
          <w:p w14:paraId="4AE1CAB9">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本项目不在水产种质资源保护区岸线和河段范围内，不受限</w:t>
            </w:r>
          </w:p>
        </w:tc>
      </w:tr>
      <w:tr w14:paraId="14E1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0ECA59E1">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九</w:t>
            </w:r>
          </w:p>
        </w:tc>
        <w:tc>
          <w:tcPr>
            <w:tcW w:w="3081" w:type="pct"/>
            <w:shd w:val="clear" w:color="auto" w:fill="auto"/>
            <w:vAlign w:val="center"/>
          </w:tcPr>
          <w:p w14:paraId="439BCB4A">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禁止在国家湿地公园的岸线和河段范围内开(围）垦、填埋或者排干湿地，截断湿地水源，挖沙、采矿，倾倒有毒有害物质、废弃物、垃圾，从事房地产、度假村、高尔夫球场、风力发电、光伏发电等任何不符合主体功能定位的建设项目和开发活动，破坏野生动物栖息地和迁徙通道、鱼类洄游通道。</w:t>
            </w:r>
          </w:p>
        </w:tc>
        <w:tc>
          <w:tcPr>
            <w:tcW w:w="1290" w:type="pct"/>
            <w:shd w:val="clear" w:color="auto" w:fill="auto"/>
            <w:vAlign w:val="center"/>
          </w:tcPr>
          <w:p w14:paraId="0B67ED6F">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本项目不在国家湿地公园相关范围内，不受限</w:t>
            </w:r>
          </w:p>
        </w:tc>
      </w:tr>
      <w:tr w14:paraId="2AA7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087DF851">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十</w:t>
            </w:r>
          </w:p>
        </w:tc>
        <w:tc>
          <w:tcPr>
            <w:tcW w:w="3081" w:type="pct"/>
            <w:shd w:val="clear" w:color="auto" w:fill="auto"/>
            <w:vAlign w:val="center"/>
          </w:tcPr>
          <w:p w14:paraId="1AD28AC2">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禁止违法利用、占用长江流域河湖岸线。禁止在《长江岸线保护和开发利用总体规划》划定的岸线保护区和岸线保留区内投资建设除事关公共安全及公众利益的防洪护岸、河道治理、供水、生态环境保护、航道整治、国家重要基础设施以外的项目。</w:t>
            </w:r>
          </w:p>
        </w:tc>
        <w:tc>
          <w:tcPr>
            <w:tcW w:w="1290" w:type="pct"/>
            <w:shd w:val="clear" w:color="auto" w:fill="auto"/>
            <w:vAlign w:val="center"/>
          </w:tcPr>
          <w:p w14:paraId="2A3B19DE">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本项目不利用、占用长江流域河湖岸线，不受限</w:t>
            </w:r>
          </w:p>
        </w:tc>
      </w:tr>
      <w:tr w14:paraId="0D1F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1E8C96AD">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十一</w:t>
            </w:r>
          </w:p>
        </w:tc>
        <w:tc>
          <w:tcPr>
            <w:tcW w:w="3081" w:type="pct"/>
            <w:shd w:val="clear" w:color="auto" w:fill="auto"/>
            <w:vAlign w:val="center"/>
          </w:tcPr>
          <w:p w14:paraId="17BCABCD">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禁止在《全国重要江河湖泊水功能区划》划定的河段及湖泊保护区、保留区内投资建设不利于水资源及自然生态保护的项目。</w:t>
            </w:r>
          </w:p>
        </w:tc>
        <w:tc>
          <w:tcPr>
            <w:tcW w:w="1290" w:type="pct"/>
            <w:shd w:val="clear" w:color="auto" w:fill="auto"/>
            <w:vAlign w:val="center"/>
          </w:tcPr>
          <w:p w14:paraId="3949520E">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本项目不涉及河流、湖泊等相关区域，不受限</w:t>
            </w:r>
          </w:p>
        </w:tc>
      </w:tr>
      <w:tr w14:paraId="32BA8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11E24413">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十二</w:t>
            </w:r>
          </w:p>
        </w:tc>
        <w:tc>
          <w:tcPr>
            <w:tcW w:w="3081" w:type="pct"/>
            <w:shd w:val="clear" w:color="auto" w:fill="auto"/>
            <w:vAlign w:val="center"/>
          </w:tcPr>
          <w:p w14:paraId="2769D139">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禁止在长江流域江河、湖泊新设、改设或者扩大排污口，经有管辖权的生态环境主管部门或者长江流域生态环境监督管理机构同意的除外。</w:t>
            </w:r>
          </w:p>
        </w:tc>
        <w:tc>
          <w:tcPr>
            <w:tcW w:w="1290" w:type="pct"/>
            <w:shd w:val="clear" w:color="auto" w:fill="auto"/>
            <w:vAlign w:val="center"/>
          </w:tcPr>
          <w:p w14:paraId="7DA2DAAB">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本项目不涉及排污口设置，不受限</w:t>
            </w:r>
          </w:p>
        </w:tc>
      </w:tr>
      <w:tr w14:paraId="162E3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7360628E">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十三</w:t>
            </w:r>
          </w:p>
        </w:tc>
        <w:tc>
          <w:tcPr>
            <w:tcW w:w="3081" w:type="pct"/>
            <w:shd w:val="clear" w:color="auto" w:fill="auto"/>
            <w:vAlign w:val="center"/>
          </w:tcPr>
          <w:p w14:paraId="5DAAB13C">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禁止在长江干流、大渡河、岷江、赤水河、沱江、嘉陵江、乌江、汉江和51个（四川省45个、重庆市6个）水生生物保护区开展生产性捕捞。</w:t>
            </w:r>
          </w:p>
        </w:tc>
        <w:tc>
          <w:tcPr>
            <w:tcW w:w="1290" w:type="pct"/>
            <w:shd w:val="clear" w:color="auto" w:fill="auto"/>
            <w:vAlign w:val="center"/>
          </w:tcPr>
          <w:p w14:paraId="33E6C137">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本项目不涉及捕捞，不受限</w:t>
            </w:r>
          </w:p>
        </w:tc>
      </w:tr>
      <w:tr w14:paraId="331E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5FA7CD53">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十四</w:t>
            </w:r>
          </w:p>
        </w:tc>
        <w:tc>
          <w:tcPr>
            <w:tcW w:w="3081" w:type="pct"/>
            <w:shd w:val="clear" w:color="auto" w:fill="auto"/>
            <w:vAlign w:val="center"/>
          </w:tcPr>
          <w:p w14:paraId="319216C7">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禁止在长江干流岸线三公里范围内和重要支流岸线一公里范围内新建、改建、扩建尾矿库、冶炼渣库、磷石膏库，以提升安全、生态环境保护水平为目的的改建除外。</w:t>
            </w:r>
          </w:p>
        </w:tc>
        <w:tc>
          <w:tcPr>
            <w:tcW w:w="1290" w:type="pct"/>
            <w:shd w:val="clear" w:color="auto" w:fill="auto"/>
            <w:vAlign w:val="center"/>
          </w:tcPr>
          <w:p w14:paraId="3D870994">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本项目不属于长江干支流岸线一定范围内受限项目</w:t>
            </w:r>
          </w:p>
        </w:tc>
      </w:tr>
      <w:tr w14:paraId="410B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6728AB3F">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十五</w:t>
            </w:r>
          </w:p>
        </w:tc>
        <w:tc>
          <w:tcPr>
            <w:tcW w:w="3081" w:type="pct"/>
            <w:shd w:val="clear" w:color="auto" w:fill="auto"/>
            <w:vAlign w:val="center"/>
          </w:tcPr>
          <w:p w14:paraId="4B0A6B3F">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禁止在生态保护红线区域、永久基本农田集中区域和其他需要特别保护的区域内选址建设尾矿库﹑冶炼渣库、磷石膏库。</w:t>
            </w:r>
          </w:p>
        </w:tc>
        <w:tc>
          <w:tcPr>
            <w:tcW w:w="1290" w:type="pct"/>
            <w:shd w:val="clear" w:color="auto" w:fill="auto"/>
            <w:vAlign w:val="center"/>
          </w:tcPr>
          <w:p w14:paraId="70EC58CC">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本项目不属于受限项目，未在生态保护红线区域、永久基本农田集中区域和其他需要特别保护的区域</w:t>
            </w:r>
          </w:p>
        </w:tc>
      </w:tr>
      <w:tr w14:paraId="550E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04B66D6F">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十六</w:t>
            </w:r>
          </w:p>
        </w:tc>
        <w:tc>
          <w:tcPr>
            <w:tcW w:w="3081" w:type="pct"/>
            <w:shd w:val="clear" w:color="auto" w:fill="auto"/>
            <w:vAlign w:val="center"/>
          </w:tcPr>
          <w:p w14:paraId="305920EB">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禁止在合规园区外新建、扩建钢铁、石化、化工、焦化、建材、有色、制浆造纸等高污染项目。</w:t>
            </w:r>
          </w:p>
        </w:tc>
        <w:tc>
          <w:tcPr>
            <w:tcW w:w="1290" w:type="pct"/>
            <w:shd w:val="clear" w:color="auto" w:fill="auto"/>
            <w:vAlign w:val="center"/>
          </w:tcPr>
          <w:p w14:paraId="34BC8742">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本项目未在合规园区外，不受限</w:t>
            </w:r>
          </w:p>
        </w:tc>
      </w:tr>
      <w:tr w14:paraId="3478F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vMerge w:val="restart"/>
            <w:shd w:val="clear" w:color="auto" w:fill="auto"/>
            <w:vAlign w:val="center"/>
          </w:tcPr>
          <w:p w14:paraId="620042E8">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十七</w:t>
            </w:r>
          </w:p>
        </w:tc>
        <w:tc>
          <w:tcPr>
            <w:tcW w:w="3081" w:type="pct"/>
            <w:shd w:val="clear" w:color="auto" w:fill="auto"/>
            <w:vAlign w:val="center"/>
          </w:tcPr>
          <w:p w14:paraId="2D4529B7">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禁止新建、扩建不符合国家石化、现代煤化工等产业布局规划的项目。</w:t>
            </w:r>
          </w:p>
        </w:tc>
        <w:tc>
          <w:tcPr>
            <w:tcW w:w="1290" w:type="pct"/>
            <w:vMerge w:val="restart"/>
            <w:shd w:val="clear" w:color="auto" w:fill="auto"/>
            <w:vAlign w:val="center"/>
          </w:tcPr>
          <w:p w14:paraId="77669267">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本项目不属于石化、煤化工项目，不受限</w:t>
            </w:r>
          </w:p>
        </w:tc>
      </w:tr>
      <w:tr w14:paraId="09B80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vMerge w:val="continue"/>
            <w:shd w:val="clear" w:color="auto" w:fill="auto"/>
            <w:vAlign w:val="center"/>
          </w:tcPr>
          <w:p w14:paraId="737CB8EA">
            <w:pPr>
              <w:widowControl/>
              <w:spacing w:line="240" w:lineRule="auto"/>
              <w:ind w:firstLine="0" w:firstLineChars="0"/>
              <w:jc w:val="center"/>
              <w:rPr>
                <w:rFonts w:hint="default" w:ascii="Times New Roman" w:hAnsi="Times New Roman" w:cs="Times New Roman"/>
                <w:color w:val="auto"/>
                <w:kern w:val="2"/>
                <w:sz w:val="21"/>
                <w:szCs w:val="21"/>
              </w:rPr>
            </w:pPr>
          </w:p>
        </w:tc>
        <w:tc>
          <w:tcPr>
            <w:tcW w:w="3081" w:type="pct"/>
            <w:shd w:val="clear" w:color="auto" w:fill="auto"/>
            <w:vAlign w:val="center"/>
          </w:tcPr>
          <w:p w14:paraId="707FB318">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(一)严格控制新增炼油产能，未列入《石化产业规划布局方案（修订版)》的新增炼油产能一律不得建设。</w:t>
            </w:r>
          </w:p>
        </w:tc>
        <w:tc>
          <w:tcPr>
            <w:tcW w:w="1290" w:type="pct"/>
            <w:vMerge w:val="continue"/>
            <w:shd w:val="clear" w:color="auto" w:fill="auto"/>
            <w:vAlign w:val="center"/>
          </w:tcPr>
          <w:p w14:paraId="5845337D">
            <w:pPr>
              <w:widowControl/>
              <w:spacing w:line="240" w:lineRule="auto"/>
              <w:ind w:firstLine="0" w:firstLineChars="0"/>
              <w:rPr>
                <w:rFonts w:hint="default" w:ascii="Times New Roman" w:hAnsi="Times New Roman" w:cs="Times New Roman"/>
                <w:color w:val="auto"/>
                <w:kern w:val="2"/>
                <w:sz w:val="21"/>
                <w:szCs w:val="21"/>
              </w:rPr>
            </w:pPr>
          </w:p>
        </w:tc>
      </w:tr>
      <w:tr w14:paraId="3EA25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vMerge w:val="continue"/>
            <w:shd w:val="clear" w:color="auto" w:fill="auto"/>
            <w:vAlign w:val="center"/>
          </w:tcPr>
          <w:p w14:paraId="2900E66F">
            <w:pPr>
              <w:widowControl/>
              <w:spacing w:line="240" w:lineRule="auto"/>
              <w:ind w:firstLine="0" w:firstLineChars="0"/>
              <w:jc w:val="center"/>
              <w:rPr>
                <w:rFonts w:hint="default" w:ascii="Times New Roman" w:hAnsi="Times New Roman" w:cs="Times New Roman"/>
                <w:color w:val="auto"/>
                <w:kern w:val="2"/>
                <w:sz w:val="21"/>
                <w:szCs w:val="21"/>
              </w:rPr>
            </w:pPr>
          </w:p>
        </w:tc>
        <w:tc>
          <w:tcPr>
            <w:tcW w:w="3081" w:type="pct"/>
            <w:shd w:val="clear" w:color="auto" w:fill="auto"/>
            <w:vAlign w:val="center"/>
          </w:tcPr>
          <w:p w14:paraId="570FFF49">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(二）新建煤制烯烃、煤制芳烃项目必须列入《现代煤化工产业创新发展布局方案》，必须符合《现代煤化工建设项目环境准入条件（试行)》要求。</w:t>
            </w:r>
          </w:p>
        </w:tc>
        <w:tc>
          <w:tcPr>
            <w:tcW w:w="1290" w:type="pct"/>
            <w:vMerge w:val="continue"/>
            <w:shd w:val="clear" w:color="auto" w:fill="auto"/>
            <w:vAlign w:val="center"/>
          </w:tcPr>
          <w:p w14:paraId="62CB0786">
            <w:pPr>
              <w:widowControl/>
              <w:spacing w:line="240" w:lineRule="auto"/>
              <w:ind w:firstLine="0" w:firstLineChars="0"/>
              <w:rPr>
                <w:rFonts w:hint="default" w:ascii="Times New Roman" w:hAnsi="Times New Roman" w:cs="Times New Roman"/>
                <w:color w:val="auto"/>
                <w:kern w:val="2"/>
                <w:sz w:val="21"/>
                <w:szCs w:val="21"/>
              </w:rPr>
            </w:pPr>
          </w:p>
        </w:tc>
      </w:tr>
      <w:tr w14:paraId="123B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1B12DECD">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十八</w:t>
            </w:r>
          </w:p>
        </w:tc>
        <w:tc>
          <w:tcPr>
            <w:tcW w:w="3081" w:type="pct"/>
            <w:shd w:val="clear" w:color="auto" w:fill="auto"/>
            <w:vAlign w:val="center"/>
          </w:tcPr>
          <w:p w14:paraId="2655A94C">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禁止新建、扩建法律法规和相关政策明令禁止的落后产能项目。对《产业结构调整指导目录》中淘汰类项目，禁止投资;限制类的新建项目，禁止投资，对属于限制类的现有生产能力，允许企业在一定期限内采取措施改造升级。</w:t>
            </w:r>
          </w:p>
        </w:tc>
        <w:tc>
          <w:tcPr>
            <w:tcW w:w="1290" w:type="pct"/>
            <w:shd w:val="clear" w:color="auto" w:fill="auto"/>
            <w:vAlign w:val="center"/>
          </w:tcPr>
          <w:p w14:paraId="51ABE60E">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本项目不属于落后产能项目，不受限</w:t>
            </w:r>
          </w:p>
        </w:tc>
      </w:tr>
      <w:tr w14:paraId="1E003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3E26490A">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十九</w:t>
            </w:r>
          </w:p>
        </w:tc>
        <w:tc>
          <w:tcPr>
            <w:tcW w:w="3081" w:type="pct"/>
            <w:shd w:val="clear" w:color="auto" w:fill="auto"/>
            <w:vAlign w:val="center"/>
          </w:tcPr>
          <w:p w14:paraId="3925BC60">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禁止新建、扩建不符合国家产能置换要求的严重过剩产能行业的项目。对于不符合国家产能置换要求的严重过剩产能行业，不得以其他任何名义、任何方式备案新增产能项目。</w:t>
            </w:r>
          </w:p>
        </w:tc>
        <w:tc>
          <w:tcPr>
            <w:tcW w:w="1290" w:type="pct"/>
            <w:shd w:val="clear" w:color="auto" w:fill="auto"/>
            <w:vAlign w:val="center"/>
          </w:tcPr>
          <w:p w14:paraId="2E14D3CA">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本项目不属于产能过剩项目，不受限</w:t>
            </w:r>
          </w:p>
        </w:tc>
      </w:tr>
      <w:tr w14:paraId="5C38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vMerge w:val="restart"/>
            <w:shd w:val="clear" w:color="auto" w:fill="auto"/>
            <w:vAlign w:val="center"/>
          </w:tcPr>
          <w:p w14:paraId="459F1270">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二十</w:t>
            </w:r>
          </w:p>
        </w:tc>
        <w:tc>
          <w:tcPr>
            <w:tcW w:w="3081" w:type="pct"/>
            <w:shd w:val="clear" w:color="auto" w:fill="auto"/>
            <w:vAlign w:val="center"/>
          </w:tcPr>
          <w:p w14:paraId="082A0204">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禁止建设以下燃油汽车投资项目（不在中国境内销售产品的投资项目除外)：</w:t>
            </w:r>
          </w:p>
        </w:tc>
        <w:tc>
          <w:tcPr>
            <w:tcW w:w="1290" w:type="pct"/>
            <w:vMerge w:val="restart"/>
            <w:shd w:val="clear" w:color="auto" w:fill="auto"/>
            <w:vAlign w:val="center"/>
          </w:tcPr>
          <w:p w14:paraId="516B83E5">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本项目不属于燃油汽车项目，不受限</w:t>
            </w:r>
          </w:p>
        </w:tc>
      </w:tr>
      <w:tr w14:paraId="2E14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vMerge w:val="continue"/>
            <w:shd w:val="clear" w:color="auto" w:fill="auto"/>
            <w:vAlign w:val="center"/>
          </w:tcPr>
          <w:p w14:paraId="3C623916">
            <w:pPr>
              <w:widowControl/>
              <w:spacing w:line="240" w:lineRule="auto"/>
              <w:ind w:firstLine="0" w:firstLineChars="0"/>
              <w:jc w:val="center"/>
              <w:rPr>
                <w:rFonts w:hint="default" w:ascii="Times New Roman" w:hAnsi="Times New Roman" w:cs="Times New Roman"/>
                <w:color w:val="auto"/>
                <w:kern w:val="2"/>
                <w:sz w:val="21"/>
                <w:szCs w:val="21"/>
              </w:rPr>
            </w:pPr>
          </w:p>
        </w:tc>
        <w:tc>
          <w:tcPr>
            <w:tcW w:w="3081" w:type="pct"/>
            <w:shd w:val="clear" w:color="auto" w:fill="auto"/>
            <w:vAlign w:val="center"/>
          </w:tcPr>
          <w:p w14:paraId="7568F944">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(一）新建独立燃油汽车企业；</w:t>
            </w:r>
          </w:p>
        </w:tc>
        <w:tc>
          <w:tcPr>
            <w:tcW w:w="1290" w:type="pct"/>
            <w:vMerge w:val="continue"/>
            <w:shd w:val="clear" w:color="auto" w:fill="auto"/>
            <w:vAlign w:val="center"/>
          </w:tcPr>
          <w:p w14:paraId="786BD770">
            <w:pPr>
              <w:widowControl/>
              <w:spacing w:line="240" w:lineRule="auto"/>
              <w:ind w:firstLine="0" w:firstLineChars="0"/>
              <w:rPr>
                <w:rFonts w:hint="default" w:ascii="Times New Roman" w:hAnsi="Times New Roman" w:cs="Times New Roman"/>
                <w:color w:val="auto"/>
                <w:kern w:val="2"/>
                <w:sz w:val="21"/>
                <w:szCs w:val="21"/>
              </w:rPr>
            </w:pPr>
          </w:p>
        </w:tc>
      </w:tr>
      <w:tr w14:paraId="54F9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vMerge w:val="continue"/>
            <w:shd w:val="clear" w:color="auto" w:fill="auto"/>
            <w:vAlign w:val="center"/>
          </w:tcPr>
          <w:p w14:paraId="5B861117">
            <w:pPr>
              <w:widowControl/>
              <w:spacing w:line="240" w:lineRule="auto"/>
              <w:ind w:firstLine="0" w:firstLineChars="0"/>
              <w:jc w:val="center"/>
              <w:rPr>
                <w:rFonts w:hint="default" w:ascii="Times New Roman" w:hAnsi="Times New Roman" w:cs="Times New Roman"/>
                <w:color w:val="auto"/>
                <w:kern w:val="2"/>
                <w:sz w:val="21"/>
                <w:szCs w:val="21"/>
              </w:rPr>
            </w:pPr>
          </w:p>
        </w:tc>
        <w:tc>
          <w:tcPr>
            <w:tcW w:w="3081" w:type="pct"/>
            <w:shd w:val="clear" w:color="auto" w:fill="auto"/>
            <w:vAlign w:val="center"/>
          </w:tcPr>
          <w:p w14:paraId="66E9D709">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(二）现有汽车企业跨乘用车、商用车类别建设燃油汽车生产能力；</w:t>
            </w:r>
          </w:p>
        </w:tc>
        <w:tc>
          <w:tcPr>
            <w:tcW w:w="1290" w:type="pct"/>
            <w:vMerge w:val="continue"/>
            <w:shd w:val="clear" w:color="auto" w:fill="auto"/>
            <w:vAlign w:val="center"/>
          </w:tcPr>
          <w:p w14:paraId="07AF16D7">
            <w:pPr>
              <w:widowControl/>
              <w:spacing w:line="240" w:lineRule="auto"/>
              <w:ind w:firstLine="0" w:firstLineChars="0"/>
              <w:rPr>
                <w:rFonts w:hint="default" w:ascii="Times New Roman" w:hAnsi="Times New Roman" w:cs="Times New Roman"/>
                <w:color w:val="auto"/>
                <w:kern w:val="2"/>
                <w:sz w:val="21"/>
                <w:szCs w:val="21"/>
              </w:rPr>
            </w:pPr>
          </w:p>
        </w:tc>
      </w:tr>
      <w:tr w14:paraId="1D2D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vMerge w:val="continue"/>
            <w:shd w:val="clear" w:color="auto" w:fill="auto"/>
            <w:vAlign w:val="center"/>
          </w:tcPr>
          <w:p w14:paraId="36DC1D7F">
            <w:pPr>
              <w:widowControl/>
              <w:spacing w:line="240" w:lineRule="auto"/>
              <w:ind w:firstLine="0" w:firstLineChars="0"/>
              <w:jc w:val="center"/>
              <w:rPr>
                <w:rFonts w:hint="default" w:ascii="Times New Roman" w:hAnsi="Times New Roman" w:cs="Times New Roman"/>
                <w:color w:val="auto"/>
                <w:kern w:val="2"/>
                <w:sz w:val="21"/>
                <w:szCs w:val="21"/>
              </w:rPr>
            </w:pPr>
          </w:p>
        </w:tc>
        <w:tc>
          <w:tcPr>
            <w:tcW w:w="3081" w:type="pct"/>
            <w:shd w:val="clear" w:color="auto" w:fill="auto"/>
            <w:vAlign w:val="center"/>
          </w:tcPr>
          <w:p w14:paraId="3A5CC6FC">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(三）外省现有燃油汽车企业整体搬迁至本省（列入国家级区域发展规划或不改变企业股权结构的项目除外)；</w:t>
            </w:r>
          </w:p>
        </w:tc>
        <w:tc>
          <w:tcPr>
            <w:tcW w:w="1290" w:type="pct"/>
            <w:vMerge w:val="continue"/>
            <w:shd w:val="clear" w:color="auto" w:fill="auto"/>
            <w:vAlign w:val="center"/>
          </w:tcPr>
          <w:p w14:paraId="25CC429F">
            <w:pPr>
              <w:widowControl/>
              <w:spacing w:line="240" w:lineRule="auto"/>
              <w:ind w:firstLine="0" w:firstLineChars="0"/>
              <w:rPr>
                <w:rFonts w:hint="default" w:ascii="Times New Roman" w:hAnsi="Times New Roman" w:cs="Times New Roman"/>
                <w:color w:val="auto"/>
                <w:kern w:val="2"/>
                <w:sz w:val="21"/>
                <w:szCs w:val="21"/>
              </w:rPr>
            </w:pPr>
          </w:p>
        </w:tc>
      </w:tr>
      <w:tr w14:paraId="2B51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vMerge w:val="continue"/>
            <w:shd w:val="clear" w:color="auto" w:fill="auto"/>
            <w:vAlign w:val="center"/>
          </w:tcPr>
          <w:p w14:paraId="4DDD4803">
            <w:pPr>
              <w:widowControl/>
              <w:spacing w:line="240" w:lineRule="auto"/>
              <w:ind w:firstLine="0" w:firstLineChars="0"/>
              <w:jc w:val="center"/>
              <w:rPr>
                <w:rFonts w:hint="default" w:ascii="Times New Roman" w:hAnsi="Times New Roman" w:cs="Times New Roman"/>
                <w:color w:val="auto"/>
                <w:kern w:val="2"/>
                <w:sz w:val="21"/>
                <w:szCs w:val="21"/>
              </w:rPr>
            </w:pPr>
          </w:p>
        </w:tc>
        <w:tc>
          <w:tcPr>
            <w:tcW w:w="3081" w:type="pct"/>
            <w:shd w:val="clear" w:color="auto" w:fill="auto"/>
            <w:vAlign w:val="center"/>
          </w:tcPr>
          <w:p w14:paraId="044D07E9">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(四）对行业管理部门特别公示的燃油汽车企业进行投资(企业原有股东投资或将该企业转为非独立法人的投资项目除外)。</w:t>
            </w:r>
          </w:p>
        </w:tc>
        <w:tc>
          <w:tcPr>
            <w:tcW w:w="1290" w:type="pct"/>
            <w:vMerge w:val="continue"/>
            <w:shd w:val="clear" w:color="auto" w:fill="auto"/>
            <w:vAlign w:val="center"/>
          </w:tcPr>
          <w:p w14:paraId="73EE988F">
            <w:pPr>
              <w:widowControl/>
              <w:spacing w:line="240" w:lineRule="auto"/>
              <w:ind w:firstLine="0" w:firstLineChars="0"/>
              <w:rPr>
                <w:rFonts w:hint="default" w:ascii="Times New Roman" w:hAnsi="Times New Roman" w:cs="Times New Roman"/>
                <w:color w:val="auto"/>
                <w:kern w:val="2"/>
                <w:sz w:val="21"/>
                <w:szCs w:val="21"/>
              </w:rPr>
            </w:pPr>
          </w:p>
        </w:tc>
      </w:tr>
      <w:tr w14:paraId="1AF0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pct"/>
            <w:shd w:val="clear" w:color="auto" w:fill="auto"/>
            <w:vAlign w:val="center"/>
          </w:tcPr>
          <w:p w14:paraId="5461F4A4">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二十一</w:t>
            </w:r>
          </w:p>
        </w:tc>
        <w:tc>
          <w:tcPr>
            <w:tcW w:w="3081" w:type="pct"/>
            <w:shd w:val="clear" w:color="auto" w:fill="auto"/>
            <w:vAlign w:val="center"/>
          </w:tcPr>
          <w:p w14:paraId="56F6A6F0">
            <w:pPr>
              <w:widowControl/>
              <w:spacing w:line="240" w:lineRule="auto"/>
              <w:ind w:firstLine="0" w:firstLineChars="0"/>
              <w:jc w:val="left"/>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禁止新建、扩建不符合要求的高耗能、高排放、低水平项目。</w:t>
            </w:r>
          </w:p>
        </w:tc>
        <w:tc>
          <w:tcPr>
            <w:tcW w:w="1290" w:type="pct"/>
            <w:shd w:val="clear" w:color="auto" w:fill="auto"/>
            <w:vAlign w:val="center"/>
          </w:tcPr>
          <w:p w14:paraId="192D48B9">
            <w:pPr>
              <w:widowControl/>
              <w:spacing w:line="240" w:lineRule="auto"/>
              <w:ind w:firstLine="0" w:firstLineChars="0"/>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本项目不属于两高项目，不受限</w:t>
            </w:r>
          </w:p>
        </w:tc>
      </w:tr>
    </w:tbl>
    <w:p w14:paraId="0A97BF76">
      <w:pPr>
        <w:ind w:firstLine="480"/>
        <w:rPr>
          <w:rFonts w:hint="default" w:ascii="Times New Roman" w:hAnsi="Times New Roman" w:cs="Times New Roman"/>
          <w:color w:val="auto"/>
        </w:rPr>
      </w:pPr>
      <w:r>
        <w:rPr>
          <w:rFonts w:hint="default" w:ascii="Times New Roman" w:hAnsi="Times New Roman" w:cs="Times New Roman"/>
          <w:color w:val="auto"/>
        </w:rPr>
        <w:t>由表可见，本项目不属于《四川省、重庆市长江经济带发展负面清单实施细则（试行，2022年版）》禁止的建设项目，符合《实施细则》的要求。</w:t>
      </w:r>
    </w:p>
    <w:p w14:paraId="05D38730">
      <w:pPr>
        <w:ind w:firstLine="480"/>
        <w:rPr>
          <w:rFonts w:hint="default" w:ascii="Times New Roman" w:hAnsi="Times New Roman" w:cs="Times New Roman"/>
          <w:color w:val="auto"/>
        </w:rPr>
      </w:pPr>
      <w:r>
        <w:rPr>
          <w:rFonts w:hint="default" w:ascii="Times New Roman" w:hAnsi="Times New Roman" w:cs="Times New Roman"/>
          <w:color w:val="auto"/>
        </w:rPr>
        <w:t>（3）与《重庆市发展和改革委员会关于印发重庆市产业投资准入工作手册的通知》(渝发改投资〔2022〕1436号)符合性分析</w:t>
      </w:r>
    </w:p>
    <w:p w14:paraId="4781842A">
      <w:pPr>
        <w:ind w:firstLine="480"/>
        <w:rPr>
          <w:rFonts w:hint="default" w:ascii="Times New Roman" w:hAnsi="Times New Roman" w:cs="Times New Roman"/>
          <w:color w:val="auto"/>
        </w:rPr>
      </w:pPr>
      <w:r>
        <w:rPr>
          <w:rFonts w:hint="default" w:ascii="Times New Roman" w:hAnsi="Times New Roman" w:cs="Times New Roman"/>
          <w:color w:val="auto"/>
        </w:rPr>
        <w:t>本项目与渝发改投资〔2022〕1436号符合性分析详见表1.2.2-3。</w:t>
      </w:r>
    </w:p>
    <w:p w14:paraId="757DC505">
      <w:pPr>
        <w:pStyle w:val="93"/>
        <w:rPr>
          <w:rFonts w:hint="default" w:ascii="Times New Roman" w:hAnsi="Times New Roman" w:cs="Times New Roman"/>
          <w:color w:val="auto"/>
        </w:rPr>
      </w:pPr>
      <w:r>
        <w:rPr>
          <w:rFonts w:hint="default" w:ascii="Times New Roman" w:hAnsi="Times New Roman" w:cs="Times New Roman"/>
          <w:color w:val="auto"/>
        </w:rPr>
        <w:t>表1.2.2-3  本项目与渝发改投资〔2022〕1436号的符合性分析</w:t>
      </w:r>
    </w:p>
    <w:tbl>
      <w:tblPr>
        <w:tblStyle w:val="44"/>
        <w:tblW w:w="4934" w:type="pct"/>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57" w:type="dxa"/>
          <w:bottom w:w="0" w:type="dxa"/>
          <w:right w:w="57" w:type="dxa"/>
        </w:tblCellMar>
      </w:tblPr>
      <w:tblGrid>
        <w:gridCol w:w="717"/>
        <w:gridCol w:w="5363"/>
        <w:gridCol w:w="11"/>
        <w:gridCol w:w="2225"/>
      </w:tblGrid>
      <w:tr w14:paraId="0748BD9F">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4A834814">
            <w:pPr>
              <w:autoSpaceDE w:val="0"/>
              <w:autoSpaceDN w:val="0"/>
              <w:adjustRightInd w:val="0"/>
              <w:spacing w:line="240" w:lineRule="auto"/>
              <w:ind w:firstLine="0" w:firstLineChars="0"/>
              <w:jc w:val="center"/>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序号</w:t>
            </w:r>
          </w:p>
        </w:tc>
        <w:tc>
          <w:tcPr>
            <w:tcW w:w="5364" w:type="dxa"/>
            <w:vAlign w:val="center"/>
          </w:tcPr>
          <w:p w14:paraId="708CAFCB">
            <w:pPr>
              <w:autoSpaceDE w:val="0"/>
              <w:autoSpaceDN w:val="0"/>
              <w:adjustRightInd w:val="0"/>
              <w:spacing w:line="240" w:lineRule="auto"/>
              <w:ind w:firstLine="0" w:firstLineChars="0"/>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《重庆市发展和改革委员会关于印发重庆市产业投资准入工作手册的通知》(渝发改投资〔2022〕1436号)要求</w:t>
            </w:r>
          </w:p>
        </w:tc>
        <w:tc>
          <w:tcPr>
            <w:tcW w:w="2236" w:type="dxa"/>
            <w:gridSpan w:val="2"/>
            <w:vAlign w:val="center"/>
          </w:tcPr>
          <w:p w14:paraId="79070DD1">
            <w:pPr>
              <w:autoSpaceDE w:val="0"/>
              <w:autoSpaceDN w:val="0"/>
              <w:adjustRightInd w:val="0"/>
              <w:spacing w:line="240" w:lineRule="auto"/>
              <w:ind w:firstLine="0" w:firstLineChars="0"/>
              <w:jc w:val="center"/>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本项目符合性分析</w:t>
            </w:r>
          </w:p>
        </w:tc>
      </w:tr>
      <w:tr w14:paraId="6219D786">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3E19C37E">
            <w:pPr>
              <w:autoSpaceDE w:val="0"/>
              <w:autoSpaceDN w:val="0"/>
              <w:adjustRightInd w:val="0"/>
              <w:spacing w:line="240" w:lineRule="auto"/>
              <w:ind w:firstLine="0" w:firstLineChars="0"/>
              <w:jc w:val="center"/>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一</w:t>
            </w:r>
          </w:p>
        </w:tc>
        <w:tc>
          <w:tcPr>
            <w:tcW w:w="7600" w:type="dxa"/>
            <w:gridSpan w:val="3"/>
            <w:vAlign w:val="center"/>
          </w:tcPr>
          <w:p w14:paraId="51756E59">
            <w:pPr>
              <w:autoSpaceDE w:val="0"/>
              <w:autoSpaceDN w:val="0"/>
              <w:adjustRightInd w:val="0"/>
              <w:spacing w:line="240" w:lineRule="auto"/>
              <w:ind w:firstLine="0" w:firstLineChars="0"/>
              <w:jc w:val="center"/>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全市范围内不准入的产业</w:t>
            </w:r>
          </w:p>
        </w:tc>
      </w:tr>
      <w:tr w14:paraId="24909C3B">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00D02A1E">
            <w:pPr>
              <w:autoSpaceDE w:val="0"/>
              <w:autoSpaceDN w:val="0"/>
              <w:adjustRightInd w:val="0"/>
              <w:spacing w:line="240" w:lineRule="auto"/>
              <w:ind w:firstLine="0" w:firstLineChars="0"/>
              <w:jc w:val="center"/>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5364" w:type="dxa"/>
            <w:vAlign w:val="center"/>
          </w:tcPr>
          <w:p w14:paraId="52CFB8D1">
            <w:pPr>
              <w:autoSpaceDE w:val="0"/>
              <w:autoSpaceDN w:val="0"/>
              <w:adjustRightInd w:val="0"/>
              <w:spacing w:line="240" w:lineRule="auto"/>
              <w:ind w:firstLine="0" w:firstLineChars="0"/>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国家产业结构调整指导目录中的淘汰类项目。</w:t>
            </w:r>
          </w:p>
        </w:tc>
        <w:tc>
          <w:tcPr>
            <w:tcW w:w="2236" w:type="dxa"/>
            <w:gridSpan w:val="2"/>
            <w:vAlign w:val="center"/>
          </w:tcPr>
          <w:p w14:paraId="65CD1F90">
            <w:pPr>
              <w:autoSpaceDE w:val="0"/>
              <w:autoSpaceDN w:val="0"/>
              <w:adjustRightInd w:val="0"/>
              <w:spacing w:line="240" w:lineRule="auto"/>
              <w:ind w:firstLine="0" w:firstLineChars="0"/>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不属于淘汰类建设项目</w:t>
            </w:r>
          </w:p>
        </w:tc>
      </w:tr>
      <w:tr w14:paraId="248B38C1">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4A04FA63">
            <w:pPr>
              <w:autoSpaceDE w:val="0"/>
              <w:autoSpaceDN w:val="0"/>
              <w:adjustRightInd w:val="0"/>
              <w:spacing w:line="240" w:lineRule="auto"/>
              <w:ind w:firstLine="0" w:firstLineChars="0"/>
              <w:jc w:val="center"/>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w:t>
            </w:r>
          </w:p>
        </w:tc>
        <w:tc>
          <w:tcPr>
            <w:tcW w:w="5364" w:type="dxa"/>
            <w:vAlign w:val="center"/>
          </w:tcPr>
          <w:p w14:paraId="792BC9CA">
            <w:pPr>
              <w:autoSpaceDE w:val="0"/>
              <w:autoSpaceDN w:val="0"/>
              <w:adjustRightInd w:val="0"/>
              <w:spacing w:line="240" w:lineRule="auto"/>
              <w:ind w:firstLine="0" w:firstLineChars="0"/>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天然林商业性采伐。</w:t>
            </w:r>
          </w:p>
        </w:tc>
        <w:tc>
          <w:tcPr>
            <w:tcW w:w="2236" w:type="dxa"/>
            <w:gridSpan w:val="2"/>
            <w:vAlign w:val="center"/>
          </w:tcPr>
          <w:p w14:paraId="48D779A9">
            <w:pPr>
              <w:autoSpaceDE w:val="0"/>
              <w:autoSpaceDN w:val="0"/>
              <w:adjustRightInd w:val="0"/>
              <w:spacing w:line="240" w:lineRule="auto"/>
              <w:ind w:firstLine="0" w:firstLineChars="0"/>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不涉及天然林采伐</w:t>
            </w:r>
          </w:p>
        </w:tc>
      </w:tr>
      <w:tr w14:paraId="4A1E0D3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2B84E599">
            <w:pPr>
              <w:autoSpaceDE w:val="0"/>
              <w:autoSpaceDN w:val="0"/>
              <w:adjustRightInd w:val="0"/>
              <w:spacing w:line="240" w:lineRule="auto"/>
              <w:ind w:firstLine="0" w:firstLineChars="0"/>
              <w:jc w:val="center"/>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w:t>
            </w:r>
          </w:p>
        </w:tc>
        <w:tc>
          <w:tcPr>
            <w:tcW w:w="5364" w:type="dxa"/>
            <w:vAlign w:val="center"/>
          </w:tcPr>
          <w:p w14:paraId="5DDC7D77">
            <w:pPr>
              <w:autoSpaceDE w:val="0"/>
              <w:autoSpaceDN w:val="0"/>
              <w:adjustRightInd w:val="0"/>
              <w:spacing w:line="240" w:lineRule="auto"/>
              <w:ind w:firstLine="0" w:firstLineChars="0"/>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法律法规和相关政策明令不予准入的其他项目</w:t>
            </w:r>
          </w:p>
        </w:tc>
        <w:tc>
          <w:tcPr>
            <w:tcW w:w="2236" w:type="dxa"/>
            <w:gridSpan w:val="2"/>
            <w:vAlign w:val="center"/>
          </w:tcPr>
          <w:p w14:paraId="3B77EC24">
            <w:pPr>
              <w:autoSpaceDE w:val="0"/>
              <w:autoSpaceDN w:val="0"/>
              <w:adjustRightInd w:val="0"/>
              <w:spacing w:line="240" w:lineRule="auto"/>
              <w:ind w:firstLine="0" w:firstLineChars="0"/>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本项目不属于法律法规和相关政策明令不予准入的项目</w:t>
            </w:r>
          </w:p>
        </w:tc>
      </w:tr>
      <w:tr w14:paraId="2A819AF1">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5695F536">
            <w:pPr>
              <w:autoSpaceDE w:val="0"/>
              <w:autoSpaceDN w:val="0"/>
              <w:adjustRightInd w:val="0"/>
              <w:spacing w:line="240" w:lineRule="auto"/>
              <w:ind w:firstLine="0" w:firstLineChars="0"/>
              <w:jc w:val="center"/>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二</w:t>
            </w:r>
          </w:p>
        </w:tc>
        <w:tc>
          <w:tcPr>
            <w:tcW w:w="7600" w:type="dxa"/>
            <w:gridSpan w:val="3"/>
            <w:vAlign w:val="center"/>
          </w:tcPr>
          <w:p w14:paraId="56C9F6F3">
            <w:pPr>
              <w:autoSpaceDE w:val="0"/>
              <w:autoSpaceDN w:val="0"/>
              <w:adjustRightInd w:val="0"/>
              <w:spacing w:line="240" w:lineRule="auto"/>
              <w:ind w:firstLine="0" w:firstLineChars="0"/>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重点区域范围内不予准入的产业</w:t>
            </w:r>
          </w:p>
        </w:tc>
      </w:tr>
      <w:tr w14:paraId="08C70C4F">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06273FE4">
            <w:pPr>
              <w:autoSpaceDE w:val="0"/>
              <w:autoSpaceDN w:val="0"/>
              <w:adjustRightInd w:val="0"/>
              <w:spacing w:line="240" w:lineRule="auto"/>
              <w:ind w:firstLine="0" w:firstLineChars="0"/>
              <w:jc w:val="center"/>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5364" w:type="dxa"/>
            <w:vAlign w:val="center"/>
          </w:tcPr>
          <w:p w14:paraId="1FA1ECAD">
            <w:pPr>
              <w:autoSpaceDE w:val="0"/>
              <w:autoSpaceDN w:val="0"/>
              <w:adjustRightInd w:val="0"/>
              <w:spacing w:line="240" w:lineRule="auto"/>
              <w:ind w:firstLine="0" w:firstLineChars="0"/>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外环绕城高速公路以内长江、嘉陵江水域采砂</w:t>
            </w:r>
          </w:p>
        </w:tc>
        <w:tc>
          <w:tcPr>
            <w:tcW w:w="2236" w:type="dxa"/>
            <w:gridSpan w:val="2"/>
            <w:vAlign w:val="center"/>
          </w:tcPr>
          <w:p w14:paraId="64530E50">
            <w:pPr>
              <w:autoSpaceDE w:val="0"/>
              <w:autoSpaceDN w:val="0"/>
              <w:adjustRightInd w:val="0"/>
              <w:spacing w:line="240" w:lineRule="auto"/>
              <w:ind w:firstLine="0" w:firstLineChars="0"/>
              <w:textAlignment w:val="baseline"/>
              <w:rPr>
                <w:rFonts w:hint="default" w:ascii="Times New Roman" w:hAnsi="Times New Roman" w:cs="Times New Roman"/>
                <w:color w:val="auto"/>
                <w:kern w:val="2"/>
                <w:sz w:val="21"/>
                <w:szCs w:val="21"/>
              </w:rPr>
            </w:pPr>
            <w:r>
              <w:rPr>
                <w:rFonts w:hint="default" w:ascii="Times New Roman" w:hAnsi="Times New Roman" w:cs="Times New Roman"/>
                <w:bCs/>
                <w:color w:val="auto"/>
                <w:kern w:val="2"/>
                <w:sz w:val="21"/>
                <w:szCs w:val="21"/>
              </w:rPr>
              <w:t>本项目</w:t>
            </w:r>
            <w:r>
              <w:rPr>
                <w:rFonts w:hint="default" w:ascii="Times New Roman" w:hAnsi="Times New Roman" w:cs="Times New Roman"/>
                <w:color w:val="auto"/>
                <w:kern w:val="2"/>
                <w:sz w:val="21"/>
                <w:szCs w:val="21"/>
              </w:rPr>
              <w:t>不属于采砂项目</w:t>
            </w:r>
          </w:p>
        </w:tc>
      </w:tr>
      <w:tr w14:paraId="10E9911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1B93306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w:t>
            </w:r>
          </w:p>
        </w:tc>
        <w:tc>
          <w:tcPr>
            <w:tcW w:w="5375" w:type="dxa"/>
            <w:gridSpan w:val="2"/>
            <w:vAlign w:val="center"/>
          </w:tcPr>
          <w:p w14:paraId="233C6412">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二十五度以上陡坡地开垦种植农作物。</w:t>
            </w:r>
          </w:p>
        </w:tc>
        <w:tc>
          <w:tcPr>
            <w:tcW w:w="2225" w:type="dxa"/>
            <w:vAlign w:val="center"/>
          </w:tcPr>
          <w:p w14:paraId="781892C1">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不涉及农作物开垦</w:t>
            </w:r>
          </w:p>
        </w:tc>
      </w:tr>
      <w:tr w14:paraId="218C1D86">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278D258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w:t>
            </w:r>
          </w:p>
        </w:tc>
        <w:tc>
          <w:tcPr>
            <w:tcW w:w="5375" w:type="dxa"/>
            <w:gridSpan w:val="2"/>
            <w:vAlign w:val="center"/>
          </w:tcPr>
          <w:p w14:paraId="766A9EC5">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在自然保护区核心区、缓冲区的岸线和河段范围内投资建设旅游和生产经营项目</w:t>
            </w:r>
          </w:p>
        </w:tc>
        <w:tc>
          <w:tcPr>
            <w:tcW w:w="2225" w:type="dxa"/>
            <w:vAlign w:val="center"/>
          </w:tcPr>
          <w:p w14:paraId="1F503C67">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本项目不涉及自然保护区和河段范围</w:t>
            </w:r>
          </w:p>
        </w:tc>
      </w:tr>
      <w:tr w14:paraId="0DAAE006">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316B131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w:t>
            </w:r>
          </w:p>
        </w:tc>
        <w:tc>
          <w:tcPr>
            <w:tcW w:w="5375" w:type="dxa"/>
            <w:gridSpan w:val="2"/>
            <w:vAlign w:val="center"/>
          </w:tcPr>
          <w:p w14:paraId="592B2098">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饮用水水源一级保护区的岸线和河段范围内新建、改建、扩建与供水设施和保护水源无关的项目，以及网箱养殖、畜禽养殖、放养畜禽、旅游等可能污染饮用水水体的投资建设项目。在饮用水水源二级保护区的岸线和河段范围内新建、改建、扩建排放污染物的投资建设项目</w:t>
            </w:r>
          </w:p>
        </w:tc>
        <w:tc>
          <w:tcPr>
            <w:tcW w:w="2225" w:type="dxa"/>
            <w:vAlign w:val="center"/>
          </w:tcPr>
          <w:p w14:paraId="17A9400A">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bCs/>
                <w:color w:val="auto"/>
                <w:kern w:val="2"/>
                <w:sz w:val="21"/>
                <w:szCs w:val="21"/>
              </w:rPr>
              <w:t>本</w:t>
            </w:r>
            <w:r>
              <w:rPr>
                <w:rFonts w:hint="default" w:ascii="Times New Roman" w:hAnsi="Times New Roman" w:cs="Times New Roman"/>
                <w:color w:val="auto"/>
                <w:kern w:val="2"/>
                <w:sz w:val="21"/>
                <w:szCs w:val="21"/>
              </w:rPr>
              <w:t>项目不涉及饮用水源</w:t>
            </w:r>
          </w:p>
        </w:tc>
      </w:tr>
      <w:tr w14:paraId="7F44533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3F957E4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w:t>
            </w:r>
          </w:p>
        </w:tc>
        <w:tc>
          <w:tcPr>
            <w:tcW w:w="5375" w:type="dxa"/>
            <w:gridSpan w:val="2"/>
            <w:vAlign w:val="center"/>
          </w:tcPr>
          <w:p w14:paraId="3E4572B2">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长江干流岸线3公里范围内和重要支流岸线1公里范围内新建、改建、扩建尾矿库、冶炼渣库和磷石膏库（以提升安全、生态环境保护水平为目的的改建除外）</w:t>
            </w:r>
          </w:p>
        </w:tc>
        <w:tc>
          <w:tcPr>
            <w:tcW w:w="2225" w:type="dxa"/>
            <w:vAlign w:val="center"/>
          </w:tcPr>
          <w:p w14:paraId="7F746E78">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bCs/>
                <w:color w:val="auto"/>
                <w:kern w:val="2"/>
                <w:sz w:val="21"/>
                <w:szCs w:val="21"/>
              </w:rPr>
              <w:t>本</w:t>
            </w:r>
            <w:r>
              <w:rPr>
                <w:rFonts w:hint="default" w:ascii="Times New Roman" w:hAnsi="Times New Roman" w:cs="Times New Roman"/>
                <w:color w:val="auto"/>
                <w:kern w:val="2"/>
                <w:sz w:val="21"/>
                <w:szCs w:val="21"/>
              </w:rPr>
              <w:t>项目非尾矿库、冶炼渣库和磷石膏库</w:t>
            </w:r>
          </w:p>
        </w:tc>
      </w:tr>
      <w:tr w14:paraId="7320A7AF">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3629129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6</w:t>
            </w:r>
          </w:p>
        </w:tc>
        <w:tc>
          <w:tcPr>
            <w:tcW w:w="5375" w:type="dxa"/>
            <w:gridSpan w:val="2"/>
            <w:vAlign w:val="center"/>
          </w:tcPr>
          <w:p w14:paraId="35323230">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在风景名胜区核心景区的岸线和河段范围内投资建设与风景名胜资源保护无关的项目</w:t>
            </w:r>
          </w:p>
        </w:tc>
        <w:tc>
          <w:tcPr>
            <w:tcW w:w="2225" w:type="dxa"/>
            <w:vAlign w:val="center"/>
          </w:tcPr>
          <w:p w14:paraId="3EB18310">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bCs/>
                <w:color w:val="auto"/>
                <w:kern w:val="2"/>
                <w:sz w:val="21"/>
                <w:szCs w:val="21"/>
              </w:rPr>
              <w:t>本</w:t>
            </w:r>
            <w:r>
              <w:rPr>
                <w:rFonts w:hint="default" w:ascii="Times New Roman" w:hAnsi="Times New Roman" w:cs="Times New Roman"/>
                <w:color w:val="auto"/>
                <w:kern w:val="2"/>
                <w:sz w:val="21"/>
                <w:szCs w:val="21"/>
              </w:rPr>
              <w:t>项目不涉及风景名胜区</w:t>
            </w:r>
          </w:p>
        </w:tc>
      </w:tr>
      <w:tr w14:paraId="07F3919B">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4A37A0B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7</w:t>
            </w:r>
          </w:p>
        </w:tc>
        <w:tc>
          <w:tcPr>
            <w:tcW w:w="5375" w:type="dxa"/>
            <w:gridSpan w:val="2"/>
            <w:vAlign w:val="center"/>
          </w:tcPr>
          <w:p w14:paraId="640A39C8">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在国家湿地公园的岸线和河段范围内挖沙、采矿，以及任何不符合主体功能定位的投资建设项目</w:t>
            </w:r>
          </w:p>
        </w:tc>
        <w:tc>
          <w:tcPr>
            <w:tcW w:w="2225" w:type="dxa"/>
            <w:vAlign w:val="center"/>
          </w:tcPr>
          <w:p w14:paraId="32BAF151">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bCs/>
                <w:color w:val="auto"/>
                <w:kern w:val="2"/>
                <w:sz w:val="21"/>
                <w:szCs w:val="21"/>
              </w:rPr>
              <w:t>本</w:t>
            </w:r>
            <w:r>
              <w:rPr>
                <w:rFonts w:hint="default" w:ascii="Times New Roman" w:hAnsi="Times New Roman" w:cs="Times New Roman"/>
                <w:color w:val="auto"/>
                <w:kern w:val="2"/>
                <w:sz w:val="21"/>
                <w:szCs w:val="21"/>
              </w:rPr>
              <w:t>项目不涉及挖沙、采矿，非不符合主体功能定位的投资建设项目</w:t>
            </w:r>
          </w:p>
        </w:tc>
      </w:tr>
      <w:tr w14:paraId="298906CB">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72158AF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8</w:t>
            </w:r>
          </w:p>
        </w:tc>
        <w:tc>
          <w:tcPr>
            <w:tcW w:w="5375" w:type="dxa"/>
            <w:gridSpan w:val="2"/>
            <w:vAlign w:val="center"/>
          </w:tcPr>
          <w:p w14:paraId="0E8F52AA">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在《长江岸线保护和开发利用总体规划》划定的岸线保护区和保留区内投资建设除事关公共安全及公众利益的防洪护岸、河道治理、供水、生态环境保护、航道整治、国家重要基础设施以外的项目</w:t>
            </w:r>
          </w:p>
        </w:tc>
        <w:tc>
          <w:tcPr>
            <w:tcW w:w="2225" w:type="dxa"/>
            <w:vAlign w:val="center"/>
          </w:tcPr>
          <w:p w14:paraId="3B2B6435">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bCs/>
                <w:color w:val="auto"/>
                <w:kern w:val="2"/>
                <w:sz w:val="21"/>
                <w:szCs w:val="21"/>
              </w:rPr>
              <w:t>本</w:t>
            </w:r>
            <w:r>
              <w:rPr>
                <w:rFonts w:hint="default" w:ascii="Times New Roman" w:hAnsi="Times New Roman" w:cs="Times New Roman"/>
                <w:color w:val="auto"/>
                <w:kern w:val="2"/>
                <w:sz w:val="21"/>
                <w:szCs w:val="21"/>
              </w:rPr>
              <w:t>项目不涉及岸线保护区和保留区</w:t>
            </w:r>
          </w:p>
        </w:tc>
      </w:tr>
      <w:tr w14:paraId="0F5CB5F2">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2179609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w:t>
            </w:r>
          </w:p>
        </w:tc>
        <w:tc>
          <w:tcPr>
            <w:tcW w:w="5375" w:type="dxa"/>
            <w:gridSpan w:val="2"/>
            <w:vAlign w:val="center"/>
          </w:tcPr>
          <w:p w14:paraId="3AED18B3">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在《全国重要江河湖泊水功能区划》划定的河段及湖泊保护区、保留区内投资建设不利于水资源及自然生态保护的项目</w:t>
            </w:r>
          </w:p>
        </w:tc>
        <w:tc>
          <w:tcPr>
            <w:tcW w:w="2225" w:type="dxa"/>
            <w:vAlign w:val="center"/>
          </w:tcPr>
          <w:p w14:paraId="4943410B">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bCs/>
                <w:color w:val="auto"/>
                <w:kern w:val="2"/>
                <w:sz w:val="21"/>
                <w:szCs w:val="21"/>
              </w:rPr>
              <w:t>本</w:t>
            </w:r>
            <w:r>
              <w:rPr>
                <w:rFonts w:hint="default" w:ascii="Times New Roman" w:hAnsi="Times New Roman" w:cs="Times New Roman"/>
                <w:color w:val="auto"/>
                <w:kern w:val="2"/>
                <w:sz w:val="21"/>
                <w:szCs w:val="21"/>
              </w:rPr>
              <w:t>项目不涉及《全国重要江河湖泊水功能区划》划定的河段及湖泊保护区、保留区</w:t>
            </w:r>
          </w:p>
        </w:tc>
      </w:tr>
      <w:tr w14:paraId="584999C5">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3FB9EB7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三</w:t>
            </w:r>
          </w:p>
        </w:tc>
        <w:tc>
          <w:tcPr>
            <w:tcW w:w="7600" w:type="dxa"/>
            <w:gridSpan w:val="3"/>
            <w:vAlign w:val="center"/>
          </w:tcPr>
          <w:p w14:paraId="098DE87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限制准入类</w:t>
            </w:r>
          </w:p>
        </w:tc>
      </w:tr>
      <w:tr w14:paraId="780BF3E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04ECDD6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（一）</w:t>
            </w:r>
          </w:p>
        </w:tc>
        <w:tc>
          <w:tcPr>
            <w:tcW w:w="7600" w:type="dxa"/>
            <w:gridSpan w:val="3"/>
            <w:vAlign w:val="center"/>
          </w:tcPr>
          <w:p w14:paraId="38C7C848">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全市范围内限制准入的产业</w:t>
            </w:r>
          </w:p>
        </w:tc>
      </w:tr>
      <w:tr w14:paraId="1D68DEB6">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231723F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5375" w:type="dxa"/>
            <w:gridSpan w:val="2"/>
            <w:vAlign w:val="center"/>
          </w:tcPr>
          <w:p w14:paraId="05A2459C">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新建、扩建不符合国家产能置换要求的严重过剩产能行业的项目。新建、扩建不符合要求的高耗能高排放项目</w:t>
            </w:r>
          </w:p>
        </w:tc>
        <w:tc>
          <w:tcPr>
            <w:tcW w:w="2225" w:type="dxa"/>
            <w:vAlign w:val="center"/>
          </w:tcPr>
          <w:p w14:paraId="0AFFB5E4">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本项目为汽车注塑件改性塑料颗粒生产，不属于高耗能高排放项目</w:t>
            </w:r>
          </w:p>
        </w:tc>
      </w:tr>
      <w:tr w14:paraId="019747C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4CD9626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w:t>
            </w:r>
          </w:p>
        </w:tc>
        <w:tc>
          <w:tcPr>
            <w:tcW w:w="5375" w:type="dxa"/>
            <w:gridSpan w:val="2"/>
            <w:vAlign w:val="center"/>
          </w:tcPr>
          <w:p w14:paraId="48A1AB6B">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新建、扩建不符合国家石化、现代煤化工等产业布局规划的项目</w:t>
            </w:r>
          </w:p>
        </w:tc>
        <w:tc>
          <w:tcPr>
            <w:tcW w:w="2225" w:type="dxa"/>
            <w:vAlign w:val="center"/>
          </w:tcPr>
          <w:p w14:paraId="471F6756">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本项目为汽车注塑件改性塑料颗粒生产，不属于石化、煤化工项目</w:t>
            </w:r>
          </w:p>
        </w:tc>
      </w:tr>
      <w:tr w14:paraId="3E56B89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5CC85DE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w:t>
            </w:r>
          </w:p>
        </w:tc>
        <w:tc>
          <w:tcPr>
            <w:tcW w:w="5375" w:type="dxa"/>
            <w:gridSpan w:val="2"/>
            <w:vAlign w:val="center"/>
          </w:tcPr>
          <w:p w14:paraId="3D4FEC12">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在合规园区外新建、扩建钢铁、石化、化工、焦化、建材、有色、制浆造纸等高污染项目</w:t>
            </w:r>
          </w:p>
        </w:tc>
        <w:tc>
          <w:tcPr>
            <w:tcW w:w="2225" w:type="dxa"/>
            <w:vAlign w:val="center"/>
          </w:tcPr>
          <w:p w14:paraId="579BAFB8">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本项目为汽车注塑件改性塑料颗粒生产，不属于钢铁、石化、化工、焦化、建材、有色、制浆造纸等高污染项目</w:t>
            </w:r>
          </w:p>
        </w:tc>
      </w:tr>
      <w:tr w14:paraId="4E26E076">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6B48802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w:t>
            </w:r>
          </w:p>
        </w:tc>
        <w:tc>
          <w:tcPr>
            <w:tcW w:w="5375" w:type="dxa"/>
            <w:gridSpan w:val="2"/>
            <w:vAlign w:val="center"/>
          </w:tcPr>
          <w:p w14:paraId="3A3CE401">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《汽车产业投资管理规定》（国家发展和改革委员会令第22号）明确禁止建设的汽车投资项目</w:t>
            </w:r>
          </w:p>
        </w:tc>
        <w:tc>
          <w:tcPr>
            <w:tcW w:w="2225" w:type="dxa"/>
            <w:vAlign w:val="center"/>
          </w:tcPr>
          <w:p w14:paraId="13F8386A">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本项目为汽车注塑件改性塑料颗粒生产，不属于汽车投资项目</w:t>
            </w:r>
          </w:p>
        </w:tc>
      </w:tr>
      <w:tr w14:paraId="67ABECEC">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4BB8A82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（二）</w:t>
            </w:r>
          </w:p>
        </w:tc>
        <w:tc>
          <w:tcPr>
            <w:tcW w:w="7600" w:type="dxa"/>
            <w:gridSpan w:val="3"/>
            <w:vAlign w:val="center"/>
          </w:tcPr>
          <w:p w14:paraId="32DDB624">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重点区域范围内限制准入的产业</w:t>
            </w:r>
          </w:p>
        </w:tc>
      </w:tr>
      <w:tr w14:paraId="459BF425">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5E2165F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5375" w:type="dxa"/>
            <w:gridSpan w:val="2"/>
            <w:vAlign w:val="center"/>
          </w:tcPr>
          <w:p w14:paraId="0197A0F4">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长江干支流、重要湖泊岸线1公里范围内新建、扩建化工园区和化工项目，长江、嘉陵江、乌江岸线1公里范围内布局新建纸浆制造、印染等存在环境风险的项目</w:t>
            </w:r>
          </w:p>
        </w:tc>
        <w:tc>
          <w:tcPr>
            <w:tcW w:w="2225" w:type="dxa"/>
            <w:vAlign w:val="center"/>
          </w:tcPr>
          <w:p w14:paraId="1B7976BD">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本项目为汽车注塑件改性塑料颗粒生产，不属于纸浆制造、印染等存在环境风险的项目</w:t>
            </w:r>
          </w:p>
        </w:tc>
      </w:tr>
      <w:tr w14:paraId="31501EE0">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34" w:hRule="atLeast"/>
          <w:jc w:val="center"/>
        </w:trPr>
        <w:tc>
          <w:tcPr>
            <w:tcW w:w="717" w:type="dxa"/>
            <w:vAlign w:val="center"/>
          </w:tcPr>
          <w:p w14:paraId="11F5A66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w:t>
            </w:r>
          </w:p>
        </w:tc>
        <w:tc>
          <w:tcPr>
            <w:tcW w:w="5375" w:type="dxa"/>
            <w:gridSpan w:val="2"/>
            <w:vAlign w:val="center"/>
          </w:tcPr>
          <w:p w14:paraId="39C65944">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在水产种质资源保护区的岸线和河段范围内新建围湖造田等投资建设项目</w:t>
            </w:r>
          </w:p>
        </w:tc>
        <w:tc>
          <w:tcPr>
            <w:tcW w:w="2225" w:type="dxa"/>
            <w:vAlign w:val="center"/>
          </w:tcPr>
          <w:p w14:paraId="657C19A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本项目为汽车注塑件改性塑料颗粒生产，不属于围湖造田等投资建设项目</w:t>
            </w:r>
          </w:p>
        </w:tc>
      </w:tr>
    </w:tbl>
    <w:p w14:paraId="664D3D62">
      <w:pPr>
        <w:ind w:firstLine="480"/>
        <w:rPr>
          <w:rFonts w:hint="default" w:ascii="Times New Roman" w:hAnsi="Times New Roman" w:cs="Times New Roman"/>
          <w:color w:val="auto"/>
        </w:rPr>
      </w:pPr>
      <w:r>
        <w:rPr>
          <w:rFonts w:hint="default" w:ascii="Times New Roman" w:hAnsi="Times New Roman" w:cs="Times New Roman"/>
          <w:color w:val="auto"/>
        </w:rPr>
        <w:t>由上表可知，本项目符合《重庆市发展和改革委员会关于印发重庆市产业投资准入工作手册的通知》(渝发改投资〔2022〕1436号)相关规定要求。</w:t>
      </w:r>
    </w:p>
    <w:p w14:paraId="16897138">
      <w:pPr>
        <w:ind w:firstLine="480"/>
        <w:rPr>
          <w:rFonts w:hint="default" w:ascii="Times New Roman" w:hAnsi="Times New Roman" w:cs="Times New Roman"/>
          <w:color w:val="auto"/>
        </w:rPr>
      </w:pPr>
      <w:r>
        <w:rPr>
          <w:rFonts w:hint="default" w:ascii="Times New Roman" w:hAnsi="Times New Roman" w:cs="Times New Roman"/>
          <w:color w:val="auto"/>
        </w:rPr>
        <w:t>（4）与《中华人民共和国长江保护法》的符合性分析</w:t>
      </w:r>
    </w:p>
    <w:p w14:paraId="26146D4B">
      <w:pPr>
        <w:ind w:firstLine="480"/>
        <w:rPr>
          <w:rFonts w:hint="default" w:ascii="Times New Roman" w:hAnsi="Times New Roman" w:cs="Times New Roman"/>
          <w:color w:val="auto"/>
        </w:rPr>
      </w:pPr>
      <w:r>
        <w:rPr>
          <w:rFonts w:hint="default" w:ascii="Times New Roman" w:hAnsi="Times New Roman" w:cs="Times New Roman"/>
          <w:color w:val="auto"/>
        </w:rPr>
        <w:t>本项目与《中华人民共和国长江保护法》的符合性对比分析，见表1.2.2-4。</w:t>
      </w:r>
    </w:p>
    <w:p w14:paraId="5840240C">
      <w:pPr>
        <w:pStyle w:val="93"/>
        <w:rPr>
          <w:rFonts w:hint="default" w:ascii="Times New Roman" w:hAnsi="Times New Roman" w:cs="Times New Roman"/>
          <w:color w:val="auto"/>
        </w:rPr>
      </w:pPr>
      <w:r>
        <w:rPr>
          <w:rFonts w:hint="default" w:ascii="Times New Roman" w:hAnsi="Times New Roman" w:cs="Times New Roman"/>
          <w:color w:val="auto"/>
        </w:rPr>
        <w:t>表1.2.2-4  与《中华人民共和国长江保护法》的符合性分析</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4962"/>
        <w:gridCol w:w="1984"/>
        <w:gridCol w:w="908"/>
      </w:tblGrid>
      <w:tr w14:paraId="1585C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auto"/>
            <w:vAlign w:val="center"/>
          </w:tcPr>
          <w:p w14:paraId="7797D76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序号</w:t>
            </w:r>
          </w:p>
        </w:tc>
        <w:tc>
          <w:tcPr>
            <w:tcW w:w="4962" w:type="dxa"/>
            <w:shd w:val="clear" w:color="auto" w:fill="auto"/>
            <w:vAlign w:val="center"/>
          </w:tcPr>
          <w:p w14:paraId="6D3A048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相关要求</w:t>
            </w:r>
          </w:p>
        </w:tc>
        <w:tc>
          <w:tcPr>
            <w:tcW w:w="1984" w:type="dxa"/>
            <w:shd w:val="clear" w:color="auto" w:fill="auto"/>
            <w:vAlign w:val="center"/>
          </w:tcPr>
          <w:p w14:paraId="7E1619D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项目情况</w:t>
            </w:r>
          </w:p>
        </w:tc>
        <w:tc>
          <w:tcPr>
            <w:tcW w:w="908" w:type="dxa"/>
            <w:shd w:val="clear" w:color="auto" w:fill="auto"/>
            <w:vAlign w:val="center"/>
          </w:tcPr>
          <w:p w14:paraId="14C3D4D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符合性分析</w:t>
            </w:r>
          </w:p>
        </w:tc>
      </w:tr>
      <w:tr w14:paraId="19E4E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auto"/>
            <w:vAlign w:val="center"/>
          </w:tcPr>
          <w:p w14:paraId="511B4B0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4962" w:type="dxa"/>
            <w:shd w:val="clear" w:color="auto" w:fill="auto"/>
            <w:vAlign w:val="center"/>
          </w:tcPr>
          <w:p w14:paraId="035C396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长江流域产业结构和布局应当与长江流域生态系统和资源环境承载能力相适应。禁止在长江流域重点生态功能区布局对生态系统有严重影响的产业。禁止重污染企业和项目向长江中上游转移。</w:t>
            </w:r>
          </w:p>
        </w:tc>
        <w:tc>
          <w:tcPr>
            <w:tcW w:w="1984" w:type="dxa"/>
            <w:shd w:val="clear" w:color="auto" w:fill="auto"/>
            <w:vAlign w:val="center"/>
          </w:tcPr>
          <w:p w14:paraId="3E445C2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项目不属于重污染及对生态系统有严重影响的项目。</w:t>
            </w:r>
          </w:p>
        </w:tc>
        <w:tc>
          <w:tcPr>
            <w:tcW w:w="908" w:type="dxa"/>
            <w:shd w:val="clear" w:color="auto" w:fill="auto"/>
            <w:vAlign w:val="center"/>
          </w:tcPr>
          <w:p w14:paraId="030FF31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符合要求</w:t>
            </w:r>
          </w:p>
        </w:tc>
      </w:tr>
      <w:tr w14:paraId="77C3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auto"/>
            <w:vAlign w:val="center"/>
          </w:tcPr>
          <w:p w14:paraId="1733787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w:t>
            </w:r>
          </w:p>
        </w:tc>
        <w:tc>
          <w:tcPr>
            <w:tcW w:w="4962" w:type="dxa"/>
            <w:shd w:val="clear" w:color="auto" w:fill="auto"/>
            <w:vAlign w:val="center"/>
          </w:tcPr>
          <w:p w14:paraId="2808A09A">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禁止在长江干支流岸线一公里范围内新建、扩建化工园区和化工项目。</w:t>
            </w:r>
          </w:p>
        </w:tc>
        <w:tc>
          <w:tcPr>
            <w:tcW w:w="1984" w:type="dxa"/>
            <w:shd w:val="clear" w:color="auto" w:fill="auto"/>
            <w:vAlign w:val="center"/>
          </w:tcPr>
          <w:p w14:paraId="51F8EFE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项目不属于限制的化工行业。</w:t>
            </w:r>
          </w:p>
        </w:tc>
        <w:tc>
          <w:tcPr>
            <w:tcW w:w="908" w:type="dxa"/>
            <w:shd w:val="clear" w:color="auto" w:fill="auto"/>
            <w:vAlign w:val="center"/>
          </w:tcPr>
          <w:p w14:paraId="79FB54F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符合要求</w:t>
            </w:r>
          </w:p>
        </w:tc>
      </w:tr>
      <w:tr w14:paraId="79DA0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auto"/>
            <w:vAlign w:val="center"/>
          </w:tcPr>
          <w:p w14:paraId="25907F8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w:t>
            </w:r>
          </w:p>
        </w:tc>
        <w:tc>
          <w:tcPr>
            <w:tcW w:w="4962" w:type="dxa"/>
            <w:shd w:val="clear" w:color="auto" w:fill="auto"/>
            <w:vAlign w:val="center"/>
          </w:tcPr>
          <w:p w14:paraId="01D5585A">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禁止在长江干流岸线三公里范围内和重要支流岸线一公里范围内新建、改建、扩建尾矿库；但是以提升安全、生态环境保护水平为目的的改建除外。</w:t>
            </w:r>
          </w:p>
        </w:tc>
        <w:tc>
          <w:tcPr>
            <w:tcW w:w="1984" w:type="dxa"/>
            <w:shd w:val="clear" w:color="auto" w:fill="auto"/>
            <w:vAlign w:val="center"/>
          </w:tcPr>
          <w:p w14:paraId="14E2C5A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项目不属于限制的尾矿库等行业。</w:t>
            </w:r>
          </w:p>
        </w:tc>
        <w:tc>
          <w:tcPr>
            <w:tcW w:w="908" w:type="dxa"/>
            <w:shd w:val="clear" w:color="auto" w:fill="auto"/>
            <w:vAlign w:val="center"/>
          </w:tcPr>
          <w:p w14:paraId="5EBBA4E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符合要求</w:t>
            </w:r>
          </w:p>
        </w:tc>
      </w:tr>
      <w:tr w14:paraId="684E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auto"/>
            <w:vAlign w:val="center"/>
          </w:tcPr>
          <w:p w14:paraId="228C22D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w:t>
            </w:r>
          </w:p>
        </w:tc>
        <w:tc>
          <w:tcPr>
            <w:tcW w:w="4962" w:type="dxa"/>
            <w:shd w:val="clear" w:color="auto" w:fill="auto"/>
            <w:vAlign w:val="center"/>
          </w:tcPr>
          <w:p w14:paraId="23F93448">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禁止船舶在划定的禁止航行区域内航行。因国家发展战略和国计民生需要，在水生生物重要栖息地禁止航行区域内航行的，应当由国务院交通运输主管部门商国务院农业农村主管部门同意，并应当采取必要措施，减少对重要水生生物的干扰。严格限制在长江流域生态保护红线、自然保护地、水生生物重要栖息地水域实施航道整治工程；确需整治的，应当经科学论证并依法办理相关手续。</w:t>
            </w:r>
          </w:p>
        </w:tc>
        <w:tc>
          <w:tcPr>
            <w:tcW w:w="1984" w:type="dxa"/>
            <w:shd w:val="clear" w:color="auto" w:fill="auto"/>
            <w:vAlign w:val="center"/>
          </w:tcPr>
          <w:p w14:paraId="562C5F4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项目不位于生态保护红线、自然保护地等区域，不属于限制的航运等行业。</w:t>
            </w:r>
          </w:p>
        </w:tc>
        <w:tc>
          <w:tcPr>
            <w:tcW w:w="908" w:type="dxa"/>
            <w:shd w:val="clear" w:color="auto" w:fill="auto"/>
            <w:vAlign w:val="center"/>
          </w:tcPr>
          <w:p w14:paraId="4B89494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符合要求</w:t>
            </w:r>
          </w:p>
        </w:tc>
      </w:tr>
      <w:tr w14:paraId="7C0BA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auto"/>
            <w:vAlign w:val="center"/>
          </w:tcPr>
          <w:p w14:paraId="177F675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w:t>
            </w:r>
          </w:p>
        </w:tc>
        <w:tc>
          <w:tcPr>
            <w:tcW w:w="4962" w:type="dxa"/>
            <w:shd w:val="clear" w:color="auto" w:fill="auto"/>
            <w:vAlign w:val="center"/>
          </w:tcPr>
          <w:p w14:paraId="31318888">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禁止在长江流域开放水域养殖、投放外来物种或者其他非本地物种种质资源。</w:t>
            </w:r>
          </w:p>
        </w:tc>
        <w:tc>
          <w:tcPr>
            <w:tcW w:w="1984" w:type="dxa"/>
            <w:shd w:val="clear" w:color="auto" w:fill="auto"/>
            <w:vAlign w:val="center"/>
          </w:tcPr>
          <w:p w14:paraId="35D44C3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项目不属于限制的种植行业。</w:t>
            </w:r>
          </w:p>
        </w:tc>
        <w:tc>
          <w:tcPr>
            <w:tcW w:w="908" w:type="dxa"/>
            <w:shd w:val="clear" w:color="auto" w:fill="auto"/>
            <w:vAlign w:val="center"/>
          </w:tcPr>
          <w:p w14:paraId="53E06B1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符合要求</w:t>
            </w:r>
          </w:p>
        </w:tc>
      </w:tr>
      <w:tr w14:paraId="711C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auto"/>
            <w:vAlign w:val="center"/>
          </w:tcPr>
          <w:p w14:paraId="571C77C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6</w:t>
            </w:r>
          </w:p>
        </w:tc>
        <w:tc>
          <w:tcPr>
            <w:tcW w:w="4962" w:type="dxa"/>
            <w:shd w:val="clear" w:color="auto" w:fill="auto"/>
            <w:vAlign w:val="center"/>
          </w:tcPr>
          <w:p w14:paraId="79C5A09B">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磷矿开采加工、磷肥和含磷农药制造等企业，应当按照排污许可要求，采取有效措施控制总磷排放浓度和排放总量；对排污口和周边环境进行总磷监测，依法公开监测信息。</w:t>
            </w:r>
          </w:p>
        </w:tc>
        <w:tc>
          <w:tcPr>
            <w:tcW w:w="1984" w:type="dxa"/>
            <w:shd w:val="clear" w:color="auto" w:fill="auto"/>
            <w:vAlign w:val="center"/>
          </w:tcPr>
          <w:p w14:paraId="28212E1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项目不属于磷矿开采加工、磷肥和含磷农药制造行业。</w:t>
            </w:r>
          </w:p>
        </w:tc>
        <w:tc>
          <w:tcPr>
            <w:tcW w:w="908" w:type="dxa"/>
            <w:shd w:val="clear" w:color="auto" w:fill="auto"/>
            <w:vAlign w:val="center"/>
          </w:tcPr>
          <w:p w14:paraId="4D41A38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符合要求</w:t>
            </w:r>
          </w:p>
        </w:tc>
      </w:tr>
      <w:tr w14:paraId="397E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auto"/>
            <w:vAlign w:val="center"/>
          </w:tcPr>
          <w:p w14:paraId="225643D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7</w:t>
            </w:r>
          </w:p>
        </w:tc>
        <w:tc>
          <w:tcPr>
            <w:tcW w:w="4962" w:type="dxa"/>
            <w:shd w:val="clear" w:color="auto" w:fill="auto"/>
            <w:vAlign w:val="center"/>
          </w:tcPr>
          <w:p w14:paraId="13D58FC7">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禁止在长江流域河湖管理范围内倾倒、填埋、堆放、弃置、处理固体废物。长江流域县级以上地方人民政府应当加强对固体废物非法转移和倾倒的联防联控。</w:t>
            </w:r>
          </w:p>
        </w:tc>
        <w:tc>
          <w:tcPr>
            <w:tcW w:w="1984" w:type="dxa"/>
            <w:shd w:val="clear" w:color="auto" w:fill="auto"/>
            <w:vAlign w:val="center"/>
          </w:tcPr>
          <w:p w14:paraId="032FB14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项目固废均按环保要求处置。</w:t>
            </w:r>
          </w:p>
        </w:tc>
        <w:tc>
          <w:tcPr>
            <w:tcW w:w="908" w:type="dxa"/>
            <w:shd w:val="clear" w:color="auto" w:fill="auto"/>
            <w:vAlign w:val="center"/>
          </w:tcPr>
          <w:p w14:paraId="3717A68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符合要求</w:t>
            </w:r>
          </w:p>
        </w:tc>
      </w:tr>
      <w:tr w14:paraId="78FB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auto"/>
            <w:vAlign w:val="center"/>
          </w:tcPr>
          <w:p w14:paraId="3FA4577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8</w:t>
            </w:r>
          </w:p>
        </w:tc>
        <w:tc>
          <w:tcPr>
            <w:tcW w:w="4962" w:type="dxa"/>
            <w:shd w:val="clear" w:color="auto" w:fill="auto"/>
            <w:vAlign w:val="center"/>
          </w:tcPr>
          <w:p w14:paraId="6EB1E51F">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禁止违法利用、占用长江流域河湖岸线。</w:t>
            </w:r>
          </w:p>
        </w:tc>
        <w:tc>
          <w:tcPr>
            <w:tcW w:w="1984" w:type="dxa"/>
            <w:shd w:val="clear" w:color="auto" w:fill="auto"/>
            <w:vAlign w:val="center"/>
          </w:tcPr>
          <w:p w14:paraId="7FBD97E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项目不利用、占用长江流域河湖岸线。</w:t>
            </w:r>
          </w:p>
        </w:tc>
        <w:tc>
          <w:tcPr>
            <w:tcW w:w="908" w:type="dxa"/>
            <w:shd w:val="clear" w:color="auto" w:fill="auto"/>
            <w:vAlign w:val="center"/>
          </w:tcPr>
          <w:p w14:paraId="2E708CA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符合要求</w:t>
            </w:r>
          </w:p>
        </w:tc>
      </w:tr>
      <w:tr w14:paraId="58A2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auto"/>
            <w:vAlign w:val="center"/>
          </w:tcPr>
          <w:p w14:paraId="0CCE4D5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w:t>
            </w:r>
          </w:p>
        </w:tc>
        <w:tc>
          <w:tcPr>
            <w:tcW w:w="4962" w:type="dxa"/>
            <w:shd w:val="clear" w:color="auto" w:fill="auto"/>
            <w:vAlign w:val="center"/>
          </w:tcPr>
          <w:p w14:paraId="46561C8C">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禁止在长江流域水土流失严重、生态脆弱的区域开展可能造成水土流失的生产建设活动。确因国家发展战略和国计民生需要建设的，应当经科学论证，并依法办理审批手续。</w:t>
            </w:r>
          </w:p>
        </w:tc>
        <w:tc>
          <w:tcPr>
            <w:tcW w:w="1984" w:type="dxa"/>
            <w:shd w:val="clear" w:color="auto" w:fill="auto"/>
            <w:vAlign w:val="center"/>
          </w:tcPr>
          <w:p w14:paraId="7198C65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项目选址不属于水土流失严重、生态脆弱的区域。</w:t>
            </w:r>
          </w:p>
        </w:tc>
        <w:tc>
          <w:tcPr>
            <w:tcW w:w="908" w:type="dxa"/>
            <w:shd w:val="clear" w:color="auto" w:fill="auto"/>
            <w:vAlign w:val="center"/>
          </w:tcPr>
          <w:p w14:paraId="2D827FB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符合要求</w:t>
            </w:r>
          </w:p>
        </w:tc>
      </w:tr>
      <w:tr w14:paraId="65311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auto"/>
            <w:vAlign w:val="center"/>
          </w:tcPr>
          <w:p w14:paraId="63392D9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10</w:t>
            </w:r>
          </w:p>
        </w:tc>
        <w:tc>
          <w:tcPr>
            <w:tcW w:w="4962" w:type="dxa"/>
            <w:shd w:val="clear" w:color="auto" w:fill="auto"/>
            <w:vAlign w:val="center"/>
          </w:tcPr>
          <w:p w14:paraId="4C5D7BE0">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推动钢铁、石油、化工、有色金属、建材、船舶等产业升级改造，提升技术装备水平；推动造纸、制革、电镀、印染、有色金属、农药、氮肥、焦化、原料药制造等企业实施清洁化改造企业应当通过技术创新减少资源消耗和污染物排放。施加快重点地区危险化学品生产企业搬迁改造。</w:t>
            </w:r>
          </w:p>
        </w:tc>
        <w:tc>
          <w:tcPr>
            <w:tcW w:w="1984" w:type="dxa"/>
            <w:shd w:val="clear" w:color="auto" w:fill="auto"/>
            <w:vAlign w:val="center"/>
          </w:tcPr>
          <w:p w14:paraId="607C042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项目不属于高能耗及高污染排放项目，不属于此类项目。</w:t>
            </w:r>
          </w:p>
        </w:tc>
        <w:tc>
          <w:tcPr>
            <w:tcW w:w="908" w:type="dxa"/>
            <w:shd w:val="clear" w:color="auto" w:fill="auto"/>
            <w:vAlign w:val="center"/>
          </w:tcPr>
          <w:p w14:paraId="61CCBDD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符合要求</w:t>
            </w:r>
          </w:p>
        </w:tc>
      </w:tr>
    </w:tbl>
    <w:p w14:paraId="24FC58DE">
      <w:pPr>
        <w:ind w:firstLine="480"/>
        <w:rPr>
          <w:rFonts w:hint="default" w:ascii="Times New Roman" w:hAnsi="Times New Roman" w:cs="Times New Roman"/>
          <w:color w:val="auto"/>
        </w:rPr>
      </w:pPr>
      <w:r>
        <w:rPr>
          <w:rFonts w:hint="default" w:ascii="Times New Roman" w:hAnsi="Times New Roman" w:cs="Times New Roman"/>
          <w:color w:val="auto"/>
        </w:rPr>
        <w:t>（5）与《挥发性有机物无组织排放标准》（GB37822-2019）控制要求的符合性分析</w:t>
      </w:r>
    </w:p>
    <w:p w14:paraId="31CDCFA9">
      <w:pPr>
        <w:pStyle w:val="93"/>
        <w:rPr>
          <w:rFonts w:hint="default" w:ascii="Times New Roman" w:hAnsi="Times New Roman" w:cs="Times New Roman"/>
          <w:color w:val="auto"/>
        </w:rPr>
      </w:pPr>
      <w:r>
        <w:rPr>
          <w:rFonts w:hint="default" w:ascii="Times New Roman" w:hAnsi="Times New Roman" w:cs="Times New Roman"/>
          <w:color w:val="auto"/>
        </w:rPr>
        <w:t>表1.2.2-5   项目与《挥发性有机物无组织排放标准》控制要求的符合性分析</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1"/>
        <w:gridCol w:w="3159"/>
        <w:gridCol w:w="652"/>
      </w:tblGrid>
      <w:tr w14:paraId="44443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4301" w:type="dxa"/>
            <w:shd w:val="clear" w:color="auto" w:fill="auto"/>
            <w:vAlign w:val="center"/>
          </w:tcPr>
          <w:p w14:paraId="3CDA9F7B">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控制要求</w:t>
            </w:r>
          </w:p>
        </w:tc>
        <w:tc>
          <w:tcPr>
            <w:tcW w:w="3159" w:type="dxa"/>
            <w:shd w:val="clear" w:color="auto" w:fill="auto"/>
            <w:vAlign w:val="center"/>
          </w:tcPr>
          <w:p w14:paraId="1557BC95">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项目情况</w:t>
            </w:r>
          </w:p>
        </w:tc>
        <w:tc>
          <w:tcPr>
            <w:tcW w:w="652" w:type="dxa"/>
            <w:shd w:val="clear" w:color="auto" w:fill="auto"/>
            <w:vAlign w:val="center"/>
          </w:tcPr>
          <w:p w14:paraId="644EDD52">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符合性</w:t>
            </w:r>
          </w:p>
        </w:tc>
      </w:tr>
      <w:tr w14:paraId="49FE3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8112" w:type="dxa"/>
            <w:gridSpan w:val="3"/>
            <w:shd w:val="clear" w:color="auto" w:fill="auto"/>
            <w:vAlign w:val="center"/>
          </w:tcPr>
          <w:p w14:paraId="4A19FCF7">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VOCs物料储存无组织排放要求</w:t>
            </w:r>
          </w:p>
        </w:tc>
      </w:tr>
      <w:tr w14:paraId="13D1F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4301" w:type="dxa"/>
            <w:shd w:val="clear" w:color="auto" w:fill="auto"/>
            <w:vAlign w:val="center"/>
          </w:tcPr>
          <w:p w14:paraId="4E97133E">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VOCs物料应存储于密闭的容器、包装袋、储罐、储库、料仓中，置于室内或放置于雨棚、遮阳、和防渗设施专用的场地，储罐应密封良好。</w:t>
            </w:r>
          </w:p>
        </w:tc>
        <w:tc>
          <w:tcPr>
            <w:tcW w:w="3159" w:type="dxa"/>
            <w:shd w:val="clear" w:color="auto" w:fill="auto"/>
            <w:vAlign w:val="center"/>
          </w:tcPr>
          <w:p w14:paraId="4B7CEDFA">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本项目原材料等为低</w:t>
            </w:r>
            <w:r>
              <w:rPr>
                <w:rFonts w:hint="default" w:ascii="Times New Roman" w:hAnsi="Times New Roman" w:cs="Times New Roman"/>
                <w:color w:val="auto"/>
                <w:kern w:val="2"/>
                <w:sz w:val="21"/>
                <w:szCs w:val="21"/>
                <w:lang w:val="en"/>
              </w:rPr>
              <w:t>VOCs物料</w:t>
            </w:r>
            <w:r>
              <w:rPr>
                <w:rFonts w:hint="default" w:ascii="Times New Roman" w:hAnsi="Times New Roman" w:cs="Times New Roman"/>
                <w:color w:val="auto"/>
                <w:kern w:val="2"/>
                <w:sz w:val="21"/>
                <w:szCs w:val="21"/>
              </w:rPr>
              <w:t>。</w:t>
            </w:r>
          </w:p>
        </w:tc>
        <w:tc>
          <w:tcPr>
            <w:tcW w:w="652" w:type="dxa"/>
            <w:shd w:val="clear" w:color="auto" w:fill="auto"/>
            <w:vAlign w:val="center"/>
          </w:tcPr>
          <w:p w14:paraId="350C312C">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符合要求</w:t>
            </w:r>
          </w:p>
        </w:tc>
      </w:tr>
      <w:tr w14:paraId="6E12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8112" w:type="dxa"/>
            <w:gridSpan w:val="3"/>
            <w:shd w:val="clear" w:color="auto" w:fill="auto"/>
            <w:vAlign w:val="center"/>
          </w:tcPr>
          <w:p w14:paraId="5BA5A2E8">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VOCs物料转移和输送无组织排放控制要求</w:t>
            </w:r>
          </w:p>
        </w:tc>
      </w:tr>
      <w:tr w14:paraId="2BB1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301" w:type="dxa"/>
            <w:shd w:val="clear" w:color="auto" w:fill="auto"/>
            <w:vAlign w:val="center"/>
          </w:tcPr>
          <w:p w14:paraId="2B0ED713">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液态VOCs物料应采用密闭通道输送。采用非管道输送方式转移液态VOCs物料时，应采用密闭容器、罐车。</w:t>
            </w:r>
          </w:p>
        </w:tc>
        <w:tc>
          <w:tcPr>
            <w:tcW w:w="3159" w:type="dxa"/>
            <w:shd w:val="clear" w:color="auto" w:fill="auto"/>
            <w:vAlign w:val="center"/>
          </w:tcPr>
          <w:p w14:paraId="17FF7FDB">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本项目原材料等为低</w:t>
            </w:r>
            <w:r>
              <w:rPr>
                <w:rFonts w:hint="default" w:ascii="Times New Roman" w:hAnsi="Times New Roman" w:cs="Times New Roman"/>
                <w:color w:val="auto"/>
                <w:kern w:val="2"/>
                <w:sz w:val="21"/>
                <w:szCs w:val="21"/>
                <w:lang w:val="en"/>
              </w:rPr>
              <w:t>VOCs物料</w:t>
            </w:r>
            <w:r>
              <w:rPr>
                <w:rFonts w:hint="default" w:ascii="Times New Roman" w:hAnsi="Times New Roman" w:cs="Times New Roman"/>
                <w:color w:val="auto"/>
                <w:kern w:val="2"/>
                <w:sz w:val="21"/>
                <w:szCs w:val="21"/>
              </w:rPr>
              <w:t>。</w:t>
            </w:r>
          </w:p>
        </w:tc>
        <w:tc>
          <w:tcPr>
            <w:tcW w:w="652" w:type="dxa"/>
            <w:shd w:val="clear" w:color="auto" w:fill="auto"/>
            <w:vAlign w:val="center"/>
          </w:tcPr>
          <w:p w14:paraId="242675D7">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符合要求</w:t>
            </w:r>
          </w:p>
        </w:tc>
      </w:tr>
      <w:tr w14:paraId="4D82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8112" w:type="dxa"/>
            <w:gridSpan w:val="3"/>
            <w:shd w:val="clear" w:color="auto" w:fill="auto"/>
            <w:vAlign w:val="center"/>
          </w:tcPr>
          <w:p w14:paraId="4FB601D6">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工艺过程VOCs无组织排放控制要求</w:t>
            </w:r>
          </w:p>
        </w:tc>
      </w:tr>
      <w:tr w14:paraId="690B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4301" w:type="dxa"/>
            <w:shd w:val="clear" w:color="auto" w:fill="auto"/>
            <w:vAlign w:val="center"/>
          </w:tcPr>
          <w:p w14:paraId="2E189E51">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7.1、涉VOCs物料的化工生产过程</w:t>
            </w:r>
          </w:p>
        </w:tc>
        <w:tc>
          <w:tcPr>
            <w:tcW w:w="3159" w:type="dxa"/>
            <w:shd w:val="clear" w:color="auto" w:fill="auto"/>
            <w:vAlign w:val="center"/>
          </w:tcPr>
          <w:p w14:paraId="11DE7444">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本项目不属于涉及VOCs物料的化工生产过程</w:t>
            </w:r>
          </w:p>
        </w:tc>
        <w:tc>
          <w:tcPr>
            <w:tcW w:w="652" w:type="dxa"/>
            <w:shd w:val="clear" w:color="auto" w:fill="auto"/>
            <w:vAlign w:val="center"/>
          </w:tcPr>
          <w:p w14:paraId="4676D773">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0503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4301" w:type="dxa"/>
            <w:shd w:val="clear" w:color="auto" w:fill="auto"/>
            <w:vAlign w:val="center"/>
          </w:tcPr>
          <w:p w14:paraId="0E235D84">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7.2、含VOCs产品的使用过程。VOCs质量占比大于等于10%的含VOCs产品，其使用过程应采用密闭设备或在密闭空间内操作，废气应排至VOCs废气收集处理系统；无法密封的，应采取局部气体收集措施，废气应排至VOCs废气收集处理系统。</w:t>
            </w:r>
          </w:p>
        </w:tc>
        <w:tc>
          <w:tcPr>
            <w:tcW w:w="3159" w:type="dxa"/>
            <w:shd w:val="clear" w:color="auto" w:fill="auto"/>
            <w:vAlign w:val="center"/>
          </w:tcPr>
          <w:p w14:paraId="36C052F4">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本项目产生的含VOCs废气过程均在厂房内进行操作，产生的废气均收集后通过二级活性炭吸附处理后达标排放。</w:t>
            </w:r>
          </w:p>
        </w:tc>
        <w:tc>
          <w:tcPr>
            <w:tcW w:w="652" w:type="dxa"/>
            <w:shd w:val="clear" w:color="auto" w:fill="auto"/>
            <w:vAlign w:val="center"/>
          </w:tcPr>
          <w:p w14:paraId="6AA26178">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符合要求</w:t>
            </w:r>
          </w:p>
        </w:tc>
      </w:tr>
      <w:tr w14:paraId="7F8E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8112" w:type="dxa"/>
            <w:gridSpan w:val="3"/>
            <w:shd w:val="clear" w:color="auto" w:fill="auto"/>
            <w:vAlign w:val="center"/>
          </w:tcPr>
          <w:p w14:paraId="392F7A08">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VOCs无组织排放废气收集处理系统管控要求</w:t>
            </w:r>
          </w:p>
        </w:tc>
      </w:tr>
      <w:tr w14:paraId="0CE2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301" w:type="dxa"/>
            <w:shd w:val="clear" w:color="auto" w:fill="auto"/>
            <w:vAlign w:val="center"/>
          </w:tcPr>
          <w:p w14:paraId="70080251">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VOCs废气收集处理系统应与生产工艺设备同步运行，废气收集处理系统出现故障或维修时，对应的生产工艺应停止运行，待检修后同步投入使用。</w:t>
            </w:r>
          </w:p>
        </w:tc>
        <w:tc>
          <w:tcPr>
            <w:tcW w:w="3159" w:type="dxa"/>
            <w:shd w:val="clear" w:color="auto" w:fill="auto"/>
            <w:vAlign w:val="center"/>
          </w:tcPr>
          <w:p w14:paraId="69D5AB48">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本项目严格按照生产工艺与废气收集处理系统同步运行准则，并加强生产设备和废气收集处理系统的检查，杜绝生产工艺与废气收集处理系统不同步运行事件发生。</w:t>
            </w:r>
          </w:p>
        </w:tc>
        <w:tc>
          <w:tcPr>
            <w:tcW w:w="652" w:type="dxa"/>
            <w:shd w:val="clear" w:color="auto" w:fill="auto"/>
            <w:vAlign w:val="center"/>
          </w:tcPr>
          <w:p w14:paraId="267DFFF4">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符合要求</w:t>
            </w:r>
          </w:p>
        </w:tc>
      </w:tr>
      <w:tr w14:paraId="46C9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4301" w:type="dxa"/>
            <w:shd w:val="clear" w:color="auto" w:fill="auto"/>
            <w:vAlign w:val="center"/>
          </w:tcPr>
          <w:p w14:paraId="2DF10752">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收集的废气中NHMC初始排放浓度≥3kg/h时，应配置VOCs处理设施，处理效率不低于80%，对于重点地区，收集的废气中NHMC初始排放浓度≥2kg/h时，应配置VOCs处理设施，处理效率不低于80%。</w:t>
            </w:r>
          </w:p>
        </w:tc>
        <w:tc>
          <w:tcPr>
            <w:tcW w:w="3159" w:type="dxa"/>
            <w:shd w:val="clear" w:color="auto" w:fill="auto"/>
            <w:vAlign w:val="center"/>
          </w:tcPr>
          <w:p w14:paraId="66A60377">
            <w:pPr>
              <w:pStyle w:val="93"/>
              <w:spacing w:before="0" w:line="240" w:lineRule="auto"/>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本项目初始排放浓度＜2kg/h，厂房产生的废气均通过二级活性炭吸附处理后达标排放</w:t>
            </w:r>
          </w:p>
        </w:tc>
        <w:tc>
          <w:tcPr>
            <w:tcW w:w="652" w:type="dxa"/>
            <w:shd w:val="clear" w:color="auto" w:fill="auto"/>
            <w:vAlign w:val="center"/>
          </w:tcPr>
          <w:p w14:paraId="435DA3CF">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符合要求</w:t>
            </w:r>
          </w:p>
        </w:tc>
      </w:tr>
      <w:tr w14:paraId="33F7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301" w:type="dxa"/>
            <w:shd w:val="clear" w:color="auto" w:fill="auto"/>
            <w:vAlign w:val="center"/>
          </w:tcPr>
          <w:p w14:paraId="411B29E5">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企业应建立台账，记录废气收集系统、VOCs处理设施的主要运行和维护信息，如运行时间、废气处理量、操作温度、停留时间、吸附剂再生/更换周期和更换量、催化剂更换周期和更换量、吸收液pH值等关键运行参数。台账保存期限不少于3年。</w:t>
            </w:r>
          </w:p>
        </w:tc>
        <w:tc>
          <w:tcPr>
            <w:tcW w:w="3159" w:type="dxa"/>
            <w:shd w:val="clear" w:color="auto" w:fill="auto"/>
            <w:vAlign w:val="center"/>
          </w:tcPr>
          <w:p w14:paraId="5FBD54C4">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企业将按照环保要求建立台账，并进行记录。</w:t>
            </w:r>
          </w:p>
        </w:tc>
        <w:tc>
          <w:tcPr>
            <w:tcW w:w="652" w:type="dxa"/>
            <w:shd w:val="clear" w:color="auto" w:fill="auto"/>
            <w:vAlign w:val="center"/>
          </w:tcPr>
          <w:p w14:paraId="6C65ED5F">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符合要求</w:t>
            </w:r>
          </w:p>
        </w:tc>
      </w:tr>
    </w:tbl>
    <w:p w14:paraId="71A284F9">
      <w:pPr>
        <w:ind w:firstLine="480"/>
        <w:rPr>
          <w:rFonts w:hint="default" w:ascii="Times New Roman" w:hAnsi="Times New Roman" w:cs="Times New Roman"/>
          <w:color w:val="auto"/>
        </w:rPr>
      </w:pPr>
      <w:r>
        <w:rPr>
          <w:rFonts w:hint="default" w:ascii="Times New Roman" w:hAnsi="Times New Roman" w:cs="Times New Roman"/>
          <w:color w:val="auto"/>
        </w:rPr>
        <w:t>由表1.2.2-5可知，本项目符合《挥发性有机物无组织排放标准》（GB37822-2019）控制要求。</w:t>
      </w:r>
    </w:p>
    <w:p w14:paraId="0D386A8A">
      <w:pPr>
        <w:ind w:firstLine="480"/>
        <w:rPr>
          <w:rFonts w:hint="default" w:ascii="Times New Roman" w:hAnsi="Times New Roman" w:cs="Times New Roman"/>
          <w:color w:val="auto"/>
        </w:rPr>
      </w:pPr>
      <w:r>
        <w:rPr>
          <w:rFonts w:hint="default" w:ascii="Times New Roman" w:hAnsi="Times New Roman" w:cs="Times New Roman"/>
          <w:color w:val="auto"/>
        </w:rPr>
        <w:t>（6）与《重点行业挥发性有机物综合治理方案》（环大气[2019]53号）符合性分析</w:t>
      </w:r>
    </w:p>
    <w:p w14:paraId="157BFFCA">
      <w:pPr>
        <w:pStyle w:val="93"/>
        <w:rPr>
          <w:rFonts w:hint="default" w:ascii="Times New Roman" w:hAnsi="Times New Roman" w:cs="Times New Roman"/>
          <w:color w:val="auto"/>
        </w:rPr>
      </w:pPr>
      <w:r>
        <w:rPr>
          <w:rFonts w:hint="default" w:ascii="Times New Roman" w:hAnsi="Times New Roman" w:cs="Times New Roman"/>
          <w:color w:val="auto"/>
        </w:rPr>
        <w:t>表1.2.2-6  与《重点行业挥发性有机物综合治理方案》符合性分析</w:t>
      </w:r>
    </w:p>
    <w:tbl>
      <w:tblPr>
        <w:tblStyle w:val="44"/>
        <w:tblW w:w="502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2"/>
        <w:gridCol w:w="4912"/>
        <w:gridCol w:w="1418"/>
        <w:gridCol w:w="871"/>
      </w:tblGrid>
      <w:tr w14:paraId="77FBE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Header/>
          <w:jc w:val="center"/>
        </w:trPr>
        <w:tc>
          <w:tcPr>
            <w:tcW w:w="694" w:type="pct"/>
            <w:vAlign w:val="center"/>
          </w:tcPr>
          <w:p w14:paraId="07C910C5">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类别</w:t>
            </w:r>
          </w:p>
        </w:tc>
        <w:tc>
          <w:tcPr>
            <w:tcW w:w="2935" w:type="pct"/>
            <w:vAlign w:val="center"/>
          </w:tcPr>
          <w:p w14:paraId="27F71770">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相关要求</w:t>
            </w:r>
          </w:p>
        </w:tc>
        <w:tc>
          <w:tcPr>
            <w:tcW w:w="848" w:type="pct"/>
            <w:vAlign w:val="center"/>
          </w:tcPr>
          <w:p w14:paraId="5B3A84B2">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项目情况</w:t>
            </w:r>
          </w:p>
        </w:tc>
        <w:tc>
          <w:tcPr>
            <w:tcW w:w="521" w:type="pct"/>
            <w:vAlign w:val="center"/>
          </w:tcPr>
          <w:p w14:paraId="263882BC">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符合性</w:t>
            </w:r>
          </w:p>
          <w:p w14:paraId="6565E018">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分析</w:t>
            </w:r>
          </w:p>
        </w:tc>
      </w:tr>
      <w:tr w14:paraId="6D947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94" w:type="pct"/>
            <w:vAlign w:val="center"/>
          </w:tcPr>
          <w:p w14:paraId="1503B4C2">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一、大力推进源头替代</w:t>
            </w:r>
          </w:p>
        </w:tc>
        <w:tc>
          <w:tcPr>
            <w:tcW w:w="2935" w:type="pct"/>
            <w:vAlign w:val="center"/>
          </w:tcPr>
          <w:p w14:paraId="40B976A2">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通过使用水性、粉末、高固体分、无溶剂、辐射固化等低VOCs含量的涂料、水性、辐射固化、植物基等低VOCs含量的油墨，水基、热熔、无溶剂、辐射固化、改性、生物降解等低VOCs含量的胶黏剂，以及低VOCs含量、低反应活性的清洗剂等，替代溶剂型涂料、油墨、胶黏剂、清洗剂等，从源头减少VOCs产生。工业涂装、包装印刷等行业要加大源头替代力度。企业应大力推广使用低VOCs含量木器涂料、车辆涂料、机械设备涂料、集装箱涂料以及建筑物和构筑物防护涂料等，在技术成熟的行业，推广使用低VOCs含量油墨和胶黏剂，重点区域到2020年底基本完成。鼓励加快低VOCs含量涂料、油墨、胶黏剂等研发和生产。</w:t>
            </w:r>
          </w:p>
        </w:tc>
        <w:tc>
          <w:tcPr>
            <w:tcW w:w="848" w:type="pct"/>
            <w:vAlign w:val="center"/>
          </w:tcPr>
          <w:p w14:paraId="7F8BFEDE">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本项目原材料等为低</w:t>
            </w:r>
            <w:r>
              <w:rPr>
                <w:rFonts w:hint="default" w:ascii="Times New Roman" w:hAnsi="Times New Roman" w:cs="Times New Roman"/>
                <w:color w:val="auto"/>
                <w:kern w:val="2"/>
                <w:sz w:val="21"/>
                <w:szCs w:val="21"/>
                <w:lang w:val="en"/>
              </w:rPr>
              <w:t>VOCs物料</w:t>
            </w:r>
            <w:r>
              <w:rPr>
                <w:rFonts w:hint="default" w:ascii="Times New Roman" w:hAnsi="Times New Roman" w:cs="Times New Roman"/>
                <w:color w:val="auto"/>
                <w:kern w:val="2"/>
                <w:sz w:val="21"/>
                <w:szCs w:val="21"/>
              </w:rPr>
              <w:t>。</w:t>
            </w:r>
          </w:p>
        </w:tc>
        <w:tc>
          <w:tcPr>
            <w:tcW w:w="521" w:type="pct"/>
            <w:vAlign w:val="center"/>
          </w:tcPr>
          <w:p w14:paraId="579E5F2A">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72B10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94" w:type="pct"/>
            <w:vMerge w:val="restart"/>
            <w:vAlign w:val="center"/>
          </w:tcPr>
          <w:p w14:paraId="3D9B08AC">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二、</w:t>
            </w:r>
            <w:r>
              <w:rPr>
                <w:rFonts w:hint="default" w:ascii="Times New Roman" w:hAnsi="Times New Roman" w:cs="Times New Roman"/>
                <w:color w:val="auto"/>
                <w:kern w:val="2"/>
                <w:sz w:val="21"/>
                <w:szCs w:val="21"/>
                <w:lang w:val="en"/>
              </w:rPr>
              <w:t>全面加强无组织排放控制。</w:t>
            </w:r>
          </w:p>
        </w:tc>
        <w:tc>
          <w:tcPr>
            <w:tcW w:w="2935" w:type="pct"/>
            <w:vAlign w:val="center"/>
          </w:tcPr>
          <w:p w14:paraId="50CB2822">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val="en"/>
              </w:rPr>
              <w:t>重点对含VOCs物料（包括含VOCs原辅材料、含VOCs产品、含VOCs废料以及有机聚合物材料等）储存、转移和输送、设备与管线组件泄漏、敞开液面逸散以及工艺过程等五类排放源实施管控，通过采取设备与场所密闭、工艺改进、废气有效收集等措施，削减VOCs无组织排放。</w:t>
            </w:r>
          </w:p>
        </w:tc>
        <w:tc>
          <w:tcPr>
            <w:tcW w:w="848" w:type="pct"/>
            <w:vAlign w:val="center"/>
          </w:tcPr>
          <w:p w14:paraId="3EF1ED8A">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本项目本项目原材料等为低</w:t>
            </w:r>
            <w:r>
              <w:rPr>
                <w:rFonts w:hint="default" w:ascii="Times New Roman" w:hAnsi="Times New Roman" w:cs="Times New Roman"/>
                <w:color w:val="auto"/>
                <w:kern w:val="2"/>
                <w:sz w:val="21"/>
                <w:szCs w:val="21"/>
                <w:lang w:val="en"/>
              </w:rPr>
              <w:t>VOCs物料</w:t>
            </w:r>
            <w:r>
              <w:rPr>
                <w:rFonts w:hint="default" w:ascii="Times New Roman" w:hAnsi="Times New Roman" w:cs="Times New Roman"/>
                <w:color w:val="auto"/>
                <w:kern w:val="2"/>
                <w:sz w:val="21"/>
                <w:szCs w:val="21"/>
              </w:rPr>
              <w:t>，废气均</w:t>
            </w:r>
            <w:r>
              <w:rPr>
                <w:rFonts w:hint="default" w:ascii="Times New Roman" w:hAnsi="Times New Roman" w:cs="Times New Roman"/>
                <w:color w:val="auto"/>
                <w:kern w:val="2"/>
                <w:sz w:val="21"/>
                <w:szCs w:val="21"/>
                <w:lang w:val="en"/>
              </w:rPr>
              <w:t>有效收集</w:t>
            </w:r>
            <w:r>
              <w:rPr>
                <w:rFonts w:hint="default" w:ascii="Times New Roman" w:hAnsi="Times New Roman" w:cs="Times New Roman"/>
                <w:color w:val="auto"/>
                <w:kern w:val="2"/>
                <w:sz w:val="21"/>
                <w:szCs w:val="21"/>
              </w:rPr>
              <w:t>后处理。</w:t>
            </w:r>
          </w:p>
        </w:tc>
        <w:tc>
          <w:tcPr>
            <w:tcW w:w="521" w:type="pct"/>
            <w:vAlign w:val="center"/>
          </w:tcPr>
          <w:p w14:paraId="69D27F1D">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43600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94" w:type="pct"/>
            <w:vMerge w:val="continue"/>
            <w:vAlign w:val="center"/>
          </w:tcPr>
          <w:p w14:paraId="33BECDFD">
            <w:pPr>
              <w:pStyle w:val="93"/>
              <w:spacing w:before="0" w:line="240" w:lineRule="auto"/>
              <w:rPr>
                <w:rFonts w:hint="default" w:ascii="Times New Roman" w:hAnsi="Times New Roman" w:cs="Times New Roman"/>
                <w:color w:val="auto"/>
                <w:kern w:val="2"/>
                <w:sz w:val="21"/>
                <w:szCs w:val="21"/>
              </w:rPr>
            </w:pPr>
          </w:p>
        </w:tc>
        <w:tc>
          <w:tcPr>
            <w:tcW w:w="2935" w:type="pct"/>
            <w:vAlign w:val="center"/>
          </w:tcPr>
          <w:p w14:paraId="16AE5C2D">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val="en"/>
              </w:rPr>
              <w:t>加强设备与场所密闭管理。含VOCs物料应储存于密闭容器、包装袋，高效密封储罐，封闭式储库、料仓等。含VOCs物料转移和输送，应采用密闭管道或密闭容器、罐车等。高VOCs含量废水（废水液面上方100毫米处VOCs检测浓度超过200ppm，其中，重点区域超过100ppm，以碳计）的集输、储存和处理过程，应加盖密闭。含VOCs物料生产和使用过程，应采取有效收集措施或在密闭空间中操作。</w:t>
            </w:r>
          </w:p>
        </w:tc>
        <w:tc>
          <w:tcPr>
            <w:tcW w:w="848" w:type="pct"/>
            <w:vAlign w:val="center"/>
          </w:tcPr>
          <w:p w14:paraId="37216E74">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本项目本项目原材料等为低</w:t>
            </w:r>
            <w:r>
              <w:rPr>
                <w:rFonts w:hint="default" w:ascii="Times New Roman" w:hAnsi="Times New Roman" w:cs="Times New Roman"/>
                <w:color w:val="auto"/>
                <w:kern w:val="2"/>
                <w:sz w:val="21"/>
                <w:szCs w:val="21"/>
                <w:lang w:val="en"/>
              </w:rPr>
              <w:t>VOCs物料</w:t>
            </w:r>
            <w:r>
              <w:rPr>
                <w:rFonts w:hint="default" w:ascii="Times New Roman" w:hAnsi="Times New Roman" w:cs="Times New Roman"/>
                <w:color w:val="auto"/>
                <w:kern w:val="2"/>
                <w:sz w:val="21"/>
                <w:szCs w:val="21"/>
              </w:rPr>
              <w:t>，废气均</w:t>
            </w:r>
            <w:r>
              <w:rPr>
                <w:rFonts w:hint="default" w:ascii="Times New Roman" w:hAnsi="Times New Roman" w:cs="Times New Roman"/>
                <w:color w:val="auto"/>
                <w:kern w:val="2"/>
                <w:sz w:val="21"/>
                <w:szCs w:val="21"/>
                <w:lang w:val="en"/>
              </w:rPr>
              <w:t>有效收集</w:t>
            </w:r>
            <w:r>
              <w:rPr>
                <w:rFonts w:hint="default" w:ascii="Times New Roman" w:hAnsi="Times New Roman" w:cs="Times New Roman"/>
                <w:color w:val="auto"/>
                <w:kern w:val="2"/>
                <w:sz w:val="21"/>
                <w:szCs w:val="21"/>
              </w:rPr>
              <w:t>后处理。</w:t>
            </w:r>
          </w:p>
        </w:tc>
        <w:tc>
          <w:tcPr>
            <w:tcW w:w="521" w:type="pct"/>
            <w:vAlign w:val="center"/>
          </w:tcPr>
          <w:p w14:paraId="489A8861">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45ACB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94" w:type="pct"/>
            <w:vMerge w:val="continue"/>
            <w:vAlign w:val="center"/>
          </w:tcPr>
          <w:p w14:paraId="478AFFD3">
            <w:pPr>
              <w:pStyle w:val="93"/>
              <w:spacing w:before="0" w:line="240" w:lineRule="auto"/>
              <w:rPr>
                <w:rFonts w:hint="default" w:ascii="Times New Roman" w:hAnsi="Times New Roman" w:cs="Times New Roman"/>
                <w:color w:val="auto"/>
                <w:kern w:val="2"/>
                <w:sz w:val="21"/>
                <w:szCs w:val="21"/>
              </w:rPr>
            </w:pPr>
          </w:p>
        </w:tc>
        <w:tc>
          <w:tcPr>
            <w:tcW w:w="2935" w:type="pct"/>
            <w:vAlign w:val="center"/>
          </w:tcPr>
          <w:p w14:paraId="0CAFF072">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val="en"/>
              </w:rPr>
              <w:t>推进使用先进生产工艺。通过采用全密闭、连续化、自动化等生产技术，以及高效工艺与设备等，减少工艺过程无组织排放。挥发性有机液体装载优先采用底部装载方式。工业涂装行业重点推进使用紧凑式涂装工艺，推广采用辊涂、静电喷涂、高压无气喷涂、空气辅助无气喷涂、热喷涂等涂装技术，鼓励企业采用自动化、智能化喷涂设备替代人工喷涂，减少使用空气喷涂技术。</w:t>
            </w:r>
          </w:p>
        </w:tc>
        <w:tc>
          <w:tcPr>
            <w:tcW w:w="848" w:type="pct"/>
            <w:vAlign w:val="center"/>
          </w:tcPr>
          <w:p w14:paraId="5986754F">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本项目废气负压收集后通过二级活性炭吸附处理并达标排放。</w:t>
            </w:r>
          </w:p>
        </w:tc>
        <w:tc>
          <w:tcPr>
            <w:tcW w:w="521" w:type="pct"/>
            <w:vAlign w:val="center"/>
          </w:tcPr>
          <w:p w14:paraId="224EAD07">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16169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94" w:type="pct"/>
            <w:vMerge w:val="continue"/>
            <w:vAlign w:val="center"/>
          </w:tcPr>
          <w:p w14:paraId="42543B38">
            <w:pPr>
              <w:pStyle w:val="93"/>
              <w:spacing w:before="0" w:line="240" w:lineRule="auto"/>
              <w:rPr>
                <w:rFonts w:hint="default" w:ascii="Times New Roman" w:hAnsi="Times New Roman" w:cs="Times New Roman"/>
                <w:color w:val="auto"/>
                <w:kern w:val="2"/>
                <w:sz w:val="21"/>
                <w:szCs w:val="21"/>
              </w:rPr>
            </w:pPr>
          </w:p>
        </w:tc>
        <w:tc>
          <w:tcPr>
            <w:tcW w:w="2935" w:type="pct"/>
            <w:vAlign w:val="center"/>
          </w:tcPr>
          <w:p w14:paraId="62F13DA0">
            <w:pPr>
              <w:pStyle w:val="93"/>
              <w:spacing w:before="0" w:line="240" w:lineRule="auto"/>
              <w:rPr>
                <w:rFonts w:hint="default" w:ascii="Times New Roman" w:hAnsi="Times New Roman" w:cs="Times New Roman"/>
                <w:color w:val="auto"/>
                <w:kern w:val="2"/>
                <w:sz w:val="21"/>
                <w:szCs w:val="21"/>
                <w:lang w:val="en"/>
              </w:rPr>
            </w:pPr>
            <w:r>
              <w:rPr>
                <w:rFonts w:hint="default" w:ascii="Times New Roman" w:hAnsi="Times New Roman" w:cs="Times New Roman"/>
                <w:color w:val="auto"/>
                <w:kern w:val="2"/>
                <w:sz w:val="21"/>
                <w:szCs w:val="21"/>
                <w:lang w:val="en"/>
              </w:rPr>
              <w:t>提高废气收集率。遵循“应收尽收、分质收集”的原则，科学设计废气收集系统，将无组织排放转变为有组织排放进行控制。采用全密闭集气罩或密闭空间的，除行业有特殊要求外，应保持微负压状态，并根据相关规范合理设置通风量。采用局部集气罩的，距集气罩开口面最远处的VOCs无组织排放位置，控制风速应不低于0.3米/秒，有行业要求的按相关规定执行。</w:t>
            </w:r>
          </w:p>
        </w:tc>
        <w:tc>
          <w:tcPr>
            <w:tcW w:w="848" w:type="pct"/>
            <w:vAlign w:val="center"/>
          </w:tcPr>
          <w:p w14:paraId="0D0CB83A">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本项目废气负压收集后通过二级活性炭吸附处理并达标排放。</w:t>
            </w:r>
            <w:r>
              <w:rPr>
                <w:rFonts w:hint="default" w:ascii="Times New Roman" w:hAnsi="Times New Roman" w:cs="Times New Roman"/>
                <w:color w:val="auto"/>
                <w:kern w:val="2"/>
                <w:sz w:val="21"/>
                <w:szCs w:val="21"/>
                <w:lang w:val="en"/>
              </w:rPr>
              <w:t>局部集气罩</w:t>
            </w:r>
            <w:r>
              <w:rPr>
                <w:rFonts w:hint="default" w:ascii="Times New Roman" w:hAnsi="Times New Roman" w:cs="Times New Roman"/>
                <w:color w:val="auto"/>
                <w:kern w:val="2"/>
                <w:sz w:val="21"/>
                <w:szCs w:val="21"/>
              </w:rPr>
              <w:t>进气风速为0.4m/s。</w:t>
            </w:r>
          </w:p>
        </w:tc>
        <w:tc>
          <w:tcPr>
            <w:tcW w:w="521" w:type="pct"/>
            <w:vAlign w:val="center"/>
          </w:tcPr>
          <w:p w14:paraId="3DEE0E95">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符合1</w:t>
            </w:r>
          </w:p>
        </w:tc>
      </w:tr>
      <w:tr w14:paraId="0ACB0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94" w:type="pct"/>
            <w:vMerge w:val="restart"/>
            <w:vAlign w:val="center"/>
          </w:tcPr>
          <w:p w14:paraId="3002C820">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val="en"/>
              </w:rPr>
              <w:t>三、推进建设适宜高效的治污设施。</w:t>
            </w:r>
          </w:p>
        </w:tc>
        <w:tc>
          <w:tcPr>
            <w:tcW w:w="2935" w:type="pct"/>
            <w:vAlign w:val="center"/>
          </w:tcPr>
          <w:p w14:paraId="3A2576CA">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val="en"/>
              </w:rPr>
              <w:t>企业新建治污设施或对现有治污设施实施改造，应依据排放废气的浓度、组分、风量，温度、湿度、压力，以及生产工况等，合理选择治理技术。鼓励企业采用多种技术的组合工艺，提高VOCs治理效率。低浓度、大风量废气，宜采用沸石转轮吸附、活性炭吸附、减风增浓等浓缩技术，提高VOCs浓度后净化处理；高浓度废气，优先进行溶剂回收，难以回收的，宜采用高温焚烧、催化燃烧等技术。油气（溶剂）回收宜采用冷凝+吸附、吸附+吸收、膜分离+吸附等技术。低温等离子、光催化、光氧化技术主要适用于恶臭异味等治理；生物法主要适用于低浓度VOCs废气治理和恶臭异味治理。非水溶性的VOCs废气禁止采用水或水溶液喷淋吸收处理。采用一次性活性炭吸附技术的，应定期更换活性炭，废旧活性炭应再生或处理处置。有条件的工业园区和产业集群等，推广集中喷涂、溶剂集中回收、活性炭集中再生等，加强资源共享，提高VOCs治理效率。</w:t>
            </w:r>
          </w:p>
        </w:tc>
        <w:tc>
          <w:tcPr>
            <w:tcW w:w="848" w:type="pct"/>
            <w:vAlign w:val="center"/>
          </w:tcPr>
          <w:p w14:paraId="7CCF1E0E">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本项目废气负压收集后通过二级活性炭吸附处理并达标排放。</w:t>
            </w:r>
          </w:p>
        </w:tc>
        <w:tc>
          <w:tcPr>
            <w:tcW w:w="521" w:type="pct"/>
            <w:vAlign w:val="center"/>
          </w:tcPr>
          <w:p w14:paraId="0F1CD50D">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7B7F8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94" w:type="pct"/>
            <w:vMerge w:val="continue"/>
            <w:vAlign w:val="center"/>
          </w:tcPr>
          <w:p w14:paraId="66AC8D9E">
            <w:pPr>
              <w:pStyle w:val="93"/>
              <w:spacing w:before="0" w:line="240" w:lineRule="auto"/>
              <w:rPr>
                <w:rFonts w:hint="default" w:ascii="Times New Roman" w:hAnsi="Times New Roman" w:cs="Times New Roman"/>
                <w:color w:val="auto"/>
                <w:kern w:val="2"/>
                <w:sz w:val="21"/>
                <w:szCs w:val="21"/>
              </w:rPr>
            </w:pPr>
          </w:p>
        </w:tc>
        <w:tc>
          <w:tcPr>
            <w:tcW w:w="2935" w:type="pct"/>
            <w:vAlign w:val="center"/>
          </w:tcPr>
          <w:p w14:paraId="5265F9F8">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val="en"/>
              </w:rPr>
              <w:t>规范工程设计。采用吸附处理工艺的，应满足《吸附法工业有机废气治理工程技术规范》要求。采用催化燃烧工艺的，应满足《催化燃烧法工业有机废气治理工程技术规范》要求。采用蓄热燃烧等其他处理工艺的，应按相关技术规范要求设计。</w:t>
            </w:r>
          </w:p>
        </w:tc>
        <w:tc>
          <w:tcPr>
            <w:tcW w:w="848" w:type="pct"/>
            <w:vAlign w:val="center"/>
          </w:tcPr>
          <w:p w14:paraId="1216897D">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w:t>
            </w:r>
            <w:r>
              <w:rPr>
                <w:rFonts w:hint="default" w:ascii="Times New Roman" w:hAnsi="Times New Roman" w:cs="Times New Roman"/>
                <w:color w:val="auto"/>
                <w:kern w:val="2"/>
                <w:sz w:val="21"/>
                <w:szCs w:val="21"/>
                <w:lang w:val="en"/>
              </w:rPr>
              <w:t>VOCs</w:t>
            </w:r>
            <w:r>
              <w:rPr>
                <w:rFonts w:hint="default" w:ascii="Times New Roman" w:hAnsi="Times New Roman" w:cs="Times New Roman"/>
                <w:color w:val="auto"/>
                <w:kern w:val="2"/>
                <w:sz w:val="21"/>
                <w:szCs w:val="21"/>
              </w:rPr>
              <w:t>废气采用二级活性炭吸附处理，工艺满足</w:t>
            </w:r>
            <w:r>
              <w:rPr>
                <w:rFonts w:hint="default" w:ascii="Times New Roman" w:hAnsi="Times New Roman" w:cs="Times New Roman"/>
                <w:color w:val="auto"/>
                <w:kern w:val="2"/>
                <w:sz w:val="21"/>
                <w:szCs w:val="21"/>
                <w:lang w:val="en"/>
              </w:rPr>
              <w:t>《吸附法工业有机废气治理工程技术规范》要求</w:t>
            </w:r>
          </w:p>
        </w:tc>
        <w:tc>
          <w:tcPr>
            <w:tcW w:w="521" w:type="pct"/>
            <w:vAlign w:val="center"/>
          </w:tcPr>
          <w:p w14:paraId="733BDF16">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bl>
    <w:p w14:paraId="32276CF4">
      <w:pPr>
        <w:ind w:firstLine="480"/>
        <w:rPr>
          <w:rFonts w:hint="default" w:ascii="Times New Roman" w:hAnsi="Times New Roman" w:cs="Times New Roman"/>
          <w:color w:val="auto"/>
        </w:rPr>
      </w:pPr>
      <w:r>
        <w:rPr>
          <w:rFonts w:hint="default" w:ascii="Times New Roman" w:hAnsi="Times New Roman" w:cs="Times New Roman"/>
          <w:color w:val="auto"/>
        </w:rPr>
        <w:t>（7）与《重庆市空气质量持续改善行动实施方案》（渝府发〔2024〕15号）的符合性分析</w:t>
      </w:r>
    </w:p>
    <w:p w14:paraId="62F53411">
      <w:pPr>
        <w:ind w:firstLine="480"/>
        <w:rPr>
          <w:rFonts w:hint="default" w:ascii="Times New Roman" w:hAnsi="Times New Roman" w:cs="Times New Roman"/>
          <w:color w:val="auto"/>
        </w:rPr>
      </w:pPr>
      <w:r>
        <w:rPr>
          <w:rFonts w:hint="default" w:ascii="Times New Roman" w:hAnsi="Times New Roman" w:cs="Times New Roman"/>
          <w:color w:val="auto"/>
        </w:rPr>
        <w:t>对照《重庆市空气质量持续改善行动实施方案》（渝府发〔2024〕15号），项目符合性分析见表1.2.2-7。</w:t>
      </w:r>
    </w:p>
    <w:p w14:paraId="71F472F8">
      <w:pPr>
        <w:pStyle w:val="93"/>
        <w:rPr>
          <w:rFonts w:hint="default" w:ascii="Times New Roman" w:hAnsi="Times New Roman" w:cs="Times New Roman"/>
          <w:color w:val="auto"/>
        </w:rPr>
      </w:pPr>
      <w:r>
        <w:rPr>
          <w:rFonts w:hint="default" w:ascii="Times New Roman" w:hAnsi="Times New Roman" w:cs="Times New Roman"/>
          <w:color w:val="auto"/>
        </w:rPr>
        <w:t>表1.2.2-7  与《重庆市空气质量持续改善行动实施方案》符合性分析表</w:t>
      </w:r>
    </w:p>
    <w:tbl>
      <w:tblPr>
        <w:tblStyle w:val="44"/>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4450"/>
        <w:gridCol w:w="2437"/>
        <w:gridCol w:w="833"/>
      </w:tblGrid>
      <w:tr w14:paraId="6F502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14:paraId="162C70D6">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5222" w:type="dxa"/>
            <w:vAlign w:val="center"/>
          </w:tcPr>
          <w:p w14:paraId="7A932F6F">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相关条要求</w:t>
            </w:r>
          </w:p>
        </w:tc>
        <w:tc>
          <w:tcPr>
            <w:tcW w:w="2840" w:type="dxa"/>
            <w:vAlign w:val="center"/>
          </w:tcPr>
          <w:p w14:paraId="53C79A18">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项目情况</w:t>
            </w:r>
          </w:p>
        </w:tc>
        <w:tc>
          <w:tcPr>
            <w:tcW w:w="942" w:type="dxa"/>
            <w:vAlign w:val="center"/>
          </w:tcPr>
          <w:p w14:paraId="67741BF6">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符合性</w:t>
            </w:r>
          </w:p>
        </w:tc>
      </w:tr>
      <w:tr w14:paraId="2C70C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14:paraId="04F9A55E">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5222" w:type="dxa"/>
            <w:vAlign w:val="center"/>
          </w:tcPr>
          <w:p w14:paraId="673899C4">
            <w:pPr>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优化含VOCs原辅材料和产品结构。严格执行VOCs含量限值标准，控制生产和使用高VOCs含量涂料、油墨、胶粘剂、清洗剂等建设项目。以工业涂装、印刷包装和电子等行业为重点，提高低（无）VOCs含量产品的数量和比重。室外构筑物防护和城市道路交通标志等推广使用低（无）VOCs含量的涂料。</w:t>
            </w:r>
          </w:p>
        </w:tc>
        <w:tc>
          <w:tcPr>
            <w:tcW w:w="2840" w:type="dxa"/>
            <w:vAlign w:val="center"/>
          </w:tcPr>
          <w:p w14:paraId="2C10FF59">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本项目不涉及使用高VOCs含量涂料、油墨、胶粘剂、清洗剂，主要使用合成树脂。</w:t>
            </w:r>
          </w:p>
        </w:tc>
        <w:tc>
          <w:tcPr>
            <w:tcW w:w="942" w:type="dxa"/>
            <w:vAlign w:val="center"/>
          </w:tcPr>
          <w:p w14:paraId="2761C9B0">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06FF1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14:paraId="35549747">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5222" w:type="dxa"/>
            <w:vAlign w:val="center"/>
          </w:tcPr>
          <w:p w14:paraId="025A0FD7">
            <w:pPr>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强化VOCs全过程控制。实施油库储罐密封性提升改造工程，大力推动重点区域储油库及年销售汽油5000吨以上的加油站安装三级油气回收处理装置。企业开停工、检维修期间，及时收集处理退料、清洗、吹扫等作业产生的VOCs废气；企业不得将火炬燃烧装置作为日常大气污染处理设施；污水处理场所高浓度有机废气要单独收集处理；含VOCs有机废水储罐、装置区集水井（池）有机废气要密闭收集处理。重点涉气企业逐步取消烟气和含VOCs废气旁路，因安全生产需要无法取消的，须安装在线监控系统及备用处置设施。</w:t>
            </w:r>
          </w:p>
        </w:tc>
        <w:tc>
          <w:tcPr>
            <w:tcW w:w="2840" w:type="dxa"/>
            <w:vAlign w:val="center"/>
          </w:tcPr>
          <w:p w14:paraId="2C91276F">
            <w:pPr>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本项目合成树脂有机废气采用“二级活性炭”吸附处理后达标排放。</w:t>
            </w:r>
          </w:p>
        </w:tc>
        <w:tc>
          <w:tcPr>
            <w:tcW w:w="942" w:type="dxa"/>
            <w:vAlign w:val="center"/>
          </w:tcPr>
          <w:p w14:paraId="36DC713C">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bl>
    <w:p w14:paraId="36F34E0D">
      <w:pPr>
        <w:ind w:firstLine="480"/>
        <w:rPr>
          <w:rFonts w:hint="default" w:ascii="Times New Roman" w:hAnsi="Times New Roman" w:cs="Times New Roman"/>
          <w:color w:val="auto"/>
        </w:rPr>
      </w:pPr>
      <w:r>
        <w:rPr>
          <w:rFonts w:hint="default" w:ascii="Times New Roman" w:hAnsi="Times New Roman" w:cs="Times New Roman"/>
          <w:color w:val="auto"/>
        </w:rPr>
        <w:t>由上表析可知，本项目符合《重庆市空气质量持续改善行动实施方案》（渝府发〔2024〕15号）中的相关要求。</w:t>
      </w:r>
    </w:p>
    <w:p w14:paraId="7894A074">
      <w:pPr>
        <w:ind w:firstLine="480"/>
        <w:rPr>
          <w:rFonts w:hint="default" w:ascii="Times New Roman" w:hAnsi="Times New Roman" w:cs="Times New Roman"/>
          <w:color w:val="auto"/>
        </w:rPr>
      </w:pPr>
      <w:r>
        <w:rPr>
          <w:rFonts w:hint="default" w:ascii="Times New Roman" w:hAnsi="Times New Roman" w:cs="Times New Roman"/>
          <w:color w:val="auto"/>
        </w:rPr>
        <w:t>（8）与《</w:t>
      </w:r>
      <w:r>
        <w:rPr>
          <w:rFonts w:hint="default" w:ascii="Times New Roman" w:hAnsi="Times New Roman" w:cs="Times New Roman"/>
          <w:color w:val="auto"/>
          <w:szCs w:val="24"/>
        </w:rPr>
        <w:t>关于加强重点行业涉新污染物建设项目环境影响评价工作的意见</w:t>
      </w:r>
      <w:r>
        <w:rPr>
          <w:rFonts w:hint="default" w:ascii="Times New Roman" w:hAnsi="Times New Roman" w:cs="Times New Roman"/>
          <w:color w:val="auto"/>
        </w:rPr>
        <w:t>》（</w:t>
      </w:r>
      <w:r>
        <w:rPr>
          <w:rFonts w:hint="default" w:ascii="Times New Roman" w:hAnsi="Times New Roman" w:cs="Times New Roman"/>
          <w:color w:val="auto"/>
          <w:szCs w:val="24"/>
        </w:rPr>
        <w:t>环环评〔2025〕28号</w:t>
      </w:r>
      <w:r>
        <w:rPr>
          <w:rFonts w:hint="default" w:ascii="Times New Roman" w:hAnsi="Times New Roman" w:cs="Times New Roman"/>
          <w:color w:val="auto"/>
        </w:rPr>
        <w:t>）</w:t>
      </w:r>
    </w:p>
    <w:p w14:paraId="39E3E755">
      <w:pPr>
        <w:pStyle w:val="93"/>
        <w:ind w:firstLine="360"/>
        <w:rPr>
          <w:rFonts w:hint="default" w:ascii="Times New Roman" w:hAnsi="Times New Roman" w:cs="Times New Roman"/>
          <w:color w:val="auto"/>
        </w:rPr>
      </w:pPr>
      <w:r>
        <w:rPr>
          <w:rFonts w:hint="default" w:ascii="Times New Roman" w:hAnsi="Times New Roman" w:cs="Times New Roman"/>
          <w:color w:val="auto"/>
        </w:rPr>
        <w:t>表1.2.2-8  与该通知符合性分析</w:t>
      </w:r>
    </w:p>
    <w:tbl>
      <w:tblPr>
        <w:tblStyle w:val="44"/>
        <w:tblW w:w="48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4406"/>
        <w:gridCol w:w="2576"/>
        <w:gridCol w:w="799"/>
      </w:tblGrid>
      <w:tr w14:paraId="7448A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27947C3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序号</w:t>
            </w:r>
          </w:p>
        </w:tc>
        <w:tc>
          <w:tcPr>
            <w:tcW w:w="2636" w:type="pct"/>
            <w:vAlign w:val="center"/>
          </w:tcPr>
          <w:p w14:paraId="4565433A">
            <w:pPr>
              <w:spacing w:line="240" w:lineRule="auto"/>
              <w:ind w:firstLine="0" w:firstLineChars="0"/>
              <w:jc w:val="center"/>
              <w:rPr>
                <w:rFonts w:hint="default" w:ascii="Times New Roman" w:hAnsi="Times New Roman" w:cs="Times New Roman"/>
                <w:color w:val="auto"/>
                <w:kern w:val="2"/>
                <w:sz w:val="21"/>
                <w:szCs w:val="21"/>
              </w:rPr>
            </w:pPr>
            <w:bookmarkStart w:id="4" w:name="_Toc2705"/>
            <w:bookmarkStart w:id="5" w:name="_Toc30361"/>
            <w:r>
              <w:rPr>
                <w:rFonts w:hint="default" w:ascii="Times New Roman" w:hAnsi="Times New Roman" w:cs="Times New Roman"/>
                <w:color w:val="auto"/>
                <w:kern w:val="2"/>
                <w:sz w:val="21"/>
                <w:szCs w:val="21"/>
              </w:rPr>
              <w:t>具体要求</w:t>
            </w:r>
            <w:bookmarkEnd w:id="4"/>
            <w:bookmarkEnd w:id="5"/>
          </w:p>
        </w:tc>
        <w:tc>
          <w:tcPr>
            <w:tcW w:w="1541" w:type="pct"/>
            <w:vAlign w:val="center"/>
          </w:tcPr>
          <w:p w14:paraId="35C30025">
            <w:pPr>
              <w:spacing w:line="240" w:lineRule="auto"/>
              <w:ind w:firstLine="0" w:firstLineChars="0"/>
              <w:jc w:val="center"/>
              <w:rPr>
                <w:rFonts w:hint="default" w:ascii="Times New Roman" w:hAnsi="Times New Roman" w:cs="Times New Roman"/>
                <w:color w:val="auto"/>
                <w:kern w:val="2"/>
                <w:sz w:val="21"/>
                <w:szCs w:val="21"/>
              </w:rPr>
            </w:pPr>
            <w:bookmarkStart w:id="6" w:name="_Toc23974"/>
            <w:bookmarkStart w:id="7" w:name="_Toc23608"/>
            <w:r>
              <w:rPr>
                <w:rFonts w:hint="default" w:ascii="Times New Roman" w:hAnsi="Times New Roman" w:cs="Times New Roman"/>
                <w:color w:val="auto"/>
                <w:kern w:val="2"/>
                <w:sz w:val="21"/>
                <w:szCs w:val="21"/>
              </w:rPr>
              <w:t>项目情况</w:t>
            </w:r>
            <w:bookmarkEnd w:id="6"/>
            <w:bookmarkEnd w:id="7"/>
          </w:p>
        </w:tc>
        <w:tc>
          <w:tcPr>
            <w:tcW w:w="478" w:type="pct"/>
            <w:vAlign w:val="center"/>
          </w:tcPr>
          <w:p w14:paraId="60D9F467">
            <w:pPr>
              <w:spacing w:line="240" w:lineRule="auto"/>
              <w:ind w:firstLine="0" w:firstLineChars="0"/>
              <w:jc w:val="center"/>
              <w:rPr>
                <w:rFonts w:hint="default" w:ascii="Times New Roman" w:hAnsi="Times New Roman" w:cs="Times New Roman"/>
                <w:color w:val="auto"/>
                <w:kern w:val="2"/>
                <w:sz w:val="21"/>
                <w:szCs w:val="21"/>
              </w:rPr>
            </w:pPr>
            <w:bookmarkStart w:id="8" w:name="_Toc31125"/>
            <w:bookmarkStart w:id="9" w:name="_Toc23337"/>
            <w:r>
              <w:rPr>
                <w:rFonts w:hint="default" w:ascii="Times New Roman" w:hAnsi="Times New Roman" w:cs="Times New Roman"/>
                <w:color w:val="auto"/>
                <w:kern w:val="2"/>
                <w:sz w:val="21"/>
                <w:szCs w:val="21"/>
              </w:rPr>
              <w:t>符合性</w:t>
            </w:r>
            <w:bookmarkEnd w:id="8"/>
            <w:bookmarkEnd w:id="9"/>
          </w:p>
        </w:tc>
      </w:tr>
      <w:tr w14:paraId="7837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5D8DBCE3">
            <w:pPr>
              <w:spacing w:line="240" w:lineRule="auto"/>
              <w:ind w:firstLine="0" w:firstLineChars="0"/>
              <w:jc w:val="center"/>
              <w:rPr>
                <w:rFonts w:hint="eastAsia"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1</w:t>
            </w:r>
          </w:p>
        </w:tc>
        <w:tc>
          <w:tcPr>
            <w:tcW w:w="2636" w:type="pct"/>
            <w:vAlign w:val="center"/>
          </w:tcPr>
          <w:p w14:paraId="2038B0E5">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重点关注重点管控新污染物清单、有毒有害污染物名录、优先控制化学品名录以及《关于持久性有机污染物的斯德哥尔摩公约》（简称《斯德哥尔摩公约》）附件中已发布环境质量标准、污染物排放标准、环境监测方法标准或其他具有污染治理技术的污染物。重点关注石化、涂料、纺织印染、橡胶、农药、医药等重点行业建设项目，在建设项目环评工作中做好上述新污染物识别，涉及上述新污染物的，执行本意见要求；不涉及新污染物的，无需开展相关工作。</w:t>
            </w:r>
          </w:p>
        </w:tc>
        <w:tc>
          <w:tcPr>
            <w:tcW w:w="1541" w:type="pct"/>
            <w:vAlign w:val="center"/>
          </w:tcPr>
          <w:p w14:paraId="68B37F2F">
            <w:pPr>
              <w:spacing w:line="240" w:lineRule="auto"/>
              <w:ind w:firstLine="0" w:firstLineChars="0"/>
              <w:jc w:val="left"/>
              <w:rPr>
                <w:rFonts w:hint="eastAsia" w:cs="Times New Roman"/>
                <w:color w:val="auto"/>
                <w:kern w:val="2"/>
                <w:sz w:val="21"/>
                <w:szCs w:val="21"/>
                <w:lang w:val="en-US" w:eastAsia="zh-CN"/>
              </w:rPr>
            </w:pPr>
            <w:r>
              <w:rPr>
                <w:rFonts w:hint="eastAsia" w:cs="Times New Roman"/>
                <w:color w:val="auto"/>
                <w:kern w:val="2"/>
                <w:sz w:val="21"/>
                <w:szCs w:val="21"/>
                <w:lang w:val="en-US" w:eastAsia="zh-CN"/>
              </w:rPr>
              <w:t>根据《重点管控新污染物清单（2023年版）》《有毒有害大气污染物名录(2018年)》《优先控制化学品名录（第一批）》《优先控制化学品名录（第二批）》《优先控制化学品名录（第三批）》，本项目有机废气涉及的新污染物主要为1,3-丁二烯、甲苯、双酚A。</w:t>
            </w:r>
          </w:p>
          <w:p w14:paraId="27DFC4B7">
            <w:pPr>
              <w:spacing w:line="240" w:lineRule="auto"/>
              <w:ind w:firstLine="0" w:firstLineChars="0"/>
              <w:jc w:val="left"/>
              <w:rPr>
                <w:rFonts w:hint="eastAsia"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本项目为改性粒料生产，不属于重点关注的</w:t>
            </w:r>
            <w:r>
              <w:rPr>
                <w:rFonts w:hint="default" w:ascii="Times New Roman" w:hAnsi="Times New Roman" w:cs="Times New Roman"/>
                <w:color w:val="auto"/>
                <w:kern w:val="2"/>
                <w:sz w:val="21"/>
                <w:szCs w:val="21"/>
              </w:rPr>
              <w:t>石化、涂料、纺织印染、橡胶、农药、医药等重点行业</w:t>
            </w:r>
            <w:r>
              <w:rPr>
                <w:rFonts w:hint="eastAsia" w:cs="Times New Roman"/>
                <w:color w:val="auto"/>
                <w:kern w:val="2"/>
                <w:sz w:val="21"/>
                <w:szCs w:val="21"/>
                <w:lang w:eastAsia="zh-CN"/>
              </w:rPr>
              <w:t>。</w:t>
            </w:r>
          </w:p>
        </w:tc>
        <w:tc>
          <w:tcPr>
            <w:tcW w:w="478" w:type="pct"/>
            <w:vAlign w:val="center"/>
          </w:tcPr>
          <w:p w14:paraId="0775808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4920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0F838DF1">
            <w:pPr>
              <w:spacing w:line="240" w:lineRule="auto"/>
              <w:ind w:firstLine="0" w:firstLineChars="0"/>
              <w:jc w:val="center"/>
              <w:rPr>
                <w:rFonts w:hint="eastAsia" w:ascii="Times New Roman" w:hAnsi="Times New Roman" w:eastAsia="宋体" w:cs="Times New Roman"/>
                <w:color w:val="auto"/>
                <w:kern w:val="2"/>
                <w:sz w:val="21"/>
                <w:szCs w:val="21"/>
                <w:lang w:eastAsia="zh-CN"/>
              </w:rPr>
            </w:pPr>
            <w:r>
              <w:rPr>
                <w:rFonts w:hint="eastAsia" w:cs="Times New Roman"/>
                <w:color w:val="auto"/>
                <w:kern w:val="2"/>
                <w:sz w:val="21"/>
                <w:szCs w:val="21"/>
                <w:lang w:val="en-US" w:eastAsia="zh-CN"/>
              </w:rPr>
              <w:t>2</w:t>
            </w:r>
          </w:p>
        </w:tc>
        <w:tc>
          <w:tcPr>
            <w:tcW w:w="2636" w:type="pct"/>
            <w:vAlign w:val="center"/>
          </w:tcPr>
          <w:p w14:paraId="731D8A18">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各级环评审批部门在受理和审批建设项目环评文件时，应落实重点管控新污染物清单、产业结构调整指导目录、《斯德哥尔摩公约》、生态环境分区管控方案和项目所在园区规划环评等有关管控要求。对照不予审批环评的项目类别（见附表），严格审核建设项目原辅材料和产品，对于以禁止生产、加工使用的新污染物作为原辅料或产品的建设项目，依法不予审批。</w:t>
            </w:r>
          </w:p>
          <w:p w14:paraId="4EF0DE20">
            <w:pPr>
              <w:spacing w:line="240" w:lineRule="auto"/>
              <w:ind w:firstLine="0" w:firstLineChars="0"/>
              <w:jc w:val="left"/>
              <w:rPr>
                <w:rFonts w:hint="default" w:ascii="Times New Roman" w:hAnsi="Times New Roman" w:cs="Times New Roman"/>
                <w:b/>
                <w:bCs/>
                <w:color w:val="auto"/>
                <w:kern w:val="2"/>
                <w:sz w:val="21"/>
                <w:szCs w:val="21"/>
              </w:rPr>
            </w:pPr>
            <w:r>
              <w:rPr>
                <w:rFonts w:hint="default" w:ascii="Times New Roman" w:hAnsi="Times New Roman" w:cs="Times New Roman"/>
                <w:b/>
                <w:bCs/>
                <w:color w:val="auto"/>
                <w:kern w:val="2"/>
                <w:sz w:val="21"/>
                <w:szCs w:val="21"/>
              </w:rPr>
              <w:t>不予审批环评的项目类别</w:t>
            </w:r>
            <w:r>
              <w:rPr>
                <w:rFonts w:hint="eastAsia" w:cs="Times New Roman"/>
                <w:b/>
                <w:bCs/>
                <w:color w:val="auto"/>
                <w:kern w:val="2"/>
                <w:sz w:val="21"/>
                <w:szCs w:val="21"/>
                <w:lang w:eastAsia="zh-CN"/>
              </w:rPr>
              <w:t>（</w:t>
            </w:r>
            <w:r>
              <w:rPr>
                <w:rFonts w:hint="eastAsia" w:cs="Times New Roman"/>
                <w:b/>
                <w:bCs/>
                <w:color w:val="auto"/>
                <w:kern w:val="2"/>
                <w:sz w:val="21"/>
                <w:szCs w:val="21"/>
                <w:lang w:val="en-US" w:eastAsia="zh-CN"/>
              </w:rPr>
              <w:t>节选</w:t>
            </w:r>
            <w:r>
              <w:rPr>
                <w:rFonts w:hint="eastAsia" w:cs="Times New Roman"/>
                <w:b/>
                <w:bCs/>
                <w:color w:val="auto"/>
                <w:kern w:val="2"/>
                <w:sz w:val="21"/>
                <w:szCs w:val="21"/>
                <w:lang w:eastAsia="zh-CN"/>
              </w:rPr>
              <w:t>）</w:t>
            </w:r>
            <w:r>
              <w:rPr>
                <w:rFonts w:hint="default" w:ascii="Times New Roman" w:hAnsi="Times New Roman" w:cs="Times New Roman"/>
                <w:b/>
                <w:bCs/>
                <w:color w:val="auto"/>
                <w:kern w:val="2"/>
                <w:sz w:val="21"/>
                <w:szCs w:val="21"/>
              </w:rPr>
              <w:t>：</w:t>
            </w:r>
          </w:p>
          <w:p w14:paraId="13A56BDF">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1.以含有二氯甲烷的脱漆剂为产品的新改扩建项目</w:t>
            </w:r>
          </w:p>
          <w:p w14:paraId="43125493">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2.以含有二氯甲烷组分的化妆品为产品的生产项目</w:t>
            </w:r>
          </w:p>
        </w:tc>
        <w:tc>
          <w:tcPr>
            <w:tcW w:w="1541" w:type="pct"/>
            <w:vAlign w:val="center"/>
          </w:tcPr>
          <w:p w14:paraId="7BFA311D">
            <w:pPr>
              <w:spacing w:line="240" w:lineRule="auto"/>
              <w:ind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rPr>
              <w:t>本项目不属于以含有二氯甲烷的脱漆剂为产品的新改扩建项目和以含有二氯甲烷组分的化妆品为产品的生产项目；原辅料不涉及使用和产生二氯甲烷</w:t>
            </w:r>
            <w:r>
              <w:rPr>
                <w:rFonts w:hint="eastAsia" w:cs="Times New Roman"/>
                <w:color w:val="auto"/>
                <w:kern w:val="2"/>
                <w:sz w:val="21"/>
                <w:szCs w:val="21"/>
                <w:lang w:eastAsia="zh-CN"/>
              </w:rPr>
              <w:t>，</w:t>
            </w:r>
            <w:r>
              <w:rPr>
                <w:rFonts w:hint="eastAsia" w:cs="Times New Roman"/>
                <w:color w:val="auto"/>
                <w:kern w:val="2"/>
                <w:sz w:val="21"/>
                <w:szCs w:val="21"/>
                <w:lang w:val="en-US" w:eastAsia="zh-CN"/>
              </w:rPr>
              <w:t>不属于不予审批环评的项目类别</w:t>
            </w:r>
          </w:p>
        </w:tc>
        <w:tc>
          <w:tcPr>
            <w:tcW w:w="478" w:type="pct"/>
            <w:vAlign w:val="center"/>
          </w:tcPr>
          <w:p w14:paraId="74A71C7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4EFB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6B8DED26">
            <w:pPr>
              <w:spacing w:line="240" w:lineRule="auto"/>
              <w:ind w:firstLine="0" w:firstLineChars="0"/>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3</w:t>
            </w:r>
          </w:p>
        </w:tc>
        <w:tc>
          <w:tcPr>
            <w:tcW w:w="2636" w:type="pct"/>
            <w:vAlign w:val="center"/>
          </w:tcPr>
          <w:p w14:paraId="4C86C24F">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加强重点行业涉新污染物建设项目环评建设单位和环评技术单位在开展涉新污染物重点行业建设项目环评工作时，应高度重视新污染物防控，根据新污染物识别结果，结合现行环境影响评价技术导则和建设项目环境影响报告表编制技术指南相关要求，重点做好以下工作。</w:t>
            </w:r>
          </w:p>
          <w:p w14:paraId="04EBA8BF">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（一）优化原料、工艺和治理措施，从源头减少新污染物产生。</w:t>
            </w:r>
          </w:p>
          <w:p w14:paraId="21B8F499">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（二）核算新污染物产排污情况。</w:t>
            </w:r>
          </w:p>
          <w:p w14:paraId="4C5802E6">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（三）对已发布污染物排放标准的新污染物严格排放达标要求。</w:t>
            </w:r>
          </w:p>
          <w:p w14:paraId="4B7451D4">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（四）对环境质量标准规定的新污染物做好环境质量现状和影响评价。</w:t>
            </w:r>
          </w:p>
          <w:p w14:paraId="526685C4">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（五）强化新污染物排放情况跟踪监测。</w:t>
            </w:r>
          </w:p>
          <w:p w14:paraId="2490F3A5">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（六）提出新化学物质环境管理登记要求。</w:t>
            </w:r>
          </w:p>
        </w:tc>
        <w:tc>
          <w:tcPr>
            <w:tcW w:w="1541" w:type="pct"/>
            <w:vAlign w:val="center"/>
          </w:tcPr>
          <w:p w14:paraId="4D7FB348">
            <w:pPr>
              <w:spacing w:line="240" w:lineRule="auto"/>
              <w:ind w:firstLine="0" w:firstLineChars="0"/>
              <w:jc w:val="center"/>
              <w:rPr>
                <w:rFonts w:hint="eastAsia"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本项目为改性粒料生产，不属于重点关注的</w:t>
            </w:r>
            <w:r>
              <w:rPr>
                <w:rFonts w:hint="default" w:ascii="Times New Roman" w:hAnsi="Times New Roman" w:cs="Times New Roman"/>
                <w:color w:val="auto"/>
                <w:kern w:val="2"/>
                <w:sz w:val="21"/>
                <w:szCs w:val="21"/>
              </w:rPr>
              <w:t>石化、涂料、纺织印染、橡胶、农药、医药等重点行业</w:t>
            </w:r>
            <w:r>
              <w:rPr>
                <w:rFonts w:hint="eastAsia" w:cs="Times New Roman"/>
                <w:color w:val="auto"/>
                <w:kern w:val="2"/>
                <w:sz w:val="21"/>
                <w:szCs w:val="21"/>
                <w:lang w:eastAsia="zh-CN"/>
              </w:rPr>
              <w:t>。（</w:t>
            </w:r>
            <w:r>
              <w:rPr>
                <w:rFonts w:hint="eastAsia" w:cs="Times New Roman"/>
                <w:color w:val="auto"/>
                <w:kern w:val="2"/>
                <w:sz w:val="21"/>
                <w:szCs w:val="21"/>
                <w:lang w:val="en-US" w:eastAsia="zh-CN"/>
              </w:rPr>
              <w:t>一</w:t>
            </w:r>
            <w:r>
              <w:rPr>
                <w:rFonts w:hint="eastAsia" w:cs="Times New Roman"/>
                <w:color w:val="auto"/>
                <w:kern w:val="2"/>
                <w:sz w:val="21"/>
                <w:szCs w:val="21"/>
                <w:lang w:eastAsia="zh-CN"/>
              </w:rPr>
              <w:t>）</w:t>
            </w:r>
            <w:r>
              <w:rPr>
                <w:rFonts w:hint="eastAsia" w:cs="Times New Roman"/>
                <w:color w:val="auto"/>
                <w:kern w:val="2"/>
                <w:sz w:val="21"/>
                <w:szCs w:val="21"/>
                <w:lang w:val="en-US" w:eastAsia="zh-CN"/>
              </w:rPr>
              <w:t>~（五）均按照要求进行执行。不需要执行（六）中</w:t>
            </w:r>
            <w:r>
              <w:rPr>
                <w:rFonts w:hint="default" w:ascii="Times New Roman" w:hAnsi="Times New Roman" w:cs="Times New Roman"/>
                <w:color w:val="auto"/>
                <w:kern w:val="2"/>
                <w:sz w:val="21"/>
                <w:szCs w:val="21"/>
              </w:rPr>
              <w:t>新化学物质环境管理登记要求</w:t>
            </w:r>
            <w:r>
              <w:rPr>
                <w:rFonts w:hint="eastAsia" w:cs="Times New Roman"/>
                <w:color w:val="auto"/>
                <w:kern w:val="2"/>
                <w:sz w:val="21"/>
                <w:szCs w:val="21"/>
                <w:lang w:eastAsia="zh-CN"/>
              </w:rPr>
              <w:t>。</w:t>
            </w:r>
          </w:p>
        </w:tc>
        <w:tc>
          <w:tcPr>
            <w:tcW w:w="478" w:type="pct"/>
            <w:vAlign w:val="center"/>
          </w:tcPr>
          <w:p w14:paraId="1A264DA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bl>
    <w:p w14:paraId="00757CCF">
      <w:pPr>
        <w:ind w:firstLine="480"/>
        <w:rPr>
          <w:rFonts w:hint="default" w:ascii="Times New Roman" w:hAnsi="Times New Roman" w:cs="Times New Roman"/>
          <w:color w:val="auto"/>
        </w:rPr>
      </w:pPr>
      <w:r>
        <w:rPr>
          <w:rFonts w:hint="default" w:ascii="Times New Roman" w:hAnsi="Times New Roman" w:cs="Times New Roman"/>
          <w:color w:val="auto"/>
        </w:rPr>
        <w:t>由表1.2.2-8可知，本项目符合《</w:t>
      </w:r>
      <w:r>
        <w:rPr>
          <w:rFonts w:hint="default" w:ascii="Times New Roman" w:hAnsi="Times New Roman" w:cs="Times New Roman"/>
          <w:color w:val="auto"/>
          <w:szCs w:val="24"/>
        </w:rPr>
        <w:t>关于加强重点行业涉新污染物建设项目环境影响评价工作的意见</w:t>
      </w:r>
      <w:r>
        <w:rPr>
          <w:rFonts w:hint="default" w:ascii="Times New Roman" w:hAnsi="Times New Roman" w:cs="Times New Roman"/>
          <w:color w:val="auto"/>
        </w:rPr>
        <w:t>》（</w:t>
      </w:r>
      <w:r>
        <w:rPr>
          <w:rFonts w:hint="default" w:ascii="Times New Roman" w:hAnsi="Times New Roman" w:cs="Times New Roman"/>
          <w:color w:val="auto"/>
          <w:szCs w:val="24"/>
        </w:rPr>
        <w:t>环环评〔2025〕28号</w:t>
      </w:r>
      <w:r>
        <w:rPr>
          <w:rFonts w:hint="default" w:ascii="Times New Roman" w:hAnsi="Times New Roman" w:cs="Times New Roman"/>
          <w:color w:val="auto"/>
        </w:rPr>
        <w:t>）要求。</w:t>
      </w:r>
    </w:p>
    <w:p w14:paraId="6E2430E5">
      <w:pPr>
        <w:ind w:firstLine="480"/>
        <w:rPr>
          <w:rFonts w:hint="default" w:ascii="Times New Roman" w:hAnsi="Times New Roman" w:cs="Times New Roman"/>
          <w:color w:val="auto"/>
        </w:rPr>
      </w:pPr>
      <w:r>
        <w:rPr>
          <w:rFonts w:hint="default" w:ascii="Times New Roman" w:hAnsi="Times New Roman" w:cs="Times New Roman"/>
          <w:color w:val="auto"/>
        </w:rPr>
        <w:t>（9）与《重庆市生态环境局关于做好2026年夏秋季空气质量提升工作的通知》（渝环〔2026〕43号）的符合性分析</w:t>
      </w:r>
    </w:p>
    <w:p w14:paraId="02A2D15D">
      <w:pPr>
        <w:pStyle w:val="93"/>
        <w:ind w:firstLine="360"/>
        <w:rPr>
          <w:rFonts w:hint="default" w:ascii="Times New Roman" w:hAnsi="Times New Roman" w:cs="Times New Roman"/>
          <w:color w:val="auto"/>
        </w:rPr>
      </w:pPr>
      <w:r>
        <w:rPr>
          <w:rFonts w:hint="default" w:ascii="Times New Roman" w:hAnsi="Times New Roman" w:cs="Times New Roman"/>
          <w:color w:val="auto"/>
        </w:rPr>
        <w:t>表1.2.2-9    与该通知符合性分析</w:t>
      </w:r>
    </w:p>
    <w:tbl>
      <w:tblPr>
        <w:tblStyle w:val="44"/>
        <w:tblW w:w="48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5587"/>
        <w:gridCol w:w="1213"/>
        <w:gridCol w:w="734"/>
      </w:tblGrid>
      <w:tr w14:paraId="087E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738" w:type="dxa"/>
            <w:shd w:val="clear" w:color="auto" w:fill="auto"/>
            <w:vAlign w:val="center"/>
          </w:tcPr>
          <w:p w14:paraId="2FD76227">
            <w:pPr>
              <w:pStyle w:val="178"/>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序号</w:t>
            </w:r>
          </w:p>
        </w:tc>
        <w:tc>
          <w:tcPr>
            <w:tcW w:w="5588" w:type="dxa"/>
            <w:shd w:val="clear" w:color="auto" w:fill="auto"/>
            <w:vAlign w:val="center"/>
          </w:tcPr>
          <w:p w14:paraId="3B803B5A">
            <w:pPr>
              <w:pStyle w:val="178"/>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具体要求</w:t>
            </w:r>
          </w:p>
        </w:tc>
        <w:tc>
          <w:tcPr>
            <w:tcW w:w="1213" w:type="dxa"/>
            <w:shd w:val="clear" w:color="auto" w:fill="auto"/>
            <w:vAlign w:val="center"/>
          </w:tcPr>
          <w:p w14:paraId="0CD08298">
            <w:pPr>
              <w:pStyle w:val="178"/>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项目情况</w:t>
            </w:r>
          </w:p>
        </w:tc>
        <w:tc>
          <w:tcPr>
            <w:tcW w:w="734" w:type="dxa"/>
            <w:shd w:val="clear" w:color="auto" w:fill="auto"/>
            <w:vAlign w:val="center"/>
          </w:tcPr>
          <w:p w14:paraId="5292D30A">
            <w:pPr>
              <w:pStyle w:val="178"/>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符合性</w:t>
            </w:r>
          </w:p>
        </w:tc>
      </w:tr>
      <w:tr w14:paraId="0C14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738" w:type="dxa"/>
            <w:shd w:val="clear" w:color="auto" w:fill="auto"/>
            <w:vAlign w:val="center"/>
          </w:tcPr>
          <w:p w14:paraId="2707F7BC">
            <w:pPr>
              <w:pStyle w:val="178"/>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5588" w:type="dxa"/>
            <w:shd w:val="clear" w:color="auto" w:fill="auto"/>
            <w:vAlign w:val="center"/>
          </w:tcPr>
          <w:p w14:paraId="4F8C2743">
            <w:pPr>
              <w:pStyle w:val="178"/>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提升治理设施废气收集率。全面排查涉VOCs排放企业废气收集方式及效果，工业涂装、包装印刷等行业重点整治集气罩投影面积或风速不足、含VOCs原辅材料和废料储存环节无组织排放等问题；化工、石化、制药等结合行业实际对储罐、管线、废水处理、装置全面开展排查。产生VOCs的生产环节优先采用密闭设备、在密闭空间中操作或采用全密闭集气罩收集方式，并保持负压运行。对采用局部收集方式的企业，距废气收集系统排风罩开口面最远处的VOCs无组织排放位置控制风速不应低于0.3m/s，达不到要求的通过更换大功率风机、增设烟道风机、增加垂帘等方式进行改造。推广以生产线或设备为单位设置隔间，收集风量应确保隔间保持微负压。当废气产生点较多、彼此距离较远时，在满足设计规范、风压平衡的基础上，宜分设多套收集系统或中继风机。废气收集系统的输送管道应密闭、无破损。采用车间整体换风收集的，车间厂房在确保安全的前提下应保持封闭状态，除人员、车辆、设备、物料进出时，以及依法设立的排气筒、通风口外，门窗及其他开口（孔）部位应随时保持关闭，鼓励使用双层门、自动门、安装负压计</w:t>
            </w:r>
          </w:p>
        </w:tc>
        <w:tc>
          <w:tcPr>
            <w:tcW w:w="1213" w:type="dxa"/>
            <w:shd w:val="clear" w:color="auto" w:fill="auto"/>
            <w:vAlign w:val="center"/>
          </w:tcPr>
          <w:p w14:paraId="6E1EC8FC">
            <w:pPr>
              <w:pStyle w:val="178"/>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本项目VOCs集气罩收集风速为0.4m/s，且为负压收集。</w:t>
            </w:r>
          </w:p>
        </w:tc>
        <w:tc>
          <w:tcPr>
            <w:tcW w:w="734" w:type="dxa"/>
            <w:shd w:val="clear" w:color="auto" w:fill="auto"/>
            <w:vAlign w:val="center"/>
          </w:tcPr>
          <w:p w14:paraId="4CF28BE6">
            <w:pPr>
              <w:pStyle w:val="178"/>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r w14:paraId="3620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738" w:type="dxa"/>
            <w:shd w:val="clear" w:color="auto" w:fill="auto"/>
            <w:vAlign w:val="center"/>
          </w:tcPr>
          <w:p w14:paraId="29E44671">
            <w:pPr>
              <w:pStyle w:val="178"/>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w:t>
            </w:r>
          </w:p>
        </w:tc>
        <w:tc>
          <w:tcPr>
            <w:tcW w:w="5588" w:type="dxa"/>
            <w:shd w:val="clear" w:color="auto" w:fill="auto"/>
            <w:vAlign w:val="center"/>
          </w:tcPr>
          <w:p w14:paraId="0573C743">
            <w:pPr>
              <w:pStyle w:val="178"/>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以工业涂装、家具制造、包装印刷、橡塑制品、化工等行业以及机动车维修为重点，更新活性炭治理设施清单，包括单一活性炭处理工艺设施和活性炭为主要、次要处理工艺设施等类型，做到涉活性炭治理设施应纳尽纳。对于喷涂等工艺产生含颗粒物的VOCs废气，宜在活性炭吸附前端设置颗粒物捕集装置。进入吸附设备的废气颗粒物含量和温度分别低于1mg/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和40℃，保障活性炭在低颗粒物和适宜温度条件下使用。应将定期更换过滤材料相关内容纳入操作规程。活性炭对酸性废气吸附效果较差，且酸性气体易对设备本体造成腐蚀，应先采用洗涤进行预处理。采用洗涤进行预处理的，应采取措施保障进入吸附环节的废气湿度为70%以下。活性炭应装填齐整，避免气流短路，吸附装置及配套管道应密闭，主风机宜安装在吸附装置后端，使装置形成负压，泄漏检测值不应超过500umol/mol。采用颗粒活性炭时，气体流速宜低于0.60m/s；采用活性炭纤维时，气体流速宜低于0.15m/s；采用蜂窝活性炭时，气体流速宜低于1.20m/s。采用活性炭吸附工艺的企业，颗粒活性炭碘吸附值≥800mg/g或四氯化碳吸附率≥45%；蜂窝活性炭碘吸附值≥650mg/g或四氯化碳吸附率≥35%；活性炭纤维比表面积应不低于1100m2/g（BET法）或四氯化碳吸附率≥65%。企业应备好所购活性炭厂家关于活性炭碘吸附值、四氯化碳吸附率、比表面积等相关检测报告等证明材料。采用一次性颗粒状活性炭处理VOCs废气，年活性炭使用量宜不应低于VOCs 产生量的5倍，即1吨VOCs产生量，需5吨活性炭用于吸附。采取组合工艺的，光催化、光氧化、水喷淋（吸收可溶性VOCs除外）、低温等离子等低效治理工艺以去除率不超过10%计算活性炭装填量。排气浓度不满足设计或排放要求时，需及时更换活性炭。活性炭更换周期宜不超过累计运行500小时或3个月，更换周期依据生态环境部大气环境司编写的《挥发性有机物治理实用手册（第二版）》相关内容。</w:t>
            </w:r>
          </w:p>
        </w:tc>
        <w:tc>
          <w:tcPr>
            <w:tcW w:w="1213" w:type="dxa"/>
            <w:shd w:val="clear" w:color="auto" w:fill="auto"/>
            <w:vAlign w:val="center"/>
          </w:tcPr>
          <w:p w14:paraId="4ED0FC9A">
            <w:pPr>
              <w:pStyle w:val="178"/>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本项目有机废气除挤出机真空抽吸废气外，其他部位有机废气采用集气罩收集处理，风量约为真空抽吸废气的65倍，且通过</w:t>
            </w:r>
            <w:r>
              <w:rPr>
                <w:rFonts w:hint="eastAsia" w:cs="Times New Roman"/>
                <w:color w:val="auto"/>
                <w:kern w:val="2"/>
                <w:sz w:val="21"/>
                <w:szCs w:val="21"/>
                <w:lang w:val="en-US" w:eastAsia="zh-CN"/>
              </w:rPr>
              <w:t>碱</w:t>
            </w:r>
            <w:r>
              <w:rPr>
                <w:rFonts w:hint="default" w:ascii="Times New Roman" w:hAnsi="Times New Roman" w:cs="Times New Roman"/>
                <w:color w:val="auto"/>
                <w:kern w:val="2"/>
                <w:sz w:val="21"/>
                <w:szCs w:val="21"/>
              </w:rPr>
              <w:t>洗除雾后可以有效降低废气中温度，因此废气温度能保持在40℃以下。</w:t>
            </w:r>
          </w:p>
          <w:p w14:paraId="363643A4">
            <w:pPr>
              <w:pStyle w:val="178"/>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本项目二级活性炭吸附装置采用颗粒活性炭，单个活性炭箱尺寸（长3m×宽4m×高3.2m），气体流速为0.59m/s，满足颗粒活性炭气体流速要求。</w:t>
            </w:r>
          </w:p>
          <w:p w14:paraId="472E2EC3">
            <w:pPr>
              <w:pStyle w:val="178"/>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颗粒活性炭碘吸附值需≥800mg/g。活性炭更换周期宜不超过累计运行500小时或3个月。</w:t>
            </w:r>
          </w:p>
        </w:tc>
        <w:tc>
          <w:tcPr>
            <w:tcW w:w="734" w:type="dxa"/>
            <w:shd w:val="clear" w:color="auto" w:fill="auto"/>
            <w:vAlign w:val="center"/>
          </w:tcPr>
          <w:p w14:paraId="31BB30E9">
            <w:pPr>
              <w:pStyle w:val="178"/>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符合</w:t>
            </w:r>
          </w:p>
        </w:tc>
      </w:tr>
    </w:tbl>
    <w:p w14:paraId="3C72C3EB">
      <w:pPr>
        <w:adjustRightInd w:val="0"/>
        <w:snapToGrid w:val="0"/>
        <w:ind w:firstLine="480"/>
        <w:rPr>
          <w:rFonts w:hint="default" w:ascii="Times New Roman" w:hAnsi="Times New Roman" w:cs="Times New Roman"/>
          <w:color w:val="auto"/>
        </w:rPr>
        <w:sectPr>
          <w:headerReference r:id="rId12" w:type="default"/>
          <w:pgSz w:w="11907" w:h="16840"/>
          <w:pgMar w:top="1440" w:right="1797" w:bottom="1440" w:left="1797" w:header="851" w:footer="992" w:gutter="0"/>
          <w:cols w:space="720" w:num="1"/>
          <w:docGrid w:type="lines" w:linePitch="312" w:charSpace="0"/>
        </w:sectPr>
      </w:pPr>
    </w:p>
    <w:p w14:paraId="1AC19A99">
      <w:pPr>
        <w:pStyle w:val="3"/>
        <w:rPr>
          <w:rFonts w:hint="default" w:ascii="Times New Roman" w:hAnsi="Times New Roman" w:cs="Times New Roman"/>
          <w:color w:val="auto"/>
        </w:rPr>
      </w:pPr>
      <w:r>
        <w:rPr>
          <w:rFonts w:hint="default" w:ascii="Times New Roman" w:hAnsi="Times New Roman" w:cs="Times New Roman"/>
          <w:color w:val="auto"/>
        </w:rPr>
        <w:t xml:space="preserve">2.1 </w:t>
      </w:r>
      <w:r>
        <w:rPr>
          <w:rFonts w:hint="default" w:ascii="Times New Roman" w:hAnsi="Times New Roman" w:cs="Times New Roman"/>
          <w:snapToGrid w:val="0"/>
          <w:color w:val="auto"/>
        </w:rPr>
        <w:t>项目由来及特点</w:t>
      </w:r>
    </w:p>
    <w:p w14:paraId="51FB71FE">
      <w:pPr>
        <w:pStyle w:val="258"/>
        <w:rPr>
          <w:rFonts w:hint="default" w:ascii="Times New Roman" w:hAnsi="Times New Roman" w:cs="Times New Roman"/>
          <w:color w:val="auto"/>
        </w:rPr>
      </w:pPr>
      <w:r>
        <w:rPr>
          <w:rFonts w:hint="default" w:ascii="Times New Roman" w:hAnsi="Times New Roman" w:cs="Times New Roman"/>
          <w:color w:val="auto"/>
        </w:rPr>
        <w:t>2.1.1 项目建设由来</w:t>
      </w:r>
    </w:p>
    <w:p w14:paraId="1AD0471B">
      <w:pPr>
        <w:ind w:firstLine="480"/>
        <w:rPr>
          <w:rFonts w:hint="default" w:ascii="Times New Roman" w:hAnsi="Times New Roman" w:cs="Times New Roman"/>
          <w:color w:val="auto"/>
        </w:rPr>
      </w:pPr>
      <w:r>
        <w:rPr>
          <w:rFonts w:hint="default" w:ascii="Times New Roman" w:hAnsi="Times New Roman" w:cs="Times New Roman"/>
          <w:color w:val="auto"/>
          <w:szCs w:val="24"/>
        </w:rPr>
        <w:t>重庆万地通科技有限公司成立于2019年1月，主要从事生产、加工、销售塑料制品、橡胶制品等。该公司拟租用</w:t>
      </w:r>
      <w:r>
        <w:rPr>
          <w:rFonts w:hint="default" w:ascii="Times New Roman" w:hAnsi="Times New Roman" w:cs="Times New Roman"/>
          <w:color w:val="auto"/>
          <w:kern w:val="2"/>
          <w:szCs w:val="24"/>
        </w:rPr>
        <w:t>中铁二局集团物资有限公司重庆分公司已建3号楼1号仓间、2号仓间(工业用地)共3524.52m</w:t>
      </w:r>
      <w:r>
        <w:rPr>
          <w:rFonts w:hint="default" w:ascii="Times New Roman" w:hAnsi="Times New Roman" w:cs="Times New Roman"/>
          <w:color w:val="auto"/>
          <w:kern w:val="2"/>
          <w:szCs w:val="24"/>
          <w:vertAlign w:val="superscript"/>
        </w:rPr>
        <w:t>2</w:t>
      </w:r>
      <w:r>
        <w:rPr>
          <w:rFonts w:hint="default" w:ascii="Times New Roman" w:hAnsi="Times New Roman" w:cs="Times New Roman"/>
          <w:color w:val="auto"/>
          <w:kern w:val="2"/>
          <w:szCs w:val="24"/>
        </w:rPr>
        <w:t>开展重庆市九龙坡区汽车注塑件改性塑料颗粒生产项目</w:t>
      </w:r>
      <w:r>
        <w:rPr>
          <w:rFonts w:hint="default" w:ascii="Times New Roman" w:hAnsi="Times New Roman" w:cs="Times New Roman"/>
          <w:color w:val="auto"/>
        </w:rPr>
        <w:t>。新建汽车注塑件改性塑料颗粒生产线6条，外购塑料颗粒、滑石粉等原辅材料，通过混料、挤出、切粒、质检、包装等工艺，年产汽车注塑件改性塑料颗粒4000t。</w:t>
      </w:r>
    </w:p>
    <w:p w14:paraId="6337224F">
      <w:pPr>
        <w:ind w:firstLine="480"/>
        <w:rPr>
          <w:rFonts w:hint="default" w:ascii="Times New Roman" w:hAnsi="Times New Roman" w:cs="Times New Roman"/>
          <w:color w:val="auto"/>
        </w:rPr>
      </w:pPr>
      <w:r>
        <w:rPr>
          <w:rFonts w:hint="default" w:ascii="Times New Roman" w:hAnsi="Times New Roman" w:cs="Times New Roman"/>
          <w:color w:val="auto"/>
        </w:rPr>
        <w:t>本项目环境影响评价分类依据见表2.1.1-1所示。</w:t>
      </w:r>
    </w:p>
    <w:p w14:paraId="7B0CBE56">
      <w:pPr>
        <w:pStyle w:val="93"/>
        <w:rPr>
          <w:rFonts w:hint="default" w:ascii="Times New Roman" w:hAnsi="Times New Roman" w:cs="Times New Roman"/>
          <w:color w:val="auto"/>
        </w:rPr>
      </w:pPr>
      <w:r>
        <w:rPr>
          <w:rFonts w:hint="default" w:ascii="Times New Roman" w:hAnsi="Times New Roman" w:cs="Times New Roman"/>
          <w:color w:val="auto"/>
        </w:rPr>
        <w:t>表2.1.1-1    本项目环境影响评价分类依据</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5"/>
        <w:gridCol w:w="1252"/>
        <w:gridCol w:w="1365"/>
        <w:gridCol w:w="1917"/>
        <w:gridCol w:w="1433"/>
        <w:gridCol w:w="1477"/>
      </w:tblGrid>
      <w:tr w14:paraId="3DC2F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85" w:type="dxa"/>
            <w:vMerge w:val="restart"/>
            <w:shd w:val="clear" w:color="auto" w:fill="auto"/>
            <w:vAlign w:val="center"/>
          </w:tcPr>
          <w:p w14:paraId="658D0D8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产品工艺</w:t>
            </w:r>
          </w:p>
        </w:tc>
        <w:tc>
          <w:tcPr>
            <w:tcW w:w="1252" w:type="dxa"/>
            <w:vMerge w:val="restart"/>
            <w:shd w:val="clear" w:color="auto" w:fill="auto"/>
            <w:vAlign w:val="center"/>
          </w:tcPr>
          <w:p w14:paraId="2A68A2B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国民经济</w:t>
            </w:r>
          </w:p>
          <w:p w14:paraId="5E81577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行业类别</w:t>
            </w:r>
          </w:p>
        </w:tc>
        <w:tc>
          <w:tcPr>
            <w:tcW w:w="1365" w:type="dxa"/>
            <w:vMerge w:val="restart"/>
            <w:shd w:val="clear" w:color="auto" w:fill="auto"/>
            <w:vAlign w:val="center"/>
          </w:tcPr>
          <w:p w14:paraId="50943A7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建设项目行业类别</w:t>
            </w:r>
          </w:p>
        </w:tc>
        <w:tc>
          <w:tcPr>
            <w:tcW w:w="3350" w:type="dxa"/>
            <w:gridSpan w:val="2"/>
            <w:shd w:val="clear" w:color="auto" w:fill="auto"/>
            <w:vAlign w:val="center"/>
          </w:tcPr>
          <w:p w14:paraId="75EE493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建设项目环境影响评价</w:t>
            </w:r>
          </w:p>
          <w:p w14:paraId="730D668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分类管理名录</w:t>
            </w:r>
          </w:p>
        </w:tc>
        <w:tc>
          <w:tcPr>
            <w:tcW w:w="1477" w:type="dxa"/>
            <w:vMerge w:val="restart"/>
            <w:shd w:val="clear" w:color="auto" w:fill="auto"/>
            <w:vAlign w:val="center"/>
          </w:tcPr>
          <w:p w14:paraId="4131AE8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评价分类判定结果</w:t>
            </w:r>
          </w:p>
        </w:tc>
      </w:tr>
      <w:tr w14:paraId="5049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85" w:type="dxa"/>
            <w:vMerge w:val="continue"/>
            <w:shd w:val="clear" w:color="auto" w:fill="auto"/>
            <w:vAlign w:val="center"/>
          </w:tcPr>
          <w:p w14:paraId="5479C230">
            <w:pPr>
              <w:spacing w:line="240" w:lineRule="auto"/>
              <w:ind w:firstLine="0" w:firstLineChars="0"/>
              <w:jc w:val="center"/>
              <w:rPr>
                <w:rFonts w:hint="default" w:ascii="Times New Roman" w:hAnsi="Times New Roman" w:cs="Times New Roman"/>
                <w:color w:val="auto"/>
                <w:kern w:val="2"/>
                <w:sz w:val="21"/>
                <w:szCs w:val="21"/>
              </w:rPr>
            </w:pPr>
          </w:p>
        </w:tc>
        <w:tc>
          <w:tcPr>
            <w:tcW w:w="1252" w:type="dxa"/>
            <w:vMerge w:val="continue"/>
            <w:shd w:val="clear" w:color="auto" w:fill="auto"/>
            <w:vAlign w:val="center"/>
          </w:tcPr>
          <w:p w14:paraId="6C08B231">
            <w:pPr>
              <w:spacing w:line="240" w:lineRule="auto"/>
              <w:ind w:firstLine="0" w:firstLineChars="0"/>
              <w:jc w:val="center"/>
              <w:rPr>
                <w:rFonts w:hint="default" w:ascii="Times New Roman" w:hAnsi="Times New Roman" w:cs="Times New Roman"/>
                <w:color w:val="auto"/>
                <w:kern w:val="2"/>
                <w:sz w:val="21"/>
                <w:szCs w:val="21"/>
              </w:rPr>
            </w:pPr>
          </w:p>
        </w:tc>
        <w:tc>
          <w:tcPr>
            <w:tcW w:w="1365" w:type="dxa"/>
            <w:vMerge w:val="continue"/>
            <w:shd w:val="clear" w:color="auto" w:fill="auto"/>
            <w:vAlign w:val="center"/>
          </w:tcPr>
          <w:p w14:paraId="5F789E60">
            <w:pPr>
              <w:spacing w:line="240" w:lineRule="auto"/>
              <w:ind w:firstLine="0" w:firstLineChars="0"/>
              <w:jc w:val="center"/>
              <w:rPr>
                <w:rFonts w:hint="default" w:ascii="Times New Roman" w:hAnsi="Times New Roman" w:cs="Times New Roman"/>
                <w:color w:val="auto"/>
                <w:kern w:val="2"/>
                <w:sz w:val="21"/>
                <w:szCs w:val="21"/>
              </w:rPr>
            </w:pPr>
          </w:p>
        </w:tc>
        <w:tc>
          <w:tcPr>
            <w:tcW w:w="1917" w:type="dxa"/>
            <w:shd w:val="clear" w:color="auto" w:fill="auto"/>
            <w:vAlign w:val="center"/>
          </w:tcPr>
          <w:p w14:paraId="7831FAE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报告书</w:t>
            </w:r>
          </w:p>
        </w:tc>
        <w:tc>
          <w:tcPr>
            <w:tcW w:w="1433" w:type="dxa"/>
            <w:shd w:val="clear" w:color="auto" w:fill="auto"/>
            <w:vAlign w:val="center"/>
          </w:tcPr>
          <w:p w14:paraId="2F5D330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报告表</w:t>
            </w:r>
          </w:p>
        </w:tc>
        <w:tc>
          <w:tcPr>
            <w:tcW w:w="1477" w:type="dxa"/>
            <w:vMerge w:val="continue"/>
            <w:shd w:val="clear" w:color="auto" w:fill="auto"/>
            <w:vAlign w:val="center"/>
          </w:tcPr>
          <w:p w14:paraId="04A02C22">
            <w:pPr>
              <w:spacing w:line="240" w:lineRule="auto"/>
              <w:ind w:firstLine="0" w:firstLineChars="0"/>
              <w:jc w:val="center"/>
              <w:rPr>
                <w:rFonts w:hint="default" w:ascii="Times New Roman" w:hAnsi="Times New Roman" w:cs="Times New Roman"/>
                <w:color w:val="auto"/>
                <w:kern w:val="2"/>
                <w:sz w:val="21"/>
                <w:szCs w:val="21"/>
              </w:rPr>
            </w:pPr>
          </w:p>
        </w:tc>
      </w:tr>
      <w:tr w14:paraId="6C47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85" w:type="dxa"/>
            <w:shd w:val="clear" w:color="auto" w:fill="auto"/>
            <w:vAlign w:val="center"/>
          </w:tcPr>
          <w:p w14:paraId="7A853D2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改性塑料主要采用挤出工艺</w:t>
            </w:r>
          </w:p>
        </w:tc>
        <w:tc>
          <w:tcPr>
            <w:tcW w:w="1252" w:type="dxa"/>
            <w:shd w:val="clear" w:color="auto" w:fill="auto"/>
            <w:vAlign w:val="center"/>
          </w:tcPr>
          <w:p w14:paraId="351CE00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C2929塑料零件及其他塑料制品制造</w:t>
            </w:r>
          </w:p>
        </w:tc>
        <w:tc>
          <w:tcPr>
            <w:tcW w:w="1365" w:type="dxa"/>
            <w:shd w:val="clear" w:color="auto" w:fill="auto"/>
            <w:vAlign w:val="center"/>
          </w:tcPr>
          <w:p w14:paraId="3F13204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二十六、橡胶和塑料制品业29，53.塑料制品业292</w:t>
            </w:r>
          </w:p>
        </w:tc>
        <w:tc>
          <w:tcPr>
            <w:tcW w:w="1917" w:type="dxa"/>
            <w:shd w:val="clear" w:color="auto" w:fill="auto"/>
            <w:vAlign w:val="center"/>
          </w:tcPr>
          <w:p w14:paraId="386D810C">
            <w:pPr>
              <w:pStyle w:val="271"/>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val="en-US" w:bidi="ar-SA"/>
              </w:rPr>
              <w:t>以再生塑料为原料生产的；有电镀工艺的；年用溶剂型胶粘剂10吨及以上的；年用溶剂型涂料（含稀释剂）10吨及以上的</w:t>
            </w:r>
          </w:p>
        </w:tc>
        <w:tc>
          <w:tcPr>
            <w:tcW w:w="1433" w:type="dxa"/>
            <w:shd w:val="clear" w:color="auto" w:fill="auto"/>
            <w:vAlign w:val="center"/>
          </w:tcPr>
          <w:p w14:paraId="31CE8BB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其他（年用溶剂型低VOCs含量涂料10吨以下的除外）</w:t>
            </w:r>
          </w:p>
        </w:tc>
        <w:tc>
          <w:tcPr>
            <w:tcW w:w="1477" w:type="dxa"/>
            <w:shd w:val="clear" w:color="auto" w:fill="auto"/>
            <w:vAlign w:val="center"/>
          </w:tcPr>
          <w:p w14:paraId="16CDCCF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本项目主要采用挤出工艺，不涉及涂料、再生塑料、电镀工艺，以此判定为报告表</w:t>
            </w:r>
          </w:p>
        </w:tc>
      </w:tr>
    </w:tbl>
    <w:p w14:paraId="1C6A5939">
      <w:pPr>
        <w:ind w:firstLine="480"/>
        <w:rPr>
          <w:rFonts w:hint="default" w:ascii="Times New Roman" w:hAnsi="Times New Roman" w:cs="Times New Roman"/>
          <w:color w:val="auto"/>
        </w:rPr>
      </w:pPr>
      <w:r>
        <w:rPr>
          <w:rFonts w:hint="default" w:ascii="Times New Roman" w:hAnsi="Times New Roman" w:cs="Times New Roman"/>
          <w:color w:val="auto"/>
        </w:rPr>
        <w:t>根据《建设项目环境影响评价分类管理名录》（生态环境部第16号令）中要求及表2.1.1-1判定结果，本项目应编制环境影响报告表。</w:t>
      </w:r>
    </w:p>
    <w:p w14:paraId="2C010A63">
      <w:pPr>
        <w:ind w:firstLine="480"/>
        <w:rPr>
          <w:rFonts w:hint="default" w:ascii="Times New Roman" w:hAnsi="Times New Roman" w:cs="Times New Roman"/>
          <w:color w:val="auto"/>
        </w:rPr>
      </w:pPr>
      <w:r>
        <w:rPr>
          <w:rFonts w:hint="default" w:ascii="Times New Roman" w:hAnsi="Times New Roman" w:cs="Times New Roman"/>
          <w:color w:val="auto"/>
          <w:szCs w:val="24"/>
        </w:rPr>
        <w:t>重庆万地通科技有限公司</w:t>
      </w:r>
      <w:r>
        <w:rPr>
          <w:rFonts w:hint="default" w:ascii="Times New Roman" w:hAnsi="Times New Roman" w:cs="Times New Roman"/>
          <w:color w:val="auto"/>
        </w:rPr>
        <w:t>委托重庆后科环保有限责任公司承担本项目环境影响评价工作。接受委托后，我公司组织有关技术人员奔赴现场进行了查勘，在认真调查和广泛收集资料的基础上，依据环境影响评价技术导则和业主提供的关于项目的基本资料，编制项目环境影响报告表。现完成报告表的编制工作，呈报重庆市九龙坡区生态环境局审查。</w:t>
      </w:r>
    </w:p>
    <w:p w14:paraId="128DEFE2">
      <w:pPr>
        <w:pStyle w:val="258"/>
        <w:rPr>
          <w:rFonts w:hint="default" w:ascii="Times New Roman" w:hAnsi="Times New Roman" w:cs="Times New Roman"/>
          <w:color w:val="auto"/>
        </w:rPr>
      </w:pPr>
      <w:r>
        <w:rPr>
          <w:rFonts w:hint="default" w:ascii="Times New Roman" w:hAnsi="Times New Roman" w:cs="Times New Roman"/>
          <w:color w:val="auto"/>
        </w:rPr>
        <w:t>2.1.2 项目特点</w:t>
      </w:r>
    </w:p>
    <w:p w14:paraId="28FFBC4C">
      <w:pPr>
        <w:ind w:firstLine="480"/>
        <w:rPr>
          <w:rFonts w:hint="default" w:ascii="Times New Roman" w:hAnsi="Times New Roman" w:cs="Times New Roman"/>
          <w:color w:val="auto"/>
          <w:szCs w:val="24"/>
        </w:rPr>
      </w:pPr>
      <w:r>
        <w:rPr>
          <w:rFonts w:hint="default" w:ascii="Times New Roman" w:hAnsi="Times New Roman" w:cs="Times New Roman"/>
          <w:color w:val="auto"/>
        </w:rPr>
        <w:t>（1）本项目为改性</w:t>
      </w:r>
      <w:r>
        <w:rPr>
          <w:rFonts w:hint="default" w:ascii="Times New Roman" w:hAnsi="Times New Roman" w:cs="Times New Roman"/>
          <w:color w:val="auto"/>
          <w:kern w:val="2"/>
          <w:szCs w:val="24"/>
        </w:rPr>
        <w:t>塑料颗粒生产，所用原材料</w:t>
      </w:r>
      <w:r>
        <w:rPr>
          <w:rFonts w:hint="default" w:ascii="Times New Roman" w:hAnsi="Times New Roman" w:cs="Times New Roman"/>
          <w:color w:val="auto"/>
          <w:szCs w:val="24"/>
        </w:rPr>
        <w:t>在生产过程中属于</w:t>
      </w:r>
      <w:r>
        <w:rPr>
          <w:rStyle w:val="47"/>
          <w:rFonts w:hint="default" w:ascii="Times New Roman" w:hAnsi="Times New Roman" w:cs="Times New Roman"/>
          <w:b w:val="0"/>
          <w:bCs w:val="0"/>
          <w:color w:val="auto"/>
          <w:szCs w:val="24"/>
        </w:rPr>
        <w:t>纯物理分散与物理作用</w:t>
      </w:r>
      <w:r>
        <w:rPr>
          <w:rFonts w:hint="default" w:ascii="Times New Roman" w:hAnsi="Times New Roman" w:cs="Times New Roman"/>
          <w:color w:val="auto"/>
          <w:szCs w:val="24"/>
        </w:rPr>
        <w:t>，不引发新的共价键化学反应，因此不属于“化学改性原料”（即不会使下游改性工艺转变为化学改性）。对照《国民经济行业分类》（GB/T4754—2017），本项目属于塑料制品工业中的C2929塑料零件及其他塑料制品制造，其中塑料粒料包含：“塑料电缆料颗粒、塑料色母料颗粒、塑料填充母料颗粒、塑料功能母料颗粒、填充改性塑料颗粒、</w:t>
      </w:r>
      <w:r>
        <w:rPr>
          <w:rFonts w:hint="default" w:ascii="Times New Roman" w:hAnsi="Times New Roman" w:cs="Times New Roman"/>
          <w:b/>
          <w:color w:val="auto"/>
          <w:szCs w:val="24"/>
        </w:rPr>
        <w:t>共混改性塑料颗粒</w:t>
      </w:r>
      <w:r>
        <w:rPr>
          <w:rFonts w:hint="default" w:ascii="Times New Roman" w:hAnsi="Times New Roman" w:cs="Times New Roman"/>
          <w:color w:val="auto"/>
          <w:szCs w:val="24"/>
        </w:rPr>
        <w:t>、增强改性塑料颗粒、功能改性塑料颗粒、塑料热塑性弹性体颗粒、再生塑料颗粒、其他塑料粒料”。</w:t>
      </w:r>
    </w:p>
    <w:p w14:paraId="307F3847">
      <w:pPr>
        <w:ind w:firstLine="480"/>
        <w:rPr>
          <w:rFonts w:hint="default" w:ascii="Times New Roman" w:hAnsi="Times New Roman" w:cs="Times New Roman"/>
          <w:color w:val="auto"/>
        </w:rPr>
      </w:pPr>
      <w:r>
        <w:rPr>
          <w:rFonts w:hint="default" w:ascii="Times New Roman" w:hAnsi="Times New Roman" w:cs="Times New Roman"/>
          <w:color w:val="auto"/>
        </w:rPr>
        <w:t>（2）根据《合成树脂工业污染物排放标准》（GB31572-2015）及其2024年修改单，修改单中</w:t>
      </w:r>
      <w:bookmarkStart w:id="10" w:name="OLE_LINK3"/>
      <w:bookmarkStart w:id="11" w:name="OLE_LINK2"/>
      <w:r>
        <w:rPr>
          <w:rFonts w:hint="default" w:ascii="Times New Roman" w:hAnsi="Times New Roman" w:cs="Times New Roman"/>
          <w:color w:val="auto"/>
        </w:rPr>
        <w:t>“5.6 塑料制品工业企业或生产设施的大气污染物排放限值根据其涉及到的合成树脂种类，分别执行表4或表5的标准限值(单位产品非甲烷总烃排放量除外)；无组织排放控制要求按GB37822执行</w:t>
      </w:r>
      <w:bookmarkEnd w:id="10"/>
      <w:bookmarkEnd w:id="11"/>
      <w:r>
        <w:rPr>
          <w:rFonts w:hint="default" w:ascii="Times New Roman" w:hAnsi="Times New Roman" w:cs="Times New Roman"/>
          <w:color w:val="auto"/>
        </w:rPr>
        <w:t>。”因此，本项目作为塑料制品工业企业，本评价将不对《合成树脂工业污染物排放标准》（GB31572-2015（含2024年修改单））中单位产品非甲烷总烃排放量标准进行核算，亦不作为达标排放的判定依据。</w:t>
      </w:r>
    </w:p>
    <w:p w14:paraId="161933E4">
      <w:pPr>
        <w:ind w:firstLine="480"/>
        <w:rPr>
          <w:rFonts w:hint="default" w:ascii="Times New Roman" w:hAnsi="Times New Roman" w:cs="Times New Roman"/>
          <w:color w:val="auto"/>
        </w:rPr>
      </w:pPr>
      <w:r>
        <w:rPr>
          <w:rFonts w:hint="default" w:ascii="Times New Roman" w:hAnsi="Times New Roman" w:cs="Times New Roman"/>
          <w:color w:val="auto"/>
        </w:rPr>
        <w:t>（3）本项目为</w:t>
      </w:r>
      <w:r>
        <w:rPr>
          <w:rFonts w:hint="default" w:ascii="Times New Roman" w:hAnsi="Times New Roman" w:cs="Times New Roman"/>
          <w:color w:val="auto"/>
          <w:kern w:val="2"/>
          <w:szCs w:val="24"/>
        </w:rPr>
        <w:t>汽车注塑件改性塑料颗粒生产，从环保角度考虑，为提高车内空气质量，业主选择使用的PC</w:t>
      </w:r>
      <w:r>
        <w:rPr>
          <w:rFonts w:hint="default" w:ascii="Times New Roman" w:hAnsi="Times New Roman" w:cs="Times New Roman"/>
          <w:color w:val="auto"/>
        </w:rPr>
        <w:t>（聚碳酸酯）为非光气法生产。PC（聚碳酸酯）工业生产主要有两种路线，一是光气法，采用</w:t>
      </w:r>
      <w:r>
        <w:rPr>
          <w:rFonts w:hint="default" w:ascii="Times New Roman" w:hAnsi="Times New Roman" w:cs="Times New Roman"/>
          <w:color w:val="auto"/>
          <w:szCs w:val="24"/>
        </w:rPr>
        <w:t>双酚A先与氢氧化钠反应生成双酚A钠盐，在</w:t>
      </w:r>
      <w:r>
        <w:rPr>
          <w:rStyle w:val="47"/>
          <w:rFonts w:hint="default" w:ascii="Times New Roman" w:hAnsi="Times New Roman" w:cs="Times New Roman"/>
          <w:b w:val="0"/>
          <w:bCs w:val="0"/>
          <w:color w:val="auto"/>
          <w:szCs w:val="24"/>
        </w:rPr>
        <w:t>二氯甲烷/氯苯-水两相界面</w:t>
      </w:r>
      <w:r>
        <w:rPr>
          <w:rFonts w:hint="default" w:ascii="Times New Roman" w:hAnsi="Times New Roman" w:cs="Times New Roman"/>
          <w:color w:val="auto"/>
          <w:szCs w:val="24"/>
        </w:rPr>
        <w:t>上与光气发生聚合反应，生成聚碳酸酯。二是</w:t>
      </w:r>
      <w:r>
        <w:rPr>
          <w:rFonts w:hint="default" w:ascii="Times New Roman" w:hAnsi="Times New Roman" w:cs="Times New Roman"/>
          <w:color w:val="auto"/>
        </w:rPr>
        <w:t>非光气熔融法，用双酚A+碳酸二苯酯生成，不使用光气、</w:t>
      </w:r>
      <w:r>
        <w:rPr>
          <w:rStyle w:val="47"/>
          <w:rFonts w:hint="default" w:ascii="Times New Roman" w:hAnsi="Times New Roman" w:cs="Times New Roman"/>
          <w:b w:val="0"/>
          <w:bCs w:val="0"/>
          <w:color w:val="auto"/>
          <w:szCs w:val="24"/>
        </w:rPr>
        <w:t>二氯甲烷、氯苯</w:t>
      </w:r>
      <w:r>
        <w:rPr>
          <w:rFonts w:hint="default" w:ascii="Times New Roman" w:hAnsi="Times New Roman" w:cs="Times New Roman"/>
          <w:color w:val="auto"/>
        </w:rPr>
        <w:t>。</w:t>
      </w:r>
    </w:p>
    <w:p w14:paraId="205BC927">
      <w:pPr>
        <w:ind w:firstLine="480"/>
        <w:rPr>
          <w:rFonts w:hint="default" w:ascii="Times New Roman" w:hAnsi="Times New Roman" w:cs="Times New Roman"/>
          <w:color w:val="auto"/>
        </w:rPr>
      </w:pPr>
      <w:r>
        <w:rPr>
          <w:rFonts w:hint="default" w:ascii="Times New Roman" w:hAnsi="Times New Roman" w:cs="Times New Roman"/>
          <w:color w:val="auto"/>
        </w:rPr>
        <w:t>根据业主原料采购合同，本项目所用PC（聚碳酸酯）来自国产盛通聚源，见附件3购销合同和附件7聚碳酸酯MSDS。该公司生产PC（聚碳酸酯）均采用</w:t>
      </w:r>
      <w:r>
        <w:rPr>
          <w:rFonts w:hint="default" w:ascii="Times New Roman" w:hAnsi="Times New Roman" w:cs="Times New Roman"/>
          <w:color w:val="auto"/>
          <w:szCs w:val="24"/>
        </w:rPr>
        <w:t>非光气熔融酯交换法。根据</w:t>
      </w:r>
      <w:r>
        <w:rPr>
          <w:rFonts w:hint="default" w:ascii="Times New Roman" w:hAnsi="Times New Roman" w:cs="Times New Roman"/>
          <w:color w:val="auto"/>
        </w:rPr>
        <w:t>盛通聚源公司网页介绍（</w:t>
      </w:r>
      <w:r>
        <w:rPr>
          <w:rFonts w:hint="default" w:ascii="Times New Roman" w:hAnsi="Times New Roman" w:cs="Times New Roman"/>
          <w:color w:val="auto"/>
          <w:szCs w:val="24"/>
        </w:rPr>
        <w:t>http://www.stjywin.com/about/1079.html</w:t>
      </w:r>
      <w:r>
        <w:rPr>
          <w:rFonts w:hint="default" w:ascii="Times New Roman" w:hAnsi="Times New Roman" w:cs="Times New Roman"/>
          <w:color w:val="auto"/>
        </w:rPr>
        <w:t>），该公司于2017年投资19.5亿元建设一期13万吨/年聚碳酸酯项目，2019年11月一次试车成功，是国内第一大非光气法单体生产装置。非光气熔融酯交换法以‌碳酸二甲酯（DMC）和苯酚‌反应制得‌碳酸二苯酯（DPC）‌，再与‌双酚A（BPA）‌进行酯交换-缩聚反应，全程‌不涉及氯苯、光气或含氯溶剂‌。因此PC（聚碳酸酯）残留单体不考虑二氯甲烷、氯苯。</w:t>
      </w:r>
    </w:p>
    <w:p w14:paraId="1A73D37D">
      <w:pPr>
        <w:ind w:firstLine="480"/>
        <w:rPr>
          <w:rFonts w:hint="default" w:ascii="Times New Roman" w:hAnsi="Times New Roman" w:cs="Times New Roman"/>
          <w:color w:val="auto"/>
        </w:rPr>
      </w:pPr>
      <w:r>
        <w:rPr>
          <w:rFonts w:hint="default" w:ascii="Times New Roman" w:hAnsi="Times New Roman" w:cs="Times New Roman"/>
          <w:color w:val="auto"/>
        </w:rPr>
        <w:t>经与业主核实，企业改性PC主要用于汽车零部件生产，以仪表盘骨架、中控壳体、门板组件等汽车内饰件为主，产品环保要求较高，从产品适配性来讲，项目所用PC亦不能涉及有机卤化物。</w:t>
      </w:r>
    </w:p>
    <w:p w14:paraId="290EA3BB">
      <w:pPr>
        <w:ind w:firstLine="480"/>
        <w:rPr>
          <w:rFonts w:hint="default" w:ascii="Times New Roman" w:hAnsi="Times New Roman" w:cs="Times New Roman"/>
          <w:color w:val="auto"/>
        </w:rPr>
      </w:pPr>
      <w:r>
        <w:rPr>
          <w:rFonts w:hint="default" w:ascii="Times New Roman" w:hAnsi="Times New Roman" w:cs="Times New Roman"/>
          <w:color w:val="auto"/>
        </w:rPr>
        <w:t>综合业主提供的原料采购方案、工艺温度和从产品适配性，本项目改性PC（聚碳酸酯）生产过程中不会产生二氯甲烷和氯苯。</w:t>
      </w:r>
    </w:p>
    <w:p w14:paraId="5524D6EB">
      <w:pPr>
        <w:ind w:firstLine="480"/>
        <w:rPr>
          <w:rFonts w:hint="default" w:ascii="Times New Roman" w:hAnsi="Times New Roman" w:cs="Times New Roman"/>
          <w:color w:val="auto"/>
        </w:rPr>
      </w:pPr>
      <w:r>
        <w:rPr>
          <w:rFonts w:hint="default" w:ascii="Times New Roman" w:hAnsi="Times New Roman" w:cs="Times New Roman"/>
          <w:color w:val="auto"/>
        </w:rPr>
        <w:t>反馈建议：若项目建成后，业主因产品结构发生变化，存在需要更换采购光气法生产的PC的情况，应另行申报相关环保手续。</w:t>
      </w:r>
    </w:p>
    <w:p w14:paraId="2223925C">
      <w:pPr>
        <w:ind w:firstLine="480"/>
        <w:rPr>
          <w:rFonts w:hint="default" w:ascii="Times New Roman" w:hAnsi="Times New Roman" w:cs="Times New Roman"/>
          <w:color w:val="auto"/>
        </w:rPr>
      </w:pPr>
      <w:r>
        <w:rPr>
          <w:rFonts w:hint="default" w:ascii="Times New Roman" w:hAnsi="Times New Roman" w:cs="Times New Roman"/>
          <w:color w:val="auto"/>
        </w:rPr>
        <w:t>（4）根据章节4.2.1废气中识别结果，所用原料主要污染因子考虑非甲烷总烃，聚碳酸酯树脂和ABS树脂特征污染物分别为酚类、丙烯腈、苯乙烯、乙苯、甲苯、</w:t>
      </w:r>
      <w:r>
        <w:rPr>
          <w:rFonts w:hint="eastAsia" w:cs="Times New Roman"/>
          <w:color w:val="auto"/>
          <w:lang w:val="en-US" w:eastAsia="zh-CN"/>
        </w:rPr>
        <w:t>1,3-</w:t>
      </w:r>
      <w:r>
        <w:rPr>
          <w:rFonts w:hint="default" w:ascii="Times New Roman" w:hAnsi="Times New Roman" w:cs="Times New Roman"/>
          <w:color w:val="auto"/>
        </w:rPr>
        <w:t>丁二烯。依据《建设项目环境影响报告表编制技术指南(污染影响类)(试行)》，排放国家、地方环境空气质量标准中有标准限值要求的特征污染物需进行现状监测。</w:t>
      </w:r>
      <w:r>
        <w:rPr>
          <w:rFonts w:hint="default" w:ascii="Times New Roman" w:hAnsi="Times New Roman" w:cs="Times New Roman"/>
          <w:color w:val="auto"/>
          <w:szCs w:val="24"/>
          <w:lang w:bidi="ar"/>
        </w:rPr>
        <w:t>《环境空气质量标准》（GB3095-2026）中无本项目识别出的特征污染物</w:t>
      </w:r>
      <w:r>
        <w:rPr>
          <w:rFonts w:hint="default" w:ascii="Times New Roman" w:hAnsi="Times New Roman" w:cs="Times New Roman"/>
          <w:color w:val="auto"/>
        </w:rPr>
        <w:t>限值要求</w:t>
      </w:r>
      <w:r>
        <w:rPr>
          <w:rFonts w:hint="default" w:ascii="Times New Roman" w:hAnsi="Times New Roman" w:cs="Times New Roman"/>
          <w:color w:val="auto"/>
          <w:szCs w:val="24"/>
          <w:lang w:bidi="ar"/>
        </w:rPr>
        <w:t>，因此本评价未对其浓度进行现状监测，仅进行污染物排放达标判定。</w:t>
      </w:r>
    </w:p>
    <w:p w14:paraId="05C68E3D">
      <w:pPr>
        <w:ind w:firstLine="480"/>
        <w:rPr>
          <w:rFonts w:hint="default" w:ascii="Times New Roman" w:hAnsi="Times New Roman" w:cs="Times New Roman"/>
          <w:color w:val="auto"/>
          <w:kern w:val="2"/>
          <w:szCs w:val="24"/>
        </w:rPr>
      </w:pPr>
      <w:r>
        <w:rPr>
          <w:rFonts w:hint="default" w:ascii="Times New Roman" w:hAnsi="Times New Roman" w:cs="Times New Roman"/>
          <w:color w:val="auto"/>
        </w:rPr>
        <w:t>（5）根据《聚酰胺热氧化降解机理》（《高分子学报》2000 No.2 P.136-141，见附件8），尼龙6样品在200℃氧化时所收集的气相挥发产物的GC-MS分析结果，尼龙6在热氧化降解过程中产生了很多挥发产物，包括一系列环状产物，其中尤以己内酰胺量为最大，其次是γ-戊内酯及甲酰胺，乙酸及吡啶，不产生单体氨。因此PA6挤出废气污染源强核算仅考虑非甲烷总烃，不考虑氨。但从环保角度保守考虑，验收时仍将氨</w:t>
      </w:r>
      <w:r>
        <w:rPr>
          <w:rFonts w:hint="default" w:ascii="Times New Roman" w:hAnsi="Times New Roman" w:cs="Times New Roman"/>
          <w:bCs/>
          <w:color w:val="auto"/>
        </w:rPr>
        <w:t>作为监控因子进行管理。</w:t>
      </w:r>
    </w:p>
    <w:p w14:paraId="2719E4F3">
      <w:pPr>
        <w:ind w:firstLine="480"/>
        <w:rPr>
          <w:rFonts w:hint="default" w:ascii="Times New Roman" w:hAnsi="Times New Roman" w:cs="Times New Roman"/>
          <w:color w:val="auto"/>
        </w:rPr>
      </w:pPr>
      <w:r>
        <w:rPr>
          <w:rFonts w:hint="default" w:ascii="Times New Roman" w:hAnsi="Times New Roman" w:cs="Times New Roman"/>
          <w:color w:val="auto"/>
          <w:kern w:val="2"/>
          <w:szCs w:val="24"/>
        </w:rPr>
        <w:t>（6）根据</w:t>
      </w:r>
      <w:r>
        <w:rPr>
          <w:rFonts w:hint="default" w:ascii="Times New Roman" w:hAnsi="Times New Roman" w:cs="Times New Roman"/>
          <w:color w:val="auto"/>
        </w:rPr>
        <w:t>《合成树脂工业污染物排放标准》（GB31572-2015（含2024年修改单））表2和本项目所用合成树脂种类，直接冷却废水中污染因子主要为SS(微塑料颗粒)，同时考虑可能存在微量的苯乙烯、丙烯腈、甲苯、乙苯、双酚A、有机卤化物。但根据项目原材料及产生的废气残留单体分析，不含有机卤化物，因此废水因子不考虑有机卤化物；此外根据溶解度情况（见下表2.1.1-1），苯乙烯、丙烯腈、甲苯、乙苯、双酚A在水中溶解度较低，且主要在挤出熔融阶段产生进入大气，在直接冷却水中含量极低，因此本评价对废水中可能存在微量的苯乙烯、丙烯腈、甲苯、乙苯、双酚A仅纳入验收环节的水污染物控制指标，产排污分析不进行污染物浓度预测。</w:t>
      </w:r>
    </w:p>
    <w:p w14:paraId="3CCAD968">
      <w:pPr>
        <w:pStyle w:val="93"/>
        <w:rPr>
          <w:rFonts w:hint="default" w:ascii="Times New Roman" w:hAnsi="Times New Roman" w:cs="Times New Roman"/>
          <w:color w:val="auto"/>
        </w:rPr>
      </w:pPr>
      <w:r>
        <w:rPr>
          <w:rFonts w:hint="default" w:ascii="Times New Roman" w:hAnsi="Times New Roman" w:cs="Times New Roman"/>
          <w:color w:val="auto"/>
        </w:rPr>
        <w:t>表2.1.1-1    污染物溶解度</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43"/>
        <w:gridCol w:w="1795"/>
        <w:gridCol w:w="1428"/>
        <w:gridCol w:w="972"/>
        <w:gridCol w:w="3515"/>
      </w:tblGrid>
      <w:tr w14:paraId="3AD6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492" w:type="pct"/>
            <w:shd w:val="clear" w:color="auto" w:fill="auto"/>
            <w:tcMar>
              <w:top w:w="120" w:type="dxa"/>
              <w:left w:w="120" w:type="dxa"/>
              <w:bottom w:w="120" w:type="dxa"/>
              <w:right w:w="120" w:type="dxa"/>
            </w:tcMar>
            <w:vAlign w:val="center"/>
          </w:tcPr>
          <w:p w14:paraId="1C981D51">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物质</w:t>
            </w:r>
          </w:p>
        </w:tc>
        <w:tc>
          <w:tcPr>
            <w:tcW w:w="1049" w:type="pct"/>
            <w:shd w:val="clear" w:color="auto" w:fill="auto"/>
            <w:tcMar>
              <w:top w:w="120" w:type="dxa"/>
              <w:left w:w="120" w:type="dxa"/>
              <w:bottom w:w="120" w:type="dxa"/>
              <w:right w:w="120" w:type="dxa"/>
            </w:tcMar>
            <w:vAlign w:val="center"/>
          </w:tcPr>
          <w:p w14:paraId="7D81DEF5">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水中溶解度（20℃）</w:t>
            </w:r>
          </w:p>
        </w:tc>
        <w:tc>
          <w:tcPr>
            <w:tcW w:w="835" w:type="pct"/>
            <w:shd w:val="clear" w:color="auto" w:fill="auto"/>
            <w:tcMar>
              <w:top w:w="120" w:type="dxa"/>
              <w:left w:w="120" w:type="dxa"/>
              <w:bottom w:w="120" w:type="dxa"/>
              <w:right w:w="120" w:type="dxa"/>
            </w:tcMar>
            <w:vAlign w:val="center"/>
          </w:tcPr>
          <w:p w14:paraId="70C9915F">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水中溶解度（25℃）</w:t>
            </w:r>
          </w:p>
        </w:tc>
        <w:tc>
          <w:tcPr>
            <w:tcW w:w="568" w:type="pct"/>
            <w:shd w:val="clear" w:color="auto" w:fill="auto"/>
            <w:tcMar>
              <w:top w:w="120" w:type="dxa"/>
              <w:left w:w="120" w:type="dxa"/>
              <w:bottom w:w="120" w:type="dxa"/>
              <w:right w:w="120" w:type="dxa"/>
            </w:tcMar>
            <w:vAlign w:val="center"/>
          </w:tcPr>
          <w:p w14:paraId="2A1F545E">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水溶性等级</w:t>
            </w:r>
          </w:p>
        </w:tc>
        <w:tc>
          <w:tcPr>
            <w:tcW w:w="2054" w:type="pct"/>
            <w:shd w:val="clear" w:color="auto" w:fill="auto"/>
            <w:tcMar>
              <w:top w:w="120" w:type="dxa"/>
              <w:left w:w="120" w:type="dxa"/>
              <w:bottom w:w="120" w:type="dxa"/>
              <w:right w:w="120" w:type="dxa"/>
            </w:tcMar>
            <w:vAlign w:val="center"/>
          </w:tcPr>
          <w:p w14:paraId="28D3252D">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有机溶剂溶解性</w:t>
            </w:r>
          </w:p>
        </w:tc>
      </w:tr>
      <w:tr w14:paraId="74EB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92" w:type="pct"/>
            <w:shd w:val="clear" w:color="auto" w:fill="auto"/>
            <w:tcMar>
              <w:top w:w="120" w:type="dxa"/>
              <w:left w:w="120" w:type="dxa"/>
              <w:bottom w:w="120" w:type="dxa"/>
              <w:right w:w="120" w:type="dxa"/>
            </w:tcMar>
            <w:vAlign w:val="center"/>
          </w:tcPr>
          <w:p w14:paraId="1C6CCBF6">
            <w:pPr>
              <w:widowControl/>
              <w:spacing w:line="240" w:lineRule="auto"/>
              <w:ind w:firstLine="0" w:firstLineChars="0"/>
              <w:jc w:val="center"/>
              <w:rPr>
                <w:rFonts w:hint="default" w:ascii="Times New Roman" w:hAnsi="Times New Roman" w:cs="Times New Roman"/>
                <w:color w:val="auto"/>
                <w:sz w:val="21"/>
                <w:szCs w:val="21"/>
              </w:rPr>
            </w:pPr>
            <w:r>
              <w:rPr>
                <w:rStyle w:val="47"/>
                <w:rFonts w:hint="default" w:ascii="Times New Roman" w:hAnsi="Times New Roman" w:cs="Times New Roman"/>
                <w:b w:val="0"/>
                <w:bCs w:val="0"/>
                <w:color w:val="auto"/>
                <w:sz w:val="21"/>
                <w:szCs w:val="21"/>
                <w:lang w:bidi="ar"/>
              </w:rPr>
              <w:t>丙烯腈</w:t>
            </w:r>
          </w:p>
        </w:tc>
        <w:tc>
          <w:tcPr>
            <w:tcW w:w="1049" w:type="pct"/>
            <w:shd w:val="clear" w:color="auto" w:fill="auto"/>
            <w:tcMar>
              <w:top w:w="120" w:type="dxa"/>
              <w:left w:w="120" w:type="dxa"/>
              <w:bottom w:w="120" w:type="dxa"/>
              <w:right w:w="120" w:type="dxa"/>
            </w:tcMar>
            <w:vAlign w:val="center"/>
          </w:tcPr>
          <w:p w14:paraId="74287F97">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7.3g/100mL（73g/L）（质量分数7.3%）</w:t>
            </w:r>
          </w:p>
        </w:tc>
        <w:tc>
          <w:tcPr>
            <w:tcW w:w="835" w:type="pct"/>
            <w:shd w:val="clear" w:color="auto" w:fill="auto"/>
            <w:tcMar>
              <w:top w:w="120" w:type="dxa"/>
              <w:left w:w="120" w:type="dxa"/>
              <w:bottom w:w="120" w:type="dxa"/>
              <w:right w:w="120" w:type="dxa"/>
            </w:tcMar>
            <w:vAlign w:val="center"/>
          </w:tcPr>
          <w:p w14:paraId="7D7B9136">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7.5g/100mL</w:t>
            </w:r>
          </w:p>
        </w:tc>
        <w:tc>
          <w:tcPr>
            <w:tcW w:w="568" w:type="pct"/>
            <w:shd w:val="clear" w:color="auto" w:fill="auto"/>
            <w:tcMar>
              <w:top w:w="120" w:type="dxa"/>
              <w:left w:w="120" w:type="dxa"/>
              <w:bottom w:w="120" w:type="dxa"/>
              <w:right w:w="120" w:type="dxa"/>
            </w:tcMar>
            <w:vAlign w:val="center"/>
          </w:tcPr>
          <w:p w14:paraId="2CEB3F13">
            <w:pPr>
              <w:widowControl/>
              <w:spacing w:line="240" w:lineRule="auto"/>
              <w:ind w:firstLine="0" w:firstLineChars="0"/>
              <w:jc w:val="center"/>
              <w:rPr>
                <w:rFonts w:hint="default" w:ascii="Times New Roman" w:hAnsi="Times New Roman" w:cs="Times New Roman"/>
                <w:color w:val="auto"/>
                <w:sz w:val="21"/>
                <w:szCs w:val="21"/>
              </w:rPr>
            </w:pPr>
            <w:r>
              <w:rPr>
                <w:rStyle w:val="47"/>
                <w:rFonts w:hint="default" w:ascii="Times New Roman" w:hAnsi="Times New Roman" w:cs="Times New Roman"/>
                <w:b w:val="0"/>
                <w:bCs w:val="0"/>
                <w:color w:val="auto"/>
                <w:sz w:val="21"/>
                <w:szCs w:val="21"/>
                <w:lang w:bidi="ar"/>
              </w:rPr>
              <w:t>有限互溶</w:t>
            </w:r>
          </w:p>
        </w:tc>
        <w:tc>
          <w:tcPr>
            <w:tcW w:w="2054" w:type="pct"/>
            <w:shd w:val="clear" w:color="auto" w:fill="auto"/>
            <w:tcMar>
              <w:top w:w="120" w:type="dxa"/>
              <w:left w:w="120" w:type="dxa"/>
              <w:bottom w:w="120" w:type="dxa"/>
              <w:right w:w="120" w:type="dxa"/>
            </w:tcMar>
            <w:vAlign w:val="center"/>
          </w:tcPr>
          <w:p w14:paraId="3B5C13C1">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与乙醇、乙醚、丙酮、苯、四氯化碳等</w:t>
            </w:r>
            <w:r>
              <w:rPr>
                <w:rStyle w:val="47"/>
                <w:rFonts w:hint="default" w:ascii="Times New Roman" w:hAnsi="Times New Roman" w:cs="Times New Roman"/>
                <w:b w:val="0"/>
                <w:bCs w:val="0"/>
                <w:color w:val="auto"/>
                <w:sz w:val="21"/>
                <w:szCs w:val="21"/>
                <w:lang w:bidi="ar"/>
              </w:rPr>
              <w:t>任意比例混溶</w:t>
            </w:r>
            <w:r>
              <w:rPr>
                <w:rFonts w:hint="default" w:ascii="Times New Roman" w:hAnsi="Times New Roman" w:cs="Times New Roman"/>
                <w:color w:val="auto"/>
                <w:sz w:val="21"/>
                <w:szCs w:val="21"/>
                <w:lang w:bidi="ar"/>
              </w:rPr>
              <w:t>；也溶于硫氰酸钠、氯化锌等无机盐水溶液</w:t>
            </w:r>
          </w:p>
        </w:tc>
      </w:tr>
      <w:tr w14:paraId="4A98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92" w:type="pct"/>
            <w:shd w:val="clear" w:color="auto" w:fill="auto"/>
            <w:tcMar>
              <w:top w:w="120" w:type="dxa"/>
              <w:left w:w="120" w:type="dxa"/>
              <w:bottom w:w="120" w:type="dxa"/>
              <w:right w:w="120" w:type="dxa"/>
            </w:tcMar>
            <w:vAlign w:val="center"/>
          </w:tcPr>
          <w:p w14:paraId="04506634">
            <w:pPr>
              <w:widowControl/>
              <w:spacing w:line="240" w:lineRule="auto"/>
              <w:ind w:firstLine="0" w:firstLineChars="0"/>
              <w:jc w:val="center"/>
              <w:rPr>
                <w:rFonts w:hint="default" w:ascii="Times New Roman" w:hAnsi="Times New Roman" w:cs="Times New Roman"/>
                <w:color w:val="auto"/>
                <w:sz w:val="21"/>
                <w:szCs w:val="21"/>
              </w:rPr>
            </w:pPr>
            <w:r>
              <w:rPr>
                <w:rStyle w:val="47"/>
                <w:rFonts w:hint="default" w:ascii="Times New Roman" w:hAnsi="Times New Roman" w:cs="Times New Roman"/>
                <w:b w:val="0"/>
                <w:bCs w:val="0"/>
                <w:color w:val="auto"/>
                <w:sz w:val="21"/>
                <w:szCs w:val="21"/>
                <w:lang w:bidi="ar"/>
              </w:rPr>
              <w:t>苯乙烯</w:t>
            </w:r>
          </w:p>
        </w:tc>
        <w:tc>
          <w:tcPr>
            <w:tcW w:w="1049" w:type="pct"/>
            <w:shd w:val="clear" w:color="auto" w:fill="auto"/>
            <w:tcMar>
              <w:top w:w="120" w:type="dxa"/>
              <w:left w:w="120" w:type="dxa"/>
              <w:bottom w:w="120" w:type="dxa"/>
              <w:right w:w="120" w:type="dxa"/>
            </w:tcMar>
            <w:vAlign w:val="center"/>
          </w:tcPr>
          <w:p w14:paraId="36A4C748">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0.03g/100mL（0.3g/L）</w:t>
            </w:r>
          </w:p>
        </w:tc>
        <w:tc>
          <w:tcPr>
            <w:tcW w:w="835" w:type="pct"/>
            <w:shd w:val="clear" w:color="auto" w:fill="auto"/>
            <w:tcMar>
              <w:top w:w="120" w:type="dxa"/>
              <w:left w:w="120" w:type="dxa"/>
              <w:bottom w:w="120" w:type="dxa"/>
              <w:right w:w="120" w:type="dxa"/>
            </w:tcMar>
            <w:vAlign w:val="center"/>
          </w:tcPr>
          <w:p w14:paraId="69D24CED">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0.028g/100mL</w:t>
            </w:r>
          </w:p>
        </w:tc>
        <w:tc>
          <w:tcPr>
            <w:tcW w:w="568" w:type="pct"/>
            <w:shd w:val="clear" w:color="auto" w:fill="auto"/>
            <w:tcMar>
              <w:top w:w="120" w:type="dxa"/>
              <w:left w:w="120" w:type="dxa"/>
              <w:bottom w:w="120" w:type="dxa"/>
              <w:right w:w="120" w:type="dxa"/>
            </w:tcMar>
            <w:vAlign w:val="center"/>
          </w:tcPr>
          <w:p w14:paraId="18AC3275">
            <w:pPr>
              <w:widowControl/>
              <w:spacing w:line="240" w:lineRule="auto"/>
              <w:ind w:firstLine="0" w:firstLineChars="0"/>
              <w:jc w:val="center"/>
              <w:rPr>
                <w:rFonts w:hint="default" w:ascii="Times New Roman" w:hAnsi="Times New Roman" w:cs="Times New Roman"/>
                <w:color w:val="auto"/>
                <w:sz w:val="21"/>
                <w:szCs w:val="21"/>
              </w:rPr>
            </w:pPr>
            <w:r>
              <w:rPr>
                <w:rStyle w:val="47"/>
                <w:rFonts w:hint="default" w:ascii="Times New Roman" w:hAnsi="Times New Roman" w:cs="Times New Roman"/>
                <w:b w:val="0"/>
                <w:bCs w:val="0"/>
                <w:color w:val="auto"/>
                <w:sz w:val="21"/>
                <w:szCs w:val="21"/>
                <w:lang w:bidi="ar"/>
              </w:rPr>
              <w:t>极微溶</w:t>
            </w:r>
          </w:p>
        </w:tc>
        <w:tc>
          <w:tcPr>
            <w:tcW w:w="2054" w:type="pct"/>
            <w:shd w:val="clear" w:color="auto" w:fill="auto"/>
            <w:tcMar>
              <w:top w:w="120" w:type="dxa"/>
              <w:left w:w="120" w:type="dxa"/>
              <w:bottom w:w="120" w:type="dxa"/>
              <w:right w:w="120" w:type="dxa"/>
            </w:tcMar>
            <w:vAlign w:val="center"/>
          </w:tcPr>
          <w:p w14:paraId="00A1ABBE">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易溶于乙醇、乙醚、丙酮、苯、甲苯、氯仿等多数有机溶剂</w:t>
            </w:r>
          </w:p>
        </w:tc>
      </w:tr>
      <w:tr w14:paraId="5346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92" w:type="pct"/>
            <w:shd w:val="clear" w:color="auto" w:fill="auto"/>
            <w:tcMar>
              <w:top w:w="120" w:type="dxa"/>
              <w:left w:w="120" w:type="dxa"/>
              <w:bottom w:w="120" w:type="dxa"/>
              <w:right w:w="120" w:type="dxa"/>
            </w:tcMar>
            <w:vAlign w:val="center"/>
          </w:tcPr>
          <w:p w14:paraId="0A651B29">
            <w:pPr>
              <w:widowControl/>
              <w:spacing w:line="240" w:lineRule="auto"/>
              <w:ind w:firstLine="0" w:firstLineChars="0"/>
              <w:jc w:val="center"/>
              <w:rPr>
                <w:rFonts w:hint="default" w:ascii="Times New Roman" w:hAnsi="Times New Roman" w:cs="Times New Roman"/>
                <w:color w:val="auto"/>
                <w:sz w:val="21"/>
                <w:szCs w:val="21"/>
              </w:rPr>
            </w:pPr>
            <w:r>
              <w:rPr>
                <w:rStyle w:val="47"/>
                <w:rFonts w:hint="default" w:ascii="Times New Roman" w:hAnsi="Times New Roman" w:cs="Times New Roman"/>
                <w:b w:val="0"/>
                <w:bCs w:val="0"/>
                <w:color w:val="auto"/>
                <w:sz w:val="21"/>
                <w:szCs w:val="21"/>
                <w:lang w:bidi="ar"/>
              </w:rPr>
              <w:t>甲苯</w:t>
            </w:r>
          </w:p>
        </w:tc>
        <w:tc>
          <w:tcPr>
            <w:tcW w:w="1049" w:type="pct"/>
            <w:shd w:val="clear" w:color="auto" w:fill="auto"/>
            <w:tcMar>
              <w:top w:w="120" w:type="dxa"/>
              <w:left w:w="120" w:type="dxa"/>
              <w:bottom w:w="120" w:type="dxa"/>
              <w:right w:w="120" w:type="dxa"/>
            </w:tcMar>
            <w:vAlign w:val="center"/>
          </w:tcPr>
          <w:p w14:paraId="125C0A46">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0.050g/100mL（0.5g/L）</w:t>
            </w:r>
          </w:p>
        </w:tc>
        <w:tc>
          <w:tcPr>
            <w:tcW w:w="835" w:type="pct"/>
            <w:shd w:val="clear" w:color="auto" w:fill="auto"/>
            <w:tcMar>
              <w:top w:w="120" w:type="dxa"/>
              <w:left w:w="120" w:type="dxa"/>
              <w:bottom w:w="120" w:type="dxa"/>
              <w:right w:w="120" w:type="dxa"/>
            </w:tcMar>
            <w:vAlign w:val="center"/>
          </w:tcPr>
          <w:p w14:paraId="5DD83146">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0.053g/100mL</w:t>
            </w:r>
          </w:p>
        </w:tc>
        <w:tc>
          <w:tcPr>
            <w:tcW w:w="568" w:type="pct"/>
            <w:shd w:val="clear" w:color="auto" w:fill="auto"/>
            <w:tcMar>
              <w:top w:w="120" w:type="dxa"/>
              <w:left w:w="120" w:type="dxa"/>
              <w:bottom w:w="120" w:type="dxa"/>
              <w:right w:w="120" w:type="dxa"/>
            </w:tcMar>
            <w:vAlign w:val="center"/>
          </w:tcPr>
          <w:p w14:paraId="07EAB6E8">
            <w:pPr>
              <w:widowControl/>
              <w:spacing w:line="240" w:lineRule="auto"/>
              <w:ind w:firstLine="0" w:firstLineChars="0"/>
              <w:jc w:val="center"/>
              <w:rPr>
                <w:rFonts w:hint="default" w:ascii="Times New Roman" w:hAnsi="Times New Roman" w:cs="Times New Roman"/>
                <w:color w:val="auto"/>
                <w:sz w:val="21"/>
                <w:szCs w:val="21"/>
              </w:rPr>
            </w:pPr>
            <w:r>
              <w:rPr>
                <w:rStyle w:val="47"/>
                <w:rFonts w:hint="default" w:ascii="Times New Roman" w:hAnsi="Times New Roman" w:cs="Times New Roman"/>
                <w:b w:val="0"/>
                <w:bCs w:val="0"/>
                <w:color w:val="auto"/>
                <w:sz w:val="21"/>
                <w:szCs w:val="21"/>
                <w:lang w:bidi="ar"/>
              </w:rPr>
              <w:t>极微溶</w:t>
            </w:r>
          </w:p>
        </w:tc>
        <w:tc>
          <w:tcPr>
            <w:tcW w:w="2054" w:type="pct"/>
            <w:shd w:val="clear" w:color="auto" w:fill="auto"/>
            <w:tcMar>
              <w:top w:w="120" w:type="dxa"/>
              <w:left w:w="120" w:type="dxa"/>
              <w:bottom w:w="120" w:type="dxa"/>
              <w:right w:w="120" w:type="dxa"/>
            </w:tcMar>
            <w:vAlign w:val="center"/>
          </w:tcPr>
          <w:p w14:paraId="30290AEE">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可混溶于乙醇、乙醚、苯、氯仿、丙酮等多数有机溶剂</w:t>
            </w:r>
          </w:p>
        </w:tc>
      </w:tr>
      <w:tr w14:paraId="4B6CD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92" w:type="pct"/>
            <w:shd w:val="clear" w:color="auto" w:fill="auto"/>
            <w:tcMar>
              <w:top w:w="120" w:type="dxa"/>
              <w:left w:w="120" w:type="dxa"/>
              <w:bottom w:w="120" w:type="dxa"/>
              <w:right w:w="120" w:type="dxa"/>
            </w:tcMar>
            <w:vAlign w:val="center"/>
          </w:tcPr>
          <w:p w14:paraId="75EA1E56">
            <w:pPr>
              <w:widowControl/>
              <w:spacing w:line="240" w:lineRule="auto"/>
              <w:ind w:firstLine="0" w:firstLineChars="0"/>
              <w:jc w:val="center"/>
              <w:rPr>
                <w:rFonts w:hint="default" w:ascii="Times New Roman" w:hAnsi="Times New Roman" w:cs="Times New Roman"/>
                <w:color w:val="auto"/>
                <w:sz w:val="21"/>
                <w:szCs w:val="21"/>
              </w:rPr>
            </w:pPr>
            <w:r>
              <w:rPr>
                <w:rStyle w:val="47"/>
                <w:rFonts w:hint="default" w:ascii="Times New Roman" w:hAnsi="Times New Roman" w:cs="Times New Roman"/>
                <w:b w:val="0"/>
                <w:bCs w:val="0"/>
                <w:color w:val="auto"/>
                <w:sz w:val="21"/>
                <w:szCs w:val="21"/>
                <w:lang w:bidi="ar"/>
              </w:rPr>
              <w:t>乙苯</w:t>
            </w:r>
          </w:p>
        </w:tc>
        <w:tc>
          <w:tcPr>
            <w:tcW w:w="1049" w:type="pct"/>
            <w:shd w:val="clear" w:color="auto" w:fill="auto"/>
            <w:tcMar>
              <w:top w:w="120" w:type="dxa"/>
              <w:left w:w="120" w:type="dxa"/>
              <w:bottom w:w="120" w:type="dxa"/>
              <w:right w:w="120" w:type="dxa"/>
            </w:tcMar>
            <w:vAlign w:val="center"/>
          </w:tcPr>
          <w:p w14:paraId="6B4087C9">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0.044g/100mL（0.44g/L）</w:t>
            </w:r>
          </w:p>
        </w:tc>
        <w:tc>
          <w:tcPr>
            <w:tcW w:w="835" w:type="pct"/>
            <w:shd w:val="clear" w:color="auto" w:fill="auto"/>
            <w:tcMar>
              <w:top w:w="120" w:type="dxa"/>
              <w:left w:w="120" w:type="dxa"/>
              <w:bottom w:w="120" w:type="dxa"/>
              <w:right w:w="120" w:type="dxa"/>
            </w:tcMar>
            <w:vAlign w:val="center"/>
          </w:tcPr>
          <w:p w14:paraId="302B9AA3">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0.015g/100mL</w:t>
            </w:r>
          </w:p>
        </w:tc>
        <w:tc>
          <w:tcPr>
            <w:tcW w:w="568" w:type="pct"/>
            <w:shd w:val="clear" w:color="auto" w:fill="auto"/>
            <w:tcMar>
              <w:top w:w="120" w:type="dxa"/>
              <w:left w:w="120" w:type="dxa"/>
              <w:bottom w:w="120" w:type="dxa"/>
              <w:right w:w="120" w:type="dxa"/>
            </w:tcMar>
            <w:vAlign w:val="center"/>
          </w:tcPr>
          <w:p w14:paraId="2EAF7DDD">
            <w:pPr>
              <w:widowControl/>
              <w:spacing w:line="240" w:lineRule="auto"/>
              <w:ind w:firstLine="0" w:firstLineChars="0"/>
              <w:jc w:val="center"/>
              <w:rPr>
                <w:rFonts w:hint="default" w:ascii="Times New Roman" w:hAnsi="Times New Roman" w:cs="Times New Roman"/>
                <w:color w:val="auto"/>
                <w:sz w:val="21"/>
                <w:szCs w:val="21"/>
              </w:rPr>
            </w:pPr>
            <w:r>
              <w:rPr>
                <w:rStyle w:val="47"/>
                <w:rFonts w:hint="default" w:ascii="Times New Roman" w:hAnsi="Times New Roman" w:cs="Times New Roman"/>
                <w:b w:val="0"/>
                <w:bCs w:val="0"/>
                <w:color w:val="auto"/>
                <w:sz w:val="21"/>
                <w:szCs w:val="21"/>
                <w:lang w:bidi="ar"/>
              </w:rPr>
              <w:t>极微溶</w:t>
            </w:r>
          </w:p>
        </w:tc>
        <w:tc>
          <w:tcPr>
            <w:tcW w:w="2054" w:type="pct"/>
            <w:shd w:val="clear" w:color="auto" w:fill="auto"/>
            <w:tcMar>
              <w:top w:w="120" w:type="dxa"/>
              <w:left w:w="120" w:type="dxa"/>
              <w:bottom w:w="120" w:type="dxa"/>
              <w:right w:w="120" w:type="dxa"/>
            </w:tcMar>
            <w:vAlign w:val="center"/>
          </w:tcPr>
          <w:p w14:paraId="3DD69D5A">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可混溶于乙醇、乙醚、苯、四氯化碳等多数有机溶剂</w:t>
            </w:r>
          </w:p>
        </w:tc>
      </w:tr>
      <w:tr w14:paraId="2A86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92" w:type="pct"/>
            <w:shd w:val="clear" w:color="auto" w:fill="auto"/>
            <w:tcMar>
              <w:top w:w="120" w:type="dxa"/>
              <w:left w:w="120" w:type="dxa"/>
              <w:bottom w:w="120" w:type="dxa"/>
              <w:right w:w="120" w:type="dxa"/>
            </w:tcMar>
            <w:vAlign w:val="center"/>
          </w:tcPr>
          <w:p w14:paraId="46B27D72">
            <w:pPr>
              <w:widowControl/>
              <w:spacing w:line="240" w:lineRule="auto"/>
              <w:ind w:firstLine="0" w:firstLineChars="0"/>
              <w:jc w:val="center"/>
              <w:rPr>
                <w:rStyle w:val="47"/>
                <w:rFonts w:hint="default" w:ascii="Times New Roman" w:hAnsi="Times New Roman" w:cs="Times New Roman"/>
                <w:b w:val="0"/>
                <w:bCs w:val="0"/>
                <w:color w:val="auto"/>
                <w:sz w:val="21"/>
                <w:szCs w:val="21"/>
                <w:lang w:bidi="ar"/>
              </w:rPr>
            </w:pPr>
            <w:r>
              <w:rPr>
                <w:rStyle w:val="47"/>
                <w:rFonts w:hint="default" w:ascii="Times New Roman" w:hAnsi="Times New Roman" w:cs="Times New Roman"/>
                <w:b w:val="0"/>
                <w:bCs w:val="0"/>
                <w:color w:val="auto"/>
                <w:sz w:val="21"/>
                <w:szCs w:val="21"/>
                <w:lang w:bidi="ar"/>
              </w:rPr>
              <w:t>双酚A</w:t>
            </w:r>
          </w:p>
        </w:tc>
        <w:tc>
          <w:tcPr>
            <w:tcW w:w="1049" w:type="pct"/>
            <w:shd w:val="clear" w:color="auto" w:fill="auto"/>
            <w:tcMar>
              <w:top w:w="120" w:type="dxa"/>
              <w:left w:w="120" w:type="dxa"/>
              <w:bottom w:w="120" w:type="dxa"/>
              <w:right w:w="120" w:type="dxa"/>
            </w:tcMar>
            <w:vAlign w:val="center"/>
          </w:tcPr>
          <w:p w14:paraId="5F9E2E31">
            <w:pPr>
              <w:widowControl/>
              <w:spacing w:line="240" w:lineRule="auto"/>
              <w:ind w:firstLine="0" w:firstLineChars="0"/>
              <w:jc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835" w:type="pct"/>
            <w:shd w:val="clear" w:color="auto" w:fill="auto"/>
            <w:tcMar>
              <w:top w:w="120" w:type="dxa"/>
              <w:left w:w="120" w:type="dxa"/>
              <w:bottom w:w="120" w:type="dxa"/>
              <w:right w:w="120" w:type="dxa"/>
            </w:tcMar>
            <w:vAlign w:val="center"/>
          </w:tcPr>
          <w:p w14:paraId="7C6F99DF">
            <w:pPr>
              <w:widowControl/>
              <w:spacing w:line="240" w:lineRule="auto"/>
              <w:ind w:firstLine="0" w:firstLineChars="0"/>
              <w:jc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1.2g/L（0.12g/100mL）</w:t>
            </w:r>
          </w:p>
        </w:tc>
        <w:tc>
          <w:tcPr>
            <w:tcW w:w="568" w:type="pct"/>
            <w:shd w:val="clear" w:color="auto" w:fill="auto"/>
            <w:tcMar>
              <w:top w:w="120" w:type="dxa"/>
              <w:left w:w="120" w:type="dxa"/>
              <w:bottom w:w="120" w:type="dxa"/>
              <w:right w:w="120" w:type="dxa"/>
            </w:tcMar>
            <w:vAlign w:val="center"/>
          </w:tcPr>
          <w:p w14:paraId="4A34BD0E">
            <w:pPr>
              <w:widowControl/>
              <w:spacing w:line="240" w:lineRule="auto"/>
              <w:ind w:firstLine="0" w:firstLineChars="0"/>
              <w:jc w:val="center"/>
              <w:rPr>
                <w:rStyle w:val="47"/>
                <w:rFonts w:hint="default" w:ascii="Times New Roman" w:hAnsi="Times New Roman" w:cs="Times New Roman"/>
                <w:b w:val="0"/>
                <w:bCs w:val="0"/>
                <w:color w:val="auto"/>
                <w:sz w:val="21"/>
                <w:szCs w:val="21"/>
                <w:lang w:bidi="ar"/>
              </w:rPr>
            </w:pPr>
            <w:r>
              <w:rPr>
                <w:rStyle w:val="47"/>
                <w:rFonts w:hint="default" w:ascii="Times New Roman" w:hAnsi="Times New Roman" w:cs="Times New Roman"/>
                <w:b w:val="0"/>
                <w:bCs w:val="0"/>
                <w:color w:val="auto"/>
                <w:sz w:val="21"/>
                <w:szCs w:val="21"/>
                <w:lang w:bidi="ar"/>
              </w:rPr>
              <w:t>难溶</w:t>
            </w:r>
          </w:p>
        </w:tc>
        <w:tc>
          <w:tcPr>
            <w:tcW w:w="2054" w:type="pct"/>
            <w:shd w:val="clear" w:color="auto" w:fill="auto"/>
            <w:tcMar>
              <w:top w:w="120" w:type="dxa"/>
              <w:left w:w="120" w:type="dxa"/>
              <w:bottom w:w="120" w:type="dxa"/>
              <w:right w:w="120" w:type="dxa"/>
            </w:tcMar>
            <w:vAlign w:val="center"/>
          </w:tcPr>
          <w:p w14:paraId="44DECDD4">
            <w:pPr>
              <w:widowControl/>
              <w:spacing w:line="240" w:lineRule="auto"/>
              <w:ind w:firstLine="0" w:firstLineChars="0"/>
              <w:jc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可溶于乙醇、丙酮、乙醚、苯‌</w:t>
            </w:r>
          </w:p>
        </w:tc>
      </w:tr>
    </w:tbl>
    <w:p w14:paraId="4D4B5AD6">
      <w:pPr>
        <w:ind w:firstLine="480"/>
        <w:rPr>
          <w:rFonts w:hint="default" w:ascii="Times New Roman" w:hAnsi="Times New Roman" w:cs="Times New Roman"/>
          <w:color w:val="auto"/>
        </w:rPr>
      </w:pPr>
    </w:p>
    <w:p w14:paraId="22A7B175">
      <w:pPr>
        <w:ind w:firstLine="480"/>
        <w:rPr>
          <w:rFonts w:hint="default" w:ascii="Times New Roman" w:hAnsi="Times New Roman" w:cs="Times New Roman"/>
          <w:color w:val="auto"/>
        </w:rPr>
      </w:pPr>
      <w:r>
        <w:rPr>
          <w:rFonts w:hint="default" w:ascii="Times New Roman" w:hAnsi="Times New Roman" w:cs="Times New Roman"/>
          <w:color w:val="auto"/>
          <w:kern w:val="2"/>
          <w:szCs w:val="24"/>
        </w:rPr>
        <w:t>（7）本项目租用中铁二局集团物资有限公司重庆分公司已建3号楼1号仓间、2号仓间共3524.52m</w:t>
      </w:r>
      <w:r>
        <w:rPr>
          <w:rFonts w:hint="default" w:ascii="Times New Roman" w:hAnsi="Times New Roman" w:cs="Times New Roman"/>
          <w:color w:val="auto"/>
          <w:kern w:val="2"/>
          <w:szCs w:val="24"/>
          <w:vertAlign w:val="superscript"/>
        </w:rPr>
        <w:t>2</w:t>
      </w:r>
      <w:r>
        <w:rPr>
          <w:rFonts w:hint="default" w:ascii="Times New Roman" w:hAnsi="Times New Roman" w:cs="Times New Roman"/>
          <w:color w:val="auto"/>
          <w:kern w:val="2"/>
          <w:szCs w:val="24"/>
        </w:rPr>
        <w:t>。根据附件5，中铁二局集团物资有限公司重庆分公司产权证，该地块土地利用性质为工业用地，符合用地性质要求。该选址原地址名为九龙坡区西彭组团J分区J39-7/04地块(部分三)，区域规划调整后，该地址名称已经变更为</w:t>
      </w:r>
      <w:r>
        <w:rPr>
          <w:rFonts w:hint="default" w:ascii="Times New Roman" w:hAnsi="Times New Roman" w:cs="Times New Roman"/>
          <w:color w:val="auto"/>
        </w:rPr>
        <w:t>重庆市九龙坡区陶家镇开锣路86号(该区域划入了最新的陶家组团)，园区管委会对此情况也进行了说明详见附件10，因此，本项目规划符合性分析时均按照最新的规划，即对照陶家组团进行分析论证。</w:t>
      </w:r>
    </w:p>
    <w:p w14:paraId="399A63CD">
      <w:pPr>
        <w:pStyle w:val="3"/>
        <w:rPr>
          <w:rFonts w:hint="default" w:ascii="Times New Roman" w:hAnsi="Times New Roman" w:cs="Times New Roman"/>
          <w:color w:val="auto"/>
        </w:rPr>
      </w:pPr>
      <w:r>
        <w:rPr>
          <w:rFonts w:hint="default" w:ascii="Times New Roman" w:hAnsi="Times New Roman" w:cs="Times New Roman"/>
          <w:color w:val="auto"/>
        </w:rPr>
        <w:t>2.2 项目地理位置和用地现状</w:t>
      </w:r>
    </w:p>
    <w:p w14:paraId="022D8491">
      <w:pPr>
        <w:ind w:firstLine="480"/>
        <w:rPr>
          <w:rFonts w:hint="default" w:ascii="Times New Roman" w:hAnsi="Times New Roman" w:cs="Times New Roman"/>
          <w:color w:val="auto"/>
        </w:rPr>
      </w:pPr>
      <w:r>
        <w:rPr>
          <w:rFonts w:hint="default" w:ascii="Times New Roman" w:hAnsi="Times New Roman" w:cs="Times New Roman"/>
          <w:color w:val="auto"/>
        </w:rPr>
        <w:t>本项目位于重庆市九龙坡区陶家镇开锣路86号。项目北侧为开锣路、西南大数据创新应用中心，东侧为重庆圣凰模具制造有限公司。区域交通方便。</w:t>
      </w:r>
    </w:p>
    <w:p w14:paraId="6346E8EE">
      <w:pPr>
        <w:ind w:firstLine="480"/>
        <w:rPr>
          <w:rFonts w:hint="default" w:ascii="Times New Roman" w:hAnsi="Times New Roman" w:cs="Times New Roman"/>
          <w:color w:val="auto"/>
        </w:rPr>
      </w:pPr>
      <w:r>
        <w:rPr>
          <w:rFonts w:hint="default" w:ascii="Times New Roman" w:hAnsi="Times New Roman" w:cs="Times New Roman"/>
          <w:color w:val="auto"/>
        </w:rPr>
        <w:t>本项目租赁</w:t>
      </w:r>
      <w:r>
        <w:rPr>
          <w:rFonts w:hint="default" w:ascii="Times New Roman" w:hAnsi="Times New Roman" w:cs="Times New Roman"/>
          <w:color w:val="auto"/>
          <w:kern w:val="2"/>
          <w:szCs w:val="24"/>
        </w:rPr>
        <w:t>租用中铁二局集团物资有限公司重庆分公司已建3号楼1号仓间、2号仓间共3524.52m</w:t>
      </w:r>
      <w:r>
        <w:rPr>
          <w:rFonts w:hint="default" w:ascii="Times New Roman" w:hAnsi="Times New Roman" w:cs="Times New Roman"/>
          <w:color w:val="auto"/>
          <w:kern w:val="2"/>
          <w:szCs w:val="24"/>
          <w:vertAlign w:val="superscript"/>
        </w:rPr>
        <w:t>2</w:t>
      </w:r>
      <w:r>
        <w:rPr>
          <w:rFonts w:hint="default" w:ascii="Times New Roman" w:hAnsi="Times New Roman" w:cs="Times New Roman"/>
          <w:color w:val="auto"/>
        </w:rPr>
        <w:t>，不新增用地，只进行建筑内部布局调整。项目地理位置图见附图1。</w:t>
      </w:r>
    </w:p>
    <w:p w14:paraId="09A947A0">
      <w:pPr>
        <w:pStyle w:val="3"/>
        <w:rPr>
          <w:rFonts w:hint="default" w:ascii="Times New Roman" w:hAnsi="Times New Roman" w:cs="Times New Roman"/>
          <w:color w:val="auto"/>
        </w:rPr>
      </w:pPr>
      <w:r>
        <w:rPr>
          <w:rFonts w:hint="default" w:ascii="Times New Roman" w:hAnsi="Times New Roman" w:cs="Times New Roman"/>
          <w:color w:val="auto"/>
        </w:rPr>
        <w:t xml:space="preserve">2.3 </w:t>
      </w:r>
      <w:r>
        <w:rPr>
          <w:rFonts w:hint="default" w:ascii="Times New Roman" w:hAnsi="Times New Roman" w:cs="Times New Roman" w:eastAsiaTheme="minorEastAsia"/>
          <w:color w:val="auto"/>
        </w:rPr>
        <w:t>工程</w:t>
      </w:r>
      <w:r>
        <w:rPr>
          <w:rFonts w:hint="default" w:ascii="Times New Roman" w:hAnsi="Times New Roman" w:cs="Times New Roman"/>
          <w:color w:val="auto"/>
        </w:rPr>
        <w:t>概况</w:t>
      </w:r>
    </w:p>
    <w:p w14:paraId="15537B26">
      <w:pPr>
        <w:ind w:firstLine="480"/>
        <w:rPr>
          <w:rFonts w:hint="default" w:ascii="Times New Roman" w:hAnsi="Times New Roman" w:cs="Times New Roman"/>
          <w:color w:val="auto"/>
        </w:rPr>
      </w:pPr>
      <w:r>
        <w:rPr>
          <w:rFonts w:hint="default" w:ascii="Times New Roman" w:hAnsi="Times New Roman" w:cs="Times New Roman"/>
          <w:color w:val="auto"/>
        </w:rPr>
        <w:t>项目名称：</w:t>
      </w:r>
      <w:r>
        <w:rPr>
          <w:rFonts w:hint="default" w:ascii="Times New Roman" w:hAnsi="Times New Roman" w:cs="Times New Roman"/>
          <w:color w:val="auto"/>
          <w:kern w:val="2"/>
          <w:szCs w:val="24"/>
        </w:rPr>
        <w:t>重庆市九龙坡区汽车注塑件改性塑料颗粒生产项目</w:t>
      </w:r>
    </w:p>
    <w:p w14:paraId="55D717C5">
      <w:pPr>
        <w:ind w:firstLine="480"/>
        <w:rPr>
          <w:rFonts w:hint="default" w:ascii="Times New Roman" w:hAnsi="Times New Roman" w:cs="Times New Roman"/>
          <w:color w:val="auto"/>
        </w:rPr>
      </w:pPr>
      <w:r>
        <w:rPr>
          <w:rFonts w:hint="default" w:ascii="Times New Roman" w:hAnsi="Times New Roman" w:cs="Times New Roman"/>
          <w:color w:val="auto"/>
        </w:rPr>
        <w:t>建设单位：重庆万地通科技有限公司</w:t>
      </w:r>
    </w:p>
    <w:p w14:paraId="391B57A7">
      <w:pPr>
        <w:ind w:firstLine="480"/>
        <w:rPr>
          <w:rFonts w:hint="default" w:ascii="Times New Roman" w:hAnsi="Times New Roman" w:cs="Times New Roman"/>
          <w:color w:val="auto"/>
        </w:rPr>
      </w:pPr>
      <w:r>
        <w:rPr>
          <w:rFonts w:hint="default" w:ascii="Times New Roman" w:hAnsi="Times New Roman" w:cs="Times New Roman"/>
          <w:color w:val="auto"/>
        </w:rPr>
        <w:t>建设地址：重庆市九龙坡区陶家镇开锣路86号</w:t>
      </w:r>
    </w:p>
    <w:p w14:paraId="1264AD76">
      <w:pPr>
        <w:ind w:firstLine="480"/>
        <w:rPr>
          <w:rFonts w:hint="default" w:ascii="Times New Roman" w:hAnsi="Times New Roman" w:cs="Times New Roman"/>
          <w:color w:val="auto"/>
        </w:rPr>
      </w:pPr>
      <w:r>
        <w:rPr>
          <w:rFonts w:hint="default" w:ascii="Times New Roman" w:hAnsi="Times New Roman" w:cs="Times New Roman"/>
          <w:color w:val="auto"/>
        </w:rPr>
        <w:t>建设性质：新建</w:t>
      </w:r>
    </w:p>
    <w:p w14:paraId="613157FC">
      <w:pPr>
        <w:ind w:firstLine="480"/>
        <w:rPr>
          <w:rFonts w:hint="default" w:ascii="Times New Roman" w:hAnsi="Times New Roman" w:cs="Times New Roman"/>
          <w:color w:val="auto"/>
        </w:rPr>
      </w:pPr>
      <w:r>
        <w:rPr>
          <w:rFonts w:hint="default" w:ascii="Times New Roman" w:hAnsi="Times New Roman" w:cs="Times New Roman"/>
          <w:color w:val="auto"/>
        </w:rPr>
        <w:t>占地面积：租赁</w:t>
      </w:r>
      <w:r>
        <w:rPr>
          <w:rFonts w:hint="default" w:ascii="Times New Roman" w:hAnsi="Times New Roman" w:cs="Times New Roman"/>
          <w:color w:val="auto"/>
          <w:kern w:val="2"/>
          <w:szCs w:val="24"/>
        </w:rPr>
        <w:t>中铁二局集团物资有限公司重庆分公司已建3号楼1号仓间、2号仓间(工业用地)共3524.52m</w:t>
      </w:r>
      <w:r>
        <w:rPr>
          <w:rFonts w:hint="default" w:ascii="Times New Roman" w:hAnsi="Times New Roman" w:cs="Times New Roman"/>
          <w:color w:val="auto"/>
          <w:kern w:val="2"/>
          <w:szCs w:val="24"/>
          <w:vertAlign w:val="superscript"/>
        </w:rPr>
        <w:t>2</w:t>
      </w:r>
      <w:r>
        <w:rPr>
          <w:rFonts w:hint="default" w:ascii="Times New Roman" w:hAnsi="Times New Roman" w:cs="Times New Roman"/>
          <w:color w:val="auto"/>
        </w:rPr>
        <w:t>，进行生产和办公。</w:t>
      </w:r>
    </w:p>
    <w:p w14:paraId="527465FE">
      <w:pPr>
        <w:ind w:firstLine="480"/>
        <w:rPr>
          <w:rFonts w:hint="default" w:ascii="Times New Roman" w:hAnsi="Times New Roman" w:cs="Times New Roman"/>
          <w:color w:val="auto"/>
        </w:rPr>
      </w:pPr>
      <w:r>
        <w:rPr>
          <w:rFonts w:hint="default" w:ascii="Times New Roman" w:hAnsi="Times New Roman" w:cs="Times New Roman"/>
          <w:color w:val="auto"/>
        </w:rPr>
        <w:t>建设内容：新建汽车注塑件改性塑料颗粒生产线6条，外购塑料颗粒、滑石粉等原辅材料，通过混料、挤出、切粒、质检、包装等工艺，年产汽车注塑件改性塑料颗粒4000t。</w:t>
      </w:r>
    </w:p>
    <w:p w14:paraId="512D48E0">
      <w:pPr>
        <w:ind w:firstLine="480"/>
        <w:rPr>
          <w:rFonts w:hint="default" w:ascii="Times New Roman" w:hAnsi="Times New Roman" w:cs="Times New Roman"/>
          <w:color w:val="auto"/>
        </w:rPr>
      </w:pPr>
      <w:r>
        <w:rPr>
          <w:rFonts w:hint="default" w:ascii="Times New Roman" w:hAnsi="Times New Roman" w:cs="Times New Roman"/>
          <w:color w:val="auto"/>
        </w:rPr>
        <w:t>劳动定员和工作制度：劳动定员16人。工作时间8h/班，年工作260d。</w:t>
      </w:r>
    </w:p>
    <w:p w14:paraId="3683F553">
      <w:pPr>
        <w:ind w:firstLine="480"/>
        <w:rPr>
          <w:rFonts w:hint="default" w:ascii="Times New Roman" w:hAnsi="Times New Roman" w:cs="Times New Roman"/>
          <w:color w:val="auto"/>
        </w:rPr>
      </w:pPr>
      <w:r>
        <w:rPr>
          <w:rFonts w:hint="default" w:ascii="Times New Roman" w:hAnsi="Times New Roman" w:cs="Times New Roman"/>
          <w:color w:val="auto"/>
        </w:rPr>
        <w:t>总投资：800万元，其中环保投资40万元。</w:t>
      </w:r>
    </w:p>
    <w:p w14:paraId="7A031907">
      <w:pPr>
        <w:pStyle w:val="3"/>
        <w:rPr>
          <w:rFonts w:hint="default" w:ascii="Times New Roman" w:hAnsi="Times New Roman" w:cs="Times New Roman"/>
          <w:snapToGrid w:val="0"/>
          <w:color w:val="auto"/>
        </w:rPr>
      </w:pPr>
      <w:r>
        <w:rPr>
          <w:rFonts w:hint="default" w:ascii="Times New Roman" w:hAnsi="Times New Roman" w:cs="Times New Roman"/>
          <w:snapToGrid w:val="0"/>
          <w:color w:val="auto"/>
        </w:rPr>
        <w:t>2.4 项目组成</w:t>
      </w:r>
    </w:p>
    <w:p w14:paraId="57381FF9">
      <w:pPr>
        <w:ind w:firstLine="480"/>
        <w:rPr>
          <w:rFonts w:hint="default" w:ascii="Times New Roman" w:hAnsi="Times New Roman" w:cs="Times New Roman"/>
          <w:color w:val="auto"/>
        </w:rPr>
      </w:pPr>
      <w:r>
        <w:rPr>
          <w:rFonts w:hint="default" w:ascii="Times New Roman" w:hAnsi="Times New Roman" w:cs="Times New Roman"/>
          <w:color w:val="auto"/>
        </w:rPr>
        <w:t>本项目为租用</w:t>
      </w:r>
      <w:r>
        <w:rPr>
          <w:rFonts w:hint="default" w:ascii="Times New Roman" w:hAnsi="Times New Roman" w:cs="Times New Roman"/>
          <w:color w:val="auto"/>
          <w:kern w:val="2"/>
          <w:szCs w:val="24"/>
        </w:rPr>
        <w:t>中铁二局集团物资有限公司重庆分公司已建3号楼1号仓间、2号仓间</w:t>
      </w:r>
      <w:r>
        <w:rPr>
          <w:rFonts w:hint="default" w:ascii="Times New Roman" w:hAnsi="Times New Roman" w:cs="Times New Roman"/>
          <w:color w:val="auto"/>
        </w:rPr>
        <w:t>，仅进行车间内部设备安装和装修等作业，不涉及土建工程。本项目建成后将形成年产汽车注塑件改性塑料颗粒4000t的生产能力。</w:t>
      </w:r>
    </w:p>
    <w:p w14:paraId="4E593EE0">
      <w:pPr>
        <w:ind w:firstLine="480"/>
        <w:rPr>
          <w:rFonts w:hint="default" w:ascii="Times New Roman" w:hAnsi="Times New Roman" w:cs="Times New Roman"/>
          <w:color w:val="auto"/>
        </w:rPr>
      </w:pPr>
      <w:r>
        <w:rPr>
          <w:rFonts w:hint="default" w:ascii="Times New Roman" w:hAnsi="Times New Roman" w:cs="Times New Roman"/>
          <w:color w:val="auto"/>
        </w:rPr>
        <w:t>本项目主要建设内容包括主体工程、辅助工程、储运工程、公用工程、环保工程，主要组成及工程内容情况见表2.4-1。</w:t>
      </w:r>
    </w:p>
    <w:p w14:paraId="592B7E6F">
      <w:pPr>
        <w:pStyle w:val="93"/>
        <w:rPr>
          <w:rFonts w:hint="default" w:ascii="Times New Roman" w:hAnsi="Times New Roman" w:cs="Times New Roman"/>
          <w:color w:val="auto"/>
        </w:rPr>
      </w:pPr>
      <w:r>
        <w:rPr>
          <w:rFonts w:hint="default" w:ascii="Times New Roman" w:hAnsi="Times New Roman" w:cs="Times New Roman"/>
          <w:color w:val="auto"/>
        </w:rPr>
        <w:t>表2.4-1  本项目组成及工程内容表</w:t>
      </w:r>
    </w:p>
    <w:tbl>
      <w:tblPr>
        <w:tblStyle w:val="44"/>
        <w:tblW w:w="4974" w:type="pct"/>
        <w:jc w:val="center"/>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078"/>
        <w:gridCol w:w="720"/>
        <w:gridCol w:w="728"/>
        <w:gridCol w:w="5123"/>
        <w:gridCol w:w="836"/>
      </w:tblGrid>
      <w:tr w14:paraId="5982319A">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635" w:type="pct"/>
            <w:vAlign w:val="center"/>
          </w:tcPr>
          <w:p w14:paraId="5238A4C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工程分类</w:t>
            </w:r>
          </w:p>
        </w:tc>
        <w:tc>
          <w:tcPr>
            <w:tcW w:w="853" w:type="pct"/>
            <w:gridSpan w:val="2"/>
            <w:vAlign w:val="center"/>
          </w:tcPr>
          <w:p w14:paraId="17800B6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项目组成</w:t>
            </w:r>
          </w:p>
        </w:tc>
        <w:tc>
          <w:tcPr>
            <w:tcW w:w="3018" w:type="pct"/>
            <w:vAlign w:val="center"/>
          </w:tcPr>
          <w:p w14:paraId="570C8FA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规模及主要内容</w:t>
            </w:r>
          </w:p>
        </w:tc>
        <w:tc>
          <w:tcPr>
            <w:tcW w:w="492" w:type="pct"/>
            <w:vAlign w:val="center"/>
          </w:tcPr>
          <w:p w14:paraId="43D3D61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备注</w:t>
            </w:r>
          </w:p>
        </w:tc>
      </w:tr>
      <w:tr w14:paraId="25DFB688">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635" w:type="pct"/>
            <w:vAlign w:val="center"/>
          </w:tcPr>
          <w:p w14:paraId="28227A0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主体工程</w:t>
            </w:r>
          </w:p>
        </w:tc>
        <w:tc>
          <w:tcPr>
            <w:tcW w:w="853" w:type="pct"/>
            <w:gridSpan w:val="2"/>
            <w:vAlign w:val="center"/>
          </w:tcPr>
          <w:p w14:paraId="7E11B434">
            <w:pPr>
              <w:pStyle w:val="274"/>
              <w:spacing w:line="240" w:lineRule="auto"/>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汽车注塑件改性塑料颗粒生产</w:t>
            </w:r>
          </w:p>
        </w:tc>
        <w:tc>
          <w:tcPr>
            <w:tcW w:w="3018" w:type="pct"/>
            <w:vAlign w:val="center"/>
          </w:tcPr>
          <w:p w14:paraId="12C0A25A">
            <w:pPr>
              <w:pStyle w:val="274"/>
              <w:spacing w:line="240" w:lineRule="auto"/>
              <w:jc w:val="left"/>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位于</w:t>
            </w:r>
            <w:r>
              <w:rPr>
                <w:rFonts w:hint="default" w:ascii="Times New Roman" w:hAnsi="Times New Roman" w:cs="Times New Roman"/>
                <w:color w:val="auto"/>
                <w:kern w:val="2"/>
                <w:szCs w:val="24"/>
              </w:rPr>
              <w:t>中铁二局集团物资有限公司重庆分公司已建3号楼1号仓间、2号仓间。3号楼高21.4m</w:t>
            </w:r>
            <w:r>
              <w:rPr>
                <w:rFonts w:hint="default" w:ascii="Times New Roman" w:hAnsi="Times New Roman" w:cs="Times New Roman"/>
                <w:color w:val="auto"/>
                <w:kern w:val="2"/>
                <w:szCs w:val="21"/>
              </w:rPr>
              <w:t>。设置挤出机(6台)、切料机(6台)、混料机、</w:t>
            </w:r>
            <w:r>
              <w:rPr>
                <w:rStyle w:val="262"/>
                <w:rFonts w:hint="default" w:ascii="Times New Roman" w:hAnsi="Times New Roman" w:cs="Times New Roman"/>
                <w:color w:val="auto"/>
                <w:lang w:bidi="ar"/>
              </w:rPr>
              <w:t>立式拌料机</w:t>
            </w:r>
            <w:r>
              <w:rPr>
                <w:rFonts w:hint="default" w:ascii="Times New Roman" w:hAnsi="Times New Roman" w:cs="Times New Roman"/>
                <w:color w:val="auto"/>
                <w:kern w:val="2"/>
                <w:szCs w:val="21"/>
              </w:rPr>
              <w:t>等机械设备建成改性塑料生产线6条。</w:t>
            </w:r>
          </w:p>
          <w:p w14:paraId="4F5D829E">
            <w:pPr>
              <w:pStyle w:val="274"/>
              <w:spacing w:line="240" w:lineRule="auto"/>
              <w:jc w:val="left"/>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厂房1F南侧布置3个破碎间</w:t>
            </w:r>
            <w:r>
              <w:rPr>
                <w:rFonts w:hint="default" w:ascii="Times New Roman" w:hAnsi="Times New Roman" w:cs="Times New Roman"/>
                <w:bCs/>
                <w:color w:val="auto"/>
                <w:kern w:val="2"/>
                <w:szCs w:val="21"/>
              </w:rPr>
              <w:t>，面积均为6m</w:t>
            </w:r>
            <w:r>
              <w:rPr>
                <w:rFonts w:hint="default" w:ascii="Times New Roman" w:hAnsi="Times New Roman" w:cs="Times New Roman"/>
                <w:bCs/>
                <w:color w:val="auto"/>
                <w:kern w:val="2"/>
                <w:szCs w:val="21"/>
                <w:vertAlign w:val="superscript"/>
              </w:rPr>
              <w:t>2</w:t>
            </w:r>
            <w:r>
              <w:rPr>
                <w:rFonts w:hint="default" w:ascii="Times New Roman" w:hAnsi="Times New Roman" w:cs="Times New Roman"/>
                <w:bCs/>
                <w:color w:val="auto"/>
                <w:kern w:val="2"/>
                <w:szCs w:val="21"/>
              </w:rPr>
              <w:t>，布置破碎机，对机头料进行破碎并回用于生产。</w:t>
            </w:r>
          </w:p>
        </w:tc>
        <w:tc>
          <w:tcPr>
            <w:tcW w:w="492" w:type="pct"/>
            <w:vAlign w:val="center"/>
          </w:tcPr>
          <w:p w14:paraId="27E02A8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新建</w:t>
            </w:r>
          </w:p>
        </w:tc>
      </w:tr>
      <w:tr w14:paraId="5E48FD29">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635" w:type="pct"/>
            <w:vMerge w:val="restart"/>
            <w:vAlign w:val="center"/>
          </w:tcPr>
          <w:p w14:paraId="384DE58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辅助工程</w:t>
            </w:r>
          </w:p>
        </w:tc>
        <w:tc>
          <w:tcPr>
            <w:tcW w:w="853" w:type="pct"/>
            <w:gridSpan w:val="2"/>
            <w:shd w:val="clear" w:color="auto" w:fill="auto"/>
            <w:vAlign w:val="center"/>
          </w:tcPr>
          <w:p w14:paraId="645F98D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冷水循环系统</w:t>
            </w:r>
          </w:p>
        </w:tc>
        <w:tc>
          <w:tcPr>
            <w:tcW w:w="3018" w:type="pct"/>
            <w:shd w:val="clear" w:color="auto" w:fill="auto"/>
            <w:vAlign w:val="center"/>
          </w:tcPr>
          <w:p w14:paraId="10098CFA">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厂房1F西南侧挤出机后接6个冷却水槽对挤出改性料进行冷却，直接冷却水再进入厂区外西侧循环冷却水箱通过冷却塔进行冷却后循环使用</w:t>
            </w:r>
            <w:r>
              <w:rPr>
                <w:rStyle w:val="49"/>
                <w:rFonts w:hint="default" w:ascii="Times New Roman" w:hAnsi="Times New Roman" w:cs="Times New Roman"/>
                <w:color w:val="auto"/>
              </w:rPr>
              <w:t>，三个月定期更换排放</w:t>
            </w:r>
            <w:r>
              <w:rPr>
                <w:rFonts w:hint="default" w:ascii="Times New Roman" w:hAnsi="Times New Roman" w:cs="Times New Roman"/>
                <w:color w:val="auto"/>
                <w:kern w:val="2"/>
                <w:sz w:val="21"/>
                <w:szCs w:val="21"/>
              </w:rPr>
              <w:t>。</w:t>
            </w:r>
          </w:p>
          <w:p w14:paraId="204EC72E">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本项目水环式真空吸料机、水环式</w:t>
            </w:r>
            <w:r>
              <w:rPr>
                <w:rFonts w:hint="default" w:ascii="Times New Roman" w:hAnsi="Times New Roman" w:cs="Times New Roman"/>
                <w:color w:val="auto"/>
                <w:sz w:val="21"/>
                <w:szCs w:val="21"/>
                <w:lang w:bidi="ar"/>
              </w:rPr>
              <w:t>废气真空处理器均依托1个50L独立水箱进行水循环，</w:t>
            </w:r>
            <w:r>
              <w:rPr>
                <w:rStyle w:val="49"/>
                <w:rFonts w:hint="default" w:ascii="Times New Roman" w:hAnsi="Times New Roman" w:cs="Times New Roman"/>
                <w:color w:val="auto"/>
              </w:rPr>
              <w:t>三个月定期更换排放</w:t>
            </w:r>
            <w:r>
              <w:rPr>
                <w:rFonts w:hint="default" w:ascii="Times New Roman" w:hAnsi="Times New Roman" w:cs="Times New Roman"/>
                <w:color w:val="auto"/>
                <w:sz w:val="21"/>
                <w:szCs w:val="21"/>
                <w:lang w:bidi="ar"/>
              </w:rPr>
              <w:t>。</w:t>
            </w:r>
          </w:p>
        </w:tc>
        <w:tc>
          <w:tcPr>
            <w:tcW w:w="492" w:type="pct"/>
            <w:shd w:val="clear" w:color="auto" w:fill="auto"/>
            <w:vAlign w:val="center"/>
          </w:tcPr>
          <w:p w14:paraId="4268F76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新建</w:t>
            </w:r>
          </w:p>
        </w:tc>
      </w:tr>
      <w:tr w14:paraId="55EBB02D">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635" w:type="pct"/>
            <w:vMerge w:val="continue"/>
            <w:vAlign w:val="center"/>
          </w:tcPr>
          <w:p w14:paraId="3EF42F41">
            <w:pPr>
              <w:spacing w:line="240" w:lineRule="auto"/>
              <w:ind w:firstLine="0" w:firstLineChars="0"/>
              <w:jc w:val="center"/>
              <w:rPr>
                <w:rFonts w:hint="default" w:ascii="Times New Roman" w:hAnsi="Times New Roman" w:cs="Times New Roman"/>
                <w:color w:val="auto"/>
                <w:kern w:val="2"/>
                <w:sz w:val="21"/>
                <w:szCs w:val="21"/>
              </w:rPr>
            </w:pPr>
          </w:p>
        </w:tc>
        <w:tc>
          <w:tcPr>
            <w:tcW w:w="853" w:type="pct"/>
            <w:gridSpan w:val="2"/>
            <w:shd w:val="clear" w:color="auto" w:fill="auto"/>
            <w:vAlign w:val="center"/>
          </w:tcPr>
          <w:p w14:paraId="686D9F9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维修间</w:t>
            </w:r>
          </w:p>
        </w:tc>
        <w:tc>
          <w:tcPr>
            <w:tcW w:w="3018" w:type="pct"/>
            <w:shd w:val="clear" w:color="auto" w:fill="auto"/>
            <w:vAlign w:val="center"/>
          </w:tcPr>
          <w:p w14:paraId="6FCE7126">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厂房1F南侧</w:t>
            </w:r>
            <w:r>
              <w:rPr>
                <w:rFonts w:hint="default" w:ascii="Times New Roman" w:hAnsi="Times New Roman" w:cs="Times New Roman"/>
                <w:bCs/>
                <w:color w:val="auto"/>
                <w:kern w:val="2"/>
                <w:sz w:val="21"/>
                <w:szCs w:val="21"/>
              </w:rPr>
              <w:t>，面积约6m</w:t>
            </w:r>
            <w:r>
              <w:rPr>
                <w:rFonts w:hint="default" w:ascii="Times New Roman" w:hAnsi="Times New Roman" w:cs="Times New Roman"/>
                <w:bCs/>
                <w:color w:val="auto"/>
                <w:kern w:val="2"/>
                <w:sz w:val="21"/>
                <w:szCs w:val="21"/>
                <w:vertAlign w:val="superscript"/>
              </w:rPr>
              <w:t>2</w:t>
            </w:r>
            <w:r>
              <w:rPr>
                <w:rFonts w:hint="default" w:ascii="Times New Roman" w:hAnsi="Times New Roman" w:cs="Times New Roman"/>
                <w:bCs/>
                <w:color w:val="auto"/>
                <w:kern w:val="2"/>
                <w:sz w:val="21"/>
                <w:szCs w:val="21"/>
              </w:rPr>
              <w:t>，对设备进行简易维修。</w:t>
            </w:r>
          </w:p>
        </w:tc>
        <w:tc>
          <w:tcPr>
            <w:tcW w:w="492" w:type="pct"/>
            <w:vAlign w:val="center"/>
          </w:tcPr>
          <w:p w14:paraId="6CA5F6D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新建</w:t>
            </w:r>
          </w:p>
        </w:tc>
      </w:tr>
      <w:tr w14:paraId="794C73E0">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635" w:type="pct"/>
            <w:vMerge w:val="continue"/>
            <w:vAlign w:val="center"/>
          </w:tcPr>
          <w:p w14:paraId="0E3EFF09">
            <w:pPr>
              <w:spacing w:line="240" w:lineRule="auto"/>
              <w:ind w:firstLine="0" w:firstLineChars="0"/>
              <w:jc w:val="center"/>
              <w:rPr>
                <w:rFonts w:hint="default" w:ascii="Times New Roman" w:hAnsi="Times New Roman" w:cs="Times New Roman"/>
                <w:color w:val="auto"/>
                <w:kern w:val="2"/>
                <w:sz w:val="21"/>
                <w:szCs w:val="21"/>
              </w:rPr>
            </w:pPr>
          </w:p>
        </w:tc>
        <w:tc>
          <w:tcPr>
            <w:tcW w:w="853" w:type="pct"/>
            <w:gridSpan w:val="2"/>
            <w:vAlign w:val="center"/>
          </w:tcPr>
          <w:p w14:paraId="0C27060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注塑制样间</w:t>
            </w:r>
          </w:p>
        </w:tc>
        <w:tc>
          <w:tcPr>
            <w:tcW w:w="3018" w:type="pct"/>
            <w:vAlign w:val="center"/>
          </w:tcPr>
          <w:p w14:paraId="0B99C9D6">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厂房1F西北侧</w:t>
            </w:r>
            <w:r>
              <w:rPr>
                <w:rFonts w:hint="default" w:ascii="Times New Roman" w:hAnsi="Times New Roman" w:cs="Times New Roman"/>
                <w:bCs/>
                <w:color w:val="auto"/>
                <w:kern w:val="2"/>
                <w:sz w:val="21"/>
                <w:szCs w:val="21"/>
              </w:rPr>
              <w:t>，面积约81m</w:t>
            </w:r>
            <w:r>
              <w:rPr>
                <w:rFonts w:hint="default" w:ascii="Times New Roman" w:hAnsi="Times New Roman" w:cs="Times New Roman"/>
                <w:bCs/>
                <w:color w:val="auto"/>
                <w:kern w:val="2"/>
                <w:sz w:val="21"/>
                <w:szCs w:val="21"/>
                <w:vertAlign w:val="superscript"/>
              </w:rPr>
              <w:t>2</w:t>
            </w:r>
            <w:r>
              <w:rPr>
                <w:rFonts w:hint="default" w:ascii="Times New Roman" w:hAnsi="Times New Roman" w:cs="Times New Roman"/>
                <w:bCs/>
                <w:color w:val="auto"/>
                <w:kern w:val="2"/>
                <w:sz w:val="21"/>
                <w:szCs w:val="21"/>
              </w:rPr>
              <w:t>，采用本项目改性粒料产品注塑生产小样用于质量检测。</w:t>
            </w:r>
          </w:p>
        </w:tc>
        <w:tc>
          <w:tcPr>
            <w:tcW w:w="492" w:type="pct"/>
            <w:vAlign w:val="center"/>
          </w:tcPr>
          <w:p w14:paraId="3F5527E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新建</w:t>
            </w:r>
          </w:p>
        </w:tc>
      </w:tr>
      <w:tr w14:paraId="10D9F5B9">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635" w:type="pct"/>
            <w:vMerge w:val="continue"/>
            <w:vAlign w:val="center"/>
          </w:tcPr>
          <w:p w14:paraId="042A867F">
            <w:pPr>
              <w:spacing w:line="240" w:lineRule="auto"/>
              <w:ind w:firstLine="0" w:firstLineChars="0"/>
              <w:jc w:val="center"/>
              <w:rPr>
                <w:rFonts w:hint="default" w:ascii="Times New Roman" w:hAnsi="Times New Roman" w:cs="Times New Roman"/>
                <w:color w:val="auto"/>
                <w:kern w:val="2"/>
                <w:sz w:val="21"/>
                <w:szCs w:val="21"/>
              </w:rPr>
            </w:pPr>
          </w:p>
        </w:tc>
        <w:tc>
          <w:tcPr>
            <w:tcW w:w="853" w:type="pct"/>
            <w:gridSpan w:val="2"/>
            <w:vAlign w:val="center"/>
          </w:tcPr>
          <w:p w14:paraId="2A8E4D4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检测室</w:t>
            </w:r>
          </w:p>
        </w:tc>
        <w:tc>
          <w:tcPr>
            <w:tcW w:w="3018" w:type="pct"/>
            <w:vAlign w:val="center"/>
          </w:tcPr>
          <w:p w14:paraId="62A74013">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厂房1F西北侧</w:t>
            </w:r>
            <w:r>
              <w:rPr>
                <w:rFonts w:hint="default" w:ascii="Times New Roman" w:hAnsi="Times New Roman" w:cs="Times New Roman"/>
                <w:bCs/>
                <w:color w:val="auto"/>
                <w:kern w:val="2"/>
                <w:sz w:val="21"/>
                <w:szCs w:val="21"/>
              </w:rPr>
              <w:t>，面积约72m</w:t>
            </w:r>
            <w:r>
              <w:rPr>
                <w:rFonts w:hint="default" w:ascii="Times New Roman" w:hAnsi="Times New Roman" w:cs="Times New Roman"/>
                <w:bCs/>
                <w:color w:val="auto"/>
                <w:kern w:val="2"/>
                <w:sz w:val="21"/>
                <w:szCs w:val="21"/>
                <w:vertAlign w:val="superscript"/>
              </w:rPr>
              <w:t>2</w:t>
            </w:r>
            <w:r>
              <w:rPr>
                <w:rFonts w:hint="default" w:ascii="Times New Roman" w:hAnsi="Times New Roman" w:cs="Times New Roman"/>
                <w:bCs/>
                <w:color w:val="auto"/>
                <w:kern w:val="2"/>
                <w:sz w:val="21"/>
                <w:szCs w:val="21"/>
              </w:rPr>
              <w:t>，对注塑生产小样采用拉力试验机、冲击试验机、熔融指数仪、密度仪、小型干燥箱等进行质量检测。</w:t>
            </w:r>
          </w:p>
        </w:tc>
        <w:tc>
          <w:tcPr>
            <w:tcW w:w="492" w:type="pct"/>
            <w:vAlign w:val="center"/>
          </w:tcPr>
          <w:p w14:paraId="2FC4D46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新建</w:t>
            </w:r>
          </w:p>
        </w:tc>
      </w:tr>
      <w:tr w14:paraId="0E30F9F3">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635" w:type="pct"/>
            <w:vMerge w:val="continue"/>
            <w:vAlign w:val="center"/>
          </w:tcPr>
          <w:p w14:paraId="5019FE94">
            <w:pPr>
              <w:spacing w:line="240" w:lineRule="auto"/>
              <w:ind w:firstLine="0" w:firstLineChars="0"/>
              <w:jc w:val="center"/>
              <w:rPr>
                <w:rFonts w:hint="default" w:ascii="Times New Roman" w:hAnsi="Times New Roman" w:cs="Times New Roman"/>
                <w:color w:val="auto"/>
                <w:kern w:val="2"/>
                <w:sz w:val="21"/>
                <w:szCs w:val="21"/>
              </w:rPr>
            </w:pPr>
          </w:p>
        </w:tc>
        <w:tc>
          <w:tcPr>
            <w:tcW w:w="853" w:type="pct"/>
            <w:gridSpan w:val="2"/>
            <w:vAlign w:val="center"/>
          </w:tcPr>
          <w:p w14:paraId="7D11F1C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办公室</w:t>
            </w:r>
          </w:p>
        </w:tc>
        <w:tc>
          <w:tcPr>
            <w:tcW w:w="3018" w:type="pct"/>
            <w:vAlign w:val="center"/>
          </w:tcPr>
          <w:p w14:paraId="1A27089A">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bCs/>
                <w:color w:val="auto"/>
                <w:kern w:val="2"/>
                <w:sz w:val="21"/>
                <w:szCs w:val="21"/>
              </w:rPr>
              <w:t>厂房1层北侧</w:t>
            </w:r>
            <w:r>
              <w:rPr>
                <w:rFonts w:hint="default" w:ascii="Times New Roman" w:hAnsi="Times New Roman" w:cs="Times New Roman"/>
                <w:color w:val="auto"/>
                <w:kern w:val="2"/>
                <w:sz w:val="21"/>
                <w:szCs w:val="21"/>
              </w:rPr>
              <w:t>，面积约60m</w:t>
            </w:r>
            <w:r>
              <w:rPr>
                <w:rFonts w:hint="default" w:ascii="Times New Roman" w:hAnsi="Times New Roman" w:cs="Times New Roman"/>
                <w:color w:val="auto"/>
                <w:kern w:val="2"/>
                <w:sz w:val="21"/>
                <w:szCs w:val="21"/>
                <w:vertAlign w:val="superscript"/>
              </w:rPr>
              <w:t>2</w:t>
            </w:r>
            <w:r>
              <w:rPr>
                <w:rFonts w:hint="default" w:ascii="Times New Roman" w:hAnsi="Times New Roman" w:cs="Times New Roman"/>
                <w:color w:val="auto"/>
                <w:kern w:val="2"/>
                <w:sz w:val="21"/>
                <w:szCs w:val="21"/>
              </w:rPr>
              <w:t>，用于日常办公。</w:t>
            </w:r>
          </w:p>
        </w:tc>
        <w:tc>
          <w:tcPr>
            <w:tcW w:w="492" w:type="pct"/>
            <w:vAlign w:val="center"/>
          </w:tcPr>
          <w:p w14:paraId="3FD44D1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新建</w:t>
            </w:r>
          </w:p>
        </w:tc>
      </w:tr>
      <w:tr w14:paraId="3DE379E9">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635" w:type="pct"/>
            <w:vMerge w:val="restart"/>
            <w:vAlign w:val="center"/>
          </w:tcPr>
          <w:p w14:paraId="6A10CFF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储运工程</w:t>
            </w:r>
          </w:p>
        </w:tc>
        <w:tc>
          <w:tcPr>
            <w:tcW w:w="853" w:type="pct"/>
            <w:gridSpan w:val="2"/>
            <w:vAlign w:val="center"/>
          </w:tcPr>
          <w:p w14:paraId="65E48C3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原料区</w:t>
            </w:r>
          </w:p>
        </w:tc>
        <w:tc>
          <w:tcPr>
            <w:tcW w:w="3018" w:type="pct"/>
            <w:vAlign w:val="center"/>
          </w:tcPr>
          <w:p w14:paraId="30A40D07">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bCs/>
                <w:color w:val="auto"/>
                <w:kern w:val="2"/>
                <w:sz w:val="21"/>
                <w:szCs w:val="21"/>
              </w:rPr>
              <w:t>厂房1层西北侧和北侧分别布置2块原料贮存区</w:t>
            </w:r>
            <w:r>
              <w:rPr>
                <w:rFonts w:hint="default" w:ascii="Times New Roman" w:hAnsi="Times New Roman" w:cs="Times New Roman"/>
                <w:color w:val="auto"/>
                <w:kern w:val="2"/>
                <w:sz w:val="21"/>
                <w:szCs w:val="21"/>
              </w:rPr>
              <w:t>，面积分别为142m</w:t>
            </w:r>
            <w:r>
              <w:rPr>
                <w:rFonts w:hint="default" w:ascii="Times New Roman" w:hAnsi="Times New Roman" w:cs="Times New Roman"/>
                <w:color w:val="auto"/>
                <w:kern w:val="2"/>
                <w:sz w:val="21"/>
                <w:szCs w:val="21"/>
                <w:vertAlign w:val="superscript"/>
              </w:rPr>
              <w:t>2</w:t>
            </w:r>
            <w:r>
              <w:rPr>
                <w:rFonts w:hint="default" w:ascii="Times New Roman" w:hAnsi="Times New Roman" w:cs="Times New Roman"/>
                <w:color w:val="auto"/>
                <w:kern w:val="2"/>
                <w:sz w:val="21"/>
                <w:szCs w:val="21"/>
              </w:rPr>
              <w:t>和396m</w:t>
            </w:r>
            <w:r>
              <w:rPr>
                <w:rFonts w:hint="default" w:ascii="Times New Roman" w:hAnsi="Times New Roman" w:cs="Times New Roman"/>
                <w:color w:val="auto"/>
                <w:kern w:val="2"/>
                <w:sz w:val="21"/>
                <w:szCs w:val="21"/>
                <w:vertAlign w:val="superscript"/>
              </w:rPr>
              <w:t>2</w:t>
            </w:r>
            <w:r>
              <w:rPr>
                <w:rFonts w:hint="default" w:ascii="Times New Roman" w:hAnsi="Times New Roman" w:cs="Times New Roman"/>
                <w:color w:val="auto"/>
                <w:kern w:val="2"/>
                <w:sz w:val="21"/>
                <w:szCs w:val="21"/>
              </w:rPr>
              <w:t>，用于项目原材料的贮存。</w:t>
            </w:r>
          </w:p>
        </w:tc>
        <w:tc>
          <w:tcPr>
            <w:tcW w:w="492" w:type="pct"/>
            <w:vAlign w:val="center"/>
          </w:tcPr>
          <w:p w14:paraId="626B15C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新建</w:t>
            </w:r>
          </w:p>
        </w:tc>
      </w:tr>
      <w:tr w14:paraId="28C8121D">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635" w:type="pct"/>
            <w:vMerge w:val="continue"/>
            <w:vAlign w:val="center"/>
          </w:tcPr>
          <w:p w14:paraId="5016EB24">
            <w:pPr>
              <w:spacing w:line="240" w:lineRule="auto"/>
              <w:ind w:firstLine="0" w:firstLineChars="0"/>
              <w:jc w:val="center"/>
              <w:rPr>
                <w:rFonts w:hint="default" w:ascii="Times New Roman" w:hAnsi="Times New Roman" w:cs="Times New Roman"/>
                <w:color w:val="auto"/>
                <w:kern w:val="2"/>
                <w:sz w:val="21"/>
                <w:szCs w:val="21"/>
              </w:rPr>
            </w:pPr>
          </w:p>
        </w:tc>
        <w:tc>
          <w:tcPr>
            <w:tcW w:w="853" w:type="pct"/>
            <w:gridSpan w:val="2"/>
            <w:vAlign w:val="center"/>
          </w:tcPr>
          <w:p w14:paraId="4679B74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成品区</w:t>
            </w:r>
          </w:p>
        </w:tc>
        <w:tc>
          <w:tcPr>
            <w:tcW w:w="3018" w:type="pct"/>
            <w:vAlign w:val="center"/>
          </w:tcPr>
          <w:p w14:paraId="053D5934">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厂房1层中部，面积约400m</w:t>
            </w:r>
            <w:r>
              <w:rPr>
                <w:rFonts w:hint="default" w:ascii="Times New Roman" w:hAnsi="Times New Roman" w:cs="Times New Roman"/>
                <w:color w:val="auto"/>
                <w:kern w:val="2"/>
                <w:sz w:val="21"/>
                <w:szCs w:val="21"/>
                <w:vertAlign w:val="superscript"/>
              </w:rPr>
              <w:t>2</w:t>
            </w:r>
            <w:r>
              <w:rPr>
                <w:rFonts w:hint="default" w:ascii="Times New Roman" w:hAnsi="Times New Roman" w:cs="Times New Roman"/>
                <w:color w:val="auto"/>
                <w:kern w:val="2"/>
                <w:sz w:val="21"/>
                <w:szCs w:val="21"/>
              </w:rPr>
              <w:t>，用于成品改性粒料贮存。</w:t>
            </w:r>
          </w:p>
        </w:tc>
        <w:tc>
          <w:tcPr>
            <w:tcW w:w="492" w:type="pct"/>
            <w:vAlign w:val="center"/>
          </w:tcPr>
          <w:p w14:paraId="4203CFE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新建</w:t>
            </w:r>
          </w:p>
        </w:tc>
      </w:tr>
      <w:tr w14:paraId="7DBAA665">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635" w:type="pct"/>
            <w:vMerge w:val="continue"/>
            <w:vAlign w:val="center"/>
          </w:tcPr>
          <w:p w14:paraId="09688146">
            <w:pPr>
              <w:spacing w:line="240" w:lineRule="auto"/>
              <w:ind w:firstLine="0" w:firstLineChars="0"/>
              <w:jc w:val="center"/>
              <w:rPr>
                <w:rFonts w:hint="default" w:ascii="Times New Roman" w:hAnsi="Times New Roman" w:cs="Times New Roman"/>
                <w:color w:val="auto"/>
                <w:kern w:val="2"/>
                <w:sz w:val="21"/>
                <w:szCs w:val="21"/>
              </w:rPr>
            </w:pPr>
          </w:p>
        </w:tc>
        <w:tc>
          <w:tcPr>
            <w:tcW w:w="853" w:type="pct"/>
            <w:gridSpan w:val="2"/>
            <w:vAlign w:val="center"/>
          </w:tcPr>
          <w:p w14:paraId="612B2C43">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五金配件</w:t>
            </w:r>
          </w:p>
        </w:tc>
        <w:tc>
          <w:tcPr>
            <w:tcW w:w="3018" w:type="pct"/>
            <w:vAlign w:val="center"/>
          </w:tcPr>
          <w:p w14:paraId="79A8FE31">
            <w:pPr>
              <w:pStyle w:val="274"/>
              <w:spacing w:line="240" w:lineRule="auto"/>
              <w:jc w:val="left"/>
              <w:rPr>
                <w:rFonts w:hint="default" w:ascii="Times New Roman" w:hAnsi="Times New Roman" w:cs="Times New Roman"/>
                <w:bCs/>
                <w:color w:val="auto"/>
                <w:kern w:val="2"/>
                <w:szCs w:val="21"/>
              </w:rPr>
            </w:pPr>
            <w:r>
              <w:rPr>
                <w:rFonts w:hint="default" w:ascii="Times New Roman" w:hAnsi="Times New Roman" w:cs="Times New Roman"/>
                <w:color w:val="auto"/>
                <w:kern w:val="2"/>
                <w:szCs w:val="21"/>
              </w:rPr>
              <w:t>厂房1层北侧</w:t>
            </w:r>
            <w:r>
              <w:rPr>
                <w:rFonts w:hint="default" w:ascii="Times New Roman" w:hAnsi="Times New Roman" w:cs="Times New Roman"/>
                <w:bCs/>
                <w:color w:val="auto"/>
                <w:kern w:val="2"/>
                <w:szCs w:val="21"/>
              </w:rPr>
              <w:t>，面积约34m</w:t>
            </w:r>
            <w:r>
              <w:rPr>
                <w:rFonts w:hint="default" w:ascii="Times New Roman" w:hAnsi="Times New Roman" w:cs="Times New Roman"/>
                <w:bCs/>
                <w:color w:val="auto"/>
                <w:kern w:val="2"/>
                <w:szCs w:val="21"/>
                <w:vertAlign w:val="superscript"/>
              </w:rPr>
              <w:t>2</w:t>
            </w:r>
            <w:r>
              <w:rPr>
                <w:rFonts w:hint="default" w:ascii="Times New Roman" w:hAnsi="Times New Roman" w:cs="Times New Roman"/>
                <w:bCs/>
                <w:color w:val="auto"/>
                <w:kern w:val="2"/>
                <w:szCs w:val="21"/>
              </w:rPr>
              <w:t>，用于贮存机器设备备用零件等；</w:t>
            </w:r>
          </w:p>
        </w:tc>
        <w:tc>
          <w:tcPr>
            <w:tcW w:w="492" w:type="pct"/>
            <w:vAlign w:val="center"/>
          </w:tcPr>
          <w:p w14:paraId="3C305E6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新建</w:t>
            </w:r>
          </w:p>
        </w:tc>
      </w:tr>
      <w:tr w14:paraId="74A7D944">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635" w:type="pct"/>
            <w:vMerge w:val="restart"/>
            <w:vAlign w:val="center"/>
          </w:tcPr>
          <w:p w14:paraId="7E52B4F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公用工程</w:t>
            </w:r>
          </w:p>
        </w:tc>
        <w:tc>
          <w:tcPr>
            <w:tcW w:w="853" w:type="pct"/>
            <w:gridSpan w:val="2"/>
            <w:vAlign w:val="center"/>
          </w:tcPr>
          <w:p w14:paraId="0509FB62">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color w:val="auto"/>
                <w:kern w:val="2"/>
                <w:sz w:val="21"/>
                <w:szCs w:val="21"/>
              </w:rPr>
              <w:t>给水</w:t>
            </w:r>
          </w:p>
        </w:tc>
        <w:tc>
          <w:tcPr>
            <w:tcW w:w="3018" w:type="pct"/>
            <w:vAlign w:val="center"/>
          </w:tcPr>
          <w:p w14:paraId="7327EA72">
            <w:pPr>
              <w:spacing w:line="240" w:lineRule="auto"/>
              <w:ind w:firstLine="0" w:firstLineChars="0"/>
              <w:rPr>
                <w:rFonts w:hint="default" w:ascii="Times New Roman" w:hAnsi="Times New Roman" w:cs="Times New Roman"/>
                <w:bCs/>
                <w:color w:val="auto"/>
                <w:kern w:val="2"/>
                <w:szCs w:val="21"/>
              </w:rPr>
            </w:pPr>
            <w:r>
              <w:rPr>
                <w:rFonts w:hint="default" w:ascii="Times New Roman" w:hAnsi="Times New Roman" w:cs="Times New Roman"/>
                <w:color w:val="auto"/>
                <w:kern w:val="2"/>
                <w:sz w:val="21"/>
                <w:szCs w:val="21"/>
              </w:rPr>
              <w:t>依托厂房现有供水管网，可满足项目需求</w:t>
            </w:r>
          </w:p>
        </w:tc>
        <w:tc>
          <w:tcPr>
            <w:tcW w:w="492" w:type="pct"/>
            <w:vAlign w:val="center"/>
          </w:tcPr>
          <w:p w14:paraId="3D3F67B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依托</w:t>
            </w:r>
          </w:p>
        </w:tc>
      </w:tr>
      <w:tr w14:paraId="135C0E6B">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635" w:type="pct"/>
            <w:vMerge w:val="continue"/>
            <w:vAlign w:val="center"/>
          </w:tcPr>
          <w:p w14:paraId="1003606A">
            <w:pPr>
              <w:spacing w:line="240" w:lineRule="auto"/>
              <w:ind w:firstLine="0" w:firstLineChars="0"/>
              <w:jc w:val="center"/>
              <w:rPr>
                <w:rFonts w:hint="default" w:ascii="Times New Roman" w:hAnsi="Times New Roman" w:cs="Times New Roman"/>
                <w:color w:val="auto"/>
                <w:kern w:val="2"/>
                <w:sz w:val="21"/>
                <w:szCs w:val="21"/>
              </w:rPr>
            </w:pPr>
          </w:p>
        </w:tc>
        <w:tc>
          <w:tcPr>
            <w:tcW w:w="853" w:type="pct"/>
            <w:gridSpan w:val="2"/>
            <w:vAlign w:val="center"/>
          </w:tcPr>
          <w:p w14:paraId="0C233E1B">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color w:val="auto"/>
                <w:kern w:val="2"/>
                <w:sz w:val="21"/>
                <w:szCs w:val="21"/>
              </w:rPr>
              <w:t>排水</w:t>
            </w:r>
          </w:p>
        </w:tc>
        <w:tc>
          <w:tcPr>
            <w:tcW w:w="3018" w:type="pct"/>
            <w:vAlign w:val="center"/>
          </w:tcPr>
          <w:p w14:paraId="285852CF">
            <w:pPr>
              <w:spacing w:line="240" w:lineRule="auto"/>
              <w:ind w:firstLine="0" w:firstLineChars="0"/>
              <w:rPr>
                <w:rFonts w:hint="default" w:ascii="Times New Roman" w:hAnsi="Times New Roman" w:cs="Times New Roman"/>
                <w:bCs/>
                <w:color w:val="auto"/>
                <w:kern w:val="2"/>
                <w:szCs w:val="21"/>
              </w:rPr>
            </w:pPr>
            <w:r>
              <w:rPr>
                <w:rFonts w:hint="default" w:ascii="Times New Roman" w:hAnsi="Times New Roman" w:cs="Times New Roman"/>
                <w:color w:val="auto"/>
                <w:kern w:val="2"/>
                <w:sz w:val="21"/>
                <w:szCs w:val="21"/>
              </w:rPr>
              <w:t>排水采用雨污分流系统，项目区域雨水收集后排入市政雨水管网；经处理达标的生产废水和生活污水一并排入中铁二局集团物资有限公司重庆分公司已建生化池进行预处理，达标后排入市政污水管网</w:t>
            </w:r>
          </w:p>
        </w:tc>
        <w:tc>
          <w:tcPr>
            <w:tcW w:w="492" w:type="pct"/>
            <w:vAlign w:val="center"/>
          </w:tcPr>
          <w:p w14:paraId="2902762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依托</w:t>
            </w:r>
          </w:p>
        </w:tc>
      </w:tr>
      <w:tr w14:paraId="10F548CA">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635" w:type="pct"/>
            <w:vMerge w:val="continue"/>
            <w:vAlign w:val="center"/>
          </w:tcPr>
          <w:p w14:paraId="7402050D">
            <w:pPr>
              <w:spacing w:line="240" w:lineRule="auto"/>
              <w:ind w:firstLine="0" w:firstLineChars="0"/>
              <w:jc w:val="center"/>
              <w:rPr>
                <w:rFonts w:hint="default" w:ascii="Times New Roman" w:hAnsi="Times New Roman" w:cs="Times New Roman"/>
                <w:color w:val="auto"/>
                <w:kern w:val="2"/>
                <w:sz w:val="21"/>
                <w:szCs w:val="21"/>
              </w:rPr>
            </w:pPr>
          </w:p>
        </w:tc>
        <w:tc>
          <w:tcPr>
            <w:tcW w:w="853" w:type="pct"/>
            <w:gridSpan w:val="2"/>
            <w:vAlign w:val="center"/>
          </w:tcPr>
          <w:p w14:paraId="707430F8">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color w:val="auto"/>
                <w:kern w:val="2"/>
                <w:sz w:val="21"/>
                <w:szCs w:val="21"/>
              </w:rPr>
              <w:t>供电</w:t>
            </w:r>
          </w:p>
        </w:tc>
        <w:tc>
          <w:tcPr>
            <w:tcW w:w="3018" w:type="pct"/>
            <w:vAlign w:val="center"/>
          </w:tcPr>
          <w:p w14:paraId="56C69CA6">
            <w:pPr>
              <w:spacing w:line="240" w:lineRule="auto"/>
              <w:ind w:firstLine="0" w:firstLineChars="0"/>
              <w:rPr>
                <w:rFonts w:hint="default" w:ascii="Times New Roman" w:hAnsi="Times New Roman" w:cs="Times New Roman"/>
                <w:bCs/>
                <w:color w:val="auto"/>
                <w:kern w:val="2"/>
                <w:szCs w:val="21"/>
              </w:rPr>
            </w:pPr>
            <w:r>
              <w:rPr>
                <w:rFonts w:hint="default" w:ascii="Times New Roman" w:hAnsi="Times New Roman" w:cs="Times New Roman"/>
                <w:color w:val="auto"/>
                <w:kern w:val="2"/>
                <w:sz w:val="21"/>
                <w:szCs w:val="21"/>
              </w:rPr>
              <w:t>依托市政供电管网</w:t>
            </w:r>
          </w:p>
        </w:tc>
        <w:tc>
          <w:tcPr>
            <w:tcW w:w="492" w:type="pct"/>
            <w:vAlign w:val="center"/>
          </w:tcPr>
          <w:p w14:paraId="4435944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依托</w:t>
            </w:r>
          </w:p>
        </w:tc>
      </w:tr>
      <w:tr w14:paraId="1BD7D758">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635" w:type="pct"/>
            <w:vMerge w:val="restart"/>
            <w:vAlign w:val="center"/>
          </w:tcPr>
          <w:p w14:paraId="277B9BF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环保工程</w:t>
            </w:r>
          </w:p>
        </w:tc>
        <w:tc>
          <w:tcPr>
            <w:tcW w:w="853" w:type="pct"/>
            <w:gridSpan w:val="2"/>
            <w:vAlign w:val="center"/>
          </w:tcPr>
          <w:p w14:paraId="5CCBB33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废气</w:t>
            </w:r>
          </w:p>
        </w:tc>
        <w:tc>
          <w:tcPr>
            <w:tcW w:w="3018" w:type="pct"/>
            <w:vAlign w:val="center"/>
          </w:tcPr>
          <w:p w14:paraId="611D3D29">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1、改性粒料生产挤出机排气脱挥段废气利用真空排气口外接真空泵抽吸掉废气。挤出机真空排气孔真空抽吸废气量为400m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/h。</w:t>
            </w:r>
          </w:p>
          <w:p w14:paraId="72FD7623">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2、挤出机常压排气口、模头挤出口、侧喂料口及冷却水槽前1/3段设置集气罩收集废气。6台挤出机设置6个集气罩尺寸为1.8m×0.4m，风量16000m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/h。集气罩开口面最远处的VOCs无组织排放位置，控制风速不低于0.3m/s。</w:t>
            </w:r>
          </w:p>
          <w:p w14:paraId="0BD0E455">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3、2套干燥机共4个料仓进行烘干，设置4个集气罩，尺寸为0.5m×0.5m。风量5000m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/h。集气罩开口面最远处的VOCs无组织排放位置，控制风速不低于0.3m/s。</w:t>
            </w:r>
          </w:p>
          <w:p w14:paraId="51DB059C">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3、投料混合处拌料机6台，拟在各设备上方分别安装集气罩1个。6个集气罩尺寸为0.3m×0.3m，风量2200m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/h。集气罩开口面最远处的颗粒物无组织排放位置，控制风速不低于0.3m/s。</w:t>
            </w:r>
          </w:p>
          <w:p w14:paraId="5E6C90FC">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4、样板注塑机4台，拟在各设备上方分别安装集气罩1个。4个集气罩尺寸为0.5m×0.5m，风量5000m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/h。集气罩开口面最远处的废气无组织排放位置，控制风速不低于0.3m/s。</w:t>
            </w:r>
          </w:p>
          <w:p w14:paraId="75629532">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5、改性粒料挤出废气</w:t>
            </w:r>
            <w:r>
              <w:rPr>
                <w:rFonts w:hint="default" w:ascii="Times New Roman" w:hAnsi="Times New Roman" w:cs="Times New Roman"/>
                <w:color w:val="auto"/>
                <w:sz w:val="21"/>
                <w:szCs w:val="21"/>
                <w:lang w:bidi="ar"/>
              </w:rPr>
              <w:t>集气罩收集后</w:t>
            </w:r>
            <w:r>
              <w:rPr>
                <w:rFonts w:hint="eastAsia" w:cs="Times New Roman"/>
                <w:color w:val="auto"/>
                <w:sz w:val="21"/>
                <w:szCs w:val="21"/>
                <w:lang w:val="en-US" w:eastAsia="zh-CN" w:bidi="ar"/>
              </w:rPr>
              <w:t>碱</w:t>
            </w:r>
            <w:r>
              <w:rPr>
                <w:rFonts w:hint="default" w:ascii="Times New Roman" w:hAnsi="Times New Roman" w:cs="Times New Roman"/>
                <w:color w:val="auto"/>
                <w:sz w:val="21"/>
                <w:szCs w:val="21"/>
                <w:lang w:bidi="ar"/>
              </w:rPr>
              <w:t>洗除雾后通过活性炭二级吸附达标后通过25m高1#排气筒排放</w:t>
            </w:r>
            <w:r>
              <w:rPr>
                <w:rFonts w:hint="default" w:ascii="Times New Roman" w:hAnsi="Times New Roman" w:cs="Times New Roman"/>
                <w:color w:val="auto"/>
                <w:kern w:val="2"/>
                <w:sz w:val="21"/>
                <w:szCs w:val="21"/>
              </w:rPr>
              <w:t>；2个活性炭箱填料量为24.8m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w:t>
            </w:r>
          </w:p>
          <w:p w14:paraId="1E1B13B8">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6、投料混合粉尘集气罩收集后经布袋除尘器处理后通过25m高2#排气筒排放；</w:t>
            </w:r>
          </w:p>
          <w:p w14:paraId="2D079D2A">
            <w:pPr>
              <w:spacing w:line="240" w:lineRule="auto"/>
              <w:ind w:firstLine="0" w:firstLineChars="0"/>
              <w:rPr>
                <w:rFonts w:hint="default" w:ascii="Times New Roman" w:hAnsi="Times New Roman" w:cs="Times New Roman"/>
                <w:b/>
                <w:color w:val="auto"/>
                <w:kern w:val="2"/>
                <w:sz w:val="21"/>
                <w:szCs w:val="21"/>
              </w:rPr>
            </w:pPr>
            <w:r>
              <w:rPr>
                <w:rFonts w:hint="default" w:ascii="Times New Roman" w:hAnsi="Times New Roman" w:cs="Times New Roman"/>
                <w:color w:val="auto"/>
                <w:kern w:val="2"/>
                <w:sz w:val="21"/>
                <w:szCs w:val="21"/>
              </w:rPr>
              <w:t>7、破碎机密闭，设置在封闭破碎间内，破碎粉尘得到有效控制。</w:t>
            </w:r>
          </w:p>
        </w:tc>
        <w:tc>
          <w:tcPr>
            <w:tcW w:w="492" w:type="pct"/>
            <w:vAlign w:val="center"/>
          </w:tcPr>
          <w:p w14:paraId="3C37DE0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新建</w:t>
            </w:r>
          </w:p>
        </w:tc>
      </w:tr>
      <w:tr w14:paraId="39733EC6">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635" w:type="pct"/>
            <w:vMerge w:val="continue"/>
            <w:vAlign w:val="center"/>
          </w:tcPr>
          <w:p w14:paraId="5C9D02FF">
            <w:pPr>
              <w:spacing w:line="240" w:lineRule="auto"/>
              <w:ind w:firstLine="0" w:firstLineChars="0"/>
              <w:jc w:val="center"/>
              <w:rPr>
                <w:rFonts w:hint="default" w:ascii="Times New Roman" w:hAnsi="Times New Roman" w:cs="Times New Roman"/>
                <w:color w:val="auto"/>
                <w:kern w:val="2"/>
                <w:sz w:val="21"/>
                <w:szCs w:val="21"/>
              </w:rPr>
            </w:pPr>
          </w:p>
        </w:tc>
        <w:tc>
          <w:tcPr>
            <w:tcW w:w="853" w:type="pct"/>
            <w:gridSpan w:val="2"/>
            <w:vAlign w:val="center"/>
          </w:tcPr>
          <w:p w14:paraId="5DE594D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废水</w:t>
            </w:r>
          </w:p>
        </w:tc>
        <w:tc>
          <w:tcPr>
            <w:tcW w:w="3018" w:type="pct"/>
            <w:vAlign w:val="center"/>
          </w:tcPr>
          <w:p w14:paraId="106DC132">
            <w:pPr>
              <w:spacing w:line="240" w:lineRule="auto"/>
              <w:ind w:firstLine="0" w:firstLineChars="0"/>
              <w:rPr>
                <w:rFonts w:hint="default" w:ascii="Times New Roman" w:hAnsi="Times New Roman" w:cs="Times New Roman"/>
                <w:color w:val="auto"/>
                <w:kern w:val="2"/>
                <w:sz w:val="21"/>
                <w:szCs w:val="21"/>
                <w:lang w:val="en-GB"/>
              </w:rPr>
            </w:pPr>
            <w:r>
              <w:rPr>
                <w:rFonts w:hint="default" w:ascii="Times New Roman" w:hAnsi="Times New Roman" w:cs="Times New Roman"/>
                <w:color w:val="auto"/>
                <w:kern w:val="2"/>
                <w:sz w:val="21"/>
                <w:szCs w:val="21"/>
                <w:lang w:bidi="ar"/>
              </w:rPr>
              <w:t>本项目挤出机冷却废水需经过滤器预处理并冷却到常温达到《合成树脂工业污染物排放标准》（GB31572-2015（含2024年修改单））表2间接排放标准后与真空泵冷却废水、</w:t>
            </w:r>
            <w:r>
              <w:rPr>
                <w:rFonts w:hint="eastAsia" w:cs="Times New Roman"/>
                <w:color w:val="auto"/>
                <w:sz w:val="21"/>
                <w:szCs w:val="21"/>
                <w:lang w:val="en-US" w:eastAsia="zh-CN" w:bidi="ar"/>
              </w:rPr>
              <w:t>碱</w:t>
            </w:r>
            <w:r>
              <w:rPr>
                <w:rFonts w:hint="default" w:ascii="Times New Roman" w:hAnsi="Times New Roman" w:cs="Times New Roman"/>
                <w:color w:val="auto"/>
                <w:kern w:val="2"/>
                <w:sz w:val="21"/>
                <w:szCs w:val="21"/>
                <w:lang w:bidi="ar"/>
              </w:rPr>
              <w:t>洗除雾废水合计约</w:t>
            </w:r>
            <w:r>
              <w:rPr>
                <w:rFonts w:hint="eastAsia" w:cs="Times New Roman"/>
                <w:color w:val="auto"/>
                <w:kern w:val="2"/>
                <w:sz w:val="21"/>
                <w:szCs w:val="21"/>
                <w:lang w:eastAsia="zh-CN" w:bidi="ar"/>
              </w:rPr>
              <w:t>3.15</w:t>
            </w:r>
            <w:r>
              <w:rPr>
                <w:rFonts w:hint="default" w:ascii="Times New Roman" w:hAnsi="Times New Roman" w:cs="Times New Roman"/>
                <w:color w:val="auto"/>
                <w:kern w:val="2"/>
                <w:sz w:val="21"/>
                <w:szCs w:val="21"/>
                <w:lang w:bidi="ar"/>
              </w:rPr>
              <w:t>m</w:t>
            </w:r>
            <w:r>
              <w:rPr>
                <w:rFonts w:hint="default" w:ascii="Times New Roman" w:hAnsi="Times New Roman" w:cs="Times New Roman"/>
                <w:color w:val="auto"/>
                <w:kern w:val="2"/>
                <w:sz w:val="21"/>
                <w:szCs w:val="21"/>
                <w:vertAlign w:val="superscript"/>
                <w:lang w:bidi="ar"/>
              </w:rPr>
              <w:t>3</w:t>
            </w:r>
            <w:r>
              <w:rPr>
                <w:rFonts w:hint="default" w:ascii="Times New Roman" w:hAnsi="Times New Roman" w:cs="Times New Roman"/>
                <w:color w:val="auto"/>
                <w:kern w:val="2"/>
                <w:sz w:val="21"/>
                <w:szCs w:val="21"/>
                <w:lang w:bidi="ar"/>
              </w:rPr>
              <w:t>/d和</w:t>
            </w:r>
            <w:r>
              <w:rPr>
                <w:rFonts w:hint="default" w:ascii="Times New Roman" w:hAnsi="Times New Roman" w:cs="Times New Roman"/>
                <w:color w:val="auto"/>
                <w:kern w:val="2"/>
                <w:sz w:val="21"/>
                <w:szCs w:val="21"/>
              </w:rPr>
              <w:t>0.72m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/d生活污水</w:t>
            </w:r>
            <w:r>
              <w:rPr>
                <w:rFonts w:hint="default" w:ascii="Times New Roman" w:hAnsi="Times New Roman" w:cs="Times New Roman"/>
                <w:color w:val="auto"/>
                <w:kern w:val="2"/>
                <w:sz w:val="21"/>
                <w:szCs w:val="21"/>
                <w:lang w:bidi="ar"/>
              </w:rPr>
              <w:t>进入中铁二局集团物资有限公司重庆分公司已建生化池处理达《污水综合排放标准》（GB8978-1996）三级标准（其中NH</w:t>
            </w:r>
            <w:r>
              <w:rPr>
                <w:rFonts w:hint="default" w:ascii="Times New Roman" w:hAnsi="Times New Roman" w:cs="Times New Roman"/>
                <w:color w:val="auto"/>
                <w:kern w:val="2"/>
                <w:sz w:val="21"/>
                <w:szCs w:val="21"/>
                <w:vertAlign w:val="subscript"/>
                <w:lang w:bidi="ar"/>
              </w:rPr>
              <w:t>3</w:t>
            </w:r>
            <w:r>
              <w:rPr>
                <w:rFonts w:hint="default" w:ascii="Times New Roman" w:hAnsi="Times New Roman" w:cs="Times New Roman"/>
                <w:color w:val="auto"/>
                <w:kern w:val="2"/>
                <w:sz w:val="21"/>
                <w:szCs w:val="21"/>
                <w:lang w:bidi="ar"/>
              </w:rPr>
              <w:t>-N执行《污水排入城镇下水道水质标准》（GB/T31962-2015）B等级标准），排入陶家工业污水处理厂，进一步处理达《城镇污水处理厂污染物排放标准》（GB18918-2002）一级A标，其中COD、NH</w:t>
            </w:r>
            <w:r>
              <w:rPr>
                <w:rFonts w:hint="default" w:ascii="Times New Roman" w:hAnsi="Times New Roman" w:cs="Times New Roman"/>
                <w:color w:val="auto"/>
                <w:kern w:val="2"/>
                <w:sz w:val="21"/>
                <w:szCs w:val="21"/>
                <w:vertAlign w:val="subscript"/>
                <w:lang w:bidi="ar"/>
              </w:rPr>
              <w:t>3</w:t>
            </w:r>
            <w:r>
              <w:rPr>
                <w:rFonts w:hint="default" w:ascii="Times New Roman" w:hAnsi="Times New Roman" w:cs="Times New Roman"/>
                <w:color w:val="auto"/>
                <w:kern w:val="2"/>
                <w:sz w:val="21"/>
                <w:szCs w:val="21"/>
                <w:lang w:bidi="ar"/>
              </w:rPr>
              <w:t>-N、TP等主要指标达《地表水环境质量标准》（GB3838-2002）IV类标准后，排入杨柳曲河，再汇入大溪河。</w:t>
            </w:r>
          </w:p>
        </w:tc>
        <w:tc>
          <w:tcPr>
            <w:tcW w:w="492" w:type="pct"/>
            <w:vAlign w:val="center"/>
          </w:tcPr>
          <w:p w14:paraId="376D311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依托厂区生化池</w:t>
            </w:r>
          </w:p>
        </w:tc>
      </w:tr>
      <w:tr w14:paraId="27AFE445">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635" w:type="pct"/>
            <w:vMerge w:val="continue"/>
            <w:vAlign w:val="center"/>
          </w:tcPr>
          <w:p w14:paraId="3C1B71FA">
            <w:pPr>
              <w:spacing w:line="240" w:lineRule="auto"/>
              <w:ind w:firstLine="0" w:firstLineChars="0"/>
              <w:jc w:val="center"/>
              <w:rPr>
                <w:rFonts w:hint="default" w:ascii="Times New Roman" w:hAnsi="Times New Roman" w:cs="Times New Roman"/>
                <w:color w:val="auto"/>
                <w:kern w:val="2"/>
                <w:sz w:val="21"/>
                <w:szCs w:val="21"/>
              </w:rPr>
            </w:pPr>
          </w:p>
        </w:tc>
        <w:tc>
          <w:tcPr>
            <w:tcW w:w="853" w:type="pct"/>
            <w:gridSpan w:val="2"/>
            <w:vAlign w:val="center"/>
          </w:tcPr>
          <w:p w14:paraId="7874ECF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噪声</w:t>
            </w:r>
          </w:p>
        </w:tc>
        <w:tc>
          <w:tcPr>
            <w:tcW w:w="3018" w:type="pct"/>
            <w:vAlign w:val="center"/>
          </w:tcPr>
          <w:p w14:paraId="6913A2D9">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隔声、消声、减振</w:t>
            </w:r>
          </w:p>
        </w:tc>
        <w:tc>
          <w:tcPr>
            <w:tcW w:w="492" w:type="pct"/>
            <w:vAlign w:val="center"/>
          </w:tcPr>
          <w:p w14:paraId="4229254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新建</w:t>
            </w:r>
          </w:p>
        </w:tc>
      </w:tr>
      <w:tr w14:paraId="0509A996">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35" w:type="pct"/>
            <w:vMerge w:val="continue"/>
            <w:vAlign w:val="center"/>
          </w:tcPr>
          <w:p w14:paraId="160681B0">
            <w:pPr>
              <w:spacing w:line="240" w:lineRule="auto"/>
              <w:ind w:firstLine="0" w:firstLineChars="0"/>
              <w:jc w:val="center"/>
              <w:rPr>
                <w:rFonts w:hint="default" w:ascii="Times New Roman" w:hAnsi="Times New Roman" w:cs="Times New Roman"/>
                <w:color w:val="auto"/>
                <w:kern w:val="2"/>
                <w:sz w:val="21"/>
                <w:szCs w:val="21"/>
              </w:rPr>
            </w:pPr>
          </w:p>
        </w:tc>
        <w:tc>
          <w:tcPr>
            <w:tcW w:w="424" w:type="pct"/>
            <w:vMerge w:val="restart"/>
            <w:vAlign w:val="center"/>
          </w:tcPr>
          <w:p w14:paraId="33FB8E7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固废废物</w:t>
            </w:r>
          </w:p>
        </w:tc>
        <w:tc>
          <w:tcPr>
            <w:tcW w:w="428" w:type="pct"/>
            <w:vAlign w:val="center"/>
          </w:tcPr>
          <w:p w14:paraId="75E7176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一般固废</w:t>
            </w:r>
          </w:p>
        </w:tc>
        <w:tc>
          <w:tcPr>
            <w:tcW w:w="3018" w:type="pct"/>
            <w:vAlign w:val="center"/>
          </w:tcPr>
          <w:p w14:paraId="7A1547D2">
            <w:pPr>
              <w:tabs>
                <w:tab w:val="left" w:pos="3441"/>
              </w:tabs>
              <w:topLinePunct/>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一般固废暂存区设置在厂房1层南侧，面积约</w:t>
            </w:r>
            <w:r>
              <w:rPr>
                <w:rFonts w:hint="eastAsia" w:cs="Times New Roman"/>
                <w:color w:val="auto"/>
                <w:kern w:val="2"/>
                <w:sz w:val="21"/>
                <w:szCs w:val="21"/>
                <w:lang w:val="en-US" w:eastAsia="zh-CN"/>
              </w:rPr>
              <w:t>2</w:t>
            </w:r>
            <w:r>
              <w:rPr>
                <w:rFonts w:hint="default" w:ascii="Times New Roman" w:hAnsi="Times New Roman" w:cs="Times New Roman"/>
                <w:color w:val="auto"/>
                <w:kern w:val="2"/>
                <w:sz w:val="21"/>
                <w:szCs w:val="21"/>
              </w:rPr>
              <w:t>9m</w:t>
            </w:r>
            <w:r>
              <w:rPr>
                <w:rFonts w:hint="default" w:ascii="Times New Roman" w:hAnsi="Times New Roman" w:cs="Times New Roman"/>
                <w:color w:val="auto"/>
                <w:kern w:val="2"/>
                <w:sz w:val="21"/>
                <w:szCs w:val="21"/>
                <w:vertAlign w:val="superscript"/>
              </w:rPr>
              <w:t>2</w:t>
            </w:r>
            <w:r>
              <w:rPr>
                <w:rFonts w:hint="default" w:ascii="Times New Roman" w:hAnsi="Times New Roman" w:cs="Times New Roman"/>
                <w:color w:val="auto"/>
                <w:kern w:val="2"/>
                <w:sz w:val="21"/>
                <w:szCs w:val="21"/>
              </w:rPr>
              <w:t>；废塑料、废包装材料外售处置，塑料清膛料、布袋粉尘全部回用。</w:t>
            </w:r>
          </w:p>
        </w:tc>
        <w:tc>
          <w:tcPr>
            <w:tcW w:w="492" w:type="pct"/>
            <w:vAlign w:val="center"/>
          </w:tcPr>
          <w:p w14:paraId="2250B0A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新建</w:t>
            </w:r>
          </w:p>
        </w:tc>
      </w:tr>
      <w:tr w14:paraId="6B8E684E">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5" w:hRule="atLeast"/>
          <w:jc w:val="center"/>
        </w:trPr>
        <w:tc>
          <w:tcPr>
            <w:tcW w:w="635" w:type="pct"/>
            <w:vMerge w:val="continue"/>
            <w:vAlign w:val="center"/>
          </w:tcPr>
          <w:p w14:paraId="6A757CE3">
            <w:pPr>
              <w:spacing w:line="240" w:lineRule="auto"/>
              <w:ind w:firstLine="0" w:firstLineChars="0"/>
              <w:jc w:val="center"/>
              <w:rPr>
                <w:rFonts w:hint="default" w:ascii="Times New Roman" w:hAnsi="Times New Roman" w:cs="Times New Roman"/>
                <w:color w:val="auto"/>
                <w:kern w:val="2"/>
                <w:sz w:val="21"/>
                <w:szCs w:val="21"/>
              </w:rPr>
            </w:pPr>
          </w:p>
        </w:tc>
        <w:tc>
          <w:tcPr>
            <w:tcW w:w="424" w:type="pct"/>
            <w:vMerge w:val="continue"/>
            <w:vAlign w:val="center"/>
          </w:tcPr>
          <w:p w14:paraId="5A0780B0">
            <w:pPr>
              <w:spacing w:line="240" w:lineRule="auto"/>
              <w:ind w:firstLine="0" w:firstLineChars="0"/>
              <w:jc w:val="center"/>
              <w:rPr>
                <w:rFonts w:hint="default" w:ascii="Times New Roman" w:hAnsi="Times New Roman" w:cs="Times New Roman"/>
                <w:color w:val="auto"/>
                <w:kern w:val="2"/>
                <w:sz w:val="21"/>
                <w:szCs w:val="21"/>
              </w:rPr>
            </w:pPr>
          </w:p>
        </w:tc>
        <w:tc>
          <w:tcPr>
            <w:tcW w:w="428" w:type="pct"/>
            <w:vAlign w:val="center"/>
          </w:tcPr>
          <w:p w14:paraId="1076A67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危险固废</w:t>
            </w:r>
          </w:p>
        </w:tc>
        <w:tc>
          <w:tcPr>
            <w:tcW w:w="3018" w:type="pct"/>
            <w:vAlign w:val="center"/>
          </w:tcPr>
          <w:p w14:paraId="641C254F">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bCs/>
                <w:color w:val="auto"/>
                <w:kern w:val="2"/>
                <w:sz w:val="21"/>
                <w:szCs w:val="21"/>
              </w:rPr>
              <w:t>危废贮存库</w:t>
            </w:r>
            <w:r>
              <w:rPr>
                <w:rFonts w:hint="default" w:ascii="Times New Roman" w:hAnsi="Times New Roman" w:cs="Times New Roman"/>
                <w:color w:val="auto"/>
                <w:kern w:val="2"/>
                <w:sz w:val="21"/>
                <w:szCs w:val="21"/>
              </w:rPr>
              <w:t>设置在厂房1层西南侧，建筑面积</w:t>
            </w:r>
            <w:r>
              <w:rPr>
                <w:rFonts w:hint="eastAsia" w:cs="Times New Roman"/>
                <w:color w:val="auto"/>
                <w:kern w:val="2"/>
                <w:sz w:val="21"/>
                <w:szCs w:val="21"/>
                <w:lang w:val="en-US" w:eastAsia="zh-CN"/>
              </w:rPr>
              <w:t>20</w:t>
            </w:r>
            <w:r>
              <w:rPr>
                <w:rFonts w:hint="default" w:ascii="Times New Roman" w:hAnsi="Times New Roman" w:cs="Times New Roman"/>
                <w:color w:val="auto"/>
                <w:kern w:val="2"/>
                <w:sz w:val="21"/>
                <w:szCs w:val="21"/>
              </w:rPr>
              <w:t>m</w:t>
            </w:r>
            <w:r>
              <w:rPr>
                <w:rFonts w:hint="default" w:ascii="Times New Roman" w:hAnsi="Times New Roman" w:cs="Times New Roman"/>
                <w:color w:val="auto"/>
                <w:kern w:val="2"/>
                <w:sz w:val="21"/>
                <w:szCs w:val="21"/>
                <w:vertAlign w:val="superscript"/>
              </w:rPr>
              <w:t>2</w:t>
            </w:r>
            <w:r>
              <w:rPr>
                <w:rFonts w:hint="default" w:ascii="Times New Roman" w:hAnsi="Times New Roman" w:cs="Times New Roman"/>
                <w:color w:val="auto"/>
                <w:kern w:val="2"/>
                <w:sz w:val="21"/>
                <w:szCs w:val="21"/>
              </w:rPr>
              <w:t>；危废贮存库按要求设置防风、防晒、防雨、防漏、防渗、防腐等环保措施。房间内设立收集边沟与收集池，并进行防渗处理；已设置通风口1个，安装排风扇1个。场区设置有灭火器、消防沙等。废润滑油、废油桶、废含油抹布/劳保用品、废活性炭、空压机油水混合物等均分类存放，定期交由有资质单位处置。</w:t>
            </w:r>
          </w:p>
        </w:tc>
        <w:tc>
          <w:tcPr>
            <w:tcW w:w="492" w:type="pct"/>
            <w:vAlign w:val="center"/>
          </w:tcPr>
          <w:p w14:paraId="5BD1B6F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新建</w:t>
            </w:r>
          </w:p>
        </w:tc>
      </w:tr>
      <w:tr w14:paraId="41DF08A8">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635" w:type="pct"/>
            <w:vMerge w:val="continue"/>
            <w:vAlign w:val="center"/>
          </w:tcPr>
          <w:p w14:paraId="7BB23729">
            <w:pPr>
              <w:spacing w:line="240" w:lineRule="auto"/>
              <w:ind w:firstLine="0" w:firstLineChars="0"/>
              <w:jc w:val="center"/>
              <w:rPr>
                <w:rFonts w:hint="default" w:ascii="Times New Roman" w:hAnsi="Times New Roman" w:cs="Times New Roman"/>
                <w:color w:val="auto"/>
                <w:kern w:val="2"/>
                <w:sz w:val="21"/>
                <w:szCs w:val="21"/>
              </w:rPr>
            </w:pPr>
          </w:p>
        </w:tc>
        <w:tc>
          <w:tcPr>
            <w:tcW w:w="424" w:type="pct"/>
            <w:vMerge w:val="continue"/>
            <w:vAlign w:val="center"/>
          </w:tcPr>
          <w:p w14:paraId="20C52E99">
            <w:pPr>
              <w:spacing w:line="240" w:lineRule="auto"/>
              <w:ind w:firstLine="0" w:firstLineChars="0"/>
              <w:jc w:val="center"/>
              <w:rPr>
                <w:rFonts w:hint="default" w:ascii="Times New Roman" w:hAnsi="Times New Roman" w:cs="Times New Roman"/>
                <w:color w:val="auto"/>
                <w:kern w:val="2"/>
                <w:sz w:val="21"/>
                <w:szCs w:val="21"/>
              </w:rPr>
            </w:pPr>
          </w:p>
        </w:tc>
        <w:tc>
          <w:tcPr>
            <w:tcW w:w="428" w:type="pct"/>
            <w:vAlign w:val="center"/>
          </w:tcPr>
          <w:p w14:paraId="305A715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生活垃圾</w:t>
            </w:r>
          </w:p>
        </w:tc>
        <w:tc>
          <w:tcPr>
            <w:tcW w:w="3018" w:type="pct"/>
            <w:vAlign w:val="center"/>
          </w:tcPr>
          <w:p w14:paraId="5A2DEDFE">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统一收集后交由环卫部门处理，日产日清</w:t>
            </w:r>
          </w:p>
        </w:tc>
        <w:tc>
          <w:tcPr>
            <w:tcW w:w="492" w:type="pct"/>
            <w:vAlign w:val="center"/>
          </w:tcPr>
          <w:p w14:paraId="7D1A2E4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新建</w:t>
            </w:r>
          </w:p>
        </w:tc>
      </w:tr>
      <w:tr w14:paraId="42713BFA">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635" w:type="pct"/>
            <w:vMerge w:val="continue"/>
            <w:vAlign w:val="center"/>
          </w:tcPr>
          <w:p w14:paraId="7082E016">
            <w:pPr>
              <w:spacing w:line="240" w:lineRule="auto"/>
              <w:ind w:firstLine="0" w:firstLineChars="0"/>
              <w:jc w:val="center"/>
              <w:rPr>
                <w:rFonts w:hint="default" w:ascii="Times New Roman" w:hAnsi="Times New Roman" w:cs="Times New Roman"/>
                <w:color w:val="auto"/>
                <w:kern w:val="2"/>
                <w:sz w:val="21"/>
                <w:szCs w:val="21"/>
              </w:rPr>
            </w:pPr>
          </w:p>
        </w:tc>
        <w:tc>
          <w:tcPr>
            <w:tcW w:w="853" w:type="pct"/>
            <w:gridSpan w:val="2"/>
            <w:vAlign w:val="center"/>
          </w:tcPr>
          <w:p w14:paraId="12CF2FE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环境风险</w:t>
            </w:r>
          </w:p>
        </w:tc>
        <w:tc>
          <w:tcPr>
            <w:tcW w:w="3018" w:type="pct"/>
            <w:vAlign w:val="center"/>
          </w:tcPr>
          <w:p w14:paraId="3379DD8E">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原料库区、生产区和产品区配备相应的灭火装置，并设置禁火标志；车间进行合理布置，原料区及成品区悬挂标识牌，附近设灭火装置；加强厂房通风，控制室内温度；设置防火标志，厂房内严禁吸烟、使用明火等；建立必要的安全生产规章制度和措施；危废贮存库按照《危险废物贮存污染控制标准》（GB18597-2023）采取六防措施，房间内设立了收集边沟与收集池，并进行防渗处理；设置通风口1个，安装排风扇1个及灭火器、消防沙等。</w:t>
            </w:r>
          </w:p>
          <w:p w14:paraId="2034B9B8">
            <w:pPr>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加强管理，完善措施，包括严格按照安全生产规定，设置安全监控点；加强管理，厂内暂存转运规范作业流程，操作人员进行安全生产教育；加强职工安全环保教育，增强操作工人的责任心，防止和减少因人为因素造成的事故，同时也要加强防火安全教育；配备足够的消防设施，落实安全管理责任；加强设备检修，减少因设备损坏、老化带来的遗漏；由专人负责日常环境管理工作，制订“环保管理人员职责”和“环境污染防治措施”制度，加强废气、废水治理设施的监督和管理；加强废气、废水处理设施及设备的定期检修和维护工作，发现事故隐患，及时解决，一旦不能及时解决，立即停止生产。业主需按要求编制风险评估及应急预案并报九龙坡区生态环境局备案。</w:t>
            </w:r>
          </w:p>
        </w:tc>
        <w:tc>
          <w:tcPr>
            <w:tcW w:w="492" w:type="pct"/>
            <w:vAlign w:val="center"/>
          </w:tcPr>
          <w:p w14:paraId="2C38FDE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新建</w:t>
            </w:r>
          </w:p>
        </w:tc>
      </w:tr>
    </w:tbl>
    <w:p w14:paraId="5742DECE">
      <w:pPr>
        <w:ind w:firstLine="480"/>
        <w:rPr>
          <w:rFonts w:hint="default" w:ascii="Times New Roman" w:hAnsi="Times New Roman" w:cs="Times New Roman"/>
          <w:color w:val="auto"/>
        </w:rPr>
      </w:pPr>
    </w:p>
    <w:p w14:paraId="50AF63F6">
      <w:pPr>
        <w:pStyle w:val="3"/>
        <w:rPr>
          <w:rFonts w:hint="default" w:ascii="Times New Roman" w:hAnsi="Times New Roman" w:cs="Times New Roman"/>
          <w:color w:val="auto"/>
        </w:rPr>
      </w:pPr>
      <w:r>
        <w:rPr>
          <w:rFonts w:hint="default" w:ascii="Times New Roman" w:hAnsi="Times New Roman" w:cs="Times New Roman"/>
          <w:color w:val="auto"/>
        </w:rPr>
        <w:t>2.5 产品方案</w:t>
      </w:r>
    </w:p>
    <w:p w14:paraId="7DE5109D">
      <w:pPr>
        <w:ind w:firstLine="480"/>
        <w:rPr>
          <w:rFonts w:hint="default" w:ascii="Times New Roman" w:hAnsi="Times New Roman" w:cs="Times New Roman"/>
          <w:color w:val="auto"/>
        </w:rPr>
      </w:pPr>
      <w:r>
        <w:rPr>
          <w:rFonts w:hint="default" w:ascii="Times New Roman" w:hAnsi="Times New Roman" w:cs="Times New Roman"/>
          <w:color w:val="auto"/>
        </w:rPr>
        <w:t>（1）生产规模及产品</w:t>
      </w:r>
    </w:p>
    <w:p w14:paraId="15395A12">
      <w:pPr>
        <w:ind w:firstLine="480"/>
        <w:rPr>
          <w:rFonts w:hint="default" w:ascii="Times New Roman" w:hAnsi="Times New Roman" w:cs="Times New Roman"/>
          <w:color w:val="auto"/>
          <w:lang w:val="en-US" w:eastAsia="zh-CN"/>
        </w:rPr>
      </w:pPr>
      <w:r>
        <w:rPr>
          <w:rFonts w:hint="default" w:ascii="Times New Roman" w:hAnsi="Times New Roman" w:cs="Times New Roman"/>
          <w:color w:val="auto"/>
        </w:rPr>
        <w:t>本项目产品主要用于汽车内饰生产，其中改性PC/ABS为防止二氯甲烷和氯苯的产生，因此采用不含有二氯甲烷和氯苯的环保原料。</w:t>
      </w:r>
      <w:r>
        <w:rPr>
          <w:rFonts w:hint="default" w:ascii="Times New Roman" w:hAnsi="Times New Roman" w:cs="Times New Roman"/>
          <w:color w:val="auto"/>
          <w:lang w:val="en-US" w:eastAsia="zh-CN"/>
        </w:rPr>
        <w:t>本项目产品改性PP、改性PA、改性PC/ABS、改性ABS</w:t>
      </w:r>
      <w:r>
        <w:rPr>
          <w:rFonts w:hint="default" w:ascii="Times New Roman" w:hAnsi="Times New Roman" w:cs="Times New Roman"/>
          <w:color w:val="auto"/>
          <w:kern w:val="2"/>
          <w:szCs w:val="24"/>
        </w:rPr>
        <w:t>目前暂时没有国家标准和行业标准，执行</w:t>
      </w:r>
      <w:r>
        <w:rPr>
          <w:rFonts w:hint="default" w:ascii="Times New Roman" w:hAnsi="Times New Roman" w:cs="Times New Roman"/>
          <w:color w:val="auto"/>
          <w:lang w:val="en-US" w:eastAsia="zh-CN"/>
        </w:rPr>
        <w:t>企业内部质量标准，见表2.5-1~4。</w:t>
      </w:r>
      <w:r>
        <w:rPr>
          <w:rFonts w:hint="default" w:ascii="Times New Roman" w:hAnsi="Times New Roman" w:cs="Times New Roman"/>
          <w:color w:val="auto"/>
        </w:rPr>
        <w:t>本项目生产规模及产品方案见表2.5-</w:t>
      </w:r>
      <w:r>
        <w:rPr>
          <w:rFonts w:hint="default" w:ascii="Times New Roman" w:hAnsi="Times New Roman" w:cs="Times New Roman"/>
          <w:color w:val="auto"/>
          <w:lang w:val="en-US" w:eastAsia="zh-CN"/>
        </w:rPr>
        <w:t>5</w:t>
      </w:r>
      <w:r>
        <w:rPr>
          <w:rFonts w:hint="default" w:ascii="Times New Roman" w:hAnsi="Times New Roman" w:cs="Times New Roman"/>
          <w:color w:val="auto"/>
        </w:rPr>
        <w:t>。</w:t>
      </w:r>
    </w:p>
    <w:p w14:paraId="322B0AC6">
      <w:pPr>
        <w:pStyle w:val="93"/>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表2.5-1     改性PP产品标准（企业标准）</w:t>
      </w:r>
    </w:p>
    <w:tbl>
      <w:tblPr>
        <w:tblStyle w:val="44"/>
        <w:tblW w:w="48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716"/>
        <w:gridCol w:w="3852"/>
        <w:gridCol w:w="1256"/>
        <w:gridCol w:w="1473"/>
      </w:tblGrid>
      <w:tr w14:paraId="1D9C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716" w:type="dxa"/>
            <w:vMerge w:val="restart"/>
            <w:shd w:val="clear" w:color="auto" w:fill="auto"/>
            <w:vAlign w:val="center"/>
          </w:tcPr>
          <w:p w14:paraId="5EA217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检验项目</w:t>
            </w:r>
          </w:p>
        </w:tc>
        <w:tc>
          <w:tcPr>
            <w:tcW w:w="3853" w:type="dxa"/>
            <w:vMerge w:val="restart"/>
            <w:shd w:val="clear" w:color="auto" w:fill="auto"/>
            <w:vAlign w:val="center"/>
          </w:tcPr>
          <w:p w14:paraId="32CD3A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测试标准及条件</w:t>
            </w:r>
          </w:p>
        </w:tc>
        <w:tc>
          <w:tcPr>
            <w:tcW w:w="1256" w:type="dxa"/>
            <w:vMerge w:val="restart"/>
            <w:shd w:val="clear" w:color="auto" w:fill="auto"/>
            <w:noWrap/>
            <w:vAlign w:val="center"/>
          </w:tcPr>
          <w:p w14:paraId="3C9AA3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华文细黑" w:cs="Times New Roman"/>
                <w:i w:val="0"/>
                <w:iCs w:val="0"/>
                <w:color w:val="auto"/>
                <w:sz w:val="21"/>
                <w:szCs w:val="21"/>
                <w:u w:val="none"/>
              </w:rPr>
            </w:pPr>
            <w:r>
              <w:rPr>
                <w:rFonts w:hint="default" w:ascii="Times New Roman" w:hAnsi="Times New Roman" w:eastAsia="华文细黑" w:cs="Times New Roman"/>
                <w:i w:val="0"/>
                <w:iCs w:val="0"/>
                <w:color w:val="auto"/>
                <w:kern w:val="0"/>
                <w:sz w:val="21"/>
                <w:szCs w:val="21"/>
                <w:u w:val="none"/>
                <w:lang w:val="en-US" w:eastAsia="zh-CN" w:bidi="ar"/>
              </w:rPr>
              <w:t>单位</w:t>
            </w:r>
          </w:p>
        </w:tc>
        <w:tc>
          <w:tcPr>
            <w:tcW w:w="1473" w:type="dxa"/>
            <w:vMerge w:val="restart"/>
            <w:shd w:val="clear" w:color="auto" w:fill="auto"/>
            <w:noWrap/>
            <w:vAlign w:val="center"/>
          </w:tcPr>
          <w:p w14:paraId="7265E4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技术要求</w:t>
            </w:r>
          </w:p>
        </w:tc>
      </w:tr>
      <w:tr w14:paraId="730C8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716" w:type="dxa"/>
            <w:vMerge w:val="continue"/>
            <w:shd w:val="clear" w:color="auto" w:fill="auto"/>
            <w:vAlign w:val="center"/>
          </w:tcPr>
          <w:p w14:paraId="52B1AA2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853" w:type="dxa"/>
            <w:vMerge w:val="continue"/>
            <w:shd w:val="clear" w:color="auto" w:fill="auto"/>
            <w:vAlign w:val="center"/>
          </w:tcPr>
          <w:p w14:paraId="3F5C1EE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256" w:type="dxa"/>
            <w:vMerge w:val="continue"/>
            <w:shd w:val="clear" w:color="auto" w:fill="auto"/>
            <w:noWrap/>
            <w:vAlign w:val="center"/>
          </w:tcPr>
          <w:p w14:paraId="3A12466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华文细黑" w:cs="Times New Roman"/>
                <w:i w:val="0"/>
                <w:iCs w:val="0"/>
                <w:color w:val="auto"/>
                <w:sz w:val="21"/>
                <w:szCs w:val="21"/>
                <w:u w:val="none"/>
              </w:rPr>
            </w:pPr>
          </w:p>
        </w:tc>
        <w:tc>
          <w:tcPr>
            <w:tcW w:w="1473" w:type="dxa"/>
            <w:vMerge w:val="continue"/>
            <w:shd w:val="clear" w:color="auto" w:fill="auto"/>
            <w:noWrap/>
            <w:vAlign w:val="center"/>
          </w:tcPr>
          <w:p w14:paraId="5B1E8A0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r>
      <w:tr w14:paraId="2DE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716" w:type="dxa"/>
            <w:vMerge w:val="continue"/>
            <w:shd w:val="clear" w:color="auto" w:fill="auto"/>
            <w:vAlign w:val="center"/>
          </w:tcPr>
          <w:p w14:paraId="31E1BF4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853" w:type="dxa"/>
            <w:vMerge w:val="continue"/>
            <w:shd w:val="clear" w:color="auto" w:fill="auto"/>
            <w:vAlign w:val="center"/>
          </w:tcPr>
          <w:p w14:paraId="1EA38CE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256" w:type="dxa"/>
            <w:vMerge w:val="continue"/>
            <w:shd w:val="clear" w:color="auto" w:fill="auto"/>
            <w:noWrap/>
            <w:vAlign w:val="center"/>
          </w:tcPr>
          <w:p w14:paraId="36BB1AA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华文细黑" w:cs="Times New Roman"/>
                <w:i w:val="0"/>
                <w:iCs w:val="0"/>
                <w:color w:val="auto"/>
                <w:sz w:val="21"/>
                <w:szCs w:val="21"/>
                <w:u w:val="none"/>
              </w:rPr>
            </w:pPr>
          </w:p>
        </w:tc>
        <w:tc>
          <w:tcPr>
            <w:tcW w:w="1473" w:type="dxa"/>
            <w:vMerge w:val="continue"/>
            <w:shd w:val="clear" w:color="auto" w:fill="auto"/>
            <w:noWrap/>
            <w:vAlign w:val="center"/>
          </w:tcPr>
          <w:p w14:paraId="4E92DB7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r>
      <w:tr w14:paraId="7D9D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0" w:type="auto"/>
            <w:shd w:val="clear" w:color="auto" w:fill="auto"/>
            <w:noWrap/>
            <w:vAlign w:val="center"/>
          </w:tcPr>
          <w:p w14:paraId="74BCFF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密度</w:t>
            </w:r>
          </w:p>
        </w:tc>
        <w:tc>
          <w:tcPr>
            <w:tcW w:w="0" w:type="auto"/>
            <w:shd w:val="clear" w:color="auto" w:fill="auto"/>
            <w:noWrap/>
            <w:vAlign w:val="center"/>
          </w:tcPr>
          <w:p w14:paraId="062423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1033.1-2008</w:t>
            </w:r>
          </w:p>
        </w:tc>
        <w:tc>
          <w:tcPr>
            <w:tcW w:w="1256" w:type="dxa"/>
            <w:shd w:val="clear" w:color="auto" w:fill="auto"/>
            <w:noWrap/>
            <w:vAlign w:val="center"/>
          </w:tcPr>
          <w:p w14:paraId="5DB3AB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g/cm</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1473" w:type="dxa"/>
            <w:shd w:val="clear" w:color="auto" w:fill="auto"/>
            <w:vAlign w:val="center"/>
          </w:tcPr>
          <w:p w14:paraId="2B507D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1.07±0.02</w:t>
            </w:r>
          </w:p>
        </w:tc>
      </w:tr>
      <w:tr w14:paraId="04E0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0" w:type="auto"/>
            <w:shd w:val="clear" w:color="auto" w:fill="auto"/>
            <w:noWrap/>
            <w:vAlign w:val="center"/>
          </w:tcPr>
          <w:p w14:paraId="4B999F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熔体流动速率</w:t>
            </w:r>
          </w:p>
        </w:tc>
        <w:tc>
          <w:tcPr>
            <w:tcW w:w="0" w:type="auto"/>
            <w:shd w:val="clear" w:color="auto" w:fill="auto"/>
            <w:noWrap/>
            <w:vAlign w:val="center"/>
          </w:tcPr>
          <w:p w14:paraId="573599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3682.1-2018，230℃，2.16㎏</w:t>
            </w:r>
          </w:p>
        </w:tc>
        <w:tc>
          <w:tcPr>
            <w:tcW w:w="1256" w:type="dxa"/>
            <w:shd w:val="clear" w:color="auto" w:fill="auto"/>
            <w:noWrap/>
            <w:vAlign w:val="center"/>
          </w:tcPr>
          <w:p w14:paraId="28DFD4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g∕10min</w:t>
            </w:r>
          </w:p>
        </w:tc>
        <w:tc>
          <w:tcPr>
            <w:tcW w:w="1473" w:type="dxa"/>
            <w:shd w:val="clear" w:color="auto" w:fill="auto"/>
            <w:vAlign w:val="center"/>
          </w:tcPr>
          <w:p w14:paraId="7A8537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≥14</w:t>
            </w:r>
          </w:p>
        </w:tc>
      </w:tr>
      <w:tr w14:paraId="3CD6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716" w:type="dxa"/>
            <w:shd w:val="clear" w:color="auto" w:fill="auto"/>
            <w:vAlign w:val="center"/>
          </w:tcPr>
          <w:p w14:paraId="446B55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悬臂梁缺口冲击强度</w:t>
            </w:r>
          </w:p>
        </w:tc>
        <w:tc>
          <w:tcPr>
            <w:tcW w:w="3853" w:type="dxa"/>
            <w:shd w:val="clear" w:color="auto" w:fill="auto"/>
            <w:vAlign w:val="center"/>
          </w:tcPr>
          <w:p w14:paraId="1DFDF4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1843-2008，23℃，2.75J，A型缺口，实验温度：23±1℃</w:t>
            </w:r>
          </w:p>
        </w:tc>
        <w:tc>
          <w:tcPr>
            <w:tcW w:w="1256" w:type="dxa"/>
            <w:shd w:val="clear" w:color="auto" w:fill="auto"/>
            <w:noWrap/>
            <w:vAlign w:val="center"/>
          </w:tcPr>
          <w:p w14:paraId="508332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KJ/m</w:t>
            </w:r>
            <w:r>
              <w:rPr>
                <w:rFonts w:hint="default" w:ascii="Times New Roman" w:hAnsi="Times New Roman" w:eastAsia="宋体" w:cs="Times New Roman"/>
                <w:i w:val="0"/>
                <w:iCs w:val="0"/>
                <w:color w:val="auto"/>
                <w:kern w:val="0"/>
                <w:sz w:val="21"/>
                <w:szCs w:val="21"/>
                <w:u w:val="none"/>
                <w:vertAlign w:val="superscript"/>
                <w:lang w:val="en-US" w:eastAsia="zh-CN" w:bidi="ar"/>
              </w:rPr>
              <w:t>2</w:t>
            </w:r>
          </w:p>
        </w:tc>
        <w:tc>
          <w:tcPr>
            <w:tcW w:w="1473" w:type="dxa"/>
            <w:shd w:val="clear" w:color="auto" w:fill="auto"/>
            <w:vAlign w:val="center"/>
          </w:tcPr>
          <w:p w14:paraId="0DB01F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r>
      <w:tr w14:paraId="51B3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0" w:type="auto"/>
            <w:shd w:val="clear" w:color="auto" w:fill="auto"/>
            <w:noWrap/>
            <w:vAlign w:val="center"/>
          </w:tcPr>
          <w:p w14:paraId="0DFBED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拉伸强度</w:t>
            </w:r>
          </w:p>
        </w:tc>
        <w:tc>
          <w:tcPr>
            <w:tcW w:w="3853" w:type="dxa"/>
            <w:vMerge w:val="restart"/>
            <w:shd w:val="clear" w:color="auto" w:fill="auto"/>
            <w:vAlign w:val="center"/>
          </w:tcPr>
          <w:p w14:paraId="657816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1040.1-2025，试验速度：50mm/min,L0=50mm</w:t>
            </w:r>
          </w:p>
        </w:tc>
        <w:tc>
          <w:tcPr>
            <w:tcW w:w="1256" w:type="dxa"/>
            <w:shd w:val="clear" w:color="auto" w:fill="auto"/>
            <w:noWrap/>
            <w:vAlign w:val="center"/>
          </w:tcPr>
          <w:p w14:paraId="42A42D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Mpa</w:t>
            </w:r>
          </w:p>
        </w:tc>
        <w:tc>
          <w:tcPr>
            <w:tcW w:w="1473" w:type="dxa"/>
            <w:shd w:val="clear" w:color="auto" w:fill="auto"/>
            <w:vAlign w:val="center"/>
          </w:tcPr>
          <w:p w14:paraId="646B4C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w:t>
            </w:r>
          </w:p>
        </w:tc>
      </w:tr>
      <w:tr w14:paraId="46D7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0" w:type="auto"/>
            <w:shd w:val="clear" w:color="auto" w:fill="auto"/>
            <w:noWrap/>
            <w:vAlign w:val="center"/>
          </w:tcPr>
          <w:p w14:paraId="19CCDE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断裂伸长率</w:t>
            </w:r>
          </w:p>
        </w:tc>
        <w:tc>
          <w:tcPr>
            <w:tcW w:w="3853" w:type="dxa"/>
            <w:vMerge w:val="continue"/>
            <w:shd w:val="clear" w:color="auto" w:fill="auto"/>
            <w:vAlign w:val="center"/>
          </w:tcPr>
          <w:p w14:paraId="4ADEAF0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256" w:type="dxa"/>
            <w:shd w:val="clear" w:color="auto" w:fill="auto"/>
            <w:noWrap/>
            <w:vAlign w:val="center"/>
          </w:tcPr>
          <w:p w14:paraId="5644D0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473" w:type="dxa"/>
            <w:shd w:val="clear" w:color="auto" w:fill="auto"/>
            <w:noWrap/>
            <w:vAlign w:val="center"/>
          </w:tcPr>
          <w:p w14:paraId="520B0F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w:t>
            </w:r>
          </w:p>
        </w:tc>
      </w:tr>
      <w:tr w14:paraId="3435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0" w:type="auto"/>
            <w:shd w:val="clear" w:color="auto" w:fill="auto"/>
            <w:noWrap/>
            <w:vAlign w:val="center"/>
          </w:tcPr>
          <w:p w14:paraId="154062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弯曲强度</w:t>
            </w:r>
          </w:p>
        </w:tc>
        <w:tc>
          <w:tcPr>
            <w:tcW w:w="3853" w:type="dxa"/>
            <w:vMerge w:val="restart"/>
            <w:shd w:val="clear" w:color="auto" w:fill="auto"/>
            <w:vAlign w:val="center"/>
          </w:tcPr>
          <w:p w14:paraId="13D3D2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9341-2008，实验温度：23±1℃，实验速度：2mm/min,L=64mm</w:t>
            </w:r>
          </w:p>
        </w:tc>
        <w:tc>
          <w:tcPr>
            <w:tcW w:w="1256" w:type="dxa"/>
            <w:shd w:val="clear" w:color="auto" w:fill="auto"/>
            <w:noWrap/>
            <w:vAlign w:val="center"/>
          </w:tcPr>
          <w:p w14:paraId="7CD3E5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Mpa</w:t>
            </w:r>
          </w:p>
        </w:tc>
        <w:tc>
          <w:tcPr>
            <w:tcW w:w="1473" w:type="dxa"/>
            <w:shd w:val="clear" w:color="auto" w:fill="auto"/>
            <w:vAlign w:val="center"/>
          </w:tcPr>
          <w:p w14:paraId="593F99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≥22</w:t>
            </w:r>
          </w:p>
        </w:tc>
      </w:tr>
      <w:tr w14:paraId="46E9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0" w:type="auto"/>
            <w:shd w:val="clear" w:color="auto" w:fill="auto"/>
            <w:noWrap/>
            <w:vAlign w:val="center"/>
          </w:tcPr>
          <w:p w14:paraId="7199A1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弯曲模量</w:t>
            </w:r>
          </w:p>
        </w:tc>
        <w:tc>
          <w:tcPr>
            <w:tcW w:w="3853" w:type="dxa"/>
            <w:vMerge w:val="continue"/>
            <w:shd w:val="clear" w:color="auto" w:fill="auto"/>
            <w:vAlign w:val="center"/>
          </w:tcPr>
          <w:p w14:paraId="51747AE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256" w:type="dxa"/>
            <w:shd w:val="clear" w:color="auto" w:fill="auto"/>
            <w:noWrap/>
            <w:vAlign w:val="center"/>
          </w:tcPr>
          <w:p w14:paraId="62C983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Mpa</w:t>
            </w:r>
          </w:p>
        </w:tc>
        <w:tc>
          <w:tcPr>
            <w:tcW w:w="1473" w:type="dxa"/>
            <w:shd w:val="clear" w:color="auto" w:fill="auto"/>
            <w:vAlign w:val="center"/>
          </w:tcPr>
          <w:p w14:paraId="536F7E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≥1200</w:t>
            </w:r>
          </w:p>
        </w:tc>
      </w:tr>
      <w:tr w14:paraId="2B7A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shd w:val="clear" w:color="auto" w:fill="auto"/>
            <w:noWrap/>
            <w:vAlign w:val="center"/>
          </w:tcPr>
          <w:p w14:paraId="65D650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负荷变形温度</w:t>
            </w:r>
          </w:p>
        </w:tc>
        <w:tc>
          <w:tcPr>
            <w:tcW w:w="3853" w:type="dxa"/>
            <w:shd w:val="clear" w:color="auto" w:fill="auto"/>
            <w:vAlign w:val="center"/>
          </w:tcPr>
          <w:p w14:paraId="41F9B1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1634.1-2025，A法1.8MPa，平放，80㎜×10㎜×4㎜，L=64㎜±1㎜，未退火</w:t>
            </w:r>
          </w:p>
        </w:tc>
        <w:tc>
          <w:tcPr>
            <w:tcW w:w="1256" w:type="dxa"/>
            <w:shd w:val="clear" w:color="auto" w:fill="auto"/>
            <w:noWrap/>
            <w:vAlign w:val="center"/>
          </w:tcPr>
          <w:p w14:paraId="31CC3A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473" w:type="dxa"/>
            <w:shd w:val="clear" w:color="auto" w:fill="auto"/>
            <w:noWrap/>
            <w:vAlign w:val="center"/>
          </w:tcPr>
          <w:p w14:paraId="1EA4E3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≥100</w:t>
            </w:r>
          </w:p>
        </w:tc>
      </w:tr>
      <w:tr w14:paraId="514F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0" w:type="auto"/>
            <w:shd w:val="clear" w:color="auto" w:fill="auto"/>
            <w:noWrap/>
            <w:vAlign w:val="center"/>
          </w:tcPr>
          <w:p w14:paraId="152314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颗粒外观</w:t>
            </w:r>
          </w:p>
        </w:tc>
        <w:tc>
          <w:tcPr>
            <w:tcW w:w="0" w:type="auto"/>
            <w:shd w:val="clear" w:color="auto" w:fill="auto"/>
            <w:noWrap/>
            <w:vAlign w:val="center"/>
          </w:tcPr>
          <w:p w14:paraId="0EA652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目视</w:t>
            </w:r>
          </w:p>
        </w:tc>
        <w:tc>
          <w:tcPr>
            <w:tcW w:w="1256" w:type="dxa"/>
            <w:shd w:val="clear" w:color="auto" w:fill="auto"/>
            <w:noWrap/>
            <w:vAlign w:val="center"/>
          </w:tcPr>
          <w:p w14:paraId="711856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473" w:type="dxa"/>
            <w:shd w:val="clear" w:color="auto" w:fill="auto"/>
            <w:vAlign w:val="center"/>
          </w:tcPr>
          <w:p w14:paraId="637B35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颗粒大小均匀，无块料、长节料、杂色料、杂质、黑白点</w:t>
            </w:r>
          </w:p>
        </w:tc>
      </w:tr>
      <w:tr w14:paraId="0CF4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3" w:hRule="atLeast"/>
          <w:jc w:val="center"/>
        </w:trPr>
        <w:tc>
          <w:tcPr>
            <w:tcW w:w="0" w:type="auto"/>
            <w:vMerge w:val="restart"/>
            <w:shd w:val="clear" w:color="auto" w:fill="auto"/>
            <w:noWrap/>
            <w:vAlign w:val="center"/>
          </w:tcPr>
          <w:p w14:paraId="68346D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色差</w:t>
            </w:r>
          </w:p>
        </w:tc>
        <w:tc>
          <w:tcPr>
            <w:tcW w:w="3853" w:type="dxa"/>
            <w:vMerge w:val="restart"/>
            <w:shd w:val="clear" w:color="auto" w:fill="auto"/>
            <w:vAlign w:val="center"/>
          </w:tcPr>
          <w:p w14:paraId="1B4BB7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分光测色仪</w:t>
            </w:r>
          </w:p>
        </w:tc>
        <w:tc>
          <w:tcPr>
            <w:tcW w:w="1256" w:type="dxa"/>
            <w:vMerge w:val="restart"/>
            <w:shd w:val="clear" w:color="auto" w:fill="auto"/>
            <w:noWrap/>
            <w:vAlign w:val="center"/>
          </w:tcPr>
          <w:p w14:paraId="3678DD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473" w:type="dxa"/>
            <w:shd w:val="clear" w:color="auto" w:fill="auto"/>
            <w:vAlign w:val="center"/>
          </w:tcPr>
          <w:p w14:paraId="094C0F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L:±0.3</w:t>
            </w:r>
          </w:p>
        </w:tc>
      </w:tr>
      <w:tr w14:paraId="20A1B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0" w:type="auto"/>
            <w:vMerge w:val="continue"/>
            <w:shd w:val="clear" w:color="auto" w:fill="auto"/>
            <w:noWrap/>
            <w:vAlign w:val="center"/>
          </w:tcPr>
          <w:p w14:paraId="0DACD0B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853" w:type="dxa"/>
            <w:vMerge w:val="continue"/>
            <w:shd w:val="clear" w:color="auto" w:fill="auto"/>
            <w:vAlign w:val="center"/>
          </w:tcPr>
          <w:p w14:paraId="07E1D81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256" w:type="dxa"/>
            <w:vMerge w:val="continue"/>
            <w:shd w:val="clear" w:color="auto" w:fill="auto"/>
            <w:noWrap/>
            <w:vAlign w:val="center"/>
          </w:tcPr>
          <w:p w14:paraId="3BECCBF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473" w:type="dxa"/>
            <w:shd w:val="clear" w:color="auto" w:fill="auto"/>
            <w:vAlign w:val="center"/>
          </w:tcPr>
          <w:p w14:paraId="72AB8F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a:±0.2</w:t>
            </w:r>
          </w:p>
        </w:tc>
      </w:tr>
      <w:tr w14:paraId="36E9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0" w:type="auto"/>
            <w:vMerge w:val="continue"/>
            <w:shd w:val="clear" w:color="auto" w:fill="auto"/>
            <w:noWrap/>
            <w:vAlign w:val="center"/>
          </w:tcPr>
          <w:p w14:paraId="162A137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853" w:type="dxa"/>
            <w:vMerge w:val="continue"/>
            <w:shd w:val="clear" w:color="auto" w:fill="auto"/>
            <w:vAlign w:val="center"/>
          </w:tcPr>
          <w:p w14:paraId="28AC68B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256" w:type="dxa"/>
            <w:vMerge w:val="continue"/>
            <w:shd w:val="clear" w:color="auto" w:fill="auto"/>
            <w:noWrap/>
            <w:vAlign w:val="center"/>
          </w:tcPr>
          <w:p w14:paraId="4C7E8C8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473" w:type="dxa"/>
            <w:shd w:val="clear" w:color="auto" w:fill="auto"/>
            <w:vAlign w:val="center"/>
          </w:tcPr>
          <w:p w14:paraId="68C6F7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b:±0.3</w:t>
            </w:r>
          </w:p>
        </w:tc>
      </w:tr>
      <w:tr w14:paraId="1268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0" w:type="auto"/>
            <w:vMerge w:val="continue"/>
            <w:shd w:val="clear" w:color="auto" w:fill="auto"/>
            <w:noWrap/>
            <w:vAlign w:val="center"/>
          </w:tcPr>
          <w:p w14:paraId="76FED9C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853" w:type="dxa"/>
            <w:vMerge w:val="continue"/>
            <w:shd w:val="clear" w:color="auto" w:fill="auto"/>
            <w:vAlign w:val="center"/>
          </w:tcPr>
          <w:p w14:paraId="46007CD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256" w:type="dxa"/>
            <w:vMerge w:val="continue"/>
            <w:shd w:val="clear" w:color="auto" w:fill="auto"/>
            <w:noWrap/>
            <w:vAlign w:val="center"/>
          </w:tcPr>
          <w:p w14:paraId="6B75A9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473" w:type="dxa"/>
            <w:shd w:val="clear" w:color="auto" w:fill="auto"/>
            <w:vAlign w:val="center"/>
          </w:tcPr>
          <w:p w14:paraId="17D498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△E≤0.5</w:t>
            </w:r>
          </w:p>
        </w:tc>
      </w:tr>
      <w:tr w14:paraId="41E9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0" w:type="auto"/>
            <w:shd w:val="clear" w:color="auto" w:fill="auto"/>
            <w:noWrap/>
            <w:vAlign w:val="center"/>
          </w:tcPr>
          <w:p w14:paraId="18AD77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水分</w:t>
            </w:r>
          </w:p>
        </w:tc>
        <w:tc>
          <w:tcPr>
            <w:tcW w:w="3853" w:type="dxa"/>
            <w:shd w:val="clear" w:color="auto" w:fill="auto"/>
            <w:vAlign w:val="center"/>
          </w:tcPr>
          <w:p w14:paraId="68977A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对生产日期超过1个月的产品注塑色板观察外观</w:t>
            </w:r>
          </w:p>
        </w:tc>
        <w:tc>
          <w:tcPr>
            <w:tcW w:w="1256" w:type="dxa"/>
            <w:shd w:val="clear" w:color="auto" w:fill="auto"/>
            <w:noWrap/>
            <w:vAlign w:val="center"/>
          </w:tcPr>
          <w:p w14:paraId="5F0221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473" w:type="dxa"/>
            <w:shd w:val="clear" w:color="auto" w:fill="auto"/>
            <w:vAlign w:val="center"/>
          </w:tcPr>
          <w:p w14:paraId="7B481E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色板表面无水花</w:t>
            </w:r>
          </w:p>
        </w:tc>
      </w:tr>
    </w:tbl>
    <w:p w14:paraId="4F11D7B3">
      <w:pPr>
        <w:pStyle w:val="93"/>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表2.5-2     改性PC/ABS产品标准（企业标准）</w:t>
      </w:r>
    </w:p>
    <w:tbl>
      <w:tblPr>
        <w:tblStyle w:val="44"/>
        <w:tblW w:w="48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703"/>
        <w:gridCol w:w="3205"/>
        <w:gridCol w:w="1306"/>
        <w:gridCol w:w="2104"/>
      </w:tblGrid>
      <w:tr w14:paraId="185E7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3" w:type="dxa"/>
            <w:vMerge w:val="restart"/>
            <w:shd w:val="clear" w:color="auto" w:fill="auto"/>
            <w:vAlign w:val="center"/>
          </w:tcPr>
          <w:p w14:paraId="3E79F3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检验项目</w:t>
            </w:r>
          </w:p>
        </w:tc>
        <w:tc>
          <w:tcPr>
            <w:tcW w:w="3205" w:type="dxa"/>
            <w:vMerge w:val="restart"/>
            <w:shd w:val="clear" w:color="auto" w:fill="auto"/>
            <w:vAlign w:val="center"/>
          </w:tcPr>
          <w:p w14:paraId="5DD345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测试标准及条件</w:t>
            </w:r>
          </w:p>
        </w:tc>
        <w:tc>
          <w:tcPr>
            <w:tcW w:w="1306" w:type="dxa"/>
            <w:vMerge w:val="restart"/>
            <w:shd w:val="clear" w:color="auto" w:fill="auto"/>
            <w:noWrap/>
            <w:vAlign w:val="center"/>
          </w:tcPr>
          <w:p w14:paraId="40B67D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华文细黑" w:cs="Times New Roman"/>
                <w:i w:val="0"/>
                <w:iCs w:val="0"/>
                <w:color w:val="auto"/>
                <w:sz w:val="21"/>
                <w:szCs w:val="21"/>
                <w:u w:val="none"/>
              </w:rPr>
            </w:pPr>
            <w:r>
              <w:rPr>
                <w:rFonts w:hint="default" w:ascii="Times New Roman" w:hAnsi="Times New Roman" w:eastAsia="华文细黑" w:cs="Times New Roman"/>
                <w:i w:val="0"/>
                <w:iCs w:val="0"/>
                <w:color w:val="auto"/>
                <w:kern w:val="0"/>
                <w:sz w:val="21"/>
                <w:szCs w:val="21"/>
                <w:u w:val="none"/>
                <w:lang w:val="en-US" w:eastAsia="zh-CN" w:bidi="ar"/>
              </w:rPr>
              <w:t>单位</w:t>
            </w:r>
          </w:p>
        </w:tc>
        <w:tc>
          <w:tcPr>
            <w:tcW w:w="2104" w:type="dxa"/>
            <w:vMerge w:val="restart"/>
            <w:shd w:val="clear" w:color="auto" w:fill="auto"/>
            <w:noWrap/>
            <w:vAlign w:val="center"/>
          </w:tcPr>
          <w:p w14:paraId="601B7A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技术要求</w:t>
            </w:r>
          </w:p>
        </w:tc>
      </w:tr>
      <w:tr w14:paraId="1E66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703" w:type="dxa"/>
            <w:vMerge w:val="continue"/>
            <w:shd w:val="clear" w:color="auto" w:fill="auto"/>
            <w:vAlign w:val="center"/>
          </w:tcPr>
          <w:p w14:paraId="44A0D7C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205" w:type="dxa"/>
            <w:vMerge w:val="continue"/>
            <w:shd w:val="clear" w:color="auto" w:fill="auto"/>
            <w:vAlign w:val="center"/>
          </w:tcPr>
          <w:p w14:paraId="3735778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306" w:type="dxa"/>
            <w:vMerge w:val="continue"/>
            <w:shd w:val="clear" w:color="auto" w:fill="auto"/>
            <w:noWrap/>
            <w:vAlign w:val="center"/>
          </w:tcPr>
          <w:p w14:paraId="22ED841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华文细黑" w:cs="Times New Roman"/>
                <w:i w:val="0"/>
                <w:iCs w:val="0"/>
                <w:color w:val="auto"/>
                <w:sz w:val="21"/>
                <w:szCs w:val="21"/>
                <w:u w:val="none"/>
              </w:rPr>
            </w:pPr>
          </w:p>
        </w:tc>
        <w:tc>
          <w:tcPr>
            <w:tcW w:w="2104" w:type="dxa"/>
            <w:vMerge w:val="continue"/>
            <w:shd w:val="clear" w:color="auto" w:fill="auto"/>
            <w:noWrap/>
            <w:vAlign w:val="center"/>
          </w:tcPr>
          <w:p w14:paraId="03C6958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r>
      <w:tr w14:paraId="3BB9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703" w:type="dxa"/>
            <w:vMerge w:val="continue"/>
            <w:shd w:val="clear" w:color="auto" w:fill="auto"/>
            <w:vAlign w:val="center"/>
          </w:tcPr>
          <w:p w14:paraId="7E3C426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205" w:type="dxa"/>
            <w:vMerge w:val="continue"/>
            <w:shd w:val="clear" w:color="auto" w:fill="auto"/>
            <w:vAlign w:val="center"/>
          </w:tcPr>
          <w:p w14:paraId="60DEBA2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306" w:type="dxa"/>
            <w:vMerge w:val="continue"/>
            <w:shd w:val="clear" w:color="auto" w:fill="auto"/>
            <w:noWrap/>
            <w:vAlign w:val="center"/>
          </w:tcPr>
          <w:p w14:paraId="26F3AC0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华文细黑" w:cs="Times New Roman"/>
                <w:i w:val="0"/>
                <w:iCs w:val="0"/>
                <w:color w:val="auto"/>
                <w:sz w:val="21"/>
                <w:szCs w:val="21"/>
                <w:u w:val="none"/>
              </w:rPr>
            </w:pPr>
          </w:p>
        </w:tc>
        <w:tc>
          <w:tcPr>
            <w:tcW w:w="2104" w:type="dxa"/>
            <w:vMerge w:val="continue"/>
            <w:shd w:val="clear" w:color="auto" w:fill="auto"/>
            <w:noWrap/>
            <w:vAlign w:val="center"/>
          </w:tcPr>
          <w:p w14:paraId="0DE1C26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r>
      <w:tr w14:paraId="7809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1703" w:type="dxa"/>
            <w:shd w:val="clear" w:color="auto" w:fill="auto"/>
            <w:noWrap/>
            <w:vAlign w:val="center"/>
          </w:tcPr>
          <w:p w14:paraId="11B9A1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密度</w:t>
            </w:r>
          </w:p>
        </w:tc>
        <w:tc>
          <w:tcPr>
            <w:tcW w:w="3205" w:type="dxa"/>
            <w:shd w:val="clear" w:color="auto" w:fill="auto"/>
            <w:noWrap/>
            <w:vAlign w:val="center"/>
          </w:tcPr>
          <w:p w14:paraId="5692F7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1033.1-2008</w:t>
            </w:r>
          </w:p>
        </w:tc>
        <w:tc>
          <w:tcPr>
            <w:tcW w:w="1306" w:type="dxa"/>
            <w:shd w:val="clear" w:color="auto" w:fill="auto"/>
            <w:noWrap/>
            <w:vAlign w:val="center"/>
          </w:tcPr>
          <w:p w14:paraId="58129F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g/cm</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2104" w:type="dxa"/>
            <w:shd w:val="clear" w:color="auto" w:fill="auto"/>
            <w:vAlign w:val="center"/>
          </w:tcPr>
          <w:p w14:paraId="1B5F6E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1.12±0.02</w:t>
            </w:r>
          </w:p>
        </w:tc>
      </w:tr>
      <w:tr w14:paraId="6DFD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1703" w:type="dxa"/>
            <w:shd w:val="clear" w:color="auto" w:fill="auto"/>
            <w:noWrap/>
            <w:vAlign w:val="center"/>
          </w:tcPr>
          <w:p w14:paraId="5FA0B8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熔体流动速率</w:t>
            </w:r>
          </w:p>
        </w:tc>
        <w:tc>
          <w:tcPr>
            <w:tcW w:w="3205" w:type="dxa"/>
            <w:shd w:val="clear" w:color="auto" w:fill="auto"/>
            <w:noWrap/>
            <w:vAlign w:val="center"/>
          </w:tcPr>
          <w:p w14:paraId="64B294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3682.1-2018，250℃，5㎏</w:t>
            </w:r>
          </w:p>
        </w:tc>
        <w:tc>
          <w:tcPr>
            <w:tcW w:w="1306" w:type="dxa"/>
            <w:shd w:val="clear" w:color="auto" w:fill="auto"/>
            <w:noWrap/>
            <w:vAlign w:val="center"/>
          </w:tcPr>
          <w:p w14:paraId="72AF4E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g∕10min</w:t>
            </w:r>
          </w:p>
        </w:tc>
        <w:tc>
          <w:tcPr>
            <w:tcW w:w="2104" w:type="dxa"/>
            <w:shd w:val="clear" w:color="auto" w:fill="auto"/>
            <w:vAlign w:val="center"/>
          </w:tcPr>
          <w:p w14:paraId="68F85C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6EFFE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703" w:type="dxa"/>
            <w:shd w:val="clear" w:color="auto" w:fill="auto"/>
            <w:vAlign w:val="center"/>
          </w:tcPr>
          <w:p w14:paraId="16A5E7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悬臂梁缺口冲击强度</w:t>
            </w:r>
          </w:p>
        </w:tc>
        <w:tc>
          <w:tcPr>
            <w:tcW w:w="3205" w:type="dxa"/>
            <w:shd w:val="clear" w:color="auto" w:fill="auto"/>
            <w:vAlign w:val="center"/>
          </w:tcPr>
          <w:p w14:paraId="10581E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1843-2008，23℃，2.75J，A型缺口，实验温度：23±1℃</w:t>
            </w:r>
          </w:p>
        </w:tc>
        <w:tc>
          <w:tcPr>
            <w:tcW w:w="1306" w:type="dxa"/>
            <w:shd w:val="clear" w:color="auto" w:fill="auto"/>
            <w:noWrap/>
            <w:vAlign w:val="center"/>
          </w:tcPr>
          <w:p w14:paraId="541059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KJ/m</w:t>
            </w:r>
            <w:r>
              <w:rPr>
                <w:rFonts w:hint="default" w:ascii="Times New Roman" w:hAnsi="Times New Roman" w:eastAsia="宋体" w:cs="Times New Roman"/>
                <w:i w:val="0"/>
                <w:iCs w:val="0"/>
                <w:color w:val="auto"/>
                <w:kern w:val="0"/>
                <w:sz w:val="21"/>
                <w:szCs w:val="21"/>
                <w:u w:val="none"/>
                <w:vertAlign w:val="superscript"/>
                <w:lang w:val="en-US" w:eastAsia="zh-CN" w:bidi="ar"/>
              </w:rPr>
              <w:t>2</w:t>
            </w:r>
          </w:p>
        </w:tc>
        <w:tc>
          <w:tcPr>
            <w:tcW w:w="2104" w:type="dxa"/>
            <w:shd w:val="clear" w:color="auto" w:fill="auto"/>
            <w:vAlign w:val="center"/>
          </w:tcPr>
          <w:p w14:paraId="78ABBF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≥50</w:t>
            </w:r>
          </w:p>
        </w:tc>
      </w:tr>
      <w:tr w14:paraId="678E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1703" w:type="dxa"/>
            <w:shd w:val="clear" w:color="auto" w:fill="auto"/>
            <w:noWrap/>
            <w:vAlign w:val="center"/>
          </w:tcPr>
          <w:p w14:paraId="17D864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拉伸强度</w:t>
            </w:r>
          </w:p>
        </w:tc>
        <w:tc>
          <w:tcPr>
            <w:tcW w:w="3205" w:type="dxa"/>
            <w:vMerge w:val="restart"/>
            <w:shd w:val="clear" w:color="auto" w:fill="auto"/>
            <w:vAlign w:val="center"/>
          </w:tcPr>
          <w:p w14:paraId="7F88CE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1040.1-2025，试验速度：50mm/min,L0=50mm</w:t>
            </w:r>
          </w:p>
        </w:tc>
        <w:tc>
          <w:tcPr>
            <w:tcW w:w="1306" w:type="dxa"/>
            <w:shd w:val="clear" w:color="auto" w:fill="auto"/>
            <w:noWrap/>
            <w:vAlign w:val="center"/>
          </w:tcPr>
          <w:p w14:paraId="511A49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Mpa</w:t>
            </w:r>
          </w:p>
        </w:tc>
        <w:tc>
          <w:tcPr>
            <w:tcW w:w="2104" w:type="dxa"/>
            <w:shd w:val="clear" w:color="auto" w:fill="auto"/>
            <w:vAlign w:val="center"/>
          </w:tcPr>
          <w:p w14:paraId="1DD341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≥45</w:t>
            </w:r>
          </w:p>
        </w:tc>
      </w:tr>
      <w:tr w14:paraId="546F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703" w:type="dxa"/>
            <w:shd w:val="clear" w:color="auto" w:fill="auto"/>
            <w:noWrap/>
            <w:vAlign w:val="center"/>
          </w:tcPr>
          <w:p w14:paraId="1F995D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断裂伸长率</w:t>
            </w:r>
          </w:p>
        </w:tc>
        <w:tc>
          <w:tcPr>
            <w:tcW w:w="3205" w:type="dxa"/>
            <w:vMerge w:val="continue"/>
            <w:shd w:val="clear" w:color="auto" w:fill="auto"/>
            <w:vAlign w:val="center"/>
          </w:tcPr>
          <w:p w14:paraId="1063DBA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306" w:type="dxa"/>
            <w:shd w:val="clear" w:color="auto" w:fill="auto"/>
            <w:noWrap/>
            <w:vAlign w:val="center"/>
          </w:tcPr>
          <w:p w14:paraId="567E87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2104" w:type="dxa"/>
            <w:shd w:val="clear" w:color="auto" w:fill="auto"/>
            <w:vAlign w:val="center"/>
          </w:tcPr>
          <w:p w14:paraId="6662F5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127D8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1703" w:type="dxa"/>
            <w:shd w:val="clear" w:color="auto" w:fill="auto"/>
            <w:noWrap/>
            <w:vAlign w:val="center"/>
          </w:tcPr>
          <w:p w14:paraId="553C51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弯曲强度</w:t>
            </w:r>
          </w:p>
        </w:tc>
        <w:tc>
          <w:tcPr>
            <w:tcW w:w="3205" w:type="dxa"/>
            <w:vMerge w:val="restart"/>
            <w:shd w:val="clear" w:color="auto" w:fill="auto"/>
            <w:vAlign w:val="center"/>
          </w:tcPr>
          <w:p w14:paraId="6BEC5A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9341-2008，实验温度：23±1℃，实验速度：2mm/min,L=64mm</w:t>
            </w:r>
          </w:p>
        </w:tc>
        <w:tc>
          <w:tcPr>
            <w:tcW w:w="1306" w:type="dxa"/>
            <w:shd w:val="clear" w:color="auto" w:fill="auto"/>
            <w:noWrap/>
            <w:vAlign w:val="center"/>
          </w:tcPr>
          <w:p w14:paraId="2AA0EA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Mpa</w:t>
            </w:r>
          </w:p>
        </w:tc>
        <w:tc>
          <w:tcPr>
            <w:tcW w:w="2104" w:type="dxa"/>
            <w:shd w:val="clear" w:color="auto" w:fill="auto"/>
            <w:vAlign w:val="center"/>
          </w:tcPr>
          <w:p w14:paraId="064E3C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5716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703" w:type="dxa"/>
            <w:shd w:val="clear" w:color="auto" w:fill="auto"/>
            <w:noWrap/>
            <w:vAlign w:val="center"/>
          </w:tcPr>
          <w:p w14:paraId="540C19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弯曲模量</w:t>
            </w:r>
          </w:p>
        </w:tc>
        <w:tc>
          <w:tcPr>
            <w:tcW w:w="3205" w:type="dxa"/>
            <w:vMerge w:val="continue"/>
            <w:shd w:val="clear" w:color="auto" w:fill="auto"/>
            <w:vAlign w:val="center"/>
          </w:tcPr>
          <w:p w14:paraId="5E780BD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306" w:type="dxa"/>
            <w:shd w:val="clear" w:color="auto" w:fill="auto"/>
            <w:noWrap/>
            <w:vAlign w:val="center"/>
          </w:tcPr>
          <w:p w14:paraId="307CD4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Mpa</w:t>
            </w:r>
          </w:p>
        </w:tc>
        <w:tc>
          <w:tcPr>
            <w:tcW w:w="2104" w:type="dxa"/>
            <w:shd w:val="clear" w:color="auto" w:fill="auto"/>
            <w:vAlign w:val="center"/>
          </w:tcPr>
          <w:p w14:paraId="5E96D9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≥2100</w:t>
            </w:r>
          </w:p>
        </w:tc>
      </w:tr>
      <w:tr w14:paraId="35D1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703" w:type="dxa"/>
            <w:shd w:val="clear" w:color="auto" w:fill="auto"/>
            <w:noWrap/>
            <w:vAlign w:val="center"/>
          </w:tcPr>
          <w:p w14:paraId="69AF58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负荷变形温度</w:t>
            </w:r>
          </w:p>
        </w:tc>
        <w:tc>
          <w:tcPr>
            <w:tcW w:w="3205" w:type="dxa"/>
            <w:shd w:val="clear" w:color="auto" w:fill="auto"/>
            <w:vAlign w:val="center"/>
          </w:tcPr>
          <w:p w14:paraId="2C91EB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1634.1-2025，A法1.8MPa，平放，80㎜×10㎜×4㎜，L=64㎜±1㎜，未退火</w:t>
            </w:r>
          </w:p>
        </w:tc>
        <w:tc>
          <w:tcPr>
            <w:tcW w:w="1306" w:type="dxa"/>
            <w:shd w:val="clear" w:color="auto" w:fill="auto"/>
            <w:noWrap/>
            <w:vAlign w:val="center"/>
          </w:tcPr>
          <w:p w14:paraId="72AFE1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2104" w:type="dxa"/>
            <w:shd w:val="clear" w:color="auto" w:fill="auto"/>
            <w:vAlign w:val="center"/>
          </w:tcPr>
          <w:p w14:paraId="495BE1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≥105</w:t>
            </w:r>
          </w:p>
        </w:tc>
      </w:tr>
      <w:tr w14:paraId="5B54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703" w:type="dxa"/>
            <w:shd w:val="clear" w:color="auto" w:fill="auto"/>
            <w:noWrap/>
            <w:vAlign w:val="center"/>
          </w:tcPr>
          <w:p w14:paraId="094F66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颗粒外观</w:t>
            </w:r>
          </w:p>
        </w:tc>
        <w:tc>
          <w:tcPr>
            <w:tcW w:w="3205" w:type="dxa"/>
            <w:shd w:val="clear" w:color="auto" w:fill="auto"/>
            <w:noWrap/>
            <w:vAlign w:val="center"/>
          </w:tcPr>
          <w:p w14:paraId="597155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目视</w:t>
            </w:r>
          </w:p>
        </w:tc>
        <w:tc>
          <w:tcPr>
            <w:tcW w:w="1306" w:type="dxa"/>
            <w:shd w:val="clear" w:color="auto" w:fill="auto"/>
            <w:noWrap/>
            <w:vAlign w:val="center"/>
          </w:tcPr>
          <w:p w14:paraId="33EBAE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2104" w:type="dxa"/>
            <w:shd w:val="clear" w:color="auto" w:fill="auto"/>
            <w:vAlign w:val="center"/>
          </w:tcPr>
          <w:p w14:paraId="08F1BA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颗粒大小均匀，无块料、长节料、杂色料、杂质、黑白点</w:t>
            </w:r>
          </w:p>
        </w:tc>
      </w:tr>
      <w:tr w14:paraId="307D0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1703" w:type="dxa"/>
            <w:vMerge w:val="restart"/>
            <w:shd w:val="clear" w:color="auto" w:fill="auto"/>
            <w:noWrap/>
            <w:vAlign w:val="center"/>
          </w:tcPr>
          <w:p w14:paraId="3CD1B0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色差</w:t>
            </w:r>
          </w:p>
        </w:tc>
        <w:tc>
          <w:tcPr>
            <w:tcW w:w="3205" w:type="dxa"/>
            <w:vMerge w:val="restart"/>
            <w:shd w:val="clear" w:color="auto" w:fill="auto"/>
            <w:vAlign w:val="center"/>
          </w:tcPr>
          <w:p w14:paraId="3CD5F5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分光测色仪</w:t>
            </w:r>
          </w:p>
        </w:tc>
        <w:tc>
          <w:tcPr>
            <w:tcW w:w="1306" w:type="dxa"/>
            <w:vMerge w:val="restart"/>
            <w:shd w:val="clear" w:color="auto" w:fill="auto"/>
            <w:noWrap/>
            <w:vAlign w:val="center"/>
          </w:tcPr>
          <w:p w14:paraId="149157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2104" w:type="dxa"/>
            <w:shd w:val="clear" w:color="auto" w:fill="auto"/>
            <w:vAlign w:val="center"/>
          </w:tcPr>
          <w:p w14:paraId="64DE37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L:±0.3</w:t>
            </w:r>
          </w:p>
        </w:tc>
      </w:tr>
      <w:tr w14:paraId="2540D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 w:hRule="atLeast"/>
          <w:jc w:val="center"/>
        </w:trPr>
        <w:tc>
          <w:tcPr>
            <w:tcW w:w="1703" w:type="dxa"/>
            <w:vMerge w:val="continue"/>
            <w:shd w:val="clear" w:color="auto" w:fill="auto"/>
            <w:noWrap/>
            <w:vAlign w:val="center"/>
          </w:tcPr>
          <w:p w14:paraId="1D7B95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205" w:type="dxa"/>
            <w:vMerge w:val="continue"/>
            <w:shd w:val="clear" w:color="auto" w:fill="auto"/>
            <w:vAlign w:val="center"/>
          </w:tcPr>
          <w:p w14:paraId="1D3CF0F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306" w:type="dxa"/>
            <w:vMerge w:val="continue"/>
            <w:shd w:val="clear" w:color="auto" w:fill="auto"/>
            <w:noWrap/>
            <w:vAlign w:val="center"/>
          </w:tcPr>
          <w:p w14:paraId="13C4811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2104" w:type="dxa"/>
            <w:shd w:val="clear" w:color="auto" w:fill="auto"/>
            <w:vAlign w:val="center"/>
          </w:tcPr>
          <w:p w14:paraId="56DB2D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a:±0.2</w:t>
            </w:r>
          </w:p>
        </w:tc>
      </w:tr>
      <w:tr w14:paraId="48AD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1703" w:type="dxa"/>
            <w:vMerge w:val="continue"/>
            <w:shd w:val="clear" w:color="auto" w:fill="auto"/>
            <w:noWrap/>
            <w:vAlign w:val="center"/>
          </w:tcPr>
          <w:p w14:paraId="1353B22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205" w:type="dxa"/>
            <w:vMerge w:val="continue"/>
            <w:shd w:val="clear" w:color="auto" w:fill="auto"/>
            <w:vAlign w:val="center"/>
          </w:tcPr>
          <w:p w14:paraId="3E39FA6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306" w:type="dxa"/>
            <w:vMerge w:val="continue"/>
            <w:shd w:val="clear" w:color="auto" w:fill="auto"/>
            <w:noWrap/>
            <w:vAlign w:val="center"/>
          </w:tcPr>
          <w:p w14:paraId="0F2330A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2104" w:type="dxa"/>
            <w:shd w:val="clear" w:color="auto" w:fill="auto"/>
            <w:vAlign w:val="center"/>
          </w:tcPr>
          <w:p w14:paraId="5BFE83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b:±0.3</w:t>
            </w:r>
          </w:p>
        </w:tc>
      </w:tr>
      <w:tr w14:paraId="078A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1703" w:type="dxa"/>
            <w:vMerge w:val="continue"/>
            <w:shd w:val="clear" w:color="auto" w:fill="auto"/>
            <w:noWrap/>
            <w:vAlign w:val="center"/>
          </w:tcPr>
          <w:p w14:paraId="673246A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205" w:type="dxa"/>
            <w:vMerge w:val="continue"/>
            <w:shd w:val="clear" w:color="auto" w:fill="auto"/>
            <w:vAlign w:val="center"/>
          </w:tcPr>
          <w:p w14:paraId="35340E5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306" w:type="dxa"/>
            <w:vMerge w:val="continue"/>
            <w:shd w:val="clear" w:color="auto" w:fill="auto"/>
            <w:noWrap/>
            <w:vAlign w:val="center"/>
          </w:tcPr>
          <w:p w14:paraId="2B44532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2104" w:type="dxa"/>
            <w:shd w:val="clear" w:color="auto" w:fill="auto"/>
            <w:vAlign w:val="center"/>
          </w:tcPr>
          <w:p w14:paraId="48DCE4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△E≤0.5</w:t>
            </w:r>
          </w:p>
        </w:tc>
      </w:tr>
      <w:tr w14:paraId="1641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03" w:type="dxa"/>
            <w:shd w:val="clear" w:color="auto" w:fill="auto"/>
            <w:noWrap/>
            <w:vAlign w:val="center"/>
          </w:tcPr>
          <w:p w14:paraId="6B2CD5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水分</w:t>
            </w:r>
          </w:p>
        </w:tc>
        <w:tc>
          <w:tcPr>
            <w:tcW w:w="3205" w:type="dxa"/>
            <w:shd w:val="clear" w:color="auto" w:fill="auto"/>
            <w:vAlign w:val="center"/>
          </w:tcPr>
          <w:p w14:paraId="3C7C4F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对生产日期超过1个月的产品注塑色板观察外观</w:t>
            </w:r>
          </w:p>
        </w:tc>
        <w:tc>
          <w:tcPr>
            <w:tcW w:w="1306" w:type="dxa"/>
            <w:shd w:val="clear" w:color="auto" w:fill="auto"/>
            <w:noWrap/>
            <w:vAlign w:val="center"/>
          </w:tcPr>
          <w:p w14:paraId="15FC31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2104" w:type="dxa"/>
            <w:shd w:val="clear" w:color="auto" w:fill="auto"/>
            <w:vAlign w:val="center"/>
          </w:tcPr>
          <w:p w14:paraId="78BFAD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色板表面无水花</w:t>
            </w:r>
          </w:p>
        </w:tc>
      </w:tr>
    </w:tbl>
    <w:p w14:paraId="20626C5E">
      <w:pPr>
        <w:ind w:firstLine="480"/>
        <w:rPr>
          <w:rFonts w:hint="default" w:ascii="Times New Roman" w:hAnsi="Times New Roman" w:cs="Times New Roman"/>
          <w:color w:val="auto"/>
          <w:lang w:val="en-US" w:eastAsia="zh-CN"/>
        </w:rPr>
      </w:pPr>
    </w:p>
    <w:p w14:paraId="4107DEBC">
      <w:pPr>
        <w:pStyle w:val="93"/>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表2.5-3     改性ABS产品标准（企业标准）</w:t>
      </w:r>
    </w:p>
    <w:tbl>
      <w:tblPr>
        <w:tblStyle w:val="44"/>
        <w:tblW w:w="48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901"/>
        <w:gridCol w:w="3180"/>
        <w:gridCol w:w="1386"/>
        <w:gridCol w:w="1831"/>
      </w:tblGrid>
      <w:tr w14:paraId="7EDA3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901" w:type="dxa"/>
            <w:vMerge w:val="restart"/>
            <w:shd w:val="clear" w:color="auto" w:fill="auto"/>
            <w:vAlign w:val="center"/>
          </w:tcPr>
          <w:p w14:paraId="1C9C31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检验项目</w:t>
            </w:r>
          </w:p>
        </w:tc>
        <w:tc>
          <w:tcPr>
            <w:tcW w:w="3180" w:type="dxa"/>
            <w:vMerge w:val="restart"/>
            <w:shd w:val="clear" w:color="auto" w:fill="auto"/>
            <w:vAlign w:val="center"/>
          </w:tcPr>
          <w:p w14:paraId="5DC73A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测试标准及条件</w:t>
            </w:r>
          </w:p>
        </w:tc>
        <w:tc>
          <w:tcPr>
            <w:tcW w:w="1386" w:type="dxa"/>
            <w:vMerge w:val="restart"/>
            <w:shd w:val="clear" w:color="auto" w:fill="auto"/>
            <w:noWrap/>
            <w:vAlign w:val="center"/>
          </w:tcPr>
          <w:p w14:paraId="755B53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华文细黑" w:cs="Times New Roman"/>
                <w:i w:val="0"/>
                <w:iCs w:val="0"/>
                <w:color w:val="auto"/>
                <w:sz w:val="21"/>
                <w:szCs w:val="21"/>
                <w:u w:val="none"/>
              </w:rPr>
            </w:pPr>
            <w:r>
              <w:rPr>
                <w:rFonts w:hint="default" w:ascii="Times New Roman" w:hAnsi="Times New Roman" w:eastAsia="华文细黑" w:cs="Times New Roman"/>
                <w:i w:val="0"/>
                <w:iCs w:val="0"/>
                <w:color w:val="auto"/>
                <w:kern w:val="0"/>
                <w:sz w:val="21"/>
                <w:szCs w:val="21"/>
                <w:u w:val="none"/>
                <w:lang w:val="en-US" w:eastAsia="zh-CN" w:bidi="ar"/>
              </w:rPr>
              <w:t>单位</w:t>
            </w:r>
          </w:p>
        </w:tc>
        <w:tc>
          <w:tcPr>
            <w:tcW w:w="1831" w:type="dxa"/>
            <w:vMerge w:val="restart"/>
            <w:shd w:val="clear" w:color="auto" w:fill="auto"/>
            <w:noWrap/>
            <w:vAlign w:val="center"/>
          </w:tcPr>
          <w:p w14:paraId="499D45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技术要求</w:t>
            </w:r>
          </w:p>
        </w:tc>
      </w:tr>
      <w:tr w14:paraId="2D2C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901" w:type="dxa"/>
            <w:vMerge w:val="continue"/>
            <w:shd w:val="clear" w:color="auto" w:fill="auto"/>
            <w:vAlign w:val="center"/>
          </w:tcPr>
          <w:p w14:paraId="6FE5556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180" w:type="dxa"/>
            <w:vMerge w:val="continue"/>
            <w:shd w:val="clear" w:color="auto" w:fill="auto"/>
            <w:vAlign w:val="center"/>
          </w:tcPr>
          <w:p w14:paraId="277C026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386" w:type="dxa"/>
            <w:vMerge w:val="continue"/>
            <w:shd w:val="clear" w:color="auto" w:fill="auto"/>
            <w:noWrap/>
            <w:vAlign w:val="center"/>
          </w:tcPr>
          <w:p w14:paraId="2894A22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华文细黑" w:cs="Times New Roman"/>
                <w:i w:val="0"/>
                <w:iCs w:val="0"/>
                <w:color w:val="auto"/>
                <w:sz w:val="21"/>
                <w:szCs w:val="21"/>
                <w:u w:val="none"/>
              </w:rPr>
            </w:pPr>
          </w:p>
        </w:tc>
        <w:tc>
          <w:tcPr>
            <w:tcW w:w="1831" w:type="dxa"/>
            <w:vMerge w:val="continue"/>
            <w:shd w:val="clear" w:color="auto" w:fill="auto"/>
            <w:noWrap/>
            <w:vAlign w:val="center"/>
          </w:tcPr>
          <w:p w14:paraId="3DD25DE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r>
      <w:tr w14:paraId="768A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901" w:type="dxa"/>
            <w:vMerge w:val="continue"/>
            <w:shd w:val="clear" w:color="auto" w:fill="auto"/>
            <w:vAlign w:val="center"/>
          </w:tcPr>
          <w:p w14:paraId="1AC994E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180" w:type="dxa"/>
            <w:vMerge w:val="continue"/>
            <w:shd w:val="clear" w:color="auto" w:fill="auto"/>
            <w:vAlign w:val="center"/>
          </w:tcPr>
          <w:p w14:paraId="34AB806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386" w:type="dxa"/>
            <w:vMerge w:val="continue"/>
            <w:shd w:val="clear" w:color="auto" w:fill="auto"/>
            <w:noWrap/>
            <w:vAlign w:val="center"/>
          </w:tcPr>
          <w:p w14:paraId="6314029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华文细黑" w:cs="Times New Roman"/>
                <w:i w:val="0"/>
                <w:iCs w:val="0"/>
                <w:color w:val="auto"/>
                <w:sz w:val="21"/>
                <w:szCs w:val="21"/>
                <w:u w:val="none"/>
              </w:rPr>
            </w:pPr>
          </w:p>
        </w:tc>
        <w:tc>
          <w:tcPr>
            <w:tcW w:w="1831" w:type="dxa"/>
            <w:vMerge w:val="continue"/>
            <w:shd w:val="clear" w:color="auto" w:fill="auto"/>
            <w:noWrap/>
            <w:vAlign w:val="center"/>
          </w:tcPr>
          <w:p w14:paraId="23E969A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r>
      <w:tr w14:paraId="390ED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901" w:type="dxa"/>
            <w:shd w:val="clear" w:color="auto" w:fill="auto"/>
            <w:noWrap/>
            <w:vAlign w:val="center"/>
          </w:tcPr>
          <w:p w14:paraId="7ED042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密度</w:t>
            </w:r>
          </w:p>
        </w:tc>
        <w:tc>
          <w:tcPr>
            <w:tcW w:w="3180" w:type="dxa"/>
            <w:shd w:val="clear" w:color="auto" w:fill="auto"/>
            <w:noWrap/>
            <w:vAlign w:val="center"/>
          </w:tcPr>
          <w:p w14:paraId="3D7C1A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1033.1-2008</w:t>
            </w:r>
          </w:p>
        </w:tc>
        <w:tc>
          <w:tcPr>
            <w:tcW w:w="1386" w:type="dxa"/>
            <w:shd w:val="clear" w:color="auto" w:fill="auto"/>
            <w:noWrap/>
            <w:vAlign w:val="center"/>
          </w:tcPr>
          <w:p w14:paraId="06F7FF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g/cm</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1831" w:type="dxa"/>
            <w:shd w:val="clear" w:color="auto" w:fill="auto"/>
            <w:vAlign w:val="center"/>
          </w:tcPr>
          <w:p w14:paraId="7D48A4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1.04±0.02</w:t>
            </w:r>
          </w:p>
        </w:tc>
      </w:tr>
      <w:tr w14:paraId="19F3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901" w:type="dxa"/>
            <w:shd w:val="clear" w:color="auto" w:fill="auto"/>
            <w:noWrap/>
            <w:vAlign w:val="center"/>
          </w:tcPr>
          <w:p w14:paraId="3A8562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熔体流动速率</w:t>
            </w:r>
          </w:p>
        </w:tc>
        <w:tc>
          <w:tcPr>
            <w:tcW w:w="3180" w:type="dxa"/>
            <w:shd w:val="clear" w:color="auto" w:fill="auto"/>
            <w:noWrap/>
            <w:vAlign w:val="center"/>
          </w:tcPr>
          <w:p w14:paraId="54C379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3682.1-2018，220℃，5㎏</w:t>
            </w:r>
          </w:p>
        </w:tc>
        <w:tc>
          <w:tcPr>
            <w:tcW w:w="1386" w:type="dxa"/>
            <w:shd w:val="clear" w:color="auto" w:fill="auto"/>
            <w:noWrap/>
            <w:vAlign w:val="center"/>
          </w:tcPr>
          <w:p w14:paraId="0AADBB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g∕10min</w:t>
            </w:r>
          </w:p>
        </w:tc>
        <w:tc>
          <w:tcPr>
            <w:tcW w:w="1831" w:type="dxa"/>
            <w:shd w:val="clear" w:color="auto" w:fill="auto"/>
            <w:vAlign w:val="center"/>
          </w:tcPr>
          <w:p w14:paraId="64FC05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6FD9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1901" w:type="dxa"/>
            <w:shd w:val="clear" w:color="auto" w:fill="auto"/>
            <w:vAlign w:val="center"/>
          </w:tcPr>
          <w:p w14:paraId="2BA5326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悬臂梁缺口冲击强度</w:t>
            </w:r>
          </w:p>
        </w:tc>
        <w:tc>
          <w:tcPr>
            <w:tcW w:w="3180" w:type="dxa"/>
            <w:shd w:val="clear" w:color="auto" w:fill="auto"/>
            <w:vAlign w:val="center"/>
          </w:tcPr>
          <w:p w14:paraId="13F48D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1843-2008，23℃，2.75J，A型缺口，实验温度：23±1℃</w:t>
            </w:r>
          </w:p>
        </w:tc>
        <w:tc>
          <w:tcPr>
            <w:tcW w:w="1386" w:type="dxa"/>
            <w:shd w:val="clear" w:color="auto" w:fill="auto"/>
            <w:noWrap/>
            <w:vAlign w:val="center"/>
          </w:tcPr>
          <w:p w14:paraId="100564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KJ/m</w:t>
            </w:r>
            <w:r>
              <w:rPr>
                <w:rFonts w:hint="default" w:ascii="Times New Roman" w:hAnsi="Times New Roman" w:eastAsia="宋体" w:cs="Times New Roman"/>
                <w:i w:val="0"/>
                <w:iCs w:val="0"/>
                <w:color w:val="auto"/>
                <w:kern w:val="0"/>
                <w:sz w:val="21"/>
                <w:szCs w:val="21"/>
                <w:u w:val="none"/>
                <w:vertAlign w:val="superscript"/>
                <w:lang w:val="en-US" w:eastAsia="zh-CN" w:bidi="ar"/>
              </w:rPr>
              <w:t>2</w:t>
            </w:r>
          </w:p>
        </w:tc>
        <w:tc>
          <w:tcPr>
            <w:tcW w:w="1831" w:type="dxa"/>
            <w:shd w:val="clear" w:color="auto" w:fill="auto"/>
            <w:vAlign w:val="center"/>
          </w:tcPr>
          <w:p w14:paraId="50D182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w:t>
            </w:r>
          </w:p>
        </w:tc>
      </w:tr>
      <w:tr w14:paraId="1D365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901" w:type="dxa"/>
            <w:shd w:val="clear" w:color="auto" w:fill="auto"/>
            <w:noWrap/>
            <w:vAlign w:val="center"/>
          </w:tcPr>
          <w:p w14:paraId="400F1C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拉伸强度</w:t>
            </w:r>
          </w:p>
        </w:tc>
        <w:tc>
          <w:tcPr>
            <w:tcW w:w="3180" w:type="dxa"/>
            <w:vMerge w:val="restart"/>
            <w:shd w:val="clear" w:color="auto" w:fill="auto"/>
            <w:vAlign w:val="center"/>
          </w:tcPr>
          <w:p w14:paraId="36ADA5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1040.1-2025，试验速度：50mm/min,L0=50mm</w:t>
            </w:r>
          </w:p>
        </w:tc>
        <w:tc>
          <w:tcPr>
            <w:tcW w:w="1386" w:type="dxa"/>
            <w:shd w:val="clear" w:color="auto" w:fill="auto"/>
            <w:noWrap/>
            <w:vAlign w:val="center"/>
          </w:tcPr>
          <w:p w14:paraId="3544FE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Mpa</w:t>
            </w:r>
          </w:p>
        </w:tc>
        <w:tc>
          <w:tcPr>
            <w:tcW w:w="1831" w:type="dxa"/>
            <w:shd w:val="clear" w:color="auto" w:fill="auto"/>
            <w:vAlign w:val="center"/>
          </w:tcPr>
          <w:p w14:paraId="53FFB3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w:t>
            </w:r>
          </w:p>
        </w:tc>
      </w:tr>
      <w:tr w14:paraId="4F16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1901" w:type="dxa"/>
            <w:shd w:val="clear" w:color="auto" w:fill="auto"/>
            <w:noWrap/>
            <w:vAlign w:val="center"/>
          </w:tcPr>
          <w:p w14:paraId="6E435D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断裂伸长率</w:t>
            </w:r>
          </w:p>
        </w:tc>
        <w:tc>
          <w:tcPr>
            <w:tcW w:w="3180" w:type="dxa"/>
            <w:vMerge w:val="continue"/>
            <w:shd w:val="clear" w:color="auto" w:fill="auto"/>
            <w:vAlign w:val="center"/>
          </w:tcPr>
          <w:p w14:paraId="2D4A66D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386" w:type="dxa"/>
            <w:shd w:val="clear" w:color="auto" w:fill="auto"/>
            <w:noWrap/>
            <w:vAlign w:val="center"/>
          </w:tcPr>
          <w:p w14:paraId="23C188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831" w:type="dxa"/>
            <w:shd w:val="clear" w:color="auto" w:fill="auto"/>
            <w:vAlign w:val="center"/>
          </w:tcPr>
          <w:p w14:paraId="0773F6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4F24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901" w:type="dxa"/>
            <w:shd w:val="clear" w:color="auto" w:fill="auto"/>
            <w:noWrap/>
            <w:vAlign w:val="center"/>
          </w:tcPr>
          <w:p w14:paraId="0F9D1C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弯曲强度</w:t>
            </w:r>
          </w:p>
        </w:tc>
        <w:tc>
          <w:tcPr>
            <w:tcW w:w="3180" w:type="dxa"/>
            <w:vMerge w:val="restart"/>
            <w:shd w:val="clear" w:color="auto" w:fill="auto"/>
            <w:vAlign w:val="center"/>
          </w:tcPr>
          <w:p w14:paraId="44F84E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9341-2008，实验温度：23±1℃，实验速度：2mm/min,L=64mm</w:t>
            </w:r>
          </w:p>
        </w:tc>
        <w:tc>
          <w:tcPr>
            <w:tcW w:w="1386" w:type="dxa"/>
            <w:shd w:val="clear" w:color="auto" w:fill="auto"/>
            <w:noWrap/>
            <w:vAlign w:val="center"/>
          </w:tcPr>
          <w:p w14:paraId="70F1D3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Mpa</w:t>
            </w:r>
          </w:p>
        </w:tc>
        <w:tc>
          <w:tcPr>
            <w:tcW w:w="1831" w:type="dxa"/>
            <w:shd w:val="clear" w:color="auto" w:fill="auto"/>
            <w:vAlign w:val="center"/>
          </w:tcPr>
          <w:p w14:paraId="0681CD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5827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7" w:hRule="atLeast"/>
          <w:jc w:val="center"/>
        </w:trPr>
        <w:tc>
          <w:tcPr>
            <w:tcW w:w="1901" w:type="dxa"/>
            <w:shd w:val="clear" w:color="auto" w:fill="auto"/>
            <w:noWrap/>
            <w:vAlign w:val="center"/>
          </w:tcPr>
          <w:p w14:paraId="4A85D7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弯曲模量</w:t>
            </w:r>
          </w:p>
        </w:tc>
        <w:tc>
          <w:tcPr>
            <w:tcW w:w="3180" w:type="dxa"/>
            <w:vMerge w:val="continue"/>
            <w:shd w:val="clear" w:color="auto" w:fill="auto"/>
            <w:vAlign w:val="center"/>
          </w:tcPr>
          <w:p w14:paraId="41F54D2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386" w:type="dxa"/>
            <w:shd w:val="clear" w:color="auto" w:fill="auto"/>
            <w:noWrap/>
            <w:vAlign w:val="center"/>
          </w:tcPr>
          <w:p w14:paraId="712591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Mpa</w:t>
            </w:r>
          </w:p>
        </w:tc>
        <w:tc>
          <w:tcPr>
            <w:tcW w:w="1831" w:type="dxa"/>
            <w:shd w:val="clear" w:color="auto" w:fill="auto"/>
            <w:vAlign w:val="center"/>
          </w:tcPr>
          <w:p w14:paraId="0C1416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≥2000</w:t>
            </w:r>
          </w:p>
        </w:tc>
      </w:tr>
      <w:tr w14:paraId="71493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1901" w:type="dxa"/>
            <w:shd w:val="clear" w:color="auto" w:fill="auto"/>
            <w:noWrap/>
            <w:vAlign w:val="center"/>
          </w:tcPr>
          <w:p w14:paraId="5D04F4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负荷变形温度</w:t>
            </w:r>
          </w:p>
        </w:tc>
        <w:tc>
          <w:tcPr>
            <w:tcW w:w="3180" w:type="dxa"/>
            <w:shd w:val="clear" w:color="auto" w:fill="auto"/>
            <w:vAlign w:val="center"/>
          </w:tcPr>
          <w:p w14:paraId="324BC3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1634.1-2025，A法1.8MPa，平放，80 ㎜×10 ㎜×4 ㎜，L=64 ㎜±1 ㎜，未退火</w:t>
            </w:r>
          </w:p>
        </w:tc>
        <w:tc>
          <w:tcPr>
            <w:tcW w:w="1386" w:type="dxa"/>
            <w:shd w:val="clear" w:color="auto" w:fill="auto"/>
            <w:noWrap/>
            <w:vAlign w:val="center"/>
          </w:tcPr>
          <w:p w14:paraId="6D138E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831" w:type="dxa"/>
            <w:shd w:val="clear" w:color="auto" w:fill="auto"/>
            <w:vAlign w:val="center"/>
          </w:tcPr>
          <w:p w14:paraId="7FD317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≥85</w:t>
            </w:r>
          </w:p>
        </w:tc>
      </w:tr>
      <w:tr w14:paraId="40C5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901" w:type="dxa"/>
            <w:shd w:val="clear" w:color="auto" w:fill="auto"/>
            <w:noWrap/>
            <w:vAlign w:val="center"/>
          </w:tcPr>
          <w:p w14:paraId="7C40A5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颗粒外观</w:t>
            </w:r>
          </w:p>
        </w:tc>
        <w:tc>
          <w:tcPr>
            <w:tcW w:w="3180" w:type="dxa"/>
            <w:shd w:val="clear" w:color="auto" w:fill="auto"/>
            <w:noWrap/>
            <w:vAlign w:val="center"/>
          </w:tcPr>
          <w:p w14:paraId="4C76A6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目视</w:t>
            </w:r>
          </w:p>
        </w:tc>
        <w:tc>
          <w:tcPr>
            <w:tcW w:w="1386" w:type="dxa"/>
            <w:shd w:val="clear" w:color="auto" w:fill="auto"/>
            <w:noWrap/>
            <w:vAlign w:val="center"/>
          </w:tcPr>
          <w:p w14:paraId="73CAC0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831" w:type="dxa"/>
            <w:shd w:val="clear" w:color="auto" w:fill="auto"/>
            <w:vAlign w:val="center"/>
          </w:tcPr>
          <w:p w14:paraId="3CF5D4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颗粒大小均匀，无块料、长节料、杂色料、杂质、黑白点</w:t>
            </w:r>
          </w:p>
        </w:tc>
      </w:tr>
      <w:tr w14:paraId="4B00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901" w:type="dxa"/>
            <w:vMerge w:val="restart"/>
            <w:shd w:val="clear" w:color="auto" w:fill="auto"/>
            <w:noWrap/>
            <w:vAlign w:val="center"/>
          </w:tcPr>
          <w:p w14:paraId="19E22E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色差</w:t>
            </w:r>
          </w:p>
        </w:tc>
        <w:tc>
          <w:tcPr>
            <w:tcW w:w="3180" w:type="dxa"/>
            <w:vMerge w:val="restart"/>
            <w:shd w:val="clear" w:color="auto" w:fill="auto"/>
            <w:vAlign w:val="center"/>
          </w:tcPr>
          <w:p w14:paraId="58FA5D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分光测色仪</w:t>
            </w:r>
          </w:p>
        </w:tc>
        <w:tc>
          <w:tcPr>
            <w:tcW w:w="1386" w:type="dxa"/>
            <w:vMerge w:val="restart"/>
            <w:shd w:val="clear" w:color="auto" w:fill="auto"/>
            <w:noWrap/>
            <w:vAlign w:val="center"/>
          </w:tcPr>
          <w:p w14:paraId="2EEF5C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831" w:type="dxa"/>
            <w:shd w:val="clear" w:color="auto" w:fill="auto"/>
            <w:vAlign w:val="center"/>
          </w:tcPr>
          <w:p w14:paraId="311D3B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L:±0.3</w:t>
            </w:r>
          </w:p>
        </w:tc>
      </w:tr>
      <w:tr w14:paraId="3A619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901" w:type="dxa"/>
            <w:vMerge w:val="continue"/>
            <w:shd w:val="clear" w:color="auto" w:fill="auto"/>
            <w:noWrap/>
            <w:vAlign w:val="center"/>
          </w:tcPr>
          <w:p w14:paraId="29CD12D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180" w:type="dxa"/>
            <w:vMerge w:val="continue"/>
            <w:shd w:val="clear" w:color="auto" w:fill="auto"/>
            <w:vAlign w:val="center"/>
          </w:tcPr>
          <w:p w14:paraId="1CEB914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386" w:type="dxa"/>
            <w:vMerge w:val="continue"/>
            <w:shd w:val="clear" w:color="auto" w:fill="auto"/>
            <w:noWrap/>
            <w:vAlign w:val="center"/>
          </w:tcPr>
          <w:p w14:paraId="304B35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831" w:type="dxa"/>
            <w:shd w:val="clear" w:color="auto" w:fill="auto"/>
            <w:vAlign w:val="center"/>
          </w:tcPr>
          <w:p w14:paraId="0365B4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a:±0.2</w:t>
            </w:r>
          </w:p>
        </w:tc>
      </w:tr>
      <w:tr w14:paraId="44BB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901" w:type="dxa"/>
            <w:vMerge w:val="continue"/>
            <w:shd w:val="clear" w:color="auto" w:fill="auto"/>
            <w:noWrap/>
            <w:vAlign w:val="center"/>
          </w:tcPr>
          <w:p w14:paraId="59FDFF9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180" w:type="dxa"/>
            <w:vMerge w:val="continue"/>
            <w:shd w:val="clear" w:color="auto" w:fill="auto"/>
            <w:vAlign w:val="center"/>
          </w:tcPr>
          <w:p w14:paraId="0ECC0F9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386" w:type="dxa"/>
            <w:vMerge w:val="continue"/>
            <w:shd w:val="clear" w:color="auto" w:fill="auto"/>
            <w:noWrap/>
            <w:vAlign w:val="center"/>
          </w:tcPr>
          <w:p w14:paraId="3F8B8F8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831" w:type="dxa"/>
            <w:shd w:val="clear" w:color="auto" w:fill="auto"/>
            <w:vAlign w:val="center"/>
          </w:tcPr>
          <w:p w14:paraId="3C758B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b:±0.3</w:t>
            </w:r>
          </w:p>
        </w:tc>
      </w:tr>
      <w:tr w14:paraId="5AA93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901" w:type="dxa"/>
            <w:vMerge w:val="continue"/>
            <w:shd w:val="clear" w:color="auto" w:fill="auto"/>
            <w:noWrap/>
            <w:vAlign w:val="center"/>
          </w:tcPr>
          <w:p w14:paraId="7654C1C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180" w:type="dxa"/>
            <w:vMerge w:val="continue"/>
            <w:shd w:val="clear" w:color="auto" w:fill="auto"/>
            <w:vAlign w:val="center"/>
          </w:tcPr>
          <w:p w14:paraId="00535D1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386" w:type="dxa"/>
            <w:vMerge w:val="continue"/>
            <w:shd w:val="clear" w:color="auto" w:fill="auto"/>
            <w:noWrap/>
            <w:vAlign w:val="center"/>
          </w:tcPr>
          <w:p w14:paraId="6042EA6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831" w:type="dxa"/>
            <w:shd w:val="clear" w:color="auto" w:fill="auto"/>
            <w:vAlign w:val="center"/>
          </w:tcPr>
          <w:p w14:paraId="6D13F1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△E≤0.5</w:t>
            </w:r>
          </w:p>
        </w:tc>
      </w:tr>
      <w:tr w14:paraId="487B0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901" w:type="dxa"/>
            <w:shd w:val="clear" w:color="auto" w:fill="auto"/>
            <w:noWrap/>
            <w:vAlign w:val="center"/>
          </w:tcPr>
          <w:p w14:paraId="40BA73E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水分</w:t>
            </w:r>
          </w:p>
        </w:tc>
        <w:tc>
          <w:tcPr>
            <w:tcW w:w="3180" w:type="dxa"/>
            <w:shd w:val="clear" w:color="auto" w:fill="auto"/>
            <w:vAlign w:val="center"/>
          </w:tcPr>
          <w:p w14:paraId="56462D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对生产日期超过1个月的产品注塑色板观察外观</w:t>
            </w:r>
          </w:p>
        </w:tc>
        <w:tc>
          <w:tcPr>
            <w:tcW w:w="1386" w:type="dxa"/>
            <w:shd w:val="clear" w:color="auto" w:fill="auto"/>
            <w:noWrap/>
            <w:vAlign w:val="center"/>
          </w:tcPr>
          <w:p w14:paraId="0224E3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831" w:type="dxa"/>
            <w:shd w:val="clear" w:color="auto" w:fill="auto"/>
            <w:vAlign w:val="center"/>
          </w:tcPr>
          <w:p w14:paraId="3334F6E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色板表面无水花</w:t>
            </w:r>
          </w:p>
        </w:tc>
      </w:tr>
    </w:tbl>
    <w:p w14:paraId="0E5A7685">
      <w:pPr>
        <w:pStyle w:val="93"/>
        <w:bidi w:val="0"/>
        <w:rPr>
          <w:rFonts w:hint="default" w:ascii="Times New Roman" w:hAnsi="Times New Roman" w:cs="Times New Roman"/>
          <w:color w:val="auto"/>
          <w:lang w:val="en-US" w:eastAsia="zh-CN"/>
        </w:rPr>
      </w:pPr>
    </w:p>
    <w:p w14:paraId="6A1C42D5">
      <w:pPr>
        <w:pStyle w:val="93"/>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表2.5-4     改性PA产品标准（企业标准）</w:t>
      </w:r>
    </w:p>
    <w:tbl>
      <w:tblPr>
        <w:tblStyle w:val="44"/>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879"/>
        <w:gridCol w:w="3239"/>
        <w:gridCol w:w="2160"/>
        <w:gridCol w:w="1080"/>
      </w:tblGrid>
      <w:tr w14:paraId="1630B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2160" w:type="dxa"/>
            <w:vMerge w:val="restart"/>
            <w:shd w:val="clear" w:color="auto" w:fill="auto"/>
            <w:vAlign w:val="center"/>
          </w:tcPr>
          <w:p w14:paraId="657062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检验项目</w:t>
            </w:r>
          </w:p>
        </w:tc>
        <w:tc>
          <w:tcPr>
            <w:tcW w:w="3240" w:type="dxa"/>
            <w:vMerge w:val="restart"/>
            <w:shd w:val="clear" w:color="auto" w:fill="auto"/>
            <w:vAlign w:val="center"/>
          </w:tcPr>
          <w:p w14:paraId="032D362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测试标准及条件</w:t>
            </w:r>
          </w:p>
        </w:tc>
        <w:tc>
          <w:tcPr>
            <w:tcW w:w="2160" w:type="dxa"/>
            <w:vMerge w:val="restart"/>
            <w:shd w:val="clear" w:color="auto" w:fill="auto"/>
            <w:noWrap/>
            <w:vAlign w:val="center"/>
          </w:tcPr>
          <w:p w14:paraId="1AA12A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华文细黑" w:cs="Times New Roman"/>
                <w:i w:val="0"/>
                <w:iCs w:val="0"/>
                <w:color w:val="auto"/>
                <w:sz w:val="21"/>
                <w:szCs w:val="21"/>
                <w:u w:val="none"/>
              </w:rPr>
            </w:pPr>
            <w:r>
              <w:rPr>
                <w:rFonts w:hint="default" w:ascii="Times New Roman" w:hAnsi="Times New Roman" w:eastAsia="华文细黑" w:cs="Times New Roman"/>
                <w:i w:val="0"/>
                <w:iCs w:val="0"/>
                <w:color w:val="auto"/>
                <w:kern w:val="0"/>
                <w:sz w:val="21"/>
                <w:szCs w:val="21"/>
                <w:u w:val="none"/>
                <w:lang w:val="en-US" w:eastAsia="zh-CN" w:bidi="ar"/>
              </w:rPr>
              <w:t>单位</w:t>
            </w:r>
          </w:p>
        </w:tc>
        <w:tc>
          <w:tcPr>
            <w:tcW w:w="1080" w:type="dxa"/>
            <w:vMerge w:val="restart"/>
            <w:shd w:val="clear" w:color="auto" w:fill="auto"/>
            <w:noWrap/>
            <w:vAlign w:val="center"/>
          </w:tcPr>
          <w:p w14:paraId="6BD3D6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技术要求</w:t>
            </w:r>
          </w:p>
        </w:tc>
      </w:tr>
      <w:tr w14:paraId="0422B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2160" w:type="dxa"/>
            <w:vMerge w:val="continue"/>
            <w:shd w:val="clear" w:color="auto" w:fill="auto"/>
            <w:vAlign w:val="center"/>
          </w:tcPr>
          <w:p w14:paraId="7B9CB9D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240" w:type="dxa"/>
            <w:vMerge w:val="continue"/>
            <w:shd w:val="clear" w:color="auto" w:fill="auto"/>
            <w:vAlign w:val="center"/>
          </w:tcPr>
          <w:p w14:paraId="0D1C509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2160" w:type="dxa"/>
            <w:vMerge w:val="continue"/>
            <w:shd w:val="clear" w:color="auto" w:fill="auto"/>
            <w:noWrap/>
            <w:vAlign w:val="center"/>
          </w:tcPr>
          <w:p w14:paraId="5E26D3F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华文细黑" w:cs="Times New Roman"/>
                <w:i w:val="0"/>
                <w:iCs w:val="0"/>
                <w:color w:val="auto"/>
                <w:sz w:val="21"/>
                <w:szCs w:val="21"/>
                <w:u w:val="none"/>
              </w:rPr>
            </w:pPr>
          </w:p>
        </w:tc>
        <w:tc>
          <w:tcPr>
            <w:tcW w:w="1080" w:type="dxa"/>
            <w:vMerge w:val="continue"/>
            <w:shd w:val="clear" w:color="auto" w:fill="auto"/>
            <w:noWrap/>
            <w:vAlign w:val="center"/>
          </w:tcPr>
          <w:p w14:paraId="7904B7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r>
      <w:tr w14:paraId="1485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2160" w:type="dxa"/>
            <w:vMerge w:val="continue"/>
            <w:shd w:val="clear" w:color="auto" w:fill="auto"/>
            <w:vAlign w:val="center"/>
          </w:tcPr>
          <w:p w14:paraId="12FBA20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240" w:type="dxa"/>
            <w:vMerge w:val="continue"/>
            <w:shd w:val="clear" w:color="auto" w:fill="auto"/>
            <w:vAlign w:val="center"/>
          </w:tcPr>
          <w:p w14:paraId="4A6DF5C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2160" w:type="dxa"/>
            <w:vMerge w:val="continue"/>
            <w:shd w:val="clear" w:color="auto" w:fill="auto"/>
            <w:noWrap/>
            <w:vAlign w:val="center"/>
          </w:tcPr>
          <w:p w14:paraId="07FA3C0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华文细黑" w:cs="Times New Roman"/>
                <w:i w:val="0"/>
                <w:iCs w:val="0"/>
                <w:color w:val="auto"/>
                <w:sz w:val="21"/>
                <w:szCs w:val="21"/>
                <w:u w:val="none"/>
              </w:rPr>
            </w:pPr>
          </w:p>
        </w:tc>
        <w:tc>
          <w:tcPr>
            <w:tcW w:w="1080" w:type="dxa"/>
            <w:vMerge w:val="continue"/>
            <w:shd w:val="clear" w:color="auto" w:fill="auto"/>
            <w:noWrap/>
            <w:vAlign w:val="center"/>
          </w:tcPr>
          <w:p w14:paraId="63BF4FC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r>
      <w:tr w14:paraId="58EC9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0" w:type="auto"/>
            <w:shd w:val="clear" w:color="auto" w:fill="auto"/>
            <w:noWrap/>
            <w:vAlign w:val="center"/>
          </w:tcPr>
          <w:p w14:paraId="076270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密度</w:t>
            </w:r>
          </w:p>
        </w:tc>
        <w:tc>
          <w:tcPr>
            <w:tcW w:w="0" w:type="auto"/>
            <w:shd w:val="clear" w:color="auto" w:fill="auto"/>
            <w:noWrap/>
            <w:vAlign w:val="center"/>
          </w:tcPr>
          <w:p w14:paraId="72C22D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1033.1-2008</w:t>
            </w:r>
          </w:p>
        </w:tc>
        <w:tc>
          <w:tcPr>
            <w:tcW w:w="0" w:type="auto"/>
            <w:shd w:val="clear" w:color="auto" w:fill="auto"/>
            <w:noWrap/>
            <w:vAlign w:val="center"/>
          </w:tcPr>
          <w:p w14:paraId="0A347F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g/cm</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1080" w:type="dxa"/>
            <w:shd w:val="clear" w:color="auto" w:fill="auto"/>
            <w:vAlign w:val="center"/>
          </w:tcPr>
          <w:p w14:paraId="242D74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1.33±0.02</w:t>
            </w:r>
          </w:p>
        </w:tc>
      </w:tr>
      <w:tr w14:paraId="6DD3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shd w:val="clear" w:color="auto" w:fill="auto"/>
            <w:noWrap/>
            <w:vAlign w:val="center"/>
          </w:tcPr>
          <w:p w14:paraId="32E768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熔体流动速率</w:t>
            </w:r>
          </w:p>
        </w:tc>
        <w:tc>
          <w:tcPr>
            <w:tcW w:w="0" w:type="auto"/>
            <w:shd w:val="clear" w:color="auto" w:fill="auto"/>
            <w:noWrap/>
            <w:vAlign w:val="center"/>
          </w:tcPr>
          <w:p w14:paraId="4C674A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3682.1-2018，260℃，10㎏</w:t>
            </w:r>
          </w:p>
        </w:tc>
        <w:tc>
          <w:tcPr>
            <w:tcW w:w="0" w:type="auto"/>
            <w:shd w:val="clear" w:color="auto" w:fill="auto"/>
            <w:noWrap/>
            <w:vAlign w:val="center"/>
          </w:tcPr>
          <w:p w14:paraId="7AEFE56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g∕10min</w:t>
            </w:r>
          </w:p>
        </w:tc>
        <w:tc>
          <w:tcPr>
            <w:tcW w:w="1080" w:type="dxa"/>
            <w:shd w:val="clear" w:color="auto" w:fill="auto"/>
            <w:vAlign w:val="center"/>
          </w:tcPr>
          <w:p w14:paraId="1AE70D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67C5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2160" w:type="dxa"/>
            <w:shd w:val="clear" w:color="auto" w:fill="auto"/>
            <w:vAlign w:val="center"/>
          </w:tcPr>
          <w:p w14:paraId="6B533D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悬臂梁缺口冲击强度</w:t>
            </w:r>
          </w:p>
        </w:tc>
        <w:tc>
          <w:tcPr>
            <w:tcW w:w="3240" w:type="dxa"/>
            <w:shd w:val="clear" w:color="auto" w:fill="auto"/>
            <w:vAlign w:val="center"/>
          </w:tcPr>
          <w:p w14:paraId="1C3677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1843-2008，23℃，2.75J，A型缺口，实验温度：23±1℃</w:t>
            </w:r>
          </w:p>
        </w:tc>
        <w:tc>
          <w:tcPr>
            <w:tcW w:w="0" w:type="auto"/>
            <w:shd w:val="clear" w:color="auto" w:fill="auto"/>
            <w:noWrap/>
            <w:vAlign w:val="center"/>
          </w:tcPr>
          <w:p w14:paraId="15D1E0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KJ/m</w:t>
            </w:r>
            <w:r>
              <w:rPr>
                <w:rFonts w:hint="default" w:ascii="Times New Roman" w:hAnsi="Times New Roman" w:eastAsia="宋体" w:cs="Times New Roman"/>
                <w:i w:val="0"/>
                <w:iCs w:val="0"/>
                <w:color w:val="auto"/>
                <w:kern w:val="0"/>
                <w:sz w:val="21"/>
                <w:szCs w:val="21"/>
                <w:u w:val="none"/>
                <w:vertAlign w:val="superscript"/>
                <w:lang w:val="en-US" w:eastAsia="zh-CN" w:bidi="ar"/>
              </w:rPr>
              <w:t>2</w:t>
            </w:r>
          </w:p>
        </w:tc>
        <w:tc>
          <w:tcPr>
            <w:tcW w:w="1080" w:type="dxa"/>
            <w:shd w:val="clear" w:color="auto" w:fill="auto"/>
            <w:vAlign w:val="center"/>
          </w:tcPr>
          <w:p w14:paraId="613496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w:t>
            </w:r>
          </w:p>
        </w:tc>
      </w:tr>
      <w:tr w14:paraId="681F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shd w:val="clear" w:color="auto" w:fill="auto"/>
            <w:noWrap/>
            <w:vAlign w:val="center"/>
          </w:tcPr>
          <w:p w14:paraId="45ABA9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拉伸强度</w:t>
            </w:r>
          </w:p>
        </w:tc>
        <w:tc>
          <w:tcPr>
            <w:tcW w:w="3240" w:type="dxa"/>
            <w:vMerge w:val="restart"/>
            <w:shd w:val="clear" w:color="auto" w:fill="auto"/>
            <w:vAlign w:val="center"/>
          </w:tcPr>
          <w:p w14:paraId="7A6066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1040.1-2025，试验速度：50mm/min,L0=50mm</w:t>
            </w:r>
          </w:p>
        </w:tc>
        <w:tc>
          <w:tcPr>
            <w:tcW w:w="0" w:type="auto"/>
            <w:shd w:val="clear" w:color="auto" w:fill="auto"/>
            <w:noWrap/>
            <w:vAlign w:val="center"/>
          </w:tcPr>
          <w:p w14:paraId="531690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Mpa</w:t>
            </w:r>
          </w:p>
        </w:tc>
        <w:tc>
          <w:tcPr>
            <w:tcW w:w="1080" w:type="dxa"/>
            <w:shd w:val="clear" w:color="auto" w:fill="auto"/>
            <w:vAlign w:val="center"/>
          </w:tcPr>
          <w:p w14:paraId="6BB2E1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≥80</w:t>
            </w:r>
          </w:p>
        </w:tc>
      </w:tr>
      <w:tr w14:paraId="6D41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jc w:val="center"/>
        </w:trPr>
        <w:tc>
          <w:tcPr>
            <w:tcW w:w="0" w:type="auto"/>
            <w:shd w:val="clear" w:color="auto" w:fill="auto"/>
            <w:noWrap/>
            <w:vAlign w:val="center"/>
          </w:tcPr>
          <w:p w14:paraId="1DFDBD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断裂伸长率</w:t>
            </w:r>
          </w:p>
        </w:tc>
        <w:tc>
          <w:tcPr>
            <w:tcW w:w="3240" w:type="dxa"/>
            <w:vMerge w:val="continue"/>
            <w:shd w:val="clear" w:color="auto" w:fill="auto"/>
            <w:vAlign w:val="center"/>
          </w:tcPr>
          <w:p w14:paraId="0CF3434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0" w:type="auto"/>
            <w:shd w:val="clear" w:color="auto" w:fill="auto"/>
            <w:noWrap/>
            <w:vAlign w:val="center"/>
          </w:tcPr>
          <w:p w14:paraId="26527D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080" w:type="dxa"/>
            <w:shd w:val="clear" w:color="auto" w:fill="auto"/>
            <w:vAlign w:val="center"/>
          </w:tcPr>
          <w:p w14:paraId="2816E0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5DD11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0" w:type="auto"/>
            <w:shd w:val="clear" w:color="auto" w:fill="auto"/>
            <w:noWrap/>
            <w:vAlign w:val="center"/>
          </w:tcPr>
          <w:p w14:paraId="568333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弯曲强度</w:t>
            </w:r>
          </w:p>
        </w:tc>
        <w:tc>
          <w:tcPr>
            <w:tcW w:w="3240" w:type="dxa"/>
            <w:vMerge w:val="restart"/>
            <w:shd w:val="clear" w:color="auto" w:fill="auto"/>
            <w:vAlign w:val="center"/>
          </w:tcPr>
          <w:p w14:paraId="78CE68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9341-2008，实验温度：23±1℃，实验速度：2mm/min,L=64mm</w:t>
            </w:r>
          </w:p>
        </w:tc>
        <w:tc>
          <w:tcPr>
            <w:tcW w:w="0" w:type="auto"/>
            <w:shd w:val="clear" w:color="auto" w:fill="auto"/>
            <w:noWrap/>
            <w:vAlign w:val="center"/>
          </w:tcPr>
          <w:p w14:paraId="488C7B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Mpa</w:t>
            </w:r>
          </w:p>
        </w:tc>
        <w:tc>
          <w:tcPr>
            <w:tcW w:w="1080" w:type="dxa"/>
            <w:shd w:val="clear" w:color="auto" w:fill="auto"/>
            <w:vAlign w:val="center"/>
          </w:tcPr>
          <w:p w14:paraId="068CB0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≥120</w:t>
            </w:r>
          </w:p>
        </w:tc>
      </w:tr>
      <w:tr w14:paraId="6647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3F7274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弯曲模量</w:t>
            </w:r>
          </w:p>
        </w:tc>
        <w:tc>
          <w:tcPr>
            <w:tcW w:w="3240" w:type="dxa"/>
            <w:vMerge w:val="continue"/>
            <w:shd w:val="clear" w:color="auto" w:fill="auto"/>
            <w:vAlign w:val="center"/>
          </w:tcPr>
          <w:p w14:paraId="3DE11B2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0" w:type="auto"/>
            <w:shd w:val="clear" w:color="auto" w:fill="auto"/>
            <w:noWrap/>
            <w:vAlign w:val="center"/>
          </w:tcPr>
          <w:p w14:paraId="290B0B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Mpa</w:t>
            </w:r>
          </w:p>
        </w:tc>
        <w:tc>
          <w:tcPr>
            <w:tcW w:w="1080" w:type="dxa"/>
            <w:shd w:val="clear" w:color="auto" w:fill="auto"/>
            <w:vAlign w:val="center"/>
          </w:tcPr>
          <w:p w14:paraId="17D501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≥5000</w:t>
            </w:r>
          </w:p>
        </w:tc>
      </w:tr>
      <w:tr w14:paraId="0F4E0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jc w:val="center"/>
        </w:trPr>
        <w:tc>
          <w:tcPr>
            <w:tcW w:w="0" w:type="auto"/>
            <w:shd w:val="clear" w:color="auto" w:fill="auto"/>
            <w:noWrap/>
            <w:vAlign w:val="center"/>
          </w:tcPr>
          <w:p w14:paraId="62C051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负荷变形温度</w:t>
            </w:r>
          </w:p>
        </w:tc>
        <w:tc>
          <w:tcPr>
            <w:tcW w:w="3240" w:type="dxa"/>
            <w:shd w:val="clear" w:color="auto" w:fill="auto"/>
            <w:vAlign w:val="center"/>
          </w:tcPr>
          <w:p w14:paraId="733E85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GB/T 1634.1-2025，A法1.8MPa，平放，80㎜×10㎜×4㎜，L=64㎜±1㎜，未退火</w:t>
            </w:r>
          </w:p>
        </w:tc>
        <w:tc>
          <w:tcPr>
            <w:tcW w:w="0" w:type="auto"/>
            <w:shd w:val="clear" w:color="auto" w:fill="auto"/>
            <w:noWrap/>
            <w:vAlign w:val="center"/>
          </w:tcPr>
          <w:p w14:paraId="41CB1F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080" w:type="dxa"/>
            <w:shd w:val="clear" w:color="auto" w:fill="auto"/>
            <w:vAlign w:val="center"/>
          </w:tcPr>
          <w:p w14:paraId="34DDE6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≥140</w:t>
            </w:r>
          </w:p>
        </w:tc>
      </w:tr>
      <w:tr w14:paraId="222E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5" w:hRule="atLeast"/>
          <w:jc w:val="center"/>
        </w:trPr>
        <w:tc>
          <w:tcPr>
            <w:tcW w:w="0" w:type="auto"/>
            <w:shd w:val="clear" w:color="auto" w:fill="auto"/>
            <w:noWrap/>
            <w:vAlign w:val="center"/>
          </w:tcPr>
          <w:p w14:paraId="293C16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颗粒外观</w:t>
            </w:r>
          </w:p>
        </w:tc>
        <w:tc>
          <w:tcPr>
            <w:tcW w:w="0" w:type="auto"/>
            <w:shd w:val="clear" w:color="auto" w:fill="auto"/>
            <w:noWrap/>
            <w:vAlign w:val="center"/>
          </w:tcPr>
          <w:p w14:paraId="0F0C17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目视</w:t>
            </w:r>
          </w:p>
        </w:tc>
        <w:tc>
          <w:tcPr>
            <w:tcW w:w="0" w:type="auto"/>
            <w:shd w:val="clear" w:color="auto" w:fill="auto"/>
            <w:noWrap/>
            <w:vAlign w:val="center"/>
          </w:tcPr>
          <w:p w14:paraId="33A48F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080" w:type="dxa"/>
            <w:shd w:val="clear" w:color="auto" w:fill="auto"/>
            <w:vAlign w:val="center"/>
          </w:tcPr>
          <w:p w14:paraId="228E67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颗粒大小均匀，无块料、长节料、杂色料、杂质、黑白点</w:t>
            </w:r>
          </w:p>
        </w:tc>
      </w:tr>
      <w:tr w14:paraId="6B20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0" w:type="auto"/>
            <w:vMerge w:val="restart"/>
            <w:shd w:val="clear" w:color="auto" w:fill="auto"/>
            <w:noWrap/>
            <w:vAlign w:val="center"/>
          </w:tcPr>
          <w:p w14:paraId="4F4D01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色差</w:t>
            </w:r>
          </w:p>
        </w:tc>
        <w:tc>
          <w:tcPr>
            <w:tcW w:w="3240" w:type="dxa"/>
            <w:vMerge w:val="restart"/>
            <w:shd w:val="clear" w:color="auto" w:fill="auto"/>
            <w:vAlign w:val="center"/>
          </w:tcPr>
          <w:p w14:paraId="745747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分光测色仪</w:t>
            </w:r>
          </w:p>
        </w:tc>
        <w:tc>
          <w:tcPr>
            <w:tcW w:w="0" w:type="auto"/>
            <w:vMerge w:val="restart"/>
            <w:shd w:val="clear" w:color="auto" w:fill="auto"/>
            <w:noWrap/>
            <w:vAlign w:val="center"/>
          </w:tcPr>
          <w:p w14:paraId="363E65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080" w:type="dxa"/>
            <w:shd w:val="clear" w:color="auto" w:fill="auto"/>
            <w:vAlign w:val="center"/>
          </w:tcPr>
          <w:p w14:paraId="462406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L:±0.3</w:t>
            </w:r>
          </w:p>
        </w:tc>
      </w:tr>
      <w:tr w14:paraId="13B9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center"/>
          </w:tcPr>
          <w:p w14:paraId="0CD7A5C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240" w:type="dxa"/>
            <w:vMerge w:val="continue"/>
            <w:shd w:val="clear" w:color="auto" w:fill="auto"/>
            <w:vAlign w:val="center"/>
          </w:tcPr>
          <w:p w14:paraId="41CA988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0" w:type="auto"/>
            <w:vMerge w:val="continue"/>
            <w:shd w:val="clear" w:color="auto" w:fill="auto"/>
            <w:noWrap/>
            <w:vAlign w:val="center"/>
          </w:tcPr>
          <w:p w14:paraId="4BC5DA1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080" w:type="dxa"/>
            <w:shd w:val="clear" w:color="auto" w:fill="auto"/>
            <w:vAlign w:val="center"/>
          </w:tcPr>
          <w:p w14:paraId="1F9D8A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a:±0.2</w:t>
            </w:r>
          </w:p>
        </w:tc>
      </w:tr>
      <w:tr w14:paraId="1E7A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center"/>
          </w:tcPr>
          <w:p w14:paraId="630A182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240" w:type="dxa"/>
            <w:vMerge w:val="continue"/>
            <w:shd w:val="clear" w:color="auto" w:fill="auto"/>
            <w:vAlign w:val="center"/>
          </w:tcPr>
          <w:p w14:paraId="3A5A166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0" w:type="auto"/>
            <w:vMerge w:val="continue"/>
            <w:shd w:val="clear" w:color="auto" w:fill="auto"/>
            <w:noWrap/>
            <w:vAlign w:val="center"/>
          </w:tcPr>
          <w:p w14:paraId="10C7EC5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080" w:type="dxa"/>
            <w:shd w:val="clear" w:color="auto" w:fill="auto"/>
            <w:vAlign w:val="center"/>
          </w:tcPr>
          <w:p w14:paraId="0CBD71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b:±0.3</w:t>
            </w:r>
          </w:p>
        </w:tc>
      </w:tr>
      <w:tr w14:paraId="5567D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center"/>
          </w:tcPr>
          <w:p w14:paraId="2CA2EB8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3240" w:type="dxa"/>
            <w:vMerge w:val="continue"/>
            <w:shd w:val="clear" w:color="auto" w:fill="auto"/>
            <w:vAlign w:val="center"/>
          </w:tcPr>
          <w:p w14:paraId="6861D66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0" w:type="auto"/>
            <w:vMerge w:val="continue"/>
            <w:shd w:val="clear" w:color="auto" w:fill="auto"/>
            <w:noWrap/>
            <w:vAlign w:val="center"/>
          </w:tcPr>
          <w:p w14:paraId="6DBA1B6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auto"/>
                <w:sz w:val="21"/>
                <w:szCs w:val="21"/>
                <w:u w:val="none"/>
              </w:rPr>
            </w:pPr>
          </w:p>
        </w:tc>
        <w:tc>
          <w:tcPr>
            <w:tcW w:w="1080" w:type="dxa"/>
            <w:shd w:val="clear" w:color="auto" w:fill="auto"/>
            <w:vAlign w:val="center"/>
          </w:tcPr>
          <w:p w14:paraId="2A3044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△E≤0.5</w:t>
            </w:r>
          </w:p>
        </w:tc>
      </w:tr>
      <w:tr w14:paraId="3EB58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jc w:val="center"/>
        </w:trPr>
        <w:tc>
          <w:tcPr>
            <w:tcW w:w="0" w:type="auto"/>
            <w:shd w:val="clear" w:color="auto" w:fill="auto"/>
            <w:noWrap/>
            <w:vAlign w:val="center"/>
          </w:tcPr>
          <w:p w14:paraId="5C98FA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水分</w:t>
            </w:r>
          </w:p>
        </w:tc>
        <w:tc>
          <w:tcPr>
            <w:tcW w:w="3240" w:type="dxa"/>
            <w:shd w:val="clear" w:color="auto" w:fill="auto"/>
            <w:vAlign w:val="center"/>
          </w:tcPr>
          <w:p w14:paraId="49FCE1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对生产日期超过1个月的产品注塑色板观察外观</w:t>
            </w:r>
          </w:p>
        </w:tc>
        <w:tc>
          <w:tcPr>
            <w:tcW w:w="0" w:type="auto"/>
            <w:shd w:val="clear" w:color="auto" w:fill="auto"/>
            <w:noWrap/>
            <w:vAlign w:val="center"/>
          </w:tcPr>
          <w:p w14:paraId="715B2F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080" w:type="dxa"/>
            <w:shd w:val="clear" w:color="auto" w:fill="auto"/>
            <w:vAlign w:val="center"/>
          </w:tcPr>
          <w:p w14:paraId="4C00C9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色板表面无水花</w:t>
            </w:r>
          </w:p>
        </w:tc>
      </w:tr>
    </w:tbl>
    <w:p w14:paraId="73138BD6">
      <w:pPr>
        <w:ind w:firstLine="480"/>
        <w:rPr>
          <w:rFonts w:hint="default" w:ascii="Times New Roman" w:hAnsi="Times New Roman" w:cs="Times New Roman"/>
          <w:color w:val="auto"/>
        </w:rPr>
      </w:pPr>
    </w:p>
    <w:p w14:paraId="63F229E9">
      <w:pPr>
        <w:ind w:firstLine="480"/>
        <w:rPr>
          <w:rFonts w:hint="default" w:ascii="Times New Roman" w:hAnsi="Times New Roman" w:cs="Times New Roman"/>
          <w:color w:val="auto"/>
        </w:rPr>
      </w:pPr>
    </w:p>
    <w:p w14:paraId="7431806A">
      <w:pPr>
        <w:pStyle w:val="93"/>
        <w:rPr>
          <w:rFonts w:hint="default" w:ascii="Times New Roman" w:hAnsi="Times New Roman" w:cs="Times New Roman"/>
          <w:color w:val="auto"/>
        </w:rPr>
      </w:pPr>
      <w:r>
        <w:rPr>
          <w:rFonts w:hint="default" w:ascii="Times New Roman" w:hAnsi="Times New Roman" w:cs="Times New Roman"/>
          <w:color w:val="auto"/>
        </w:rPr>
        <w:t>表2.5-</w:t>
      </w:r>
      <w:r>
        <w:rPr>
          <w:rFonts w:hint="default" w:ascii="Times New Roman" w:hAnsi="Times New Roman" w:cs="Times New Roman"/>
          <w:color w:val="auto"/>
          <w:lang w:val="en-US" w:eastAsia="zh-CN"/>
        </w:rPr>
        <w:t>5</w:t>
      </w:r>
      <w:r>
        <w:rPr>
          <w:rFonts w:hint="default" w:ascii="Times New Roman" w:hAnsi="Times New Roman" w:cs="Times New Roman"/>
          <w:color w:val="auto"/>
        </w:rPr>
        <w:t xml:space="preserve">   本项目生产规模及产品方案一览表</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886"/>
        <w:gridCol w:w="1620"/>
        <w:gridCol w:w="1658"/>
        <w:gridCol w:w="4365"/>
      </w:tblGrid>
      <w:tr w14:paraId="04A292C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519" w:type="pct"/>
            <w:tcBorders>
              <w:tl2br w:val="nil"/>
              <w:tr2bl w:val="nil"/>
            </w:tcBorders>
            <w:vAlign w:val="center"/>
          </w:tcPr>
          <w:p w14:paraId="5ED0C4E7">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949" w:type="pct"/>
            <w:tcBorders>
              <w:tl2br w:val="nil"/>
              <w:tr2bl w:val="nil"/>
            </w:tcBorders>
            <w:vAlign w:val="center"/>
          </w:tcPr>
          <w:p w14:paraId="42DA272A">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类别</w:t>
            </w:r>
          </w:p>
        </w:tc>
        <w:tc>
          <w:tcPr>
            <w:tcW w:w="972" w:type="pct"/>
            <w:tcBorders>
              <w:tl2br w:val="nil"/>
              <w:tr2bl w:val="nil"/>
            </w:tcBorders>
            <w:vAlign w:val="center"/>
          </w:tcPr>
          <w:p w14:paraId="163B98FF">
            <w:pPr>
              <w:autoSpaceDN w:val="0"/>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shd w:val="clear" w:color="auto" w:fill="FFFFFF"/>
              </w:rPr>
              <w:t>年产量（t/a）</w:t>
            </w:r>
          </w:p>
        </w:tc>
        <w:tc>
          <w:tcPr>
            <w:tcW w:w="2558" w:type="pct"/>
            <w:tcBorders>
              <w:tl2br w:val="nil"/>
              <w:tr2bl w:val="nil"/>
            </w:tcBorders>
            <w:vAlign w:val="center"/>
          </w:tcPr>
          <w:p w14:paraId="19474294">
            <w:pPr>
              <w:autoSpaceDN w:val="0"/>
              <w:adjustRightInd w:val="0"/>
              <w:snapToGrid w:val="0"/>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照片</w:t>
            </w:r>
          </w:p>
        </w:tc>
      </w:tr>
      <w:tr w14:paraId="45C0B6C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4" w:hRule="atLeast"/>
          <w:jc w:val="center"/>
        </w:trPr>
        <w:tc>
          <w:tcPr>
            <w:tcW w:w="519" w:type="pct"/>
            <w:tcBorders>
              <w:tl2br w:val="nil"/>
              <w:tr2bl w:val="nil"/>
            </w:tcBorders>
            <w:vAlign w:val="center"/>
          </w:tcPr>
          <w:p w14:paraId="67F11E23">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949" w:type="pct"/>
            <w:tcBorders>
              <w:tl2br w:val="nil"/>
              <w:tr2bl w:val="nil"/>
            </w:tcBorders>
            <w:vAlign w:val="center"/>
          </w:tcPr>
          <w:p w14:paraId="082BEBC4">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改性PP</w:t>
            </w:r>
          </w:p>
        </w:tc>
        <w:tc>
          <w:tcPr>
            <w:tcW w:w="972" w:type="pct"/>
            <w:tcBorders>
              <w:tl2br w:val="nil"/>
              <w:tr2bl w:val="nil"/>
            </w:tcBorders>
            <w:vAlign w:val="center"/>
          </w:tcPr>
          <w:p w14:paraId="0CB54823">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3200</w:t>
            </w:r>
          </w:p>
        </w:tc>
        <w:tc>
          <w:tcPr>
            <w:tcW w:w="2558" w:type="pct"/>
            <w:tcBorders>
              <w:tl2br w:val="nil"/>
              <w:tr2bl w:val="nil"/>
            </w:tcBorders>
            <w:vAlign w:val="center"/>
          </w:tcPr>
          <w:p w14:paraId="34495D0B">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drawing>
                <wp:inline distT="0" distB="0" distL="114300" distR="114300">
                  <wp:extent cx="1632585" cy="2177415"/>
                  <wp:effectExtent l="0" t="0" r="5715" b="13335"/>
                  <wp:docPr id="23" name="图片 23" descr="bb22f5c83850efa4bf31fad5cb7916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bb22f5c83850efa4bf31fad5cb79164c"/>
                          <pic:cNvPicPr>
                            <a:picLocks noChangeAspect="1"/>
                          </pic:cNvPicPr>
                        </pic:nvPicPr>
                        <pic:blipFill>
                          <a:blip r:embed="rId36"/>
                          <a:stretch>
                            <a:fillRect/>
                          </a:stretch>
                        </pic:blipFill>
                        <pic:spPr>
                          <a:xfrm>
                            <a:off x="0" y="0"/>
                            <a:ext cx="1632585" cy="2177415"/>
                          </a:xfrm>
                          <a:prstGeom prst="rect">
                            <a:avLst/>
                          </a:prstGeom>
                        </pic:spPr>
                      </pic:pic>
                    </a:graphicData>
                  </a:graphic>
                </wp:inline>
              </w:drawing>
            </w:r>
          </w:p>
        </w:tc>
      </w:tr>
      <w:tr w14:paraId="5C82B3F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57" w:hRule="atLeast"/>
          <w:jc w:val="center"/>
        </w:trPr>
        <w:tc>
          <w:tcPr>
            <w:tcW w:w="519" w:type="pct"/>
            <w:tcBorders>
              <w:tl2br w:val="nil"/>
              <w:tr2bl w:val="nil"/>
            </w:tcBorders>
            <w:vAlign w:val="center"/>
          </w:tcPr>
          <w:p w14:paraId="0C4E5B81">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949" w:type="pct"/>
            <w:tcBorders>
              <w:tl2br w:val="nil"/>
              <w:tr2bl w:val="nil"/>
            </w:tcBorders>
            <w:vAlign w:val="center"/>
          </w:tcPr>
          <w:p w14:paraId="3E870972">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改性PA</w:t>
            </w:r>
          </w:p>
        </w:tc>
        <w:tc>
          <w:tcPr>
            <w:tcW w:w="972" w:type="pct"/>
            <w:tcBorders>
              <w:tl2br w:val="nil"/>
              <w:tr2bl w:val="nil"/>
            </w:tcBorders>
            <w:vAlign w:val="center"/>
          </w:tcPr>
          <w:p w14:paraId="625EE775">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300</w:t>
            </w:r>
          </w:p>
        </w:tc>
        <w:tc>
          <w:tcPr>
            <w:tcW w:w="2558" w:type="pct"/>
            <w:tcBorders>
              <w:tl2br w:val="nil"/>
              <w:tr2bl w:val="nil"/>
            </w:tcBorders>
            <w:vAlign w:val="center"/>
          </w:tcPr>
          <w:p w14:paraId="45DD40F8">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drawing>
                <wp:inline distT="0" distB="0" distL="114300" distR="114300">
                  <wp:extent cx="1619885" cy="2161540"/>
                  <wp:effectExtent l="0" t="0" r="18415" b="10160"/>
                  <wp:docPr id="50" name="图片 50" descr="4d529c2a76928d186a986bf4df6fde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4d529c2a76928d186a986bf4df6fdefe"/>
                          <pic:cNvPicPr>
                            <a:picLocks noChangeAspect="1"/>
                          </pic:cNvPicPr>
                        </pic:nvPicPr>
                        <pic:blipFill>
                          <a:blip r:embed="rId37"/>
                          <a:stretch>
                            <a:fillRect/>
                          </a:stretch>
                        </pic:blipFill>
                        <pic:spPr>
                          <a:xfrm>
                            <a:off x="0" y="0"/>
                            <a:ext cx="1619885" cy="2161540"/>
                          </a:xfrm>
                          <a:prstGeom prst="rect">
                            <a:avLst/>
                          </a:prstGeom>
                        </pic:spPr>
                      </pic:pic>
                    </a:graphicData>
                  </a:graphic>
                </wp:inline>
              </w:drawing>
            </w:r>
          </w:p>
        </w:tc>
      </w:tr>
      <w:tr w14:paraId="3BC1E21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519" w:type="pct"/>
            <w:tcBorders>
              <w:tl2br w:val="nil"/>
              <w:tr2bl w:val="nil"/>
            </w:tcBorders>
            <w:vAlign w:val="center"/>
          </w:tcPr>
          <w:p w14:paraId="47112E61">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949" w:type="pct"/>
            <w:tcBorders>
              <w:tl2br w:val="nil"/>
              <w:tr2bl w:val="nil"/>
            </w:tcBorders>
            <w:vAlign w:val="center"/>
          </w:tcPr>
          <w:p w14:paraId="6EA48658">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改性PC/ABS</w:t>
            </w:r>
          </w:p>
        </w:tc>
        <w:tc>
          <w:tcPr>
            <w:tcW w:w="972" w:type="pct"/>
            <w:tcBorders>
              <w:tl2br w:val="nil"/>
              <w:tr2bl w:val="nil"/>
            </w:tcBorders>
            <w:vAlign w:val="center"/>
          </w:tcPr>
          <w:p w14:paraId="308DA26D">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p>
        </w:tc>
        <w:tc>
          <w:tcPr>
            <w:tcW w:w="2558" w:type="pct"/>
            <w:tcBorders>
              <w:tl2br w:val="nil"/>
              <w:tr2bl w:val="nil"/>
            </w:tcBorders>
            <w:vAlign w:val="center"/>
          </w:tcPr>
          <w:p w14:paraId="1656E1B7">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drawing>
                <wp:inline distT="0" distB="0" distL="114300" distR="114300">
                  <wp:extent cx="1746250" cy="2329815"/>
                  <wp:effectExtent l="0" t="0" r="6350" b="13335"/>
                  <wp:docPr id="51" name="图片 51" descr="da22188d47de0a95d454ba46466473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da22188d47de0a95d454ba46466473de"/>
                          <pic:cNvPicPr>
                            <a:picLocks noChangeAspect="1"/>
                          </pic:cNvPicPr>
                        </pic:nvPicPr>
                        <pic:blipFill>
                          <a:blip r:embed="rId38"/>
                          <a:stretch>
                            <a:fillRect/>
                          </a:stretch>
                        </pic:blipFill>
                        <pic:spPr>
                          <a:xfrm>
                            <a:off x="0" y="0"/>
                            <a:ext cx="1746250" cy="2329815"/>
                          </a:xfrm>
                          <a:prstGeom prst="rect">
                            <a:avLst/>
                          </a:prstGeom>
                        </pic:spPr>
                      </pic:pic>
                    </a:graphicData>
                  </a:graphic>
                </wp:inline>
              </w:drawing>
            </w:r>
          </w:p>
        </w:tc>
      </w:tr>
      <w:tr w14:paraId="61E89C5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519" w:type="pct"/>
            <w:tcBorders>
              <w:tl2br w:val="nil"/>
              <w:tr2bl w:val="nil"/>
            </w:tcBorders>
            <w:vAlign w:val="center"/>
          </w:tcPr>
          <w:p w14:paraId="47835DA9">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949" w:type="pct"/>
            <w:tcBorders>
              <w:tl2br w:val="nil"/>
              <w:tr2bl w:val="nil"/>
            </w:tcBorders>
            <w:vAlign w:val="center"/>
          </w:tcPr>
          <w:p w14:paraId="16EC7CBD">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改性ABS</w:t>
            </w:r>
          </w:p>
        </w:tc>
        <w:tc>
          <w:tcPr>
            <w:tcW w:w="972" w:type="pct"/>
            <w:tcBorders>
              <w:tl2br w:val="nil"/>
              <w:tr2bl w:val="nil"/>
            </w:tcBorders>
            <w:vAlign w:val="center"/>
          </w:tcPr>
          <w:p w14:paraId="28DBFADB">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300</w:t>
            </w:r>
          </w:p>
        </w:tc>
        <w:tc>
          <w:tcPr>
            <w:tcW w:w="2558" w:type="pct"/>
            <w:tcBorders>
              <w:tl2br w:val="nil"/>
              <w:tr2bl w:val="nil"/>
            </w:tcBorders>
            <w:vAlign w:val="center"/>
          </w:tcPr>
          <w:p w14:paraId="6DBDFBE8">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drawing>
                <wp:inline distT="0" distB="0" distL="114300" distR="114300">
                  <wp:extent cx="1652905" cy="2205355"/>
                  <wp:effectExtent l="0" t="0" r="4445" b="4445"/>
                  <wp:docPr id="52" name="图片 52" descr="4b6bc8a8427365b1cd99e8416c65a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4b6bc8a8427365b1cd99e8416c65a463"/>
                          <pic:cNvPicPr>
                            <a:picLocks noChangeAspect="1"/>
                          </pic:cNvPicPr>
                        </pic:nvPicPr>
                        <pic:blipFill>
                          <a:blip r:embed="rId39"/>
                          <a:stretch>
                            <a:fillRect/>
                          </a:stretch>
                        </pic:blipFill>
                        <pic:spPr>
                          <a:xfrm>
                            <a:off x="0" y="0"/>
                            <a:ext cx="1652905" cy="2205355"/>
                          </a:xfrm>
                          <a:prstGeom prst="rect">
                            <a:avLst/>
                          </a:prstGeom>
                        </pic:spPr>
                      </pic:pic>
                    </a:graphicData>
                  </a:graphic>
                </wp:inline>
              </w:drawing>
            </w:r>
          </w:p>
        </w:tc>
      </w:tr>
      <w:tr w14:paraId="06EFF64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519" w:type="pct"/>
            <w:tcBorders>
              <w:tl2br w:val="nil"/>
              <w:tr2bl w:val="nil"/>
            </w:tcBorders>
            <w:vAlign w:val="center"/>
          </w:tcPr>
          <w:p w14:paraId="2726D832">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949" w:type="pct"/>
            <w:tcBorders>
              <w:tl2br w:val="nil"/>
              <w:tr2bl w:val="nil"/>
            </w:tcBorders>
            <w:vAlign w:val="center"/>
          </w:tcPr>
          <w:p w14:paraId="3E51874B">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合计</w:t>
            </w:r>
          </w:p>
        </w:tc>
        <w:tc>
          <w:tcPr>
            <w:tcW w:w="972" w:type="pct"/>
            <w:tcBorders>
              <w:tl2br w:val="nil"/>
              <w:tr2bl w:val="nil"/>
            </w:tcBorders>
            <w:vAlign w:val="center"/>
          </w:tcPr>
          <w:p w14:paraId="07D340E0">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4000</w:t>
            </w:r>
          </w:p>
        </w:tc>
        <w:tc>
          <w:tcPr>
            <w:tcW w:w="2558" w:type="pct"/>
            <w:tcBorders>
              <w:tl2br w:val="nil"/>
              <w:tr2bl w:val="nil"/>
            </w:tcBorders>
            <w:vAlign w:val="center"/>
          </w:tcPr>
          <w:p w14:paraId="5A875B76">
            <w:pPr>
              <w:widowControl/>
              <w:spacing w:line="240" w:lineRule="auto"/>
              <w:ind w:firstLine="0" w:firstLineChars="0"/>
              <w:jc w:val="center"/>
              <w:rPr>
                <w:rFonts w:hint="default" w:ascii="Times New Roman" w:hAnsi="Times New Roman" w:cs="Times New Roman"/>
                <w:color w:val="auto"/>
                <w:sz w:val="21"/>
                <w:szCs w:val="21"/>
              </w:rPr>
            </w:pPr>
          </w:p>
        </w:tc>
      </w:tr>
    </w:tbl>
    <w:p w14:paraId="0851D8A1">
      <w:pPr>
        <w:ind w:firstLine="480"/>
        <w:rPr>
          <w:rFonts w:hint="default" w:ascii="Times New Roman" w:hAnsi="Times New Roman" w:cs="Times New Roman"/>
          <w:color w:val="auto"/>
        </w:rPr>
      </w:pPr>
      <w:r>
        <w:rPr>
          <w:rFonts w:hint="default" w:ascii="Times New Roman" w:hAnsi="Times New Roman" w:cs="Times New Roman"/>
          <w:color w:val="auto"/>
        </w:rPr>
        <w:t>（2）产品规格及产能匹配性</w:t>
      </w:r>
    </w:p>
    <w:p w14:paraId="5BCDC8D5">
      <w:pPr>
        <w:ind w:firstLine="480"/>
        <w:rPr>
          <w:rFonts w:hint="default" w:ascii="Times New Roman" w:hAnsi="Times New Roman" w:cs="Times New Roman"/>
          <w:color w:val="auto"/>
        </w:rPr>
      </w:pPr>
      <w:r>
        <w:rPr>
          <w:rFonts w:hint="default" w:ascii="Times New Roman" w:hAnsi="Times New Roman" w:cs="Times New Roman"/>
          <w:color w:val="auto"/>
        </w:rPr>
        <w:t>本项目其生产能力匹配见表2.5-</w:t>
      </w:r>
      <w:r>
        <w:rPr>
          <w:rFonts w:hint="default" w:ascii="Times New Roman" w:hAnsi="Times New Roman" w:cs="Times New Roman"/>
          <w:color w:val="auto"/>
          <w:lang w:val="en-US" w:eastAsia="zh-CN"/>
        </w:rPr>
        <w:t>6</w:t>
      </w:r>
      <w:r>
        <w:rPr>
          <w:rFonts w:hint="default" w:ascii="Times New Roman" w:hAnsi="Times New Roman" w:cs="Times New Roman"/>
          <w:color w:val="auto"/>
        </w:rPr>
        <w:t>。</w:t>
      </w:r>
      <w:r>
        <w:rPr>
          <w:rFonts w:hint="default" w:ascii="Times New Roman" w:hAnsi="Times New Roman" w:cs="Times New Roman"/>
          <w:color w:val="auto"/>
          <w:lang w:val="en-US" w:eastAsia="zh-CN"/>
        </w:rPr>
        <w:t>本项目改性PP和改性PA均采用ZSM-65D型号的平行双螺杆挤出机，其不同产品的设备生产能力通过</w:t>
      </w:r>
      <w:r>
        <w:rPr>
          <w:rFonts w:hint="default" w:ascii="Times New Roman" w:hAnsi="Times New Roman" w:eastAsia="宋体" w:cs="Times New Roman"/>
          <w:color w:val="auto"/>
          <w:sz w:val="24"/>
          <w:szCs w:val="24"/>
        </w:rPr>
        <w:t>调整</w:t>
      </w:r>
      <w:r>
        <w:rPr>
          <w:rFonts w:hint="default" w:ascii="Times New Roman" w:hAnsi="Times New Roman" w:cs="Times New Roman"/>
          <w:color w:val="auto"/>
          <w:lang w:val="en-US" w:eastAsia="zh-CN"/>
        </w:rPr>
        <w:t>内部</w:t>
      </w:r>
      <w:r>
        <w:rPr>
          <w:rFonts w:hint="default" w:ascii="Times New Roman" w:hAnsi="Times New Roman" w:eastAsia="宋体" w:cs="Times New Roman"/>
          <w:color w:val="auto"/>
          <w:sz w:val="24"/>
          <w:szCs w:val="24"/>
        </w:rPr>
        <w:t>螺杆组合</w:t>
      </w:r>
      <w:r>
        <w:rPr>
          <w:rFonts w:hint="default" w:ascii="Times New Roman" w:hAnsi="Times New Roman" w:cs="Times New Roman"/>
          <w:color w:val="auto"/>
          <w:sz w:val="24"/>
          <w:szCs w:val="24"/>
          <w:lang w:val="en-US" w:eastAsia="zh-CN"/>
        </w:rPr>
        <w:t>来实现生产能力的差异化。</w:t>
      </w:r>
    </w:p>
    <w:p w14:paraId="7E672BC4">
      <w:pPr>
        <w:pStyle w:val="93"/>
        <w:rPr>
          <w:rFonts w:hint="default" w:ascii="Times New Roman" w:hAnsi="Times New Roman" w:cs="Times New Roman"/>
          <w:color w:val="auto"/>
        </w:rPr>
      </w:pPr>
      <w:r>
        <w:rPr>
          <w:rFonts w:hint="default" w:ascii="Times New Roman" w:hAnsi="Times New Roman" w:cs="Times New Roman"/>
          <w:color w:val="auto"/>
        </w:rPr>
        <w:t>表2.5-</w:t>
      </w:r>
      <w:r>
        <w:rPr>
          <w:rFonts w:hint="default" w:ascii="Times New Roman" w:hAnsi="Times New Roman" w:cs="Times New Roman"/>
          <w:color w:val="auto"/>
          <w:lang w:val="en-US" w:eastAsia="zh-CN"/>
        </w:rPr>
        <w:t>6</w:t>
      </w:r>
      <w:r>
        <w:rPr>
          <w:rFonts w:hint="default" w:ascii="Times New Roman" w:hAnsi="Times New Roman" w:cs="Times New Roman"/>
          <w:color w:val="auto"/>
        </w:rPr>
        <w:t xml:space="preserve">     产品产能匹配关系</w:t>
      </w:r>
    </w:p>
    <w:tbl>
      <w:tblPr>
        <w:tblStyle w:val="44"/>
        <w:tblW w:w="4993" w:type="pct"/>
        <w:jc w:val="center"/>
        <w:tblLayout w:type="fixed"/>
        <w:tblCellMar>
          <w:top w:w="0" w:type="dxa"/>
          <w:left w:w="108" w:type="dxa"/>
          <w:bottom w:w="0" w:type="dxa"/>
          <w:right w:w="108" w:type="dxa"/>
        </w:tblCellMar>
      </w:tblPr>
      <w:tblGrid>
        <w:gridCol w:w="1188"/>
        <w:gridCol w:w="921"/>
        <w:gridCol w:w="1096"/>
        <w:gridCol w:w="1298"/>
        <w:gridCol w:w="960"/>
        <w:gridCol w:w="960"/>
        <w:gridCol w:w="960"/>
        <w:gridCol w:w="1135"/>
      </w:tblGrid>
      <w:tr w14:paraId="4A427653">
        <w:tblPrEx>
          <w:tblCellMar>
            <w:top w:w="0" w:type="dxa"/>
            <w:left w:w="108" w:type="dxa"/>
            <w:bottom w:w="0" w:type="dxa"/>
            <w:right w:w="108" w:type="dxa"/>
          </w:tblCellMar>
        </w:tblPrEx>
        <w:trPr>
          <w:trHeight w:val="969" w:hRule="atLeast"/>
          <w:jc w:val="center"/>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FEED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产品</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F179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设备数量/台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4CC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单台设备生产能力（kg/h）</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3530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年生产时间/h</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4610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理论年生产时间/h</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CD28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实际产量t/a</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AD6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理论产量t/a</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A35BF">
            <w:pPr>
              <w:widowControl/>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挤出设备型号</w:t>
            </w:r>
          </w:p>
        </w:tc>
      </w:tr>
      <w:tr w14:paraId="095D4B5B">
        <w:tblPrEx>
          <w:tblCellMar>
            <w:top w:w="0" w:type="dxa"/>
            <w:left w:w="108" w:type="dxa"/>
            <w:bottom w:w="0" w:type="dxa"/>
            <w:right w:w="108" w:type="dxa"/>
          </w:tblCellMar>
        </w:tblPrEx>
        <w:trPr>
          <w:trHeight w:val="280" w:hRule="atLeast"/>
          <w:jc w:val="center"/>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80D0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改性PP</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67D3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F279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550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4A94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1939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6C3C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2080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60AF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3200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05EC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3432</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7F47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Style w:val="264"/>
                <w:rFonts w:hint="default" w:ascii="Times New Roman" w:hAnsi="Times New Roman" w:cs="Times New Roman"/>
                <w:color w:val="auto"/>
                <w:vertAlign w:val="baseline"/>
                <w:lang w:bidi="ar"/>
              </w:rPr>
              <w:t>ZSM-65D</w:t>
            </w:r>
          </w:p>
        </w:tc>
      </w:tr>
      <w:tr w14:paraId="3F87B6F7">
        <w:tblPrEx>
          <w:tblCellMar>
            <w:top w:w="0" w:type="dxa"/>
            <w:left w:w="108" w:type="dxa"/>
            <w:bottom w:w="0" w:type="dxa"/>
            <w:right w:w="108" w:type="dxa"/>
          </w:tblCellMar>
        </w:tblPrEx>
        <w:trPr>
          <w:trHeight w:val="280" w:hRule="atLeast"/>
          <w:jc w:val="center"/>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C56C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改性PA</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C243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9186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150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E735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001D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2080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F43C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9763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312</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D157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Style w:val="264"/>
                <w:rFonts w:hint="default" w:ascii="Times New Roman" w:hAnsi="Times New Roman" w:cs="Times New Roman"/>
                <w:color w:val="auto"/>
                <w:vertAlign w:val="baseline"/>
                <w:lang w:bidi="ar"/>
              </w:rPr>
              <w:t>ZSM-65D</w:t>
            </w:r>
          </w:p>
        </w:tc>
      </w:tr>
      <w:tr w14:paraId="349453D0">
        <w:tblPrEx>
          <w:tblCellMar>
            <w:top w:w="0" w:type="dxa"/>
            <w:left w:w="108" w:type="dxa"/>
            <w:bottom w:w="0" w:type="dxa"/>
            <w:right w:w="108" w:type="dxa"/>
          </w:tblCellMar>
        </w:tblPrEx>
        <w:trPr>
          <w:trHeight w:val="552" w:hRule="atLeast"/>
          <w:jc w:val="center"/>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6165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改性PC/ABS</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AE54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DE8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124C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B576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2080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E6F3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F2E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208</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CA8C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Style w:val="264"/>
                <w:rFonts w:hint="default" w:ascii="Times New Roman" w:hAnsi="Times New Roman" w:cs="Times New Roman"/>
                <w:color w:val="auto"/>
                <w:vertAlign w:val="baseline"/>
                <w:lang w:bidi="ar"/>
              </w:rPr>
              <w:t>SHJ-65</w:t>
            </w:r>
          </w:p>
        </w:tc>
      </w:tr>
      <w:tr w14:paraId="4DFC3C43">
        <w:tblPrEx>
          <w:tblCellMar>
            <w:top w:w="0" w:type="dxa"/>
            <w:left w:w="108" w:type="dxa"/>
            <w:bottom w:w="0" w:type="dxa"/>
            <w:right w:w="108" w:type="dxa"/>
          </w:tblCellMar>
        </w:tblPrEx>
        <w:trPr>
          <w:trHeight w:val="493" w:hRule="atLeast"/>
          <w:jc w:val="center"/>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D333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改性ABS</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4320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D21F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150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C7CC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0C46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2080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C52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BCF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312</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F73E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Style w:val="264"/>
                <w:rFonts w:hint="default" w:ascii="Times New Roman" w:hAnsi="Times New Roman" w:cs="Times New Roman"/>
                <w:color w:val="auto"/>
                <w:vertAlign w:val="baseline"/>
                <w:lang w:bidi="ar"/>
              </w:rPr>
              <w:t>JWP-75</w:t>
            </w:r>
          </w:p>
        </w:tc>
      </w:tr>
      <w:tr w14:paraId="2F682C81">
        <w:tblPrEx>
          <w:tblCellMar>
            <w:top w:w="0" w:type="dxa"/>
            <w:left w:w="108" w:type="dxa"/>
            <w:bottom w:w="0" w:type="dxa"/>
            <w:right w:w="108" w:type="dxa"/>
          </w:tblCellMar>
        </w:tblPrEx>
        <w:trPr>
          <w:trHeight w:val="289" w:hRule="atLeast"/>
          <w:jc w:val="center"/>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E3FC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小计</w:t>
            </w:r>
          </w:p>
        </w:tc>
        <w:tc>
          <w:tcPr>
            <w:tcW w:w="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A3C2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5103B">
            <w:pPr>
              <w:widowControl/>
              <w:spacing w:line="240" w:lineRule="auto"/>
              <w:ind w:firstLine="0" w:firstLineChars="0"/>
              <w:jc w:val="center"/>
              <w:rPr>
                <w:rFonts w:hint="default" w:ascii="Times New Roman" w:hAnsi="Times New Roman" w:cs="Times New Roman"/>
                <w:color w:val="auto"/>
                <w:sz w:val="21"/>
                <w:szCs w:val="21"/>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46BF7">
            <w:pPr>
              <w:widowControl/>
              <w:spacing w:line="240" w:lineRule="auto"/>
              <w:ind w:firstLine="0" w:firstLineChars="0"/>
              <w:jc w:val="center"/>
              <w:rPr>
                <w:rFonts w:hint="default" w:ascii="Times New Roman" w:hAnsi="Times New Roman" w:cs="Times New Roman"/>
                <w:color w:val="auto"/>
                <w:sz w:val="21"/>
                <w:szCs w:val="21"/>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A4158">
            <w:pPr>
              <w:widowControl/>
              <w:spacing w:line="240" w:lineRule="auto"/>
              <w:ind w:firstLine="0" w:firstLineChars="0"/>
              <w:jc w:val="center"/>
              <w:rPr>
                <w:rFonts w:hint="default" w:ascii="Times New Roman" w:hAnsi="Times New Roman" w:cs="Times New Roman"/>
                <w:color w:val="auto"/>
                <w:sz w:val="21"/>
                <w:szCs w:val="21"/>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F87D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4000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9339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4264</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12BD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r>
    </w:tbl>
    <w:p w14:paraId="7751588F">
      <w:pPr>
        <w:ind w:firstLine="480"/>
        <w:rPr>
          <w:rFonts w:hint="default" w:ascii="Times New Roman" w:hAnsi="Times New Roman" w:cs="Times New Roman"/>
          <w:color w:val="auto"/>
        </w:rPr>
      </w:pPr>
      <w:r>
        <w:rPr>
          <w:rFonts w:hint="default" w:ascii="Times New Roman" w:hAnsi="Times New Roman" w:cs="Times New Roman"/>
          <w:color w:val="auto"/>
        </w:rPr>
        <w:t>由上表知，本项目建成后，厂区生产设备最大产能与项目设计生产规模是匹配的。</w:t>
      </w:r>
    </w:p>
    <w:p w14:paraId="5B52ED29">
      <w:pPr>
        <w:ind w:firstLine="480"/>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3</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检验检测注塑机能力</w:t>
      </w:r>
    </w:p>
    <w:p w14:paraId="265F0773">
      <w:pPr>
        <w:ind w:firstLine="480"/>
        <w:rPr>
          <w:rFonts w:hint="default" w:ascii="Times New Roman" w:hAnsi="Times New Roman" w:cs="Times New Roman"/>
          <w:color w:val="auto"/>
        </w:rPr>
      </w:pPr>
      <w:r>
        <w:rPr>
          <w:rFonts w:hint="default" w:ascii="Times New Roman" w:hAnsi="Times New Roman" w:cs="Times New Roman"/>
          <w:color w:val="auto"/>
        </w:rPr>
        <w:t>本项目</w:t>
      </w:r>
      <w:r>
        <w:rPr>
          <w:rFonts w:hint="default" w:ascii="Times New Roman" w:hAnsi="Times New Roman" w:cs="Times New Roman"/>
          <w:color w:val="auto"/>
          <w:lang w:val="en-US" w:eastAsia="zh-CN"/>
        </w:rPr>
        <w:t>采用</w:t>
      </w:r>
      <w:r>
        <w:rPr>
          <w:rFonts w:hint="default" w:ascii="Times New Roman" w:hAnsi="Times New Roman" w:cs="Times New Roman"/>
          <w:color w:val="auto"/>
        </w:rPr>
        <w:t>4台样板注塑机</w:t>
      </w:r>
      <w:r>
        <w:rPr>
          <w:rFonts w:hint="default" w:ascii="Times New Roman" w:hAnsi="Times New Roman" w:cs="Times New Roman"/>
          <w:color w:val="auto"/>
          <w:lang w:val="en-US" w:eastAsia="zh-CN"/>
        </w:rPr>
        <w:t>使用生产的</w:t>
      </w:r>
      <w:r>
        <w:rPr>
          <w:rFonts w:hint="default" w:ascii="Times New Roman" w:hAnsi="Times New Roman" w:cs="Times New Roman"/>
          <w:color w:val="auto"/>
        </w:rPr>
        <w:t>改性粒料</w:t>
      </w:r>
      <w:r>
        <w:rPr>
          <w:rFonts w:hint="default" w:ascii="Times New Roman" w:hAnsi="Times New Roman" w:cs="Times New Roman"/>
          <w:color w:val="auto"/>
          <w:lang w:val="en-US" w:eastAsia="zh-CN"/>
        </w:rPr>
        <w:t>注塑成小样来</w:t>
      </w:r>
      <w:r>
        <w:rPr>
          <w:rFonts w:hint="default" w:ascii="Times New Roman" w:hAnsi="Times New Roman" w:cs="Times New Roman"/>
          <w:color w:val="auto"/>
        </w:rPr>
        <w:t>进行物理性质的检验检测。</w:t>
      </w:r>
      <w:r>
        <w:rPr>
          <w:rFonts w:hint="default" w:ascii="Times New Roman" w:hAnsi="Times New Roman" w:cs="Times New Roman"/>
          <w:color w:val="auto"/>
          <w:lang w:val="en-US" w:eastAsia="zh-CN"/>
        </w:rPr>
        <w:t>注塑机</w:t>
      </w:r>
      <w:r>
        <w:rPr>
          <w:rFonts w:hint="eastAsia" w:cs="Times New Roman"/>
          <w:color w:val="auto"/>
          <w:lang w:val="en-US" w:eastAsia="zh-CN"/>
        </w:rPr>
        <w:t>安装的</w:t>
      </w:r>
      <w:r>
        <w:rPr>
          <w:rFonts w:hint="default" w:ascii="Times New Roman" w:hAnsi="Times New Roman" w:cs="Times New Roman"/>
          <w:color w:val="auto"/>
          <w:lang w:val="en-US" w:eastAsia="zh-CN"/>
        </w:rPr>
        <w:t>模具仅能生产条状样品，未设置汽车内饰件模具，因此不具备生产条件。</w:t>
      </w:r>
    </w:p>
    <w:p w14:paraId="0ACB6D8A">
      <w:pPr>
        <w:ind w:firstLine="480"/>
        <w:rPr>
          <w:rFonts w:hint="default" w:ascii="Times New Roman" w:hAnsi="Times New Roman" w:cs="Times New Roman"/>
          <w:color w:val="auto"/>
        </w:rPr>
      </w:pPr>
      <w:r>
        <w:rPr>
          <w:rFonts w:hint="default" w:ascii="Times New Roman" w:hAnsi="Times New Roman" w:cs="Times New Roman"/>
          <w:color w:val="auto"/>
          <w:lang w:val="en-US" w:eastAsia="zh-CN"/>
        </w:rPr>
        <w:t>本项目共设置</w:t>
      </w:r>
      <w:r>
        <w:rPr>
          <w:rFonts w:hint="default" w:ascii="Times New Roman" w:hAnsi="Times New Roman" w:cs="Times New Roman"/>
          <w:color w:val="auto"/>
        </w:rPr>
        <w:t>3台海鹰550型注塑机，1台海天MA1200型注塑机。1台海天MA1200型注塑机为改性PC/ABS、改性ABS、改性PA打试验样板机；</w:t>
      </w:r>
      <w:r>
        <w:rPr>
          <w:rFonts w:hint="default" w:ascii="Times New Roman" w:hAnsi="Times New Roman" w:cs="Times New Roman"/>
          <w:color w:val="auto"/>
          <w:lang w:val="en-US" w:eastAsia="zh-CN"/>
        </w:rPr>
        <w:t>1</w:t>
      </w:r>
      <w:r>
        <w:rPr>
          <w:rFonts w:hint="default" w:ascii="Times New Roman" w:hAnsi="Times New Roman" w:cs="Times New Roman"/>
          <w:color w:val="auto"/>
        </w:rPr>
        <w:t>台海鹰550型注塑机为改性PP试验样条机，剩下2台海鹰550型注塑机为调色样板专用机</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混合色母等生产颜色小样便于客户了解产品质量和混色能力</w:t>
      </w:r>
      <w:r>
        <w:rPr>
          <w:rFonts w:hint="default" w:ascii="Times New Roman" w:hAnsi="Times New Roman" w:cs="Times New Roman"/>
          <w:color w:val="auto"/>
          <w:lang w:eastAsia="zh-CN"/>
        </w:rPr>
        <w:t>）</w:t>
      </w:r>
      <w:r>
        <w:rPr>
          <w:rFonts w:hint="default" w:ascii="Times New Roman" w:hAnsi="Times New Roman" w:cs="Times New Roman"/>
          <w:color w:val="auto"/>
        </w:rPr>
        <w:t>。</w:t>
      </w:r>
    </w:p>
    <w:p w14:paraId="145858FA">
      <w:pPr>
        <w:ind w:firstLine="48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本项目注塑小样生产时间</w:t>
      </w:r>
      <w:r>
        <w:rPr>
          <w:rFonts w:hint="default" w:ascii="Times New Roman" w:hAnsi="Times New Roman" w:cs="Times New Roman"/>
          <w:color w:val="auto"/>
        </w:rPr>
        <w:t>每次2~3min，每天约5~6次，</w:t>
      </w:r>
      <w:r>
        <w:rPr>
          <w:rFonts w:hint="default" w:ascii="Times New Roman" w:hAnsi="Times New Roman" w:cs="Times New Roman"/>
          <w:color w:val="auto"/>
          <w:lang w:val="en-US" w:eastAsia="zh-CN"/>
        </w:rPr>
        <w:t>其注塑机进料能力最小为100~400g，</w:t>
      </w:r>
      <w:r>
        <w:rPr>
          <w:rFonts w:hint="default" w:ascii="Times New Roman" w:hAnsi="Times New Roman" w:cs="Times New Roman"/>
          <w:color w:val="auto"/>
        </w:rPr>
        <w:t>每次注塑机生产样品</w:t>
      </w:r>
      <w:r>
        <w:rPr>
          <w:rFonts w:hint="default" w:ascii="Times New Roman" w:hAnsi="Times New Roman" w:cs="Times New Roman"/>
          <w:color w:val="auto"/>
          <w:lang w:val="en-US" w:eastAsia="zh-CN"/>
        </w:rPr>
        <w:t>最大</w:t>
      </w:r>
      <w:r>
        <w:rPr>
          <w:rFonts w:hint="default" w:ascii="Times New Roman" w:hAnsi="Times New Roman" w:cs="Times New Roman"/>
          <w:color w:val="auto"/>
        </w:rPr>
        <w:t>约0.4kg。</w:t>
      </w:r>
    </w:p>
    <w:p w14:paraId="43D574D8">
      <w:pPr>
        <w:pStyle w:val="3"/>
        <w:rPr>
          <w:rFonts w:hint="default" w:ascii="Times New Roman" w:hAnsi="Times New Roman" w:cs="Times New Roman"/>
          <w:color w:val="auto"/>
        </w:rPr>
      </w:pPr>
      <w:r>
        <w:rPr>
          <w:rFonts w:hint="default" w:ascii="Times New Roman" w:hAnsi="Times New Roman" w:cs="Times New Roman"/>
          <w:color w:val="auto"/>
        </w:rPr>
        <w:t>2.6 主要设备</w:t>
      </w:r>
    </w:p>
    <w:p w14:paraId="753CB646">
      <w:pPr>
        <w:ind w:firstLine="480"/>
        <w:rPr>
          <w:rFonts w:hint="default" w:ascii="Times New Roman" w:hAnsi="Times New Roman" w:cs="Times New Roman"/>
          <w:color w:val="auto"/>
        </w:rPr>
      </w:pPr>
      <w:r>
        <w:rPr>
          <w:rFonts w:hint="default" w:ascii="Times New Roman" w:hAnsi="Times New Roman" w:cs="Times New Roman"/>
          <w:color w:val="auto"/>
        </w:rPr>
        <w:t>本项目不使用《产业结构调整指导目录（2024本）》中淘汰类或限制类设备。所有设备均使用电能。</w:t>
      </w:r>
    </w:p>
    <w:p w14:paraId="2E53CB35">
      <w:pPr>
        <w:ind w:firstLine="480"/>
        <w:rPr>
          <w:rFonts w:hint="default" w:ascii="Times New Roman" w:hAnsi="Times New Roman" w:cs="Times New Roman"/>
          <w:color w:val="auto"/>
        </w:rPr>
      </w:pPr>
      <w:r>
        <w:rPr>
          <w:rFonts w:hint="default" w:ascii="Times New Roman" w:hAnsi="Times New Roman" w:cs="Times New Roman"/>
          <w:color w:val="auto"/>
        </w:rPr>
        <w:t>本项目主要生产设备见表2.6-1。</w:t>
      </w:r>
    </w:p>
    <w:p w14:paraId="224A5C2C">
      <w:pPr>
        <w:pStyle w:val="93"/>
        <w:rPr>
          <w:rFonts w:hint="default" w:ascii="Times New Roman" w:hAnsi="Times New Roman" w:cs="Times New Roman"/>
          <w:color w:val="auto"/>
        </w:rPr>
      </w:pPr>
      <w:r>
        <w:rPr>
          <w:rFonts w:hint="default" w:ascii="Times New Roman" w:hAnsi="Times New Roman" w:cs="Times New Roman"/>
          <w:color w:val="auto"/>
        </w:rPr>
        <w:t>表2.6-1    本项目主要生产设备一览表     单位：台</w:t>
      </w:r>
    </w:p>
    <w:tbl>
      <w:tblPr>
        <w:tblStyle w:val="44"/>
        <w:tblW w:w="83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2067"/>
        <w:gridCol w:w="2426"/>
        <w:gridCol w:w="759"/>
        <w:gridCol w:w="645"/>
        <w:gridCol w:w="1681"/>
      </w:tblGrid>
      <w:tr w14:paraId="0289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jc w:val="center"/>
        </w:trPr>
        <w:tc>
          <w:tcPr>
            <w:tcW w:w="769" w:type="dxa"/>
            <w:shd w:val="clear" w:color="auto" w:fill="auto"/>
            <w:vAlign w:val="center"/>
          </w:tcPr>
          <w:p w14:paraId="09D875B9">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序号</w:t>
            </w:r>
          </w:p>
        </w:tc>
        <w:tc>
          <w:tcPr>
            <w:tcW w:w="2067" w:type="dxa"/>
            <w:shd w:val="clear" w:color="auto" w:fill="auto"/>
            <w:vAlign w:val="center"/>
          </w:tcPr>
          <w:p w14:paraId="20C096FF">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设备名称</w:t>
            </w:r>
          </w:p>
        </w:tc>
        <w:tc>
          <w:tcPr>
            <w:tcW w:w="2426" w:type="dxa"/>
            <w:shd w:val="clear" w:color="auto" w:fill="auto"/>
            <w:vAlign w:val="center"/>
          </w:tcPr>
          <w:p w14:paraId="06C3E380">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规格型号</w:t>
            </w:r>
          </w:p>
        </w:tc>
        <w:tc>
          <w:tcPr>
            <w:tcW w:w="759" w:type="dxa"/>
            <w:shd w:val="clear" w:color="auto" w:fill="auto"/>
            <w:vAlign w:val="center"/>
          </w:tcPr>
          <w:p w14:paraId="75142005">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单位</w:t>
            </w:r>
          </w:p>
        </w:tc>
        <w:tc>
          <w:tcPr>
            <w:tcW w:w="645" w:type="dxa"/>
            <w:shd w:val="clear" w:color="auto" w:fill="auto"/>
            <w:vAlign w:val="center"/>
          </w:tcPr>
          <w:p w14:paraId="75D0B0B7">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数量</w:t>
            </w:r>
          </w:p>
        </w:tc>
        <w:tc>
          <w:tcPr>
            <w:tcW w:w="1681" w:type="dxa"/>
            <w:shd w:val="clear" w:color="auto" w:fill="auto"/>
            <w:vAlign w:val="center"/>
          </w:tcPr>
          <w:p w14:paraId="0D8BE52C">
            <w:pPr>
              <w:widowControl/>
              <w:spacing w:line="240" w:lineRule="auto"/>
              <w:ind w:firstLine="0" w:firstLineChars="0"/>
              <w:jc w:val="center"/>
              <w:textAlignment w:val="center"/>
              <w:rPr>
                <w:rStyle w:val="262"/>
                <w:rFonts w:hint="default" w:ascii="Times New Roman" w:hAnsi="Times New Roman" w:cs="Times New Roman"/>
                <w:color w:val="auto"/>
                <w:lang w:bidi="ar"/>
              </w:rPr>
            </w:pPr>
            <w:r>
              <w:rPr>
                <w:rStyle w:val="262"/>
                <w:rFonts w:hint="default" w:ascii="Times New Roman" w:hAnsi="Times New Roman" w:cs="Times New Roman"/>
                <w:color w:val="auto"/>
                <w:lang w:bidi="ar"/>
              </w:rPr>
              <w:t>备注</w:t>
            </w:r>
          </w:p>
        </w:tc>
      </w:tr>
      <w:tr w14:paraId="6C3D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46D8922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2067" w:type="dxa"/>
            <w:shd w:val="clear" w:color="auto" w:fill="auto"/>
            <w:vAlign w:val="center"/>
          </w:tcPr>
          <w:p w14:paraId="48EA183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bidi="ar"/>
              </w:rPr>
              <w:t>1#</w:t>
            </w:r>
            <w:r>
              <w:rPr>
                <w:rFonts w:hint="default" w:ascii="Times New Roman" w:hAnsi="Times New Roman" w:cs="Times New Roman"/>
                <w:color w:val="auto"/>
                <w:sz w:val="21"/>
                <w:szCs w:val="21"/>
                <w:lang w:bidi="ar"/>
              </w:rPr>
              <w:t>平行双螺杆挤出机</w:t>
            </w:r>
          </w:p>
        </w:tc>
        <w:tc>
          <w:tcPr>
            <w:tcW w:w="2426" w:type="dxa"/>
            <w:shd w:val="clear" w:color="auto" w:fill="auto"/>
            <w:vAlign w:val="center"/>
          </w:tcPr>
          <w:p w14:paraId="47B202D0">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4"/>
                <w:rFonts w:hint="default" w:ascii="Times New Roman" w:hAnsi="Times New Roman" w:cs="Times New Roman"/>
                <w:color w:val="auto"/>
                <w:vertAlign w:val="baseline"/>
                <w:lang w:bidi="ar"/>
              </w:rPr>
              <w:t>SHJ-65</w:t>
            </w:r>
          </w:p>
        </w:tc>
        <w:tc>
          <w:tcPr>
            <w:tcW w:w="759" w:type="dxa"/>
            <w:shd w:val="clear" w:color="auto" w:fill="auto"/>
            <w:vAlign w:val="center"/>
          </w:tcPr>
          <w:p w14:paraId="6CD107F5">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台</w:t>
            </w:r>
          </w:p>
        </w:tc>
        <w:tc>
          <w:tcPr>
            <w:tcW w:w="645" w:type="dxa"/>
            <w:shd w:val="clear" w:color="auto" w:fill="auto"/>
            <w:vAlign w:val="center"/>
          </w:tcPr>
          <w:p w14:paraId="7A6E837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1681" w:type="dxa"/>
            <w:shd w:val="clear" w:color="auto" w:fill="auto"/>
            <w:vAlign w:val="center"/>
          </w:tcPr>
          <w:p w14:paraId="15C46CB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生产</w:t>
            </w:r>
            <w:r>
              <w:rPr>
                <w:rFonts w:hint="default" w:ascii="Times New Roman" w:hAnsi="Times New Roman" w:cs="Times New Roman"/>
                <w:color w:val="auto"/>
                <w:sz w:val="21"/>
                <w:szCs w:val="21"/>
                <w:lang w:bidi="ar"/>
              </w:rPr>
              <w:t>改性PC/ABS</w:t>
            </w:r>
          </w:p>
        </w:tc>
      </w:tr>
      <w:tr w14:paraId="0179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256730F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w:t>
            </w:r>
          </w:p>
        </w:tc>
        <w:tc>
          <w:tcPr>
            <w:tcW w:w="2067" w:type="dxa"/>
            <w:shd w:val="clear" w:color="auto" w:fill="auto"/>
            <w:vAlign w:val="center"/>
          </w:tcPr>
          <w:p w14:paraId="195837C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bidi="ar"/>
              </w:rPr>
              <w:t>2#~4#</w:t>
            </w:r>
            <w:r>
              <w:rPr>
                <w:rFonts w:hint="default" w:ascii="Times New Roman" w:hAnsi="Times New Roman" w:cs="Times New Roman"/>
                <w:color w:val="auto"/>
                <w:sz w:val="21"/>
                <w:szCs w:val="21"/>
                <w:lang w:bidi="ar"/>
              </w:rPr>
              <w:t>平行双螺杆挤出机</w:t>
            </w:r>
          </w:p>
        </w:tc>
        <w:tc>
          <w:tcPr>
            <w:tcW w:w="2426" w:type="dxa"/>
            <w:shd w:val="clear" w:color="auto" w:fill="auto"/>
            <w:vAlign w:val="center"/>
          </w:tcPr>
          <w:p w14:paraId="11F1ED2D">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4"/>
                <w:rFonts w:hint="default" w:ascii="Times New Roman" w:hAnsi="Times New Roman" w:cs="Times New Roman"/>
                <w:color w:val="auto"/>
                <w:vertAlign w:val="baseline"/>
                <w:lang w:bidi="ar"/>
              </w:rPr>
              <w:t>ZSM-65D</w:t>
            </w:r>
          </w:p>
        </w:tc>
        <w:tc>
          <w:tcPr>
            <w:tcW w:w="759" w:type="dxa"/>
            <w:shd w:val="clear" w:color="auto" w:fill="auto"/>
            <w:vAlign w:val="center"/>
          </w:tcPr>
          <w:p w14:paraId="203D9E0E">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台</w:t>
            </w:r>
          </w:p>
        </w:tc>
        <w:tc>
          <w:tcPr>
            <w:tcW w:w="645" w:type="dxa"/>
            <w:shd w:val="clear" w:color="auto" w:fill="auto"/>
            <w:vAlign w:val="center"/>
          </w:tcPr>
          <w:p w14:paraId="70D4009B">
            <w:pPr>
              <w:widowControl/>
              <w:spacing w:line="240" w:lineRule="auto"/>
              <w:ind w:firstLine="0" w:firstLineChars="0"/>
              <w:jc w:val="center"/>
              <w:textAlignment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3</w:t>
            </w:r>
          </w:p>
        </w:tc>
        <w:tc>
          <w:tcPr>
            <w:tcW w:w="1681" w:type="dxa"/>
            <w:shd w:val="clear" w:color="auto" w:fill="auto"/>
            <w:vAlign w:val="center"/>
          </w:tcPr>
          <w:p w14:paraId="65694E7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生产</w:t>
            </w:r>
            <w:r>
              <w:rPr>
                <w:rFonts w:hint="default" w:ascii="Times New Roman" w:hAnsi="Times New Roman" w:cs="Times New Roman"/>
                <w:color w:val="auto"/>
                <w:sz w:val="21"/>
                <w:szCs w:val="21"/>
              </w:rPr>
              <w:t>改性PP</w:t>
            </w:r>
          </w:p>
        </w:tc>
      </w:tr>
      <w:tr w14:paraId="70FB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3A49890C">
            <w:pPr>
              <w:widowControl/>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3</w:t>
            </w:r>
          </w:p>
        </w:tc>
        <w:tc>
          <w:tcPr>
            <w:tcW w:w="2067" w:type="dxa"/>
            <w:shd w:val="clear" w:color="auto" w:fill="auto"/>
            <w:vAlign w:val="center"/>
          </w:tcPr>
          <w:p w14:paraId="4A73E8AB">
            <w:pPr>
              <w:widowControl/>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5#</w:t>
            </w:r>
            <w:r>
              <w:rPr>
                <w:rFonts w:hint="default" w:ascii="Times New Roman" w:hAnsi="Times New Roman" w:cs="Times New Roman"/>
                <w:color w:val="auto"/>
                <w:sz w:val="21"/>
                <w:szCs w:val="21"/>
                <w:lang w:bidi="ar"/>
              </w:rPr>
              <w:t>平行双螺杆挤出机</w:t>
            </w:r>
          </w:p>
        </w:tc>
        <w:tc>
          <w:tcPr>
            <w:tcW w:w="2426" w:type="dxa"/>
            <w:shd w:val="clear" w:color="auto" w:fill="auto"/>
            <w:vAlign w:val="center"/>
          </w:tcPr>
          <w:p w14:paraId="0BE8955A">
            <w:pPr>
              <w:widowControl/>
              <w:spacing w:line="240" w:lineRule="auto"/>
              <w:ind w:firstLine="0" w:firstLineChars="0"/>
              <w:jc w:val="center"/>
              <w:textAlignment w:val="center"/>
              <w:rPr>
                <w:rStyle w:val="264"/>
                <w:rFonts w:hint="default" w:ascii="Times New Roman" w:hAnsi="Times New Roman" w:cs="Times New Roman"/>
                <w:color w:val="auto"/>
                <w:vertAlign w:val="baseline"/>
                <w:lang w:bidi="ar"/>
              </w:rPr>
            </w:pPr>
            <w:r>
              <w:rPr>
                <w:rStyle w:val="264"/>
                <w:rFonts w:hint="default" w:ascii="Times New Roman" w:hAnsi="Times New Roman" w:cs="Times New Roman"/>
                <w:color w:val="auto"/>
                <w:vertAlign w:val="baseline"/>
                <w:lang w:bidi="ar"/>
              </w:rPr>
              <w:t>ZSM-65D</w:t>
            </w:r>
          </w:p>
        </w:tc>
        <w:tc>
          <w:tcPr>
            <w:tcW w:w="759" w:type="dxa"/>
            <w:shd w:val="clear" w:color="auto" w:fill="auto"/>
            <w:vAlign w:val="center"/>
          </w:tcPr>
          <w:p w14:paraId="7F903C32">
            <w:pPr>
              <w:widowControl/>
              <w:spacing w:line="240" w:lineRule="auto"/>
              <w:ind w:firstLine="0" w:firstLineChars="0"/>
              <w:jc w:val="center"/>
              <w:textAlignment w:val="center"/>
              <w:rPr>
                <w:rStyle w:val="262"/>
                <w:rFonts w:hint="default" w:ascii="Times New Roman" w:hAnsi="Times New Roman" w:cs="Times New Roman"/>
                <w:color w:val="auto"/>
                <w:lang w:bidi="ar"/>
              </w:rPr>
            </w:pPr>
            <w:r>
              <w:rPr>
                <w:rStyle w:val="262"/>
                <w:rFonts w:hint="default" w:ascii="Times New Roman" w:hAnsi="Times New Roman" w:cs="Times New Roman"/>
                <w:color w:val="auto"/>
                <w:lang w:bidi="ar"/>
              </w:rPr>
              <w:t>台</w:t>
            </w:r>
          </w:p>
        </w:tc>
        <w:tc>
          <w:tcPr>
            <w:tcW w:w="645" w:type="dxa"/>
            <w:shd w:val="clear" w:color="auto" w:fill="auto"/>
            <w:vAlign w:val="center"/>
          </w:tcPr>
          <w:p w14:paraId="6F65B88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681" w:type="dxa"/>
            <w:shd w:val="clear" w:color="auto" w:fill="auto"/>
            <w:vAlign w:val="center"/>
          </w:tcPr>
          <w:p w14:paraId="2C8D3C3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bidi="ar"/>
              </w:rPr>
              <w:t>生产</w:t>
            </w:r>
            <w:r>
              <w:rPr>
                <w:rFonts w:hint="default" w:ascii="Times New Roman" w:hAnsi="Times New Roman" w:cs="Times New Roman"/>
                <w:color w:val="auto"/>
                <w:sz w:val="21"/>
                <w:szCs w:val="21"/>
                <w:lang w:bidi="ar"/>
              </w:rPr>
              <w:t>改性PA</w:t>
            </w:r>
          </w:p>
        </w:tc>
      </w:tr>
      <w:tr w14:paraId="6426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2021BA8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2067" w:type="dxa"/>
            <w:shd w:val="clear" w:color="auto" w:fill="auto"/>
            <w:vAlign w:val="center"/>
          </w:tcPr>
          <w:p w14:paraId="06E52C6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bidi="ar"/>
              </w:rPr>
              <w:t>6#</w:t>
            </w:r>
            <w:r>
              <w:rPr>
                <w:rFonts w:hint="default" w:ascii="Times New Roman" w:hAnsi="Times New Roman" w:cs="Times New Roman"/>
                <w:color w:val="auto"/>
                <w:sz w:val="21"/>
                <w:szCs w:val="21"/>
                <w:lang w:bidi="ar"/>
              </w:rPr>
              <w:t>平行双螺杆挤出机</w:t>
            </w:r>
          </w:p>
        </w:tc>
        <w:tc>
          <w:tcPr>
            <w:tcW w:w="2426" w:type="dxa"/>
            <w:shd w:val="clear" w:color="auto" w:fill="auto"/>
            <w:vAlign w:val="center"/>
          </w:tcPr>
          <w:p w14:paraId="640DCFE8">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4"/>
                <w:rFonts w:hint="default" w:ascii="Times New Roman" w:hAnsi="Times New Roman" w:cs="Times New Roman"/>
                <w:color w:val="auto"/>
                <w:vertAlign w:val="baseline"/>
                <w:lang w:bidi="ar"/>
              </w:rPr>
              <w:t>JWP-75</w:t>
            </w:r>
          </w:p>
        </w:tc>
        <w:tc>
          <w:tcPr>
            <w:tcW w:w="759" w:type="dxa"/>
            <w:shd w:val="clear" w:color="auto" w:fill="auto"/>
            <w:vAlign w:val="center"/>
          </w:tcPr>
          <w:p w14:paraId="1B334808">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台</w:t>
            </w:r>
          </w:p>
        </w:tc>
        <w:tc>
          <w:tcPr>
            <w:tcW w:w="645" w:type="dxa"/>
            <w:shd w:val="clear" w:color="auto" w:fill="auto"/>
            <w:vAlign w:val="center"/>
          </w:tcPr>
          <w:p w14:paraId="20B1BE1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1681" w:type="dxa"/>
            <w:shd w:val="clear" w:color="auto" w:fill="auto"/>
            <w:vAlign w:val="center"/>
          </w:tcPr>
          <w:p w14:paraId="418B18E8">
            <w:pPr>
              <w:widowControl/>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生产</w:t>
            </w:r>
            <w:r>
              <w:rPr>
                <w:rFonts w:hint="default" w:ascii="Times New Roman" w:hAnsi="Times New Roman" w:cs="Times New Roman"/>
                <w:color w:val="auto"/>
                <w:sz w:val="21"/>
                <w:szCs w:val="21"/>
                <w:lang w:bidi="ar"/>
              </w:rPr>
              <w:t>改性ABS</w:t>
            </w:r>
          </w:p>
        </w:tc>
      </w:tr>
      <w:tr w14:paraId="4EB5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2D67801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w:t>
            </w:r>
          </w:p>
        </w:tc>
        <w:tc>
          <w:tcPr>
            <w:tcW w:w="2067" w:type="dxa"/>
            <w:shd w:val="clear" w:color="auto" w:fill="auto"/>
            <w:vAlign w:val="center"/>
          </w:tcPr>
          <w:p w14:paraId="121C2DF9">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冷却水槽</w:t>
            </w:r>
          </w:p>
        </w:tc>
        <w:tc>
          <w:tcPr>
            <w:tcW w:w="2426" w:type="dxa"/>
            <w:shd w:val="clear" w:color="auto" w:fill="auto"/>
            <w:vAlign w:val="center"/>
          </w:tcPr>
          <w:p w14:paraId="3BB9B07C">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w:t>
            </w:r>
            <w:r>
              <w:rPr>
                <w:rStyle w:val="264"/>
                <w:rFonts w:hint="default" w:ascii="Times New Roman" w:hAnsi="Times New Roman" w:cs="Times New Roman"/>
                <w:color w:val="auto"/>
                <w:vertAlign w:val="baseline"/>
                <w:lang w:bidi="ar"/>
              </w:rPr>
              <w:t>5m×0.3m×0.3m</w:t>
            </w:r>
            <w:r>
              <w:rPr>
                <w:rStyle w:val="262"/>
                <w:rFonts w:hint="default" w:ascii="Times New Roman" w:hAnsi="Times New Roman" w:cs="Times New Roman"/>
                <w:color w:val="auto"/>
                <w:lang w:bidi="ar"/>
              </w:rPr>
              <w:t>）</w:t>
            </w:r>
          </w:p>
        </w:tc>
        <w:tc>
          <w:tcPr>
            <w:tcW w:w="759" w:type="dxa"/>
            <w:shd w:val="clear" w:color="auto" w:fill="auto"/>
            <w:vAlign w:val="center"/>
          </w:tcPr>
          <w:p w14:paraId="5A921777">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台</w:t>
            </w:r>
          </w:p>
        </w:tc>
        <w:tc>
          <w:tcPr>
            <w:tcW w:w="645" w:type="dxa"/>
            <w:shd w:val="clear" w:color="auto" w:fill="auto"/>
            <w:vAlign w:val="center"/>
          </w:tcPr>
          <w:p w14:paraId="1264027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1681" w:type="dxa"/>
            <w:shd w:val="clear" w:color="auto" w:fill="auto"/>
            <w:vAlign w:val="center"/>
          </w:tcPr>
          <w:p w14:paraId="49138DB5">
            <w:pPr>
              <w:widowControl/>
              <w:spacing w:line="240" w:lineRule="auto"/>
              <w:ind w:firstLine="0" w:firstLineChars="0"/>
              <w:jc w:val="center"/>
              <w:textAlignment w:val="center"/>
              <w:rPr>
                <w:rFonts w:hint="default" w:ascii="Times New Roman" w:hAnsi="Times New Roman" w:cs="Times New Roman"/>
                <w:color w:val="auto"/>
                <w:sz w:val="21"/>
                <w:szCs w:val="21"/>
              </w:rPr>
            </w:pPr>
          </w:p>
        </w:tc>
      </w:tr>
      <w:tr w14:paraId="61BD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4F9185A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2067" w:type="dxa"/>
            <w:vMerge w:val="restart"/>
            <w:shd w:val="clear" w:color="auto" w:fill="auto"/>
            <w:vAlign w:val="center"/>
          </w:tcPr>
          <w:p w14:paraId="1CBDA1B7">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均化料仓</w:t>
            </w:r>
          </w:p>
        </w:tc>
        <w:tc>
          <w:tcPr>
            <w:tcW w:w="2426" w:type="dxa"/>
            <w:shd w:val="clear" w:color="auto" w:fill="auto"/>
            <w:vAlign w:val="center"/>
          </w:tcPr>
          <w:p w14:paraId="18917B85">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4"/>
                <w:rFonts w:hint="default" w:ascii="Times New Roman" w:hAnsi="Times New Roman" w:cs="Times New Roman"/>
                <w:color w:val="auto"/>
                <w:vertAlign w:val="baseline"/>
                <w:lang w:bidi="ar"/>
              </w:rPr>
              <w:t>HF-LS-JBJ-5000</w:t>
            </w:r>
          </w:p>
        </w:tc>
        <w:tc>
          <w:tcPr>
            <w:tcW w:w="759" w:type="dxa"/>
            <w:shd w:val="clear" w:color="auto" w:fill="auto"/>
            <w:vAlign w:val="center"/>
          </w:tcPr>
          <w:p w14:paraId="704773FA">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台</w:t>
            </w:r>
          </w:p>
        </w:tc>
        <w:tc>
          <w:tcPr>
            <w:tcW w:w="645" w:type="dxa"/>
            <w:shd w:val="clear" w:color="auto" w:fill="auto"/>
            <w:vAlign w:val="center"/>
          </w:tcPr>
          <w:p w14:paraId="7B15CC9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w:t>
            </w:r>
          </w:p>
        </w:tc>
        <w:tc>
          <w:tcPr>
            <w:tcW w:w="1681" w:type="dxa"/>
            <w:shd w:val="clear" w:color="auto" w:fill="auto"/>
            <w:vAlign w:val="center"/>
          </w:tcPr>
          <w:p w14:paraId="4F300AC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r>
      <w:tr w14:paraId="45CD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5C2577A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w:t>
            </w:r>
          </w:p>
        </w:tc>
        <w:tc>
          <w:tcPr>
            <w:tcW w:w="2067" w:type="dxa"/>
            <w:vMerge w:val="continue"/>
            <w:shd w:val="clear" w:color="auto" w:fill="auto"/>
            <w:vAlign w:val="center"/>
          </w:tcPr>
          <w:p w14:paraId="3DD353EE">
            <w:pPr>
              <w:spacing w:line="240" w:lineRule="auto"/>
              <w:ind w:firstLine="0" w:firstLineChars="0"/>
              <w:jc w:val="center"/>
              <w:rPr>
                <w:rFonts w:hint="default" w:ascii="Times New Roman" w:hAnsi="Times New Roman" w:cs="Times New Roman"/>
                <w:color w:val="auto"/>
                <w:sz w:val="21"/>
                <w:szCs w:val="21"/>
              </w:rPr>
            </w:pPr>
          </w:p>
        </w:tc>
        <w:tc>
          <w:tcPr>
            <w:tcW w:w="2426" w:type="dxa"/>
            <w:shd w:val="clear" w:color="auto" w:fill="auto"/>
            <w:vAlign w:val="center"/>
          </w:tcPr>
          <w:p w14:paraId="34D0B68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HF-LS-JBJ-3000</w:t>
            </w:r>
          </w:p>
        </w:tc>
        <w:tc>
          <w:tcPr>
            <w:tcW w:w="759" w:type="dxa"/>
            <w:shd w:val="clear" w:color="auto" w:fill="auto"/>
            <w:vAlign w:val="center"/>
          </w:tcPr>
          <w:p w14:paraId="3A14CDB1">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台</w:t>
            </w:r>
          </w:p>
        </w:tc>
        <w:tc>
          <w:tcPr>
            <w:tcW w:w="645" w:type="dxa"/>
            <w:shd w:val="clear" w:color="auto" w:fill="auto"/>
            <w:vAlign w:val="center"/>
          </w:tcPr>
          <w:p w14:paraId="5766737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w:t>
            </w:r>
          </w:p>
        </w:tc>
        <w:tc>
          <w:tcPr>
            <w:tcW w:w="1681" w:type="dxa"/>
            <w:shd w:val="clear" w:color="auto" w:fill="auto"/>
            <w:vAlign w:val="center"/>
          </w:tcPr>
          <w:p w14:paraId="6934F45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r>
      <w:tr w14:paraId="4D25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53ECC9F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w:t>
            </w:r>
          </w:p>
        </w:tc>
        <w:tc>
          <w:tcPr>
            <w:tcW w:w="2067" w:type="dxa"/>
            <w:vMerge w:val="continue"/>
            <w:shd w:val="clear" w:color="auto" w:fill="auto"/>
            <w:vAlign w:val="center"/>
          </w:tcPr>
          <w:p w14:paraId="7C5BE2C6">
            <w:pPr>
              <w:spacing w:line="240" w:lineRule="auto"/>
              <w:ind w:firstLine="0" w:firstLineChars="0"/>
              <w:jc w:val="center"/>
              <w:rPr>
                <w:rFonts w:hint="default" w:ascii="Times New Roman" w:hAnsi="Times New Roman" w:cs="Times New Roman"/>
                <w:color w:val="auto"/>
                <w:sz w:val="21"/>
                <w:szCs w:val="21"/>
              </w:rPr>
            </w:pPr>
          </w:p>
        </w:tc>
        <w:tc>
          <w:tcPr>
            <w:tcW w:w="2426" w:type="dxa"/>
            <w:shd w:val="clear" w:color="auto" w:fill="auto"/>
            <w:vAlign w:val="center"/>
          </w:tcPr>
          <w:p w14:paraId="0B05858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HF-LS-JBJ-1000</w:t>
            </w:r>
          </w:p>
        </w:tc>
        <w:tc>
          <w:tcPr>
            <w:tcW w:w="759" w:type="dxa"/>
            <w:shd w:val="clear" w:color="auto" w:fill="auto"/>
            <w:vAlign w:val="center"/>
          </w:tcPr>
          <w:p w14:paraId="4AA8292C">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台</w:t>
            </w:r>
          </w:p>
        </w:tc>
        <w:tc>
          <w:tcPr>
            <w:tcW w:w="645" w:type="dxa"/>
            <w:shd w:val="clear" w:color="auto" w:fill="auto"/>
            <w:vAlign w:val="center"/>
          </w:tcPr>
          <w:p w14:paraId="30C910B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1681" w:type="dxa"/>
            <w:shd w:val="clear" w:color="auto" w:fill="auto"/>
            <w:vAlign w:val="center"/>
          </w:tcPr>
          <w:p w14:paraId="2A93E93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r>
      <w:tr w14:paraId="6225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20D78B3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9</w:t>
            </w:r>
          </w:p>
        </w:tc>
        <w:tc>
          <w:tcPr>
            <w:tcW w:w="2067" w:type="dxa"/>
            <w:shd w:val="clear" w:color="auto" w:fill="auto"/>
            <w:vAlign w:val="center"/>
          </w:tcPr>
          <w:p w14:paraId="09736B4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混料机</w:t>
            </w:r>
          </w:p>
        </w:tc>
        <w:tc>
          <w:tcPr>
            <w:tcW w:w="2426" w:type="dxa"/>
            <w:shd w:val="clear" w:color="auto" w:fill="auto"/>
            <w:vAlign w:val="center"/>
          </w:tcPr>
          <w:p w14:paraId="5C3F62B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HF-WSJ-300</w:t>
            </w:r>
          </w:p>
        </w:tc>
        <w:tc>
          <w:tcPr>
            <w:tcW w:w="759" w:type="dxa"/>
            <w:shd w:val="clear" w:color="auto" w:fill="auto"/>
            <w:vAlign w:val="center"/>
          </w:tcPr>
          <w:p w14:paraId="42B8BFA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台</w:t>
            </w:r>
          </w:p>
        </w:tc>
        <w:tc>
          <w:tcPr>
            <w:tcW w:w="645" w:type="dxa"/>
            <w:shd w:val="clear" w:color="auto" w:fill="auto"/>
            <w:vAlign w:val="center"/>
          </w:tcPr>
          <w:p w14:paraId="2715DF9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1681" w:type="dxa"/>
            <w:shd w:val="clear" w:color="auto" w:fill="auto"/>
            <w:vAlign w:val="center"/>
          </w:tcPr>
          <w:p w14:paraId="7721ABDF">
            <w:pPr>
              <w:widowControl/>
              <w:spacing w:line="240" w:lineRule="auto"/>
              <w:ind w:firstLine="0" w:firstLineChars="0"/>
              <w:jc w:val="center"/>
              <w:textAlignment w:val="center"/>
              <w:rPr>
                <w:rFonts w:hint="default" w:ascii="Times New Roman" w:hAnsi="Times New Roman" w:cs="Times New Roman"/>
                <w:color w:val="auto"/>
                <w:sz w:val="21"/>
                <w:szCs w:val="21"/>
              </w:rPr>
            </w:pPr>
          </w:p>
        </w:tc>
      </w:tr>
      <w:tr w14:paraId="50D6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46BC413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2067" w:type="dxa"/>
            <w:shd w:val="clear" w:color="auto" w:fill="auto"/>
            <w:vAlign w:val="center"/>
          </w:tcPr>
          <w:p w14:paraId="4852BB7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干燥机</w:t>
            </w:r>
          </w:p>
        </w:tc>
        <w:tc>
          <w:tcPr>
            <w:tcW w:w="2426" w:type="dxa"/>
            <w:shd w:val="clear" w:color="auto" w:fill="auto"/>
            <w:vAlign w:val="center"/>
          </w:tcPr>
          <w:p w14:paraId="188DC9D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A/B料仓</w:t>
            </w:r>
          </w:p>
        </w:tc>
        <w:tc>
          <w:tcPr>
            <w:tcW w:w="759" w:type="dxa"/>
            <w:shd w:val="clear" w:color="auto" w:fill="auto"/>
            <w:vAlign w:val="center"/>
          </w:tcPr>
          <w:p w14:paraId="0E7C57D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套</w:t>
            </w:r>
          </w:p>
        </w:tc>
        <w:tc>
          <w:tcPr>
            <w:tcW w:w="645" w:type="dxa"/>
            <w:shd w:val="clear" w:color="auto" w:fill="auto"/>
            <w:vAlign w:val="center"/>
          </w:tcPr>
          <w:p w14:paraId="6335ADD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681" w:type="dxa"/>
            <w:shd w:val="clear" w:color="auto" w:fill="auto"/>
            <w:vAlign w:val="center"/>
          </w:tcPr>
          <w:p w14:paraId="2C47216B">
            <w:pPr>
              <w:widowControl/>
              <w:spacing w:line="240" w:lineRule="auto"/>
              <w:ind w:firstLine="0" w:firstLineChars="0"/>
              <w:jc w:val="center"/>
              <w:textAlignment w:val="center"/>
              <w:rPr>
                <w:rFonts w:hint="default" w:ascii="Times New Roman" w:hAnsi="Times New Roman" w:cs="Times New Roman"/>
                <w:color w:val="auto"/>
                <w:sz w:val="21"/>
                <w:szCs w:val="21"/>
              </w:rPr>
            </w:pPr>
          </w:p>
        </w:tc>
      </w:tr>
      <w:tr w14:paraId="7DB96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12EF41D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11</w:t>
            </w:r>
          </w:p>
        </w:tc>
        <w:tc>
          <w:tcPr>
            <w:tcW w:w="2067" w:type="dxa"/>
            <w:shd w:val="clear" w:color="auto" w:fill="auto"/>
            <w:vAlign w:val="center"/>
          </w:tcPr>
          <w:p w14:paraId="73EA018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真空吸料机</w:t>
            </w:r>
          </w:p>
        </w:tc>
        <w:tc>
          <w:tcPr>
            <w:tcW w:w="2426" w:type="dxa"/>
            <w:shd w:val="clear" w:color="auto" w:fill="auto"/>
            <w:vAlign w:val="center"/>
          </w:tcPr>
          <w:p w14:paraId="319DB09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水环式</w:t>
            </w:r>
          </w:p>
        </w:tc>
        <w:tc>
          <w:tcPr>
            <w:tcW w:w="759" w:type="dxa"/>
            <w:shd w:val="clear" w:color="auto" w:fill="auto"/>
            <w:vAlign w:val="center"/>
          </w:tcPr>
          <w:p w14:paraId="7D074EAD">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台</w:t>
            </w:r>
          </w:p>
        </w:tc>
        <w:tc>
          <w:tcPr>
            <w:tcW w:w="645" w:type="dxa"/>
            <w:shd w:val="clear" w:color="auto" w:fill="auto"/>
            <w:vAlign w:val="center"/>
          </w:tcPr>
          <w:p w14:paraId="150936E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1681" w:type="dxa"/>
            <w:shd w:val="clear" w:color="auto" w:fill="auto"/>
            <w:vAlign w:val="center"/>
          </w:tcPr>
          <w:p w14:paraId="69D2B6C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9用1备</w:t>
            </w:r>
          </w:p>
        </w:tc>
      </w:tr>
      <w:tr w14:paraId="0F18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0935236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12</w:t>
            </w:r>
          </w:p>
        </w:tc>
        <w:tc>
          <w:tcPr>
            <w:tcW w:w="2067" w:type="dxa"/>
            <w:shd w:val="clear" w:color="auto" w:fill="auto"/>
            <w:vAlign w:val="center"/>
          </w:tcPr>
          <w:p w14:paraId="0F82A730">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立式拌料机</w:t>
            </w:r>
          </w:p>
        </w:tc>
        <w:tc>
          <w:tcPr>
            <w:tcW w:w="2426" w:type="dxa"/>
            <w:shd w:val="clear" w:color="auto" w:fill="auto"/>
            <w:vAlign w:val="center"/>
          </w:tcPr>
          <w:p w14:paraId="40293CCA">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4"/>
                <w:rFonts w:hint="default" w:ascii="Times New Roman" w:hAnsi="Times New Roman" w:cs="Times New Roman"/>
                <w:color w:val="auto"/>
                <w:vertAlign w:val="baseline"/>
                <w:lang w:bidi="ar"/>
              </w:rPr>
              <w:t>/</w:t>
            </w:r>
          </w:p>
        </w:tc>
        <w:tc>
          <w:tcPr>
            <w:tcW w:w="759" w:type="dxa"/>
            <w:shd w:val="clear" w:color="auto" w:fill="auto"/>
            <w:vAlign w:val="center"/>
          </w:tcPr>
          <w:p w14:paraId="1C058216">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台</w:t>
            </w:r>
          </w:p>
        </w:tc>
        <w:tc>
          <w:tcPr>
            <w:tcW w:w="645" w:type="dxa"/>
            <w:shd w:val="clear" w:color="auto" w:fill="auto"/>
            <w:vAlign w:val="center"/>
          </w:tcPr>
          <w:p w14:paraId="75BBF77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1681" w:type="dxa"/>
            <w:shd w:val="clear" w:color="auto" w:fill="auto"/>
            <w:vAlign w:val="center"/>
          </w:tcPr>
          <w:p w14:paraId="500CD6E3">
            <w:pPr>
              <w:widowControl/>
              <w:spacing w:line="240" w:lineRule="auto"/>
              <w:ind w:firstLine="0" w:firstLineChars="0"/>
              <w:jc w:val="center"/>
              <w:textAlignment w:val="center"/>
              <w:rPr>
                <w:rFonts w:hint="default" w:ascii="Times New Roman" w:hAnsi="Times New Roman" w:cs="Times New Roman"/>
                <w:color w:val="auto"/>
                <w:sz w:val="21"/>
                <w:szCs w:val="21"/>
              </w:rPr>
            </w:pPr>
          </w:p>
        </w:tc>
      </w:tr>
      <w:tr w14:paraId="7A62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1A1A371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13</w:t>
            </w:r>
          </w:p>
        </w:tc>
        <w:tc>
          <w:tcPr>
            <w:tcW w:w="2067" w:type="dxa"/>
            <w:shd w:val="clear" w:color="auto" w:fill="auto"/>
            <w:vAlign w:val="center"/>
          </w:tcPr>
          <w:p w14:paraId="2A3E9F3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切料机</w:t>
            </w:r>
          </w:p>
        </w:tc>
        <w:tc>
          <w:tcPr>
            <w:tcW w:w="2426" w:type="dxa"/>
            <w:shd w:val="clear" w:color="auto" w:fill="auto"/>
            <w:vAlign w:val="center"/>
          </w:tcPr>
          <w:p w14:paraId="6F760A9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w:t>
            </w:r>
          </w:p>
        </w:tc>
        <w:tc>
          <w:tcPr>
            <w:tcW w:w="759" w:type="dxa"/>
            <w:shd w:val="clear" w:color="auto" w:fill="auto"/>
            <w:vAlign w:val="center"/>
          </w:tcPr>
          <w:p w14:paraId="1C0106B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台</w:t>
            </w:r>
          </w:p>
        </w:tc>
        <w:tc>
          <w:tcPr>
            <w:tcW w:w="645" w:type="dxa"/>
            <w:shd w:val="clear" w:color="auto" w:fill="auto"/>
            <w:vAlign w:val="center"/>
          </w:tcPr>
          <w:p w14:paraId="05D0B04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1681" w:type="dxa"/>
            <w:shd w:val="clear" w:color="auto" w:fill="auto"/>
            <w:vAlign w:val="center"/>
          </w:tcPr>
          <w:p w14:paraId="18137AAF">
            <w:pPr>
              <w:widowControl/>
              <w:spacing w:line="240" w:lineRule="auto"/>
              <w:ind w:firstLine="0" w:firstLineChars="0"/>
              <w:jc w:val="center"/>
              <w:textAlignment w:val="center"/>
              <w:rPr>
                <w:rFonts w:hint="default" w:ascii="Times New Roman" w:hAnsi="Times New Roman" w:cs="Times New Roman"/>
                <w:color w:val="auto"/>
                <w:sz w:val="21"/>
                <w:szCs w:val="21"/>
              </w:rPr>
            </w:pPr>
          </w:p>
        </w:tc>
      </w:tr>
      <w:tr w14:paraId="2ACD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27FBB46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14</w:t>
            </w:r>
          </w:p>
        </w:tc>
        <w:tc>
          <w:tcPr>
            <w:tcW w:w="2067" w:type="dxa"/>
            <w:shd w:val="clear" w:color="auto" w:fill="auto"/>
            <w:vAlign w:val="center"/>
          </w:tcPr>
          <w:p w14:paraId="6BF3D8C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布袋除尘器</w:t>
            </w:r>
          </w:p>
        </w:tc>
        <w:tc>
          <w:tcPr>
            <w:tcW w:w="2426" w:type="dxa"/>
            <w:shd w:val="clear" w:color="auto" w:fill="auto"/>
            <w:vAlign w:val="center"/>
          </w:tcPr>
          <w:p w14:paraId="1A9A50A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环保</w:t>
            </w:r>
          </w:p>
        </w:tc>
        <w:tc>
          <w:tcPr>
            <w:tcW w:w="759" w:type="dxa"/>
            <w:shd w:val="clear" w:color="auto" w:fill="auto"/>
            <w:vAlign w:val="center"/>
          </w:tcPr>
          <w:p w14:paraId="27702E14">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套</w:t>
            </w:r>
          </w:p>
        </w:tc>
        <w:tc>
          <w:tcPr>
            <w:tcW w:w="645" w:type="dxa"/>
            <w:shd w:val="clear" w:color="auto" w:fill="auto"/>
            <w:vAlign w:val="center"/>
          </w:tcPr>
          <w:p w14:paraId="39B9223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1681" w:type="dxa"/>
            <w:shd w:val="clear" w:color="auto" w:fill="auto"/>
            <w:vAlign w:val="center"/>
          </w:tcPr>
          <w:p w14:paraId="7F96F7D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r>
      <w:tr w14:paraId="397F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77401E6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15</w:t>
            </w:r>
          </w:p>
        </w:tc>
        <w:tc>
          <w:tcPr>
            <w:tcW w:w="2067" w:type="dxa"/>
            <w:shd w:val="clear" w:color="auto" w:fill="auto"/>
            <w:vAlign w:val="center"/>
          </w:tcPr>
          <w:p w14:paraId="622479B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活性炭处理设备</w:t>
            </w:r>
          </w:p>
        </w:tc>
        <w:tc>
          <w:tcPr>
            <w:tcW w:w="2426" w:type="dxa"/>
            <w:shd w:val="clear" w:color="auto" w:fill="auto"/>
            <w:vAlign w:val="center"/>
          </w:tcPr>
          <w:p w14:paraId="2DEF23A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环保</w:t>
            </w:r>
          </w:p>
        </w:tc>
        <w:tc>
          <w:tcPr>
            <w:tcW w:w="759" w:type="dxa"/>
            <w:shd w:val="clear" w:color="auto" w:fill="auto"/>
            <w:vAlign w:val="center"/>
          </w:tcPr>
          <w:p w14:paraId="45460014">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套</w:t>
            </w:r>
          </w:p>
        </w:tc>
        <w:tc>
          <w:tcPr>
            <w:tcW w:w="645" w:type="dxa"/>
            <w:shd w:val="clear" w:color="auto" w:fill="auto"/>
            <w:vAlign w:val="center"/>
          </w:tcPr>
          <w:p w14:paraId="2DDEA56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1681" w:type="dxa"/>
            <w:shd w:val="clear" w:color="auto" w:fill="auto"/>
            <w:vAlign w:val="center"/>
          </w:tcPr>
          <w:p w14:paraId="11E0FDB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r>
      <w:tr w14:paraId="6618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5F3FB3B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16</w:t>
            </w:r>
          </w:p>
        </w:tc>
        <w:tc>
          <w:tcPr>
            <w:tcW w:w="2067" w:type="dxa"/>
            <w:shd w:val="clear" w:color="auto" w:fill="auto"/>
            <w:vAlign w:val="center"/>
          </w:tcPr>
          <w:p w14:paraId="3DD8A90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样板注塑机</w:t>
            </w:r>
          </w:p>
        </w:tc>
        <w:tc>
          <w:tcPr>
            <w:tcW w:w="2426" w:type="dxa"/>
            <w:shd w:val="clear" w:color="auto" w:fill="auto"/>
            <w:vAlign w:val="center"/>
          </w:tcPr>
          <w:p w14:paraId="62F7B74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海鹰550型</w:t>
            </w:r>
          </w:p>
        </w:tc>
        <w:tc>
          <w:tcPr>
            <w:tcW w:w="759" w:type="dxa"/>
            <w:shd w:val="clear" w:color="auto" w:fill="auto"/>
            <w:vAlign w:val="center"/>
          </w:tcPr>
          <w:p w14:paraId="1C1CABBE">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台</w:t>
            </w:r>
          </w:p>
        </w:tc>
        <w:tc>
          <w:tcPr>
            <w:tcW w:w="645" w:type="dxa"/>
            <w:shd w:val="clear" w:color="auto" w:fill="auto"/>
            <w:vAlign w:val="center"/>
          </w:tcPr>
          <w:p w14:paraId="4DB1BCA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w:t>
            </w:r>
          </w:p>
        </w:tc>
        <w:tc>
          <w:tcPr>
            <w:tcW w:w="1681" w:type="dxa"/>
            <w:shd w:val="clear" w:color="auto" w:fill="auto"/>
            <w:vAlign w:val="center"/>
          </w:tcPr>
          <w:p w14:paraId="3410FBA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1台为改性PP试验样条机，剩下2台为调色样板专用机</w:t>
            </w:r>
          </w:p>
        </w:tc>
      </w:tr>
      <w:tr w14:paraId="1055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1388549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17</w:t>
            </w:r>
          </w:p>
        </w:tc>
        <w:tc>
          <w:tcPr>
            <w:tcW w:w="2067" w:type="dxa"/>
            <w:shd w:val="clear" w:color="auto" w:fill="auto"/>
            <w:vAlign w:val="center"/>
          </w:tcPr>
          <w:p w14:paraId="28829F7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样板注塑机</w:t>
            </w:r>
          </w:p>
        </w:tc>
        <w:tc>
          <w:tcPr>
            <w:tcW w:w="2426" w:type="dxa"/>
            <w:shd w:val="clear" w:color="auto" w:fill="auto"/>
            <w:vAlign w:val="center"/>
          </w:tcPr>
          <w:p w14:paraId="1943727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海天MA1200型</w:t>
            </w:r>
          </w:p>
        </w:tc>
        <w:tc>
          <w:tcPr>
            <w:tcW w:w="759" w:type="dxa"/>
            <w:shd w:val="clear" w:color="auto" w:fill="auto"/>
            <w:vAlign w:val="center"/>
          </w:tcPr>
          <w:p w14:paraId="72B6F1F4">
            <w:pPr>
              <w:widowControl/>
              <w:spacing w:line="240" w:lineRule="auto"/>
              <w:ind w:firstLine="0" w:firstLineChars="0"/>
              <w:jc w:val="center"/>
              <w:textAlignment w:val="center"/>
              <w:rPr>
                <w:rStyle w:val="262"/>
                <w:rFonts w:hint="default" w:ascii="Times New Roman" w:hAnsi="Times New Roman" w:cs="Times New Roman"/>
                <w:color w:val="auto"/>
                <w:lang w:bidi="ar"/>
              </w:rPr>
            </w:pPr>
            <w:r>
              <w:rPr>
                <w:rStyle w:val="262"/>
                <w:rFonts w:hint="default" w:ascii="Times New Roman" w:hAnsi="Times New Roman" w:cs="Times New Roman"/>
                <w:color w:val="auto"/>
                <w:lang w:bidi="ar"/>
              </w:rPr>
              <w:t>台</w:t>
            </w:r>
          </w:p>
        </w:tc>
        <w:tc>
          <w:tcPr>
            <w:tcW w:w="645" w:type="dxa"/>
            <w:shd w:val="clear" w:color="auto" w:fill="auto"/>
            <w:vAlign w:val="center"/>
          </w:tcPr>
          <w:p w14:paraId="3085CFF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w:t>
            </w:r>
          </w:p>
        </w:tc>
        <w:tc>
          <w:tcPr>
            <w:tcW w:w="1681" w:type="dxa"/>
            <w:shd w:val="clear" w:color="auto" w:fill="auto"/>
            <w:vAlign w:val="center"/>
          </w:tcPr>
          <w:p w14:paraId="135C4C4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改性PC/ABS、改性ABS、改性PA试验样打板机</w:t>
            </w:r>
          </w:p>
        </w:tc>
      </w:tr>
      <w:tr w14:paraId="3E47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7115A88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18</w:t>
            </w:r>
          </w:p>
        </w:tc>
        <w:tc>
          <w:tcPr>
            <w:tcW w:w="2067" w:type="dxa"/>
            <w:shd w:val="clear" w:color="auto" w:fill="auto"/>
            <w:vAlign w:val="center"/>
          </w:tcPr>
          <w:p w14:paraId="3CDDA4AB">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拉力试验机</w:t>
            </w:r>
          </w:p>
        </w:tc>
        <w:tc>
          <w:tcPr>
            <w:tcW w:w="2426" w:type="dxa"/>
            <w:shd w:val="clear" w:color="auto" w:fill="auto"/>
            <w:vAlign w:val="center"/>
          </w:tcPr>
          <w:p w14:paraId="5880C932">
            <w:pPr>
              <w:spacing w:line="240" w:lineRule="auto"/>
              <w:ind w:firstLine="0" w:firstLineChars="0"/>
              <w:jc w:val="center"/>
              <w:rPr>
                <w:rFonts w:hint="default" w:ascii="Times New Roman" w:hAnsi="Times New Roman" w:cs="Times New Roman"/>
                <w:color w:val="auto"/>
                <w:sz w:val="21"/>
                <w:szCs w:val="21"/>
              </w:rPr>
            </w:pPr>
          </w:p>
        </w:tc>
        <w:tc>
          <w:tcPr>
            <w:tcW w:w="759" w:type="dxa"/>
            <w:shd w:val="clear" w:color="auto" w:fill="auto"/>
            <w:vAlign w:val="center"/>
          </w:tcPr>
          <w:p w14:paraId="0BA4EE0C">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台</w:t>
            </w:r>
          </w:p>
        </w:tc>
        <w:tc>
          <w:tcPr>
            <w:tcW w:w="645" w:type="dxa"/>
            <w:shd w:val="clear" w:color="auto" w:fill="auto"/>
            <w:vAlign w:val="center"/>
          </w:tcPr>
          <w:p w14:paraId="1F8CFED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1681" w:type="dxa"/>
            <w:vMerge w:val="restart"/>
            <w:shd w:val="clear" w:color="auto" w:fill="auto"/>
            <w:vAlign w:val="center"/>
          </w:tcPr>
          <w:p w14:paraId="0424FF1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材料物性检测及实验</w:t>
            </w:r>
          </w:p>
        </w:tc>
      </w:tr>
      <w:tr w14:paraId="33C5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1684515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19</w:t>
            </w:r>
          </w:p>
        </w:tc>
        <w:tc>
          <w:tcPr>
            <w:tcW w:w="2067" w:type="dxa"/>
            <w:shd w:val="clear" w:color="auto" w:fill="auto"/>
            <w:vAlign w:val="center"/>
          </w:tcPr>
          <w:p w14:paraId="26E18C80">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冲击试验机</w:t>
            </w:r>
          </w:p>
        </w:tc>
        <w:tc>
          <w:tcPr>
            <w:tcW w:w="2426" w:type="dxa"/>
            <w:shd w:val="clear" w:color="auto" w:fill="auto"/>
            <w:vAlign w:val="center"/>
          </w:tcPr>
          <w:p w14:paraId="454EDF67">
            <w:pPr>
              <w:spacing w:line="240" w:lineRule="auto"/>
              <w:ind w:firstLine="0" w:firstLineChars="0"/>
              <w:jc w:val="center"/>
              <w:rPr>
                <w:rFonts w:hint="default" w:ascii="Times New Roman" w:hAnsi="Times New Roman" w:cs="Times New Roman"/>
                <w:color w:val="auto"/>
                <w:sz w:val="21"/>
                <w:szCs w:val="21"/>
              </w:rPr>
            </w:pPr>
          </w:p>
        </w:tc>
        <w:tc>
          <w:tcPr>
            <w:tcW w:w="759" w:type="dxa"/>
            <w:shd w:val="clear" w:color="auto" w:fill="auto"/>
            <w:vAlign w:val="center"/>
          </w:tcPr>
          <w:p w14:paraId="183C94A3">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台</w:t>
            </w:r>
          </w:p>
        </w:tc>
        <w:tc>
          <w:tcPr>
            <w:tcW w:w="645" w:type="dxa"/>
            <w:shd w:val="clear" w:color="auto" w:fill="auto"/>
            <w:vAlign w:val="center"/>
          </w:tcPr>
          <w:p w14:paraId="39B7F0C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1681" w:type="dxa"/>
            <w:vMerge w:val="continue"/>
            <w:shd w:val="clear" w:color="auto" w:fill="auto"/>
            <w:vAlign w:val="center"/>
          </w:tcPr>
          <w:p w14:paraId="5B181C3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r>
      <w:tr w14:paraId="7E60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0F781A5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w:t>
            </w:r>
          </w:p>
        </w:tc>
        <w:tc>
          <w:tcPr>
            <w:tcW w:w="2067" w:type="dxa"/>
            <w:shd w:val="clear" w:color="auto" w:fill="auto"/>
            <w:vAlign w:val="center"/>
          </w:tcPr>
          <w:p w14:paraId="121BE7C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熔融指数仪</w:t>
            </w:r>
          </w:p>
        </w:tc>
        <w:tc>
          <w:tcPr>
            <w:tcW w:w="2426" w:type="dxa"/>
            <w:shd w:val="clear" w:color="auto" w:fill="auto"/>
            <w:vAlign w:val="center"/>
          </w:tcPr>
          <w:p w14:paraId="0A7A4A23">
            <w:pPr>
              <w:spacing w:line="240" w:lineRule="auto"/>
              <w:ind w:firstLine="0" w:firstLineChars="0"/>
              <w:jc w:val="center"/>
              <w:rPr>
                <w:rFonts w:hint="default" w:ascii="Times New Roman" w:hAnsi="Times New Roman" w:cs="Times New Roman"/>
                <w:color w:val="auto"/>
                <w:sz w:val="21"/>
                <w:szCs w:val="21"/>
              </w:rPr>
            </w:pPr>
          </w:p>
        </w:tc>
        <w:tc>
          <w:tcPr>
            <w:tcW w:w="759" w:type="dxa"/>
            <w:shd w:val="clear" w:color="auto" w:fill="auto"/>
            <w:vAlign w:val="center"/>
          </w:tcPr>
          <w:p w14:paraId="55077938">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台</w:t>
            </w:r>
          </w:p>
        </w:tc>
        <w:tc>
          <w:tcPr>
            <w:tcW w:w="645" w:type="dxa"/>
            <w:shd w:val="clear" w:color="auto" w:fill="auto"/>
            <w:vAlign w:val="center"/>
          </w:tcPr>
          <w:p w14:paraId="6DA1E2C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1681" w:type="dxa"/>
            <w:vMerge w:val="continue"/>
            <w:shd w:val="clear" w:color="auto" w:fill="auto"/>
            <w:vAlign w:val="center"/>
          </w:tcPr>
          <w:p w14:paraId="3D90876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r>
      <w:tr w14:paraId="4CE1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032F942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21</w:t>
            </w:r>
          </w:p>
        </w:tc>
        <w:tc>
          <w:tcPr>
            <w:tcW w:w="2067" w:type="dxa"/>
            <w:shd w:val="clear" w:color="auto" w:fill="auto"/>
            <w:vAlign w:val="center"/>
          </w:tcPr>
          <w:p w14:paraId="66117CE0">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密度仪</w:t>
            </w:r>
          </w:p>
        </w:tc>
        <w:tc>
          <w:tcPr>
            <w:tcW w:w="2426" w:type="dxa"/>
            <w:shd w:val="clear" w:color="auto" w:fill="auto"/>
            <w:vAlign w:val="center"/>
          </w:tcPr>
          <w:p w14:paraId="16B3395A">
            <w:pPr>
              <w:spacing w:line="240" w:lineRule="auto"/>
              <w:ind w:firstLine="0" w:firstLineChars="0"/>
              <w:jc w:val="center"/>
              <w:rPr>
                <w:rFonts w:hint="default" w:ascii="Times New Roman" w:hAnsi="Times New Roman" w:cs="Times New Roman"/>
                <w:color w:val="auto"/>
                <w:sz w:val="21"/>
                <w:szCs w:val="21"/>
              </w:rPr>
            </w:pPr>
          </w:p>
        </w:tc>
        <w:tc>
          <w:tcPr>
            <w:tcW w:w="759" w:type="dxa"/>
            <w:shd w:val="clear" w:color="auto" w:fill="auto"/>
            <w:vAlign w:val="center"/>
          </w:tcPr>
          <w:p w14:paraId="150205B9">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台</w:t>
            </w:r>
          </w:p>
        </w:tc>
        <w:tc>
          <w:tcPr>
            <w:tcW w:w="645" w:type="dxa"/>
            <w:shd w:val="clear" w:color="auto" w:fill="auto"/>
            <w:vAlign w:val="center"/>
          </w:tcPr>
          <w:p w14:paraId="11A76F4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1681" w:type="dxa"/>
            <w:vMerge w:val="continue"/>
            <w:shd w:val="clear" w:color="auto" w:fill="auto"/>
            <w:vAlign w:val="center"/>
          </w:tcPr>
          <w:p w14:paraId="361C7D9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r>
      <w:tr w14:paraId="4076D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49AAB0F7">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22</w:t>
            </w:r>
          </w:p>
        </w:tc>
        <w:tc>
          <w:tcPr>
            <w:tcW w:w="2067" w:type="dxa"/>
            <w:shd w:val="clear" w:color="auto" w:fill="auto"/>
            <w:vAlign w:val="center"/>
          </w:tcPr>
          <w:p w14:paraId="03759CC4">
            <w:pPr>
              <w:widowControl/>
              <w:spacing w:line="240" w:lineRule="auto"/>
              <w:ind w:firstLine="0" w:firstLineChars="0"/>
              <w:jc w:val="center"/>
              <w:textAlignment w:val="center"/>
              <w:rPr>
                <w:rStyle w:val="262"/>
                <w:rFonts w:hint="default" w:ascii="Times New Roman" w:hAnsi="Times New Roman" w:cs="Times New Roman"/>
                <w:color w:val="auto"/>
                <w:lang w:bidi="ar"/>
              </w:rPr>
            </w:pPr>
            <w:r>
              <w:rPr>
                <w:rStyle w:val="262"/>
                <w:rFonts w:hint="default" w:ascii="Times New Roman" w:hAnsi="Times New Roman" w:cs="Times New Roman"/>
                <w:color w:val="auto"/>
                <w:lang w:bidi="ar"/>
              </w:rPr>
              <w:t>小型干燥箱</w:t>
            </w:r>
          </w:p>
        </w:tc>
        <w:tc>
          <w:tcPr>
            <w:tcW w:w="2426" w:type="dxa"/>
            <w:shd w:val="clear" w:color="auto" w:fill="auto"/>
            <w:vAlign w:val="center"/>
          </w:tcPr>
          <w:p w14:paraId="21CDCAF8">
            <w:pPr>
              <w:spacing w:line="240" w:lineRule="auto"/>
              <w:ind w:firstLine="0" w:firstLineChars="0"/>
              <w:jc w:val="center"/>
              <w:rPr>
                <w:rFonts w:hint="default" w:ascii="Times New Roman" w:hAnsi="Times New Roman" w:cs="Times New Roman"/>
                <w:color w:val="auto"/>
                <w:sz w:val="21"/>
                <w:szCs w:val="21"/>
              </w:rPr>
            </w:pPr>
          </w:p>
        </w:tc>
        <w:tc>
          <w:tcPr>
            <w:tcW w:w="759" w:type="dxa"/>
            <w:shd w:val="clear" w:color="auto" w:fill="auto"/>
            <w:vAlign w:val="center"/>
          </w:tcPr>
          <w:p w14:paraId="0C06D77D">
            <w:pPr>
              <w:widowControl/>
              <w:spacing w:line="240" w:lineRule="auto"/>
              <w:ind w:firstLine="0" w:firstLineChars="0"/>
              <w:jc w:val="center"/>
              <w:textAlignment w:val="center"/>
              <w:rPr>
                <w:rStyle w:val="262"/>
                <w:rFonts w:hint="default" w:ascii="Times New Roman" w:hAnsi="Times New Roman" w:cs="Times New Roman"/>
                <w:color w:val="auto"/>
                <w:lang w:bidi="ar"/>
              </w:rPr>
            </w:pPr>
            <w:r>
              <w:rPr>
                <w:rStyle w:val="262"/>
                <w:rFonts w:hint="default" w:ascii="Times New Roman" w:hAnsi="Times New Roman" w:cs="Times New Roman"/>
                <w:color w:val="auto"/>
                <w:lang w:bidi="ar"/>
              </w:rPr>
              <w:t>台</w:t>
            </w:r>
          </w:p>
        </w:tc>
        <w:tc>
          <w:tcPr>
            <w:tcW w:w="645" w:type="dxa"/>
            <w:shd w:val="clear" w:color="auto" w:fill="auto"/>
            <w:vAlign w:val="center"/>
          </w:tcPr>
          <w:p w14:paraId="3BBE94D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w:t>
            </w:r>
          </w:p>
        </w:tc>
        <w:tc>
          <w:tcPr>
            <w:tcW w:w="1681" w:type="dxa"/>
            <w:vMerge w:val="continue"/>
            <w:shd w:val="clear" w:color="auto" w:fill="auto"/>
            <w:vAlign w:val="center"/>
          </w:tcPr>
          <w:p w14:paraId="4B6366C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r>
      <w:tr w14:paraId="1437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5DE7112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23</w:t>
            </w:r>
          </w:p>
        </w:tc>
        <w:tc>
          <w:tcPr>
            <w:tcW w:w="2067" w:type="dxa"/>
            <w:shd w:val="clear" w:color="auto" w:fill="auto"/>
            <w:vAlign w:val="center"/>
          </w:tcPr>
          <w:p w14:paraId="28C5A3A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废气真空处理器</w:t>
            </w:r>
          </w:p>
        </w:tc>
        <w:tc>
          <w:tcPr>
            <w:tcW w:w="2426" w:type="dxa"/>
            <w:shd w:val="clear" w:color="auto" w:fill="auto"/>
            <w:vAlign w:val="center"/>
          </w:tcPr>
          <w:p w14:paraId="71DB2094">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水环式真空泵2BV5131，真空抽气量400m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/h</w:t>
            </w:r>
          </w:p>
        </w:tc>
        <w:tc>
          <w:tcPr>
            <w:tcW w:w="759" w:type="dxa"/>
            <w:shd w:val="clear" w:color="auto" w:fill="auto"/>
            <w:vAlign w:val="center"/>
          </w:tcPr>
          <w:p w14:paraId="5E70E116">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台</w:t>
            </w:r>
          </w:p>
        </w:tc>
        <w:tc>
          <w:tcPr>
            <w:tcW w:w="645" w:type="dxa"/>
            <w:shd w:val="clear" w:color="auto" w:fill="auto"/>
            <w:vAlign w:val="center"/>
          </w:tcPr>
          <w:p w14:paraId="490A58E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1681" w:type="dxa"/>
            <w:shd w:val="clear" w:color="auto" w:fill="auto"/>
            <w:vAlign w:val="center"/>
          </w:tcPr>
          <w:p w14:paraId="4F9F2BF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废气处理</w:t>
            </w:r>
          </w:p>
        </w:tc>
      </w:tr>
      <w:tr w14:paraId="3866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55004FB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24</w:t>
            </w:r>
          </w:p>
        </w:tc>
        <w:tc>
          <w:tcPr>
            <w:tcW w:w="2067" w:type="dxa"/>
            <w:shd w:val="clear" w:color="auto" w:fill="auto"/>
            <w:vAlign w:val="center"/>
          </w:tcPr>
          <w:p w14:paraId="1A3C02C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破碎机</w:t>
            </w:r>
          </w:p>
        </w:tc>
        <w:tc>
          <w:tcPr>
            <w:tcW w:w="2426" w:type="dxa"/>
            <w:shd w:val="clear" w:color="auto" w:fill="auto"/>
            <w:vAlign w:val="center"/>
          </w:tcPr>
          <w:p w14:paraId="1A317EDF">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759" w:type="dxa"/>
            <w:shd w:val="clear" w:color="auto" w:fill="auto"/>
            <w:vAlign w:val="center"/>
          </w:tcPr>
          <w:p w14:paraId="3783BDA2">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台</w:t>
            </w:r>
          </w:p>
        </w:tc>
        <w:tc>
          <w:tcPr>
            <w:tcW w:w="645" w:type="dxa"/>
            <w:shd w:val="clear" w:color="auto" w:fill="auto"/>
            <w:vAlign w:val="center"/>
          </w:tcPr>
          <w:p w14:paraId="5B36ADE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w:t>
            </w:r>
          </w:p>
        </w:tc>
        <w:tc>
          <w:tcPr>
            <w:tcW w:w="1681" w:type="dxa"/>
            <w:shd w:val="clear" w:color="auto" w:fill="auto"/>
            <w:vAlign w:val="center"/>
          </w:tcPr>
          <w:p w14:paraId="31EED86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r>
      <w:tr w14:paraId="4B93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7B662D9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25</w:t>
            </w:r>
          </w:p>
        </w:tc>
        <w:tc>
          <w:tcPr>
            <w:tcW w:w="2067" w:type="dxa"/>
            <w:shd w:val="clear" w:color="auto" w:fill="auto"/>
            <w:vAlign w:val="center"/>
          </w:tcPr>
          <w:p w14:paraId="4E89459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螺杆空气压缩机</w:t>
            </w:r>
          </w:p>
        </w:tc>
        <w:tc>
          <w:tcPr>
            <w:tcW w:w="2426" w:type="dxa"/>
            <w:shd w:val="clear" w:color="auto" w:fill="auto"/>
            <w:vAlign w:val="center"/>
          </w:tcPr>
          <w:p w14:paraId="1DEC307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759" w:type="dxa"/>
            <w:shd w:val="clear" w:color="auto" w:fill="auto"/>
            <w:vAlign w:val="center"/>
          </w:tcPr>
          <w:p w14:paraId="65A66A25">
            <w:pPr>
              <w:widowControl/>
              <w:spacing w:line="240" w:lineRule="auto"/>
              <w:ind w:firstLine="0" w:firstLineChars="0"/>
              <w:jc w:val="center"/>
              <w:textAlignment w:val="center"/>
              <w:rPr>
                <w:rFonts w:hint="default" w:ascii="Times New Roman" w:hAnsi="Times New Roman" w:cs="Times New Roman"/>
                <w:color w:val="auto"/>
                <w:sz w:val="21"/>
                <w:szCs w:val="21"/>
              </w:rPr>
            </w:pPr>
            <w:r>
              <w:rPr>
                <w:rStyle w:val="262"/>
                <w:rFonts w:hint="default" w:ascii="Times New Roman" w:hAnsi="Times New Roman" w:cs="Times New Roman"/>
                <w:color w:val="auto"/>
                <w:lang w:bidi="ar"/>
              </w:rPr>
              <w:t>台</w:t>
            </w:r>
          </w:p>
        </w:tc>
        <w:tc>
          <w:tcPr>
            <w:tcW w:w="645" w:type="dxa"/>
            <w:shd w:val="clear" w:color="auto" w:fill="auto"/>
            <w:vAlign w:val="center"/>
          </w:tcPr>
          <w:p w14:paraId="5D3CD20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1681" w:type="dxa"/>
            <w:shd w:val="clear" w:color="auto" w:fill="auto"/>
            <w:vAlign w:val="center"/>
          </w:tcPr>
          <w:p w14:paraId="0BDD3C9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r>
      <w:tr w14:paraId="5ECF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3356279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26</w:t>
            </w:r>
          </w:p>
        </w:tc>
        <w:tc>
          <w:tcPr>
            <w:tcW w:w="2067" w:type="dxa"/>
            <w:shd w:val="clear" w:color="auto" w:fill="auto"/>
            <w:vAlign w:val="center"/>
          </w:tcPr>
          <w:p w14:paraId="0BD5BD8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吨袋装袋机</w:t>
            </w:r>
          </w:p>
        </w:tc>
        <w:tc>
          <w:tcPr>
            <w:tcW w:w="2426" w:type="dxa"/>
            <w:shd w:val="clear" w:color="auto" w:fill="auto"/>
            <w:vAlign w:val="center"/>
          </w:tcPr>
          <w:p w14:paraId="4952EE0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rPr>
              <w:t>/</w:t>
            </w:r>
          </w:p>
        </w:tc>
        <w:tc>
          <w:tcPr>
            <w:tcW w:w="759" w:type="dxa"/>
            <w:shd w:val="clear" w:color="auto" w:fill="auto"/>
            <w:vAlign w:val="center"/>
          </w:tcPr>
          <w:p w14:paraId="0E8C27A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台</w:t>
            </w:r>
          </w:p>
        </w:tc>
        <w:tc>
          <w:tcPr>
            <w:tcW w:w="645" w:type="dxa"/>
            <w:shd w:val="clear" w:color="auto" w:fill="auto"/>
            <w:vAlign w:val="center"/>
          </w:tcPr>
          <w:p w14:paraId="50CB5D7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w:t>
            </w:r>
          </w:p>
        </w:tc>
        <w:tc>
          <w:tcPr>
            <w:tcW w:w="1681" w:type="dxa"/>
            <w:shd w:val="clear" w:color="auto" w:fill="auto"/>
            <w:vAlign w:val="center"/>
          </w:tcPr>
          <w:p w14:paraId="6ECCE46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r>
      <w:tr w14:paraId="58B63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69" w:type="dxa"/>
            <w:shd w:val="clear" w:color="auto" w:fill="auto"/>
            <w:vAlign w:val="center"/>
          </w:tcPr>
          <w:p w14:paraId="1BF5230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27</w:t>
            </w:r>
          </w:p>
        </w:tc>
        <w:tc>
          <w:tcPr>
            <w:tcW w:w="2067" w:type="dxa"/>
            <w:shd w:val="clear" w:color="auto" w:fill="auto"/>
            <w:vAlign w:val="center"/>
          </w:tcPr>
          <w:p w14:paraId="50D37E1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自动缠绕膜</w:t>
            </w:r>
          </w:p>
        </w:tc>
        <w:tc>
          <w:tcPr>
            <w:tcW w:w="2426" w:type="dxa"/>
            <w:shd w:val="clear" w:color="auto" w:fill="auto"/>
            <w:vAlign w:val="center"/>
          </w:tcPr>
          <w:p w14:paraId="3F40000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rPr>
              <w:t>/</w:t>
            </w:r>
          </w:p>
        </w:tc>
        <w:tc>
          <w:tcPr>
            <w:tcW w:w="759" w:type="dxa"/>
            <w:shd w:val="clear" w:color="auto" w:fill="auto"/>
            <w:vAlign w:val="center"/>
          </w:tcPr>
          <w:p w14:paraId="4876FA0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台</w:t>
            </w:r>
          </w:p>
        </w:tc>
        <w:tc>
          <w:tcPr>
            <w:tcW w:w="645" w:type="dxa"/>
            <w:shd w:val="clear" w:color="auto" w:fill="auto"/>
            <w:vAlign w:val="center"/>
          </w:tcPr>
          <w:p w14:paraId="1C9DDA4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w:t>
            </w:r>
          </w:p>
        </w:tc>
        <w:tc>
          <w:tcPr>
            <w:tcW w:w="1681" w:type="dxa"/>
            <w:shd w:val="clear" w:color="auto" w:fill="auto"/>
            <w:vAlign w:val="center"/>
          </w:tcPr>
          <w:p w14:paraId="22C1ED2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r>
      <w:tr w14:paraId="35FCE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769" w:type="dxa"/>
            <w:shd w:val="clear" w:color="auto" w:fill="auto"/>
            <w:vAlign w:val="center"/>
          </w:tcPr>
          <w:p w14:paraId="7B02225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28</w:t>
            </w:r>
          </w:p>
        </w:tc>
        <w:tc>
          <w:tcPr>
            <w:tcW w:w="2067" w:type="dxa"/>
            <w:shd w:val="clear" w:color="auto" w:fill="auto"/>
            <w:vAlign w:val="center"/>
          </w:tcPr>
          <w:p w14:paraId="3C8A7B9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循环冷却水箱</w:t>
            </w:r>
          </w:p>
        </w:tc>
        <w:tc>
          <w:tcPr>
            <w:tcW w:w="2426" w:type="dxa"/>
            <w:shd w:val="clear" w:color="auto" w:fill="auto"/>
            <w:vAlign w:val="center"/>
          </w:tcPr>
          <w:p w14:paraId="2878A3FC">
            <w:pPr>
              <w:widowControl/>
              <w:spacing w:line="240" w:lineRule="auto"/>
              <w:ind w:firstLine="0" w:firstLineChars="0"/>
              <w:jc w:val="center"/>
              <w:textAlignment w:val="center"/>
              <w:rPr>
                <w:rStyle w:val="264"/>
                <w:rFonts w:hint="default" w:ascii="Times New Roman" w:hAnsi="Times New Roman" w:cs="Times New Roman"/>
                <w:color w:val="auto"/>
                <w:lang w:bidi="ar"/>
              </w:rPr>
            </w:pPr>
            <w:r>
              <w:rPr>
                <w:rFonts w:hint="default" w:ascii="Times New Roman" w:hAnsi="Times New Roman" w:cs="Times New Roman"/>
                <w:color w:val="auto"/>
                <w:sz w:val="21"/>
                <w:szCs w:val="21"/>
              </w:rPr>
              <w:t>水箱为：7.5m×3m×2.5m，配备冷却塔，循环水量大约20~30m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/h</w:t>
            </w:r>
          </w:p>
        </w:tc>
        <w:tc>
          <w:tcPr>
            <w:tcW w:w="759" w:type="dxa"/>
            <w:shd w:val="clear" w:color="auto" w:fill="auto"/>
            <w:vAlign w:val="center"/>
          </w:tcPr>
          <w:p w14:paraId="2112F174">
            <w:pPr>
              <w:widowControl/>
              <w:spacing w:line="240" w:lineRule="auto"/>
              <w:ind w:firstLine="0" w:firstLineChars="0"/>
              <w:jc w:val="center"/>
              <w:textAlignment w:val="center"/>
              <w:rPr>
                <w:rStyle w:val="262"/>
                <w:rFonts w:hint="default" w:ascii="Times New Roman" w:hAnsi="Times New Roman" w:cs="Times New Roman"/>
                <w:color w:val="auto"/>
                <w:lang w:bidi="ar"/>
              </w:rPr>
            </w:pPr>
            <w:r>
              <w:rPr>
                <w:rStyle w:val="262"/>
                <w:rFonts w:hint="default" w:ascii="Times New Roman" w:hAnsi="Times New Roman" w:cs="Times New Roman"/>
                <w:color w:val="auto"/>
                <w:lang w:bidi="ar"/>
              </w:rPr>
              <w:t>个</w:t>
            </w:r>
          </w:p>
        </w:tc>
        <w:tc>
          <w:tcPr>
            <w:tcW w:w="645" w:type="dxa"/>
            <w:shd w:val="clear" w:color="auto" w:fill="auto"/>
            <w:vAlign w:val="center"/>
          </w:tcPr>
          <w:p w14:paraId="02A5190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w:t>
            </w:r>
          </w:p>
        </w:tc>
        <w:tc>
          <w:tcPr>
            <w:tcW w:w="1681" w:type="dxa"/>
            <w:shd w:val="clear" w:color="auto" w:fill="auto"/>
            <w:vAlign w:val="center"/>
          </w:tcPr>
          <w:p w14:paraId="16CA5A1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挤出机循环冷却水槽使用</w:t>
            </w:r>
          </w:p>
        </w:tc>
      </w:tr>
      <w:tr w14:paraId="571F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769" w:type="dxa"/>
            <w:shd w:val="clear" w:color="auto" w:fill="auto"/>
            <w:vAlign w:val="center"/>
          </w:tcPr>
          <w:p w14:paraId="1BF48093">
            <w:pPr>
              <w:widowControl/>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29</w:t>
            </w:r>
          </w:p>
        </w:tc>
        <w:tc>
          <w:tcPr>
            <w:tcW w:w="2067" w:type="dxa"/>
            <w:shd w:val="clear" w:color="auto" w:fill="auto"/>
            <w:vAlign w:val="center"/>
          </w:tcPr>
          <w:p w14:paraId="452729E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独立水箱</w:t>
            </w:r>
          </w:p>
        </w:tc>
        <w:tc>
          <w:tcPr>
            <w:tcW w:w="2426" w:type="dxa"/>
            <w:shd w:val="clear" w:color="auto" w:fill="auto"/>
            <w:vAlign w:val="center"/>
          </w:tcPr>
          <w:p w14:paraId="530DEC2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水容量约50L，循环水量约1.5m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/h</w:t>
            </w:r>
          </w:p>
        </w:tc>
        <w:tc>
          <w:tcPr>
            <w:tcW w:w="759" w:type="dxa"/>
            <w:shd w:val="clear" w:color="auto" w:fill="auto"/>
            <w:vAlign w:val="center"/>
          </w:tcPr>
          <w:p w14:paraId="6F875721">
            <w:pPr>
              <w:widowControl/>
              <w:spacing w:line="240" w:lineRule="auto"/>
              <w:ind w:firstLine="0" w:firstLineChars="0"/>
              <w:jc w:val="center"/>
              <w:textAlignment w:val="center"/>
              <w:rPr>
                <w:rStyle w:val="262"/>
                <w:rFonts w:hint="default" w:ascii="Times New Roman" w:hAnsi="Times New Roman" w:cs="Times New Roman"/>
                <w:color w:val="auto"/>
                <w:lang w:bidi="ar"/>
              </w:rPr>
            </w:pPr>
            <w:r>
              <w:rPr>
                <w:rStyle w:val="262"/>
                <w:rFonts w:hint="default" w:ascii="Times New Roman" w:hAnsi="Times New Roman" w:cs="Times New Roman"/>
                <w:color w:val="auto"/>
                <w:lang w:bidi="ar"/>
              </w:rPr>
              <w:t>个</w:t>
            </w:r>
          </w:p>
        </w:tc>
        <w:tc>
          <w:tcPr>
            <w:tcW w:w="645" w:type="dxa"/>
            <w:shd w:val="clear" w:color="auto" w:fill="auto"/>
            <w:vAlign w:val="center"/>
          </w:tcPr>
          <w:p w14:paraId="6319750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w:t>
            </w:r>
          </w:p>
        </w:tc>
        <w:tc>
          <w:tcPr>
            <w:tcW w:w="1681" w:type="dxa"/>
            <w:shd w:val="clear" w:color="auto" w:fill="auto"/>
            <w:vAlign w:val="center"/>
          </w:tcPr>
          <w:p w14:paraId="27D93AB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水环真空泵使用</w:t>
            </w:r>
          </w:p>
        </w:tc>
      </w:tr>
    </w:tbl>
    <w:p w14:paraId="7A58687B">
      <w:pPr>
        <w:pStyle w:val="3"/>
        <w:rPr>
          <w:rFonts w:hint="default" w:ascii="Times New Roman" w:hAnsi="Times New Roman" w:cs="Times New Roman"/>
          <w:snapToGrid w:val="0"/>
          <w:color w:val="auto"/>
        </w:rPr>
      </w:pPr>
      <w:r>
        <w:rPr>
          <w:rFonts w:hint="default" w:ascii="Times New Roman" w:hAnsi="Times New Roman" w:cs="Times New Roman"/>
          <w:snapToGrid w:val="0"/>
          <w:color w:val="auto"/>
        </w:rPr>
        <w:t>2.7 公用工程</w:t>
      </w:r>
    </w:p>
    <w:p w14:paraId="0D7F15DE">
      <w:pPr>
        <w:ind w:firstLine="480"/>
        <w:rPr>
          <w:rFonts w:hint="default" w:ascii="Times New Roman" w:hAnsi="Times New Roman" w:cs="Times New Roman"/>
          <w:color w:val="auto"/>
        </w:rPr>
      </w:pPr>
      <w:r>
        <w:rPr>
          <w:rFonts w:hint="default" w:ascii="Times New Roman" w:hAnsi="Times New Roman" w:cs="Times New Roman"/>
          <w:color w:val="auto"/>
        </w:rPr>
        <w:t>（1）给水</w:t>
      </w:r>
    </w:p>
    <w:p w14:paraId="317D2886">
      <w:pPr>
        <w:ind w:firstLine="480"/>
        <w:rPr>
          <w:rFonts w:hint="default" w:ascii="Times New Roman" w:hAnsi="Times New Roman" w:cs="Times New Roman"/>
          <w:color w:val="auto"/>
        </w:rPr>
      </w:pPr>
      <w:r>
        <w:rPr>
          <w:rFonts w:hint="default" w:ascii="Times New Roman" w:hAnsi="Times New Roman" w:cs="Times New Roman"/>
          <w:color w:val="auto"/>
        </w:rPr>
        <w:t>本项目用水由市政自来水管网供给。市政供水压力满足本项目给水水压需求及室外消防给水需求。根据《重庆市城市经营及生活用水定额》、《建筑给水排水设计标准》（GB50015-2019）中规定的用水定额，对本项目运营期用水量进行估算。本公司不提供住宿及食堂服务。</w:t>
      </w:r>
    </w:p>
    <w:p w14:paraId="3AAED4D3">
      <w:pPr>
        <w:ind w:firstLine="480"/>
        <w:rPr>
          <w:rFonts w:hint="default" w:ascii="Times New Roman" w:hAnsi="Times New Roman" w:cs="Times New Roman"/>
          <w:color w:val="auto"/>
        </w:rPr>
      </w:pPr>
      <w:r>
        <w:rPr>
          <w:rFonts w:hint="default" w:ascii="Times New Roman" w:hAnsi="Times New Roman" w:cs="Times New Roman"/>
          <w:color w:val="auto"/>
        </w:rPr>
        <w:t>1）挤出机冷却用水</w:t>
      </w:r>
    </w:p>
    <w:p w14:paraId="574F3211">
      <w:pPr>
        <w:ind w:firstLine="480"/>
        <w:rPr>
          <w:rFonts w:hint="default" w:ascii="Times New Roman" w:hAnsi="Times New Roman" w:cs="Times New Roman"/>
          <w:color w:val="auto"/>
        </w:rPr>
      </w:pPr>
      <w:r>
        <w:rPr>
          <w:rFonts w:hint="default" w:ascii="Times New Roman" w:hAnsi="Times New Roman" w:cs="Times New Roman"/>
          <w:color w:val="auto"/>
        </w:rPr>
        <w:t>挤出机共配备6个冷却水槽，均共用1个循环冷却水箱。循环冷却水箱尺寸为7.5m×3m×2.5m，配备冷却塔，循环水量大约20~30m</w:t>
      </w:r>
      <w:r>
        <w:rPr>
          <w:rFonts w:hint="default" w:ascii="Times New Roman" w:hAnsi="Times New Roman" w:cs="Times New Roman"/>
          <w:color w:val="auto"/>
          <w:vertAlign w:val="superscript"/>
        </w:rPr>
        <w:t>3</w:t>
      </w:r>
      <w:r>
        <w:rPr>
          <w:rFonts w:hint="default" w:ascii="Times New Roman" w:hAnsi="Times New Roman" w:cs="Times New Roman"/>
          <w:color w:val="auto"/>
        </w:rPr>
        <w:t>/h。每天需补充冷却水（均为自来水）约为冷却水箱容量56m</w:t>
      </w:r>
      <w:r>
        <w:rPr>
          <w:rFonts w:hint="default" w:ascii="Times New Roman" w:hAnsi="Times New Roman" w:cs="Times New Roman"/>
          <w:color w:val="auto"/>
          <w:vertAlign w:val="superscript"/>
        </w:rPr>
        <w:t>3</w:t>
      </w:r>
      <w:r>
        <w:rPr>
          <w:rFonts w:hint="default" w:ascii="Times New Roman" w:hAnsi="Times New Roman" w:cs="Times New Roman"/>
          <w:color w:val="auto"/>
        </w:rPr>
        <w:t>的5%，总计循环的新鲜水补给量约为2.8m</w:t>
      </w:r>
      <w:r>
        <w:rPr>
          <w:rFonts w:hint="default" w:ascii="Times New Roman" w:hAnsi="Times New Roman" w:cs="Times New Roman"/>
          <w:color w:val="auto"/>
          <w:vertAlign w:val="superscript"/>
        </w:rPr>
        <w:t>3</w:t>
      </w:r>
      <w:r>
        <w:rPr>
          <w:rFonts w:hint="default" w:ascii="Times New Roman" w:hAnsi="Times New Roman" w:cs="Times New Roman"/>
          <w:color w:val="auto"/>
        </w:rPr>
        <w:t>/d（728m</w:t>
      </w:r>
      <w:r>
        <w:rPr>
          <w:rFonts w:hint="default" w:ascii="Times New Roman" w:hAnsi="Times New Roman" w:cs="Times New Roman"/>
          <w:color w:val="auto"/>
          <w:vertAlign w:val="superscript"/>
        </w:rPr>
        <w:t>3</w:t>
      </w:r>
      <w:r>
        <w:rPr>
          <w:rFonts w:hint="default" w:ascii="Times New Roman" w:hAnsi="Times New Roman" w:cs="Times New Roman"/>
          <w:color w:val="auto"/>
        </w:rPr>
        <w:t>/a）。冷却水循环使用，每三个月更换一次，一次更换量为56m</w:t>
      </w:r>
      <w:r>
        <w:rPr>
          <w:rFonts w:hint="default" w:ascii="Times New Roman" w:hAnsi="Times New Roman" w:cs="Times New Roman"/>
          <w:color w:val="auto"/>
          <w:vertAlign w:val="superscript"/>
        </w:rPr>
        <w:t>3</w:t>
      </w:r>
      <w:r>
        <w:rPr>
          <w:rFonts w:hint="default" w:ascii="Times New Roman" w:hAnsi="Times New Roman" w:cs="Times New Roman"/>
          <w:color w:val="auto"/>
        </w:rPr>
        <w:t>，年更换量为224m</w:t>
      </w:r>
      <w:r>
        <w:rPr>
          <w:rFonts w:hint="default" w:ascii="Times New Roman" w:hAnsi="Times New Roman" w:cs="Times New Roman"/>
          <w:color w:val="auto"/>
          <w:vertAlign w:val="superscript"/>
        </w:rPr>
        <w:t>3</w:t>
      </w:r>
      <w:r>
        <w:rPr>
          <w:rFonts w:hint="default" w:ascii="Times New Roman" w:hAnsi="Times New Roman" w:cs="Times New Roman"/>
          <w:color w:val="auto"/>
        </w:rPr>
        <w:t>，折算为每日则为0.86m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p w14:paraId="13327231">
      <w:pPr>
        <w:ind w:firstLine="480"/>
        <w:rPr>
          <w:rFonts w:hint="default" w:ascii="Times New Roman" w:hAnsi="Times New Roman" w:cs="Times New Roman"/>
          <w:color w:val="auto"/>
        </w:rPr>
      </w:pPr>
      <w:r>
        <w:rPr>
          <w:rFonts w:hint="default" w:ascii="Times New Roman" w:hAnsi="Times New Roman" w:cs="Times New Roman"/>
          <w:color w:val="auto"/>
        </w:rPr>
        <w:t>本项目有机废气含有大量的水蒸气，为提高后续活性炭吸附效率，因此采取</w:t>
      </w:r>
      <w:r>
        <w:rPr>
          <w:rFonts w:hint="eastAsia" w:cs="Times New Roman"/>
          <w:color w:val="auto"/>
          <w:lang w:val="en-US" w:eastAsia="zh-CN"/>
        </w:rPr>
        <w:t>碱</w:t>
      </w:r>
      <w:r>
        <w:rPr>
          <w:rFonts w:hint="default" w:ascii="Times New Roman" w:hAnsi="Times New Roman" w:cs="Times New Roman"/>
          <w:color w:val="auto"/>
        </w:rPr>
        <w:t>洗塔除雾。该工况下系统持续产生凝结水，正常运行不需要补充新鲜水，反而需要连续外排凝结水。该部分冷凝水按照挤出机冷却用水日补水量的80%计，则产生量为2.24m</w:t>
      </w:r>
      <w:r>
        <w:rPr>
          <w:rFonts w:hint="default" w:ascii="Times New Roman" w:hAnsi="Times New Roman" w:cs="Times New Roman"/>
          <w:color w:val="auto"/>
          <w:vertAlign w:val="superscript"/>
        </w:rPr>
        <w:t>3</w:t>
      </w:r>
      <w:r>
        <w:rPr>
          <w:rFonts w:hint="default" w:ascii="Times New Roman" w:hAnsi="Times New Roman" w:cs="Times New Roman"/>
          <w:color w:val="auto"/>
        </w:rPr>
        <w:t>/d（582.4m</w:t>
      </w:r>
      <w:r>
        <w:rPr>
          <w:rFonts w:hint="default" w:ascii="Times New Roman" w:hAnsi="Times New Roman" w:cs="Times New Roman"/>
          <w:color w:val="auto"/>
          <w:vertAlign w:val="superscript"/>
        </w:rPr>
        <w:t>3</w:t>
      </w:r>
      <w:r>
        <w:rPr>
          <w:rFonts w:hint="default" w:ascii="Times New Roman" w:hAnsi="Times New Roman" w:cs="Times New Roman"/>
          <w:color w:val="auto"/>
        </w:rPr>
        <w:t>/a），全部进入</w:t>
      </w:r>
      <w:r>
        <w:rPr>
          <w:rFonts w:hint="default" w:ascii="Times New Roman" w:hAnsi="Times New Roman" w:cs="Times New Roman"/>
          <w:color w:val="auto"/>
          <w:kern w:val="2"/>
          <w:szCs w:val="24"/>
        </w:rPr>
        <w:t>中铁二局集团物资有限公司重庆分公司</w:t>
      </w:r>
      <w:r>
        <w:rPr>
          <w:rFonts w:hint="default" w:ascii="Times New Roman" w:hAnsi="Times New Roman" w:cs="Times New Roman"/>
          <w:color w:val="auto"/>
        </w:rPr>
        <w:t>已建生化池处理。</w:t>
      </w:r>
    </w:p>
    <w:p w14:paraId="57148456">
      <w:pPr>
        <w:ind w:firstLine="480"/>
        <w:rPr>
          <w:rFonts w:hint="default" w:ascii="Times New Roman" w:hAnsi="Times New Roman" w:cs="Times New Roman"/>
          <w:color w:val="auto"/>
        </w:rPr>
      </w:pPr>
      <w:r>
        <w:rPr>
          <w:rFonts w:hint="default" w:ascii="Times New Roman" w:hAnsi="Times New Roman" w:cs="Times New Roman"/>
          <w:color w:val="auto"/>
        </w:rPr>
        <w:t>2）真空泵冷却用水</w:t>
      </w:r>
    </w:p>
    <w:p w14:paraId="4DCD4511">
      <w:pPr>
        <w:ind w:firstLine="480"/>
        <w:rPr>
          <w:rFonts w:hint="default" w:ascii="Times New Roman" w:hAnsi="Times New Roman" w:cs="Times New Roman"/>
          <w:color w:val="auto"/>
        </w:rPr>
      </w:pPr>
      <w:r>
        <w:rPr>
          <w:rFonts w:hint="default" w:ascii="Times New Roman" w:hAnsi="Times New Roman" w:cs="Times New Roman"/>
          <w:color w:val="auto"/>
        </w:rPr>
        <w:t>本项目共使用9台真空吸料机和1台废气真空处理器，均为水环真空处理器，共用1个50L独立水箱，循环水量约1.5m</w:t>
      </w:r>
      <w:r>
        <w:rPr>
          <w:rFonts w:hint="default" w:ascii="Times New Roman" w:hAnsi="Times New Roman" w:cs="Times New Roman"/>
          <w:color w:val="auto"/>
          <w:vertAlign w:val="superscript"/>
        </w:rPr>
        <w:t>3</w:t>
      </w:r>
      <w:r>
        <w:rPr>
          <w:rFonts w:hint="default" w:ascii="Times New Roman" w:hAnsi="Times New Roman" w:cs="Times New Roman"/>
          <w:color w:val="auto"/>
        </w:rPr>
        <w:t>/h。真空原理为：利用偏心叶轮搅动泵内清水形成旋转水环，依靠叶片与水环之间密闭腔体容积周期性增减，完成气体吸入、压缩与排出，以此产生负压。</w:t>
      </w:r>
    </w:p>
    <w:p w14:paraId="72E8F3D0">
      <w:pPr>
        <w:ind w:firstLine="480"/>
        <w:rPr>
          <w:rFonts w:hint="default" w:ascii="Times New Roman" w:hAnsi="Times New Roman" w:cs="Times New Roman"/>
          <w:color w:val="auto"/>
        </w:rPr>
      </w:pPr>
      <w:r>
        <w:rPr>
          <w:rFonts w:hint="default" w:ascii="Times New Roman" w:hAnsi="Times New Roman" w:cs="Times New Roman"/>
          <w:color w:val="auto"/>
        </w:rPr>
        <w:t>真空泵每天需补充冷却水（均为自来水）约为</w:t>
      </w:r>
      <w:r>
        <w:rPr>
          <w:rFonts w:hint="eastAsia" w:cs="Times New Roman"/>
          <w:color w:val="auto"/>
          <w:lang w:val="en-US" w:eastAsia="zh-CN"/>
        </w:rPr>
        <w:t>循环水量12</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eastAsia" w:cs="Times New Roman"/>
          <w:color w:val="auto"/>
          <w:vertAlign w:val="baseline"/>
          <w:lang w:val="en-US" w:eastAsia="zh-CN"/>
        </w:rPr>
        <w:t>/d</w:t>
      </w:r>
      <w:r>
        <w:rPr>
          <w:rFonts w:hint="default" w:ascii="Times New Roman" w:hAnsi="Times New Roman" w:cs="Times New Roman"/>
          <w:color w:val="auto"/>
        </w:rPr>
        <w:t>的</w:t>
      </w:r>
      <w:r>
        <w:rPr>
          <w:rFonts w:hint="eastAsia" w:cs="Times New Roman"/>
          <w:color w:val="auto"/>
          <w:lang w:val="en-US" w:eastAsia="zh-CN"/>
        </w:rPr>
        <w:t>1</w:t>
      </w:r>
      <w:r>
        <w:rPr>
          <w:rFonts w:hint="default" w:ascii="Times New Roman" w:hAnsi="Times New Roman" w:cs="Times New Roman"/>
          <w:color w:val="auto"/>
        </w:rPr>
        <w:t>%，总计循环的新鲜水补给量约为0.</w:t>
      </w:r>
      <w:r>
        <w:rPr>
          <w:rFonts w:hint="eastAsia" w:cs="Times New Roman"/>
          <w:color w:val="auto"/>
          <w:lang w:val="en-US" w:eastAsia="zh-CN"/>
        </w:rPr>
        <w:t>12</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/d（</w:t>
      </w:r>
      <w:r>
        <w:rPr>
          <w:rFonts w:hint="eastAsia" w:cs="Times New Roman"/>
          <w:color w:val="auto"/>
          <w:lang w:val="en-US" w:eastAsia="zh-CN"/>
        </w:rPr>
        <w:t>31.2</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/a）。冷却水循环使用，每个月更换一次，一次更换量为0.05m</w:t>
      </w:r>
      <w:r>
        <w:rPr>
          <w:rFonts w:hint="default" w:ascii="Times New Roman" w:hAnsi="Times New Roman" w:cs="Times New Roman"/>
          <w:color w:val="auto"/>
          <w:vertAlign w:val="superscript"/>
        </w:rPr>
        <w:t>3</w:t>
      </w:r>
      <w:r>
        <w:rPr>
          <w:rFonts w:hint="default" w:ascii="Times New Roman" w:hAnsi="Times New Roman" w:cs="Times New Roman"/>
          <w:color w:val="auto"/>
        </w:rPr>
        <w:t>，年更换量为0.</w:t>
      </w:r>
      <w:r>
        <w:rPr>
          <w:rFonts w:hint="eastAsia" w:cs="Times New Roman"/>
          <w:color w:val="auto"/>
          <w:lang w:val="en-US" w:eastAsia="zh-CN"/>
        </w:rPr>
        <w:t>6</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，折算为每日则为0.00</w:t>
      </w:r>
      <w:r>
        <w:rPr>
          <w:rFonts w:hint="eastAsia" w:cs="Times New Roman"/>
          <w:color w:val="auto"/>
          <w:lang w:val="en-US" w:eastAsia="zh-CN"/>
        </w:rPr>
        <w:t>2</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p w14:paraId="3901C039">
      <w:pPr>
        <w:ind w:firstLine="480"/>
        <w:rPr>
          <w:rFonts w:hint="default" w:ascii="Times New Roman" w:hAnsi="Times New Roman" w:cs="Times New Roman"/>
          <w:color w:val="auto"/>
        </w:rPr>
      </w:pPr>
      <w:r>
        <w:rPr>
          <w:rFonts w:hint="default" w:ascii="Times New Roman" w:hAnsi="Times New Roman" w:cs="Times New Roman"/>
          <w:color w:val="auto"/>
        </w:rPr>
        <w:t>3）生活用水</w:t>
      </w:r>
    </w:p>
    <w:p w14:paraId="377FC8AF">
      <w:pPr>
        <w:ind w:firstLine="480"/>
        <w:rPr>
          <w:rFonts w:hint="default" w:ascii="Times New Roman" w:hAnsi="Times New Roman" w:cs="Times New Roman"/>
          <w:color w:val="auto"/>
        </w:rPr>
      </w:pPr>
      <w:r>
        <w:rPr>
          <w:rFonts w:hint="default" w:ascii="Times New Roman" w:hAnsi="Times New Roman" w:cs="Times New Roman"/>
          <w:color w:val="auto"/>
        </w:rPr>
        <w:t>工程所需劳动定员约16人，不住宿也不设置食堂。用水系数为50L/d·人，用水量约0.8m</w:t>
      </w:r>
      <w:r>
        <w:rPr>
          <w:rFonts w:hint="default" w:ascii="Times New Roman" w:hAnsi="Times New Roman" w:cs="Times New Roman"/>
          <w:color w:val="auto"/>
          <w:vertAlign w:val="superscript"/>
        </w:rPr>
        <w:t>3</w:t>
      </w:r>
      <w:r>
        <w:rPr>
          <w:rFonts w:hint="default" w:ascii="Times New Roman" w:hAnsi="Times New Roman" w:cs="Times New Roman"/>
          <w:color w:val="auto"/>
        </w:rPr>
        <w:t>/d（208m</w:t>
      </w:r>
      <w:r>
        <w:rPr>
          <w:rFonts w:hint="default" w:ascii="Times New Roman" w:hAnsi="Times New Roman" w:cs="Times New Roman"/>
          <w:color w:val="auto"/>
          <w:vertAlign w:val="superscript"/>
        </w:rPr>
        <w:t>3</w:t>
      </w:r>
      <w:r>
        <w:rPr>
          <w:rFonts w:hint="default" w:ascii="Times New Roman" w:hAnsi="Times New Roman" w:cs="Times New Roman"/>
          <w:color w:val="auto"/>
        </w:rPr>
        <w:t>/a）。</w:t>
      </w:r>
    </w:p>
    <w:p w14:paraId="389CBE7B">
      <w:pPr>
        <w:ind w:firstLine="480"/>
        <w:rPr>
          <w:rFonts w:hint="default" w:ascii="Times New Roman" w:hAnsi="Times New Roman" w:cs="Times New Roman"/>
          <w:color w:val="auto"/>
        </w:rPr>
      </w:pPr>
      <w:r>
        <w:rPr>
          <w:rFonts w:hint="default" w:ascii="Times New Roman" w:hAnsi="Times New Roman" w:cs="Times New Roman"/>
          <w:color w:val="auto"/>
        </w:rPr>
        <w:t>本工程用水情况详见表2.7-1。</w:t>
      </w:r>
    </w:p>
    <w:p w14:paraId="52878072">
      <w:pPr>
        <w:ind w:firstLine="480"/>
        <w:rPr>
          <w:rFonts w:hint="default" w:ascii="Times New Roman" w:hAnsi="Times New Roman" w:cs="Times New Roman"/>
          <w:color w:val="auto"/>
        </w:rPr>
      </w:pPr>
      <w:r>
        <w:rPr>
          <w:rFonts w:hint="default" w:ascii="Times New Roman" w:hAnsi="Times New Roman" w:cs="Times New Roman"/>
          <w:color w:val="auto"/>
        </w:rPr>
        <w:t>（2）排水</w:t>
      </w:r>
    </w:p>
    <w:p w14:paraId="28EEAD27">
      <w:pPr>
        <w:ind w:firstLine="480"/>
        <w:rPr>
          <w:rFonts w:hint="default" w:ascii="Times New Roman" w:hAnsi="Times New Roman" w:cs="Times New Roman"/>
          <w:color w:val="auto"/>
        </w:rPr>
      </w:pPr>
      <w:r>
        <w:rPr>
          <w:rFonts w:hint="default" w:ascii="Times New Roman" w:hAnsi="Times New Roman" w:cs="Times New Roman"/>
          <w:color w:val="auto"/>
        </w:rPr>
        <w:t>采用清污分流系统，分为生产废水系统、生活污水系统和雨水系统。</w:t>
      </w:r>
    </w:p>
    <w:p w14:paraId="4D0AB5C6">
      <w:pPr>
        <w:pStyle w:val="16"/>
        <w:ind w:firstLine="480"/>
        <w:rPr>
          <w:rFonts w:hint="default" w:ascii="Times New Roman" w:hAnsi="Times New Roman" w:cs="Times New Roman"/>
          <w:color w:val="auto"/>
        </w:rPr>
      </w:pPr>
      <w:r>
        <w:rPr>
          <w:rFonts w:hint="default" w:ascii="Times New Roman" w:hAnsi="Times New Roman" w:cs="Times New Roman"/>
          <w:color w:val="auto"/>
        </w:rPr>
        <w:t>生产废水和生活污水：本项目生产废水平均每日产生量为</w:t>
      </w:r>
      <w:r>
        <w:rPr>
          <w:rFonts w:hint="eastAsia" w:cs="Times New Roman"/>
          <w:color w:val="auto"/>
          <w:lang w:eastAsia="zh-CN"/>
        </w:rPr>
        <w:t>3.15</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/d需经过自带过滤器预处理并冷却到常温达到《</w:t>
      </w:r>
      <w:bookmarkStart w:id="12" w:name="OLE_LINK4"/>
      <w:bookmarkStart w:id="13" w:name="OLE_LINK5"/>
      <w:r>
        <w:rPr>
          <w:rFonts w:hint="default" w:ascii="Times New Roman" w:hAnsi="Times New Roman" w:cs="Times New Roman"/>
          <w:color w:val="auto"/>
        </w:rPr>
        <w:t>合成树脂工业污染物排放标准</w:t>
      </w:r>
      <w:bookmarkEnd w:id="12"/>
      <w:bookmarkEnd w:id="13"/>
      <w:r>
        <w:rPr>
          <w:rFonts w:hint="default" w:ascii="Times New Roman" w:hAnsi="Times New Roman" w:cs="Times New Roman"/>
          <w:color w:val="auto"/>
        </w:rPr>
        <w:t>》（GB31572-2015（含2024年修改单））表2间接排放标准；生活污水产生量约0.72m</w:t>
      </w:r>
      <w:r>
        <w:rPr>
          <w:rFonts w:hint="default" w:ascii="Times New Roman" w:hAnsi="Times New Roman" w:cs="Times New Roman"/>
          <w:color w:val="auto"/>
          <w:vertAlign w:val="superscript"/>
        </w:rPr>
        <w:t>3</w:t>
      </w:r>
      <w:r>
        <w:rPr>
          <w:rFonts w:hint="default" w:ascii="Times New Roman" w:hAnsi="Times New Roman" w:cs="Times New Roman"/>
          <w:color w:val="auto"/>
        </w:rPr>
        <w:t>/d，全部进入</w:t>
      </w:r>
      <w:r>
        <w:rPr>
          <w:rFonts w:hint="default" w:ascii="Times New Roman" w:hAnsi="Times New Roman" w:cs="Times New Roman"/>
          <w:color w:val="auto"/>
          <w:kern w:val="2"/>
          <w:szCs w:val="24"/>
        </w:rPr>
        <w:t>中铁二局集团物资有限公司重庆分公司</w:t>
      </w:r>
      <w:r>
        <w:rPr>
          <w:rFonts w:hint="default" w:ascii="Times New Roman" w:hAnsi="Times New Roman" w:cs="Times New Roman"/>
          <w:color w:val="auto"/>
        </w:rPr>
        <w:t>已建生化池处理达《污水综合排放标准》（GB8978-1996）三级标准（其中NH</w:t>
      </w:r>
      <w:r>
        <w:rPr>
          <w:rFonts w:hint="default" w:ascii="Times New Roman" w:hAnsi="Times New Roman" w:cs="Times New Roman"/>
          <w:color w:val="auto"/>
          <w:vertAlign w:val="subscript"/>
        </w:rPr>
        <w:t>3</w:t>
      </w:r>
      <w:r>
        <w:rPr>
          <w:rFonts w:hint="default" w:ascii="Times New Roman" w:hAnsi="Times New Roman" w:cs="Times New Roman"/>
          <w:color w:val="auto"/>
        </w:rPr>
        <w:t>-N执行《污水排入城镇下水道水质标准》（GB/T31962-2015）B等级标准），</w:t>
      </w:r>
      <w:r>
        <w:rPr>
          <w:rFonts w:hint="default" w:ascii="Times New Roman" w:hAnsi="Times New Roman" w:cs="Times New Roman"/>
          <w:color w:val="auto"/>
          <w:lang w:val="en-GB"/>
        </w:rPr>
        <w:t>排入</w:t>
      </w:r>
      <w:r>
        <w:rPr>
          <w:rFonts w:hint="default" w:ascii="Times New Roman" w:hAnsi="Times New Roman" w:cs="Times New Roman"/>
          <w:color w:val="auto"/>
        </w:rPr>
        <w:t>陶家工业污水处理厂</w:t>
      </w:r>
      <w:r>
        <w:rPr>
          <w:rFonts w:hint="default" w:ascii="Times New Roman" w:hAnsi="Times New Roman" w:cs="Times New Roman"/>
          <w:color w:val="auto"/>
          <w:lang w:val="en-GB"/>
        </w:rPr>
        <w:t>，进一步处理</w:t>
      </w:r>
      <w:r>
        <w:rPr>
          <w:rFonts w:hint="default" w:ascii="Times New Roman" w:hAnsi="Times New Roman" w:cs="Times New Roman"/>
          <w:color w:val="auto"/>
        </w:rPr>
        <w:t>达《城镇污水处理厂污染物排放标准》（GB18918-2002）一级A标，其中COD、NH</w:t>
      </w:r>
      <w:r>
        <w:rPr>
          <w:rFonts w:hint="default" w:ascii="Times New Roman" w:hAnsi="Times New Roman" w:cs="Times New Roman"/>
          <w:color w:val="auto"/>
          <w:vertAlign w:val="subscript"/>
        </w:rPr>
        <w:t>3</w:t>
      </w:r>
      <w:r>
        <w:rPr>
          <w:rFonts w:hint="default" w:ascii="Times New Roman" w:hAnsi="Times New Roman" w:cs="Times New Roman"/>
          <w:color w:val="auto"/>
        </w:rPr>
        <w:t>-N、TP等主要指标达《地表水环境质量标准》（GB3838-2002）IV类标准后，排入杨柳曲河，再汇入大溪河。</w:t>
      </w:r>
    </w:p>
    <w:p w14:paraId="7BF6B27B">
      <w:pPr>
        <w:ind w:firstLine="480"/>
        <w:rPr>
          <w:rFonts w:hint="default" w:ascii="Times New Roman" w:hAnsi="Times New Roman" w:cs="Times New Roman"/>
          <w:color w:val="auto"/>
        </w:rPr>
      </w:pPr>
      <w:r>
        <w:rPr>
          <w:rFonts w:hint="default" w:ascii="Times New Roman" w:hAnsi="Times New Roman" w:cs="Times New Roman"/>
          <w:color w:val="auto"/>
        </w:rPr>
        <w:t>雨水：本项目各装置和原辅材料贮存均在车间内，无暴露面积，不存在初期雨水问题。</w:t>
      </w:r>
      <w:r>
        <w:rPr>
          <w:rFonts w:hint="default" w:ascii="Times New Roman" w:hAnsi="Times New Roman" w:cs="Times New Roman"/>
          <w:color w:val="auto"/>
          <w:lang w:val="en-GB"/>
        </w:rPr>
        <w:t>雨水可直接通过已建厂区</w:t>
      </w:r>
      <w:r>
        <w:rPr>
          <w:rFonts w:hint="default" w:ascii="Times New Roman" w:hAnsi="Times New Roman" w:cs="Times New Roman"/>
          <w:color w:val="auto"/>
        </w:rPr>
        <w:t>雨水管网进入园区雨水管网，排入地表水体。</w:t>
      </w:r>
    </w:p>
    <w:p w14:paraId="20C4EBDE">
      <w:pPr>
        <w:ind w:firstLine="480"/>
        <w:rPr>
          <w:rFonts w:hint="default" w:ascii="Times New Roman" w:hAnsi="Times New Roman" w:cs="Times New Roman"/>
          <w:color w:val="auto"/>
        </w:rPr>
      </w:pPr>
      <w:r>
        <w:rPr>
          <w:rFonts w:hint="default" w:ascii="Times New Roman" w:hAnsi="Times New Roman" w:cs="Times New Roman"/>
          <w:color w:val="auto"/>
        </w:rPr>
        <w:t>本项目排水情况详见表2.7-1。</w:t>
      </w:r>
    </w:p>
    <w:p w14:paraId="6ED2406B">
      <w:pPr>
        <w:pStyle w:val="93"/>
        <w:rPr>
          <w:rFonts w:hint="default" w:ascii="Times New Roman" w:hAnsi="Times New Roman" w:cs="Times New Roman"/>
          <w:color w:val="auto"/>
        </w:rPr>
      </w:pPr>
      <w:r>
        <w:rPr>
          <w:rFonts w:hint="default" w:ascii="Times New Roman" w:hAnsi="Times New Roman" w:cs="Times New Roman"/>
          <w:color w:val="auto"/>
        </w:rPr>
        <w:t>表2.7-1     本项目给排水一览表</w:t>
      </w:r>
    </w:p>
    <w:tbl>
      <w:tblPr>
        <w:tblStyle w:val="44"/>
        <w:tblW w:w="5005" w:type="pct"/>
        <w:jc w:val="center"/>
        <w:tblLayout w:type="fixed"/>
        <w:tblCellMar>
          <w:top w:w="0" w:type="dxa"/>
          <w:left w:w="108" w:type="dxa"/>
          <w:bottom w:w="0" w:type="dxa"/>
          <w:right w:w="108" w:type="dxa"/>
        </w:tblCellMar>
      </w:tblPr>
      <w:tblGrid>
        <w:gridCol w:w="743"/>
        <w:gridCol w:w="898"/>
        <w:gridCol w:w="892"/>
        <w:gridCol w:w="986"/>
        <w:gridCol w:w="961"/>
        <w:gridCol w:w="1001"/>
        <w:gridCol w:w="923"/>
        <w:gridCol w:w="975"/>
        <w:gridCol w:w="1159"/>
      </w:tblGrid>
      <w:tr w14:paraId="44535867">
        <w:tblPrEx>
          <w:tblCellMar>
            <w:top w:w="0" w:type="dxa"/>
            <w:left w:w="108" w:type="dxa"/>
            <w:bottom w:w="0" w:type="dxa"/>
            <w:right w:w="108" w:type="dxa"/>
          </w:tblCellMar>
        </w:tblPrEx>
        <w:trPr>
          <w:trHeight w:val="810" w:hRule="atLeast"/>
          <w:jc w:val="center"/>
        </w:trPr>
        <w:tc>
          <w:tcPr>
            <w:tcW w:w="1641"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F4070E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用水环节</w:t>
            </w:r>
          </w:p>
        </w:tc>
        <w:tc>
          <w:tcPr>
            <w:tcW w:w="89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988D1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用水量(m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/d)</w:t>
            </w:r>
          </w:p>
        </w:tc>
        <w:tc>
          <w:tcPr>
            <w:tcW w:w="9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C729F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年用水量（m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/a）</w:t>
            </w:r>
          </w:p>
        </w:tc>
        <w:tc>
          <w:tcPr>
            <w:tcW w:w="96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2A7CA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日回用水量(m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/d)</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FFE76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年回用水量（m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/a）</w:t>
            </w:r>
          </w:p>
        </w:tc>
        <w:tc>
          <w:tcPr>
            <w:tcW w:w="92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8D463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日排水量(m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/d)</w:t>
            </w:r>
          </w:p>
        </w:tc>
        <w:tc>
          <w:tcPr>
            <w:tcW w:w="9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B25F4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年排水量（m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/a）</w:t>
            </w:r>
          </w:p>
        </w:tc>
        <w:tc>
          <w:tcPr>
            <w:tcW w:w="115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67E00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去向</w:t>
            </w:r>
          </w:p>
        </w:tc>
      </w:tr>
      <w:tr w14:paraId="7D8F0BBE">
        <w:tblPrEx>
          <w:tblCellMar>
            <w:top w:w="0" w:type="dxa"/>
            <w:left w:w="108" w:type="dxa"/>
            <w:bottom w:w="0" w:type="dxa"/>
            <w:right w:w="108" w:type="dxa"/>
          </w:tblCellMar>
        </w:tblPrEx>
        <w:trPr>
          <w:trHeight w:val="285" w:hRule="atLeast"/>
          <w:jc w:val="center"/>
        </w:trPr>
        <w:tc>
          <w:tcPr>
            <w:tcW w:w="743" w:type="dxa"/>
            <w:vMerge w:val="restart"/>
            <w:tcBorders>
              <w:top w:val="nil"/>
              <w:left w:val="single" w:color="000000" w:sz="8" w:space="0"/>
              <w:bottom w:val="single" w:color="000000" w:sz="8" w:space="0"/>
              <w:right w:val="single" w:color="000000" w:sz="8" w:space="0"/>
            </w:tcBorders>
            <w:shd w:val="clear" w:color="auto" w:fill="auto"/>
            <w:noWrap/>
            <w:vAlign w:val="center"/>
          </w:tcPr>
          <w:p w14:paraId="7D77D44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挤出机冷却用水</w:t>
            </w:r>
          </w:p>
        </w:tc>
        <w:tc>
          <w:tcPr>
            <w:tcW w:w="898" w:type="dxa"/>
            <w:tcBorders>
              <w:top w:val="nil"/>
              <w:left w:val="single" w:color="000000" w:sz="8" w:space="0"/>
              <w:bottom w:val="single" w:color="000000" w:sz="8" w:space="0"/>
              <w:right w:val="single" w:color="000000" w:sz="8" w:space="0"/>
            </w:tcBorders>
            <w:shd w:val="clear" w:color="auto" w:fill="auto"/>
            <w:noWrap/>
            <w:vAlign w:val="center"/>
          </w:tcPr>
          <w:p w14:paraId="336A735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新鲜水</w:t>
            </w:r>
          </w:p>
        </w:tc>
        <w:tc>
          <w:tcPr>
            <w:tcW w:w="892" w:type="dxa"/>
            <w:tcBorders>
              <w:top w:val="nil"/>
              <w:left w:val="single" w:color="000000" w:sz="8" w:space="0"/>
              <w:bottom w:val="single" w:color="000000" w:sz="8" w:space="0"/>
              <w:right w:val="single" w:color="000000" w:sz="8" w:space="0"/>
            </w:tcBorders>
            <w:shd w:val="clear" w:color="auto" w:fill="auto"/>
            <w:noWrap/>
            <w:vAlign w:val="center"/>
          </w:tcPr>
          <w:p w14:paraId="6E8CE0B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2.8</w:t>
            </w:r>
          </w:p>
        </w:tc>
        <w:tc>
          <w:tcPr>
            <w:tcW w:w="986" w:type="dxa"/>
            <w:tcBorders>
              <w:top w:val="nil"/>
              <w:left w:val="single" w:color="000000" w:sz="8" w:space="0"/>
              <w:bottom w:val="single" w:color="000000" w:sz="8" w:space="0"/>
              <w:right w:val="single" w:color="000000" w:sz="8" w:space="0"/>
            </w:tcBorders>
            <w:shd w:val="clear" w:color="auto" w:fill="auto"/>
            <w:noWrap/>
            <w:vAlign w:val="center"/>
          </w:tcPr>
          <w:p w14:paraId="231E947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728</w:t>
            </w:r>
          </w:p>
        </w:tc>
        <w:tc>
          <w:tcPr>
            <w:tcW w:w="961" w:type="dxa"/>
            <w:tcBorders>
              <w:top w:val="nil"/>
              <w:left w:val="single" w:color="000000" w:sz="8" w:space="0"/>
              <w:bottom w:val="single" w:color="000000" w:sz="8" w:space="0"/>
              <w:right w:val="single" w:color="000000" w:sz="8" w:space="0"/>
            </w:tcBorders>
            <w:shd w:val="clear" w:color="auto" w:fill="auto"/>
            <w:noWrap/>
            <w:vAlign w:val="center"/>
          </w:tcPr>
          <w:p w14:paraId="3058565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01" w:type="dxa"/>
            <w:tcBorders>
              <w:top w:val="nil"/>
              <w:left w:val="single" w:color="000000" w:sz="8" w:space="0"/>
              <w:bottom w:val="single" w:color="000000" w:sz="8" w:space="0"/>
              <w:right w:val="single" w:color="000000" w:sz="8" w:space="0"/>
            </w:tcBorders>
            <w:shd w:val="clear" w:color="auto" w:fill="auto"/>
            <w:noWrap/>
            <w:vAlign w:val="center"/>
          </w:tcPr>
          <w:p w14:paraId="022ABD3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923" w:type="dxa"/>
            <w:tcBorders>
              <w:top w:val="nil"/>
              <w:left w:val="single" w:color="000000" w:sz="8" w:space="0"/>
              <w:bottom w:val="single" w:color="000000" w:sz="8" w:space="0"/>
              <w:right w:val="single" w:color="000000" w:sz="8" w:space="0"/>
            </w:tcBorders>
            <w:shd w:val="clear" w:color="auto" w:fill="auto"/>
            <w:noWrap/>
            <w:vAlign w:val="center"/>
          </w:tcPr>
          <w:p w14:paraId="64A82DF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2.24</w:t>
            </w:r>
          </w:p>
        </w:tc>
        <w:tc>
          <w:tcPr>
            <w:tcW w:w="975" w:type="dxa"/>
            <w:tcBorders>
              <w:top w:val="nil"/>
              <w:left w:val="single" w:color="000000" w:sz="8" w:space="0"/>
              <w:bottom w:val="single" w:color="000000" w:sz="8" w:space="0"/>
              <w:right w:val="single" w:color="000000" w:sz="8" w:space="0"/>
            </w:tcBorders>
            <w:shd w:val="clear" w:color="auto" w:fill="auto"/>
            <w:noWrap/>
            <w:vAlign w:val="center"/>
          </w:tcPr>
          <w:p w14:paraId="793004C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582.4</w:t>
            </w:r>
          </w:p>
        </w:tc>
        <w:tc>
          <w:tcPr>
            <w:tcW w:w="1159" w:type="dxa"/>
            <w:tcBorders>
              <w:top w:val="nil"/>
              <w:left w:val="single" w:color="000000" w:sz="8" w:space="0"/>
              <w:bottom w:val="single" w:color="000000" w:sz="8" w:space="0"/>
              <w:right w:val="single" w:color="000000" w:sz="8" w:space="0"/>
            </w:tcBorders>
            <w:shd w:val="clear" w:color="auto" w:fill="auto"/>
            <w:noWrap/>
            <w:vAlign w:val="center"/>
          </w:tcPr>
          <w:p w14:paraId="18D50CC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厂区生化池</w:t>
            </w:r>
          </w:p>
        </w:tc>
      </w:tr>
      <w:tr w14:paraId="565D79E3">
        <w:tblPrEx>
          <w:tblCellMar>
            <w:top w:w="0" w:type="dxa"/>
            <w:left w:w="108" w:type="dxa"/>
            <w:bottom w:w="0" w:type="dxa"/>
            <w:right w:w="108" w:type="dxa"/>
          </w:tblCellMar>
        </w:tblPrEx>
        <w:trPr>
          <w:trHeight w:val="300" w:hRule="atLeast"/>
          <w:jc w:val="center"/>
        </w:trPr>
        <w:tc>
          <w:tcPr>
            <w:tcW w:w="743" w:type="dxa"/>
            <w:vMerge w:val="continue"/>
            <w:tcBorders>
              <w:top w:val="nil"/>
              <w:left w:val="single" w:color="000000" w:sz="8" w:space="0"/>
              <w:bottom w:val="single" w:color="000000" w:sz="8" w:space="0"/>
              <w:right w:val="single" w:color="000000" w:sz="8" w:space="0"/>
            </w:tcBorders>
            <w:shd w:val="clear" w:color="auto" w:fill="auto"/>
            <w:noWrap/>
            <w:vAlign w:val="center"/>
          </w:tcPr>
          <w:p w14:paraId="022A4A32">
            <w:pPr>
              <w:widowControl/>
              <w:spacing w:line="240" w:lineRule="auto"/>
              <w:ind w:firstLine="0" w:firstLineChars="0"/>
              <w:jc w:val="center"/>
              <w:rPr>
                <w:rFonts w:hint="default" w:ascii="Times New Roman" w:hAnsi="Times New Roman" w:cs="Times New Roman"/>
                <w:color w:val="auto"/>
                <w:sz w:val="21"/>
                <w:szCs w:val="21"/>
              </w:rPr>
            </w:pPr>
          </w:p>
        </w:tc>
        <w:tc>
          <w:tcPr>
            <w:tcW w:w="898" w:type="dxa"/>
            <w:tcBorders>
              <w:top w:val="nil"/>
              <w:left w:val="single" w:color="000000" w:sz="8" w:space="0"/>
              <w:bottom w:val="single" w:color="000000" w:sz="8" w:space="0"/>
              <w:right w:val="single" w:color="000000" w:sz="8" w:space="0"/>
            </w:tcBorders>
            <w:shd w:val="clear" w:color="auto" w:fill="auto"/>
            <w:noWrap/>
            <w:vAlign w:val="center"/>
          </w:tcPr>
          <w:p w14:paraId="7C8A376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更换水</w:t>
            </w:r>
          </w:p>
        </w:tc>
        <w:tc>
          <w:tcPr>
            <w:tcW w:w="892" w:type="dxa"/>
            <w:tcBorders>
              <w:top w:val="nil"/>
              <w:left w:val="single" w:color="000000" w:sz="8" w:space="0"/>
              <w:bottom w:val="single" w:color="000000" w:sz="8" w:space="0"/>
              <w:right w:val="single" w:color="000000" w:sz="8" w:space="0"/>
            </w:tcBorders>
            <w:shd w:val="clear" w:color="auto" w:fill="auto"/>
            <w:noWrap/>
            <w:vAlign w:val="center"/>
          </w:tcPr>
          <w:p w14:paraId="7CCDC10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0.86</w:t>
            </w:r>
          </w:p>
        </w:tc>
        <w:tc>
          <w:tcPr>
            <w:tcW w:w="986" w:type="dxa"/>
            <w:tcBorders>
              <w:top w:val="nil"/>
              <w:left w:val="single" w:color="000000" w:sz="8" w:space="0"/>
              <w:bottom w:val="single" w:color="000000" w:sz="8" w:space="0"/>
              <w:right w:val="single" w:color="000000" w:sz="8" w:space="0"/>
            </w:tcBorders>
            <w:shd w:val="clear" w:color="auto" w:fill="auto"/>
            <w:noWrap/>
            <w:vAlign w:val="center"/>
          </w:tcPr>
          <w:p w14:paraId="0357080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224</w:t>
            </w:r>
          </w:p>
        </w:tc>
        <w:tc>
          <w:tcPr>
            <w:tcW w:w="961" w:type="dxa"/>
            <w:tcBorders>
              <w:top w:val="nil"/>
              <w:left w:val="single" w:color="000000" w:sz="8" w:space="0"/>
              <w:bottom w:val="single" w:color="000000" w:sz="8" w:space="0"/>
              <w:right w:val="single" w:color="000000" w:sz="8" w:space="0"/>
            </w:tcBorders>
            <w:shd w:val="clear" w:color="auto" w:fill="auto"/>
            <w:noWrap/>
            <w:vAlign w:val="center"/>
          </w:tcPr>
          <w:p w14:paraId="53513C2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240</w:t>
            </w:r>
          </w:p>
        </w:tc>
        <w:tc>
          <w:tcPr>
            <w:tcW w:w="1001" w:type="dxa"/>
            <w:tcBorders>
              <w:top w:val="nil"/>
              <w:left w:val="single" w:color="000000" w:sz="8" w:space="0"/>
              <w:bottom w:val="single" w:color="000000" w:sz="8" w:space="0"/>
              <w:right w:val="single" w:color="000000" w:sz="8" w:space="0"/>
            </w:tcBorders>
            <w:shd w:val="clear" w:color="auto" w:fill="auto"/>
            <w:noWrap/>
            <w:vAlign w:val="center"/>
          </w:tcPr>
          <w:p w14:paraId="671CD90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62400</w:t>
            </w:r>
          </w:p>
        </w:tc>
        <w:tc>
          <w:tcPr>
            <w:tcW w:w="923" w:type="dxa"/>
            <w:tcBorders>
              <w:top w:val="nil"/>
              <w:left w:val="single" w:color="000000" w:sz="8" w:space="0"/>
              <w:bottom w:val="single" w:color="000000" w:sz="8" w:space="0"/>
              <w:right w:val="single" w:color="000000" w:sz="8" w:space="0"/>
            </w:tcBorders>
            <w:shd w:val="clear" w:color="auto" w:fill="auto"/>
            <w:noWrap/>
            <w:vAlign w:val="center"/>
          </w:tcPr>
          <w:p w14:paraId="0FB74BD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0.86</w:t>
            </w:r>
          </w:p>
        </w:tc>
        <w:tc>
          <w:tcPr>
            <w:tcW w:w="975" w:type="dxa"/>
            <w:tcBorders>
              <w:top w:val="nil"/>
              <w:left w:val="single" w:color="000000" w:sz="8" w:space="0"/>
              <w:bottom w:val="single" w:color="000000" w:sz="8" w:space="0"/>
              <w:right w:val="single" w:color="000000" w:sz="8" w:space="0"/>
            </w:tcBorders>
            <w:shd w:val="clear" w:color="auto" w:fill="auto"/>
            <w:noWrap/>
            <w:vAlign w:val="center"/>
          </w:tcPr>
          <w:p w14:paraId="5254FF4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224</w:t>
            </w:r>
          </w:p>
        </w:tc>
        <w:tc>
          <w:tcPr>
            <w:tcW w:w="1159" w:type="dxa"/>
            <w:tcBorders>
              <w:top w:val="nil"/>
              <w:left w:val="single" w:color="000000" w:sz="8" w:space="0"/>
              <w:bottom w:val="single" w:color="000000" w:sz="8" w:space="0"/>
              <w:right w:val="single" w:color="000000" w:sz="8" w:space="0"/>
            </w:tcBorders>
            <w:shd w:val="clear" w:color="auto" w:fill="auto"/>
            <w:noWrap/>
            <w:vAlign w:val="center"/>
          </w:tcPr>
          <w:p w14:paraId="33CA68D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厂区生化池</w:t>
            </w:r>
          </w:p>
        </w:tc>
      </w:tr>
      <w:tr w14:paraId="4A69488B">
        <w:tblPrEx>
          <w:tblCellMar>
            <w:top w:w="0" w:type="dxa"/>
            <w:left w:w="108" w:type="dxa"/>
            <w:bottom w:w="0" w:type="dxa"/>
            <w:right w:w="108" w:type="dxa"/>
          </w:tblCellMar>
        </w:tblPrEx>
        <w:trPr>
          <w:trHeight w:val="300" w:hRule="atLeast"/>
          <w:jc w:val="center"/>
        </w:trPr>
        <w:tc>
          <w:tcPr>
            <w:tcW w:w="743" w:type="dxa"/>
            <w:vMerge w:val="restart"/>
            <w:tcBorders>
              <w:top w:val="nil"/>
              <w:left w:val="single" w:color="000000" w:sz="8" w:space="0"/>
              <w:right w:val="single" w:color="000000" w:sz="8" w:space="0"/>
            </w:tcBorders>
            <w:shd w:val="clear" w:color="auto" w:fill="auto"/>
            <w:noWrap/>
            <w:vAlign w:val="center"/>
          </w:tcPr>
          <w:p w14:paraId="065DF986">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真空泵冷却用水</w:t>
            </w:r>
          </w:p>
        </w:tc>
        <w:tc>
          <w:tcPr>
            <w:tcW w:w="898" w:type="dxa"/>
            <w:tcBorders>
              <w:top w:val="nil"/>
              <w:left w:val="single" w:color="000000" w:sz="8" w:space="0"/>
              <w:bottom w:val="single" w:color="000000" w:sz="8" w:space="0"/>
              <w:right w:val="single" w:color="000000" w:sz="8" w:space="0"/>
            </w:tcBorders>
            <w:shd w:val="clear" w:color="auto" w:fill="auto"/>
            <w:noWrap/>
            <w:vAlign w:val="center"/>
          </w:tcPr>
          <w:p w14:paraId="3A438A3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新鲜水</w:t>
            </w:r>
          </w:p>
        </w:tc>
        <w:tc>
          <w:tcPr>
            <w:tcW w:w="892" w:type="dxa"/>
            <w:tcBorders>
              <w:top w:val="nil"/>
              <w:left w:val="single" w:color="000000" w:sz="8" w:space="0"/>
              <w:bottom w:val="single" w:color="000000" w:sz="8" w:space="0"/>
              <w:right w:val="single" w:color="000000" w:sz="8" w:space="0"/>
            </w:tcBorders>
            <w:shd w:val="clear" w:color="auto" w:fill="auto"/>
            <w:noWrap/>
            <w:vAlign w:val="center"/>
          </w:tcPr>
          <w:p w14:paraId="20223EF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0.12</w:t>
            </w:r>
          </w:p>
        </w:tc>
        <w:tc>
          <w:tcPr>
            <w:tcW w:w="986" w:type="dxa"/>
            <w:tcBorders>
              <w:top w:val="nil"/>
              <w:left w:val="single" w:color="000000" w:sz="8" w:space="0"/>
              <w:bottom w:val="single" w:color="000000" w:sz="8" w:space="0"/>
              <w:right w:val="single" w:color="000000" w:sz="8" w:space="0"/>
            </w:tcBorders>
            <w:shd w:val="clear" w:color="auto" w:fill="auto"/>
            <w:noWrap/>
            <w:vAlign w:val="center"/>
          </w:tcPr>
          <w:p w14:paraId="7D5E2C4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31.2</w:t>
            </w:r>
          </w:p>
        </w:tc>
        <w:tc>
          <w:tcPr>
            <w:tcW w:w="961" w:type="dxa"/>
            <w:tcBorders>
              <w:top w:val="nil"/>
              <w:left w:val="single" w:color="000000" w:sz="8" w:space="0"/>
              <w:bottom w:val="single" w:color="000000" w:sz="8" w:space="0"/>
              <w:right w:val="single" w:color="000000" w:sz="8" w:space="0"/>
            </w:tcBorders>
            <w:shd w:val="clear" w:color="auto" w:fill="auto"/>
            <w:noWrap/>
            <w:vAlign w:val="center"/>
          </w:tcPr>
          <w:p w14:paraId="348D3A1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01" w:type="dxa"/>
            <w:tcBorders>
              <w:top w:val="nil"/>
              <w:left w:val="single" w:color="000000" w:sz="8" w:space="0"/>
              <w:bottom w:val="single" w:color="000000" w:sz="8" w:space="0"/>
              <w:right w:val="single" w:color="000000" w:sz="8" w:space="0"/>
            </w:tcBorders>
            <w:shd w:val="clear" w:color="auto" w:fill="auto"/>
            <w:noWrap/>
            <w:vAlign w:val="center"/>
          </w:tcPr>
          <w:p w14:paraId="606980A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w:t>
            </w:r>
          </w:p>
        </w:tc>
        <w:tc>
          <w:tcPr>
            <w:tcW w:w="923" w:type="dxa"/>
            <w:tcBorders>
              <w:top w:val="nil"/>
              <w:left w:val="single" w:color="000000" w:sz="8" w:space="0"/>
              <w:bottom w:val="single" w:color="000000" w:sz="8" w:space="0"/>
              <w:right w:val="single" w:color="000000" w:sz="8" w:space="0"/>
            </w:tcBorders>
            <w:shd w:val="clear" w:color="auto" w:fill="auto"/>
            <w:noWrap/>
            <w:vAlign w:val="center"/>
          </w:tcPr>
          <w:p w14:paraId="35BDC5C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w:t>
            </w:r>
          </w:p>
        </w:tc>
        <w:tc>
          <w:tcPr>
            <w:tcW w:w="975" w:type="dxa"/>
            <w:tcBorders>
              <w:top w:val="nil"/>
              <w:left w:val="single" w:color="000000" w:sz="8" w:space="0"/>
              <w:bottom w:val="single" w:color="000000" w:sz="8" w:space="0"/>
              <w:right w:val="single" w:color="000000" w:sz="8" w:space="0"/>
            </w:tcBorders>
            <w:shd w:val="clear" w:color="auto" w:fill="auto"/>
            <w:noWrap/>
            <w:vAlign w:val="center"/>
          </w:tcPr>
          <w:p w14:paraId="248F84D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w:t>
            </w:r>
          </w:p>
        </w:tc>
        <w:tc>
          <w:tcPr>
            <w:tcW w:w="1159" w:type="dxa"/>
            <w:tcBorders>
              <w:top w:val="nil"/>
              <w:left w:val="single" w:color="000000" w:sz="8" w:space="0"/>
              <w:bottom w:val="single" w:color="000000" w:sz="8" w:space="0"/>
              <w:right w:val="single" w:color="000000" w:sz="8" w:space="0"/>
            </w:tcBorders>
            <w:shd w:val="clear" w:color="auto" w:fill="auto"/>
            <w:noWrap/>
            <w:vAlign w:val="center"/>
          </w:tcPr>
          <w:p w14:paraId="48F2A5C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损耗</w:t>
            </w:r>
          </w:p>
        </w:tc>
      </w:tr>
      <w:tr w14:paraId="0086E7CB">
        <w:tblPrEx>
          <w:tblCellMar>
            <w:top w:w="0" w:type="dxa"/>
            <w:left w:w="108" w:type="dxa"/>
            <w:bottom w:w="0" w:type="dxa"/>
            <w:right w:w="108" w:type="dxa"/>
          </w:tblCellMar>
        </w:tblPrEx>
        <w:trPr>
          <w:trHeight w:val="300" w:hRule="atLeast"/>
          <w:jc w:val="center"/>
        </w:trPr>
        <w:tc>
          <w:tcPr>
            <w:tcW w:w="743" w:type="dxa"/>
            <w:vMerge w:val="continue"/>
            <w:tcBorders>
              <w:left w:val="single" w:color="000000" w:sz="8" w:space="0"/>
              <w:bottom w:val="single" w:color="000000" w:sz="8" w:space="0"/>
              <w:right w:val="single" w:color="000000" w:sz="8" w:space="0"/>
            </w:tcBorders>
            <w:shd w:val="clear" w:color="auto" w:fill="auto"/>
            <w:noWrap/>
            <w:vAlign w:val="center"/>
          </w:tcPr>
          <w:p w14:paraId="6784C620">
            <w:pPr>
              <w:widowControl/>
              <w:spacing w:line="240" w:lineRule="auto"/>
              <w:ind w:firstLine="0" w:firstLineChars="0"/>
              <w:jc w:val="center"/>
              <w:rPr>
                <w:rFonts w:hint="default" w:ascii="Times New Roman" w:hAnsi="Times New Roman" w:cs="Times New Roman"/>
                <w:color w:val="auto"/>
                <w:sz w:val="21"/>
                <w:szCs w:val="21"/>
              </w:rPr>
            </w:pPr>
          </w:p>
        </w:tc>
        <w:tc>
          <w:tcPr>
            <w:tcW w:w="898" w:type="dxa"/>
            <w:tcBorders>
              <w:top w:val="nil"/>
              <w:left w:val="single" w:color="000000" w:sz="8" w:space="0"/>
              <w:bottom w:val="single" w:color="000000" w:sz="8" w:space="0"/>
              <w:right w:val="single" w:color="000000" w:sz="8" w:space="0"/>
            </w:tcBorders>
            <w:shd w:val="clear" w:color="auto" w:fill="auto"/>
            <w:noWrap/>
            <w:vAlign w:val="center"/>
          </w:tcPr>
          <w:p w14:paraId="54CE1AE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更换水</w:t>
            </w:r>
          </w:p>
        </w:tc>
        <w:tc>
          <w:tcPr>
            <w:tcW w:w="892" w:type="dxa"/>
            <w:tcBorders>
              <w:top w:val="nil"/>
              <w:left w:val="single" w:color="000000" w:sz="8" w:space="0"/>
              <w:bottom w:val="single" w:color="000000" w:sz="8" w:space="0"/>
              <w:right w:val="single" w:color="000000" w:sz="8" w:space="0"/>
            </w:tcBorders>
            <w:shd w:val="clear" w:color="auto" w:fill="auto"/>
            <w:noWrap/>
            <w:vAlign w:val="center"/>
          </w:tcPr>
          <w:p w14:paraId="61749E7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0.05</w:t>
            </w:r>
          </w:p>
        </w:tc>
        <w:tc>
          <w:tcPr>
            <w:tcW w:w="986" w:type="dxa"/>
            <w:tcBorders>
              <w:top w:val="nil"/>
              <w:left w:val="single" w:color="000000" w:sz="8" w:space="0"/>
              <w:bottom w:val="single" w:color="000000" w:sz="8" w:space="0"/>
              <w:right w:val="single" w:color="000000" w:sz="8" w:space="0"/>
            </w:tcBorders>
            <w:shd w:val="clear" w:color="auto" w:fill="auto"/>
            <w:noWrap/>
            <w:vAlign w:val="center"/>
          </w:tcPr>
          <w:p w14:paraId="498E90F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0.6</w:t>
            </w:r>
          </w:p>
        </w:tc>
        <w:tc>
          <w:tcPr>
            <w:tcW w:w="961" w:type="dxa"/>
            <w:tcBorders>
              <w:top w:val="nil"/>
              <w:left w:val="single" w:color="000000" w:sz="8" w:space="0"/>
              <w:bottom w:val="single" w:color="000000" w:sz="8" w:space="0"/>
              <w:right w:val="single" w:color="000000" w:sz="8" w:space="0"/>
            </w:tcBorders>
            <w:shd w:val="clear" w:color="auto" w:fill="auto"/>
            <w:noWrap/>
            <w:vAlign w:val="center"/>
          </w:tcPr>
          <w:p w14:paraId="68191F7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12</w:t>
            </w:r>
          </w:p>
        </w:tc>
        <w:tc>
          <w:tcPr>
            <w:tcW w:w="1001" w:type="dxa"/>
            <w:tcBorders>
              <w:top w:val="nil"/>
              <w:left w:val="single" w:color="000000" w:sz="8" w:space="0"/>
              <w:bottom w:val="single" w:color="000000" w:sz="8" w:space="0"/>
              <w:right w:val="single" w:color="000000" w:sz="8" w:space="0"/>
            </w:tcBorders>
            <w:shd w:val="clear" w:color="auto" w:fill="auto"/>
            <w:noWrap/>
            <w:vAlign w:val="center"/>
          </w:tcPr>
          <w:p w14:paraId="51BFF03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3120</w:t>
            </w:r>
          </w:p>
        </w:tc>
        <w:tc>
          <w:tcPr>
            <w:tcW w:w="923" w:type="dxa"/>
            <w:tcBorders>
              <w:top w:val="nil"/>
              <w:left w:val="single" w:color="000000" w:sz="8" w:space="0"/>
              <w:bottom w:val="single" w:color="000000" w:sz="8" w:space="0"/>
              <w:right w:val="single" w:color="000000" w:sz="8" w:space="0"/>
            </w:tcBorders>
            <w:shd w:val="clear" w:color="auto" w:fill="auto"/>
            <w:noWrap/>
            <w:vAlign w:val="center"/>
          </w:tcPr>
          <w:p w14:paraId="231EFB6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0.05</w:t>
            </w:r>
          </w:p>
        </w:tc>
        <w:tc>
          <w:tcPr>
            <w:tcW w:w="975" w:type="dxa"/>
            <w:tcBorders>
              <w:top w:val="nil"/>
              <w:left w:val="single" w:color="000000" w:sz="8" w:space="0"/>
              <w:bottom w:val="single" w:color="000000" w:sz="8" w:space="0"/>
              <w:right w:val="single" w:color="000000" w:sz="8" w:space="0"/>
            </w:tcBorders>
            <w:shd w:val="clear" w:color="auto" w:fill="auto"/>
            <w:noWrap/>
            <w:vAlign w:val="center"/>
          </w:tcPr>
          <w:p w14:paraId="4F8A715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0.6</w:t>
            </w:r>
          </w:p>
        </w:tc>
        <w:tc>
          <w:tcPr>
            <w:tcW w:w="1159" w:type="dxa"/>
            <w:tcBorders>
              <w:top w:val="nil"/>
              <w:left w:val="single" w:color="000000" w:sz="8" w:space="0"/>
              <w:bottom w:val="single" w:color="000000" w:sz="8" w:space="0"/>
              <w:right w:val="single" w:color="000000" w:sz="8" w:space="0"/>
            </w:tcBorders>
            <w:shd w:val="clear" w:color="auto" w:fill="auto"/>
            <w:noWrap/>
            <w:vAlign w:val="center"/>
          </w:tcPr>
          <w:p w14:paraId="6E2D81E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厂区生化池</w:t>
            </w:r>
          </w:p>
        </w:tc>
      </w:tr>
      <w:tr w14:paraId="06CF7152">
        <w:tblPrEx>
          <w:tblCellMar>
            <w:top w:w="0" w:type="dxa"/>
            <w:left w:w="108" w:type="dxa"/>
            <w:bottom w:w="0" w:type="dxa"/>
            <w:right w:w="108" w:type="dxa"/>
          </w:tblCellMar>
        </w:tblPrEx>
        <w:trPr>
          <w:trHeight w:val="300" w:hRule="atLeast"/>
          <w:jc w:val="center"/>
        </w:trPr>
        <w:tc>
          <w:tcPr>
            <w:tcW w:w="1641" w:type="dxa"/>
            <w:gridSpan w:val="2"/>
            <w:tcBorders>
              <w:top w:val="nil"/>
              <w:left w:val="single" w:color="000000" w:sz="8" w:space="0"/>
              <w:bottom w:val="single" w:color="000000" w:sz="8" w:space="0"/>
              <w:right w:val="single" w:color="000000" w:sz="8" w:space="0"/>
            </w:tcBorders>
            <w:shd w:val="clear" w:color="auto" w:fill="auto"/>
            <w:noWrap/>
            <w:vAlign w:val="center"/>
          </w:tcPr>
          <w:p w14:paraId="19EC4E5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生活用水</w:t>
            </w:r>
          </w:p>
        </w:tc>
        <w:tc>
          <w:tcPr>
            <w:tcW w:w="892" w:type="dxa"/>
            <w:tcBorders>
              <w:top w:val="nil"/>
              <w:left w:val="single" w:color="000000" w:sz="8" w:space="0"/>
              <w:bottom w:val="single" w:color="000000" w:sz="8" w:space="0"/>
              <w:right w:val="single" w:color="000000" w:sz="8" w:space="0"/>
            </w:tcBorders>
            <w:shd w:val="clear" w:color="auto" w:fill="auto"/>
            <w:noWrap/>
            <w:vAlign w:val="center"/>
          </w:tcPr>
          <w:p w14:paraId="3BFB496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0.8</w:t>
            </w:r>
          </w:p>
        </w:tc>
        <w:tc>
          <w:tcPr>
            <w:tcW w:w="986" w:type="dxa"/>
            <w:tcBorders>
              <w:top w:val="nil"/>
              <w:left w:val="single" w:color="000000" w:sz="8" w:space="0"/>
              <w:bottom w:val="single" w:color="000000" w:sz="8" w:space="0"/>
              <w:right w:val="single" w:color="000000" w:sz="8" w:space="0"/>
            </w:tcBorders>
            <w:shd w:val="clear" w:color="auto" w:fill="auto"/>
            <w:noWrap/>
            <w:vAlign w:val="center"/>
          </w:tcPr>
          <w:p w14:paraId="0413EB7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208</w:t>
            </w:r>
          </w:p>
        </w:tc>
        <w:tc>
          <w:tcPr>
            <w:tcW w:w="961" w:type="dxa"/>
            <w:tcBorders>
              <w:top w:val="nil"/>
              <w:left w:val="single" w:color="000000" w:sz="8" w:space="0"/>
              <w:bottom w:val="single" w:color="000000" w:sz="8" w:space="0"/>
              <w:right w:val="single" w:color="000000" w:sz="8" w:space="0"/>
            </w:tcBorders>
            <w:shd w:val="clear" w:color="auto" w:fill="auto"/>
            <w:noWrap/>
            <w:vAlign w:val="center"/>
          </w:tcPr>
          <w:p w14:paraId="274D2A3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w:t>
            </w:r>
          </w:p>
        </w:tc>
        <w:tc>
          <w:tcPr>
            <w:tcW w:w="1001" w:type="dxa"/>
            <w:tcBorders>
              <w:top w:val="nil"/>
              <w:left w:val="single" w:color="000000" w:sz="8" w:space="0"/>
              <w:bottom w:val="single" w:color="000000" w:sz="8" w:space="0"/>
              <w:right w:val="single" w:color="000000" w:sz="8" w:space="0"/>
            </w:tcBorders>
            <w:shd w:val="clear" w:color="auto" w:fill="auto"/>
            <w:noWrap/>
            <w:vAlign w:val="center"/>
          </w:tcPr>
          <w:p w14:paraId="2835184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w:t>
            </w:r>
          </w:p>
        </w:tc>
        <w:tc>
          <w:tcPr>
            <w:tcW w:w="923" w:type="dxa"/>
            <w:tcBorders>
              <w:top w:val="nil"/>
              <w:left w:val="single" w:color="000000" w:sz="8" w:space="0"/>
              <w:bottom w:val="single" w:color="000000" w:sz="8" w:space="0"/>
              <w:right w:val="single" w:color="000000" w:sz="8" w:space="0"/>
            </w:tcBorders>
            <w:shd w:val="clear" w:color="auto" w:fill="auto"/>
            <w:noWrap/>
            <w:vAlign w:val="center"/>
          </w:tcPr>
          <w:p w14:paraId="708024C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0.72</w:t>
            </w:r>
          </w:p>
        </w:tc>
        <w:tc>
          <w:tcPr>
            <w:tcW w:w="975" w:type="dxa"/>
            <w:tcBorders>
              <w:top w:val="nil"/>
              <w:left w:val="single" w:color="000000" w:sz="8" w:space="0"/>
              <w:bottom w:val="single" w:color="000000" w:sz="8" w:space="0"/>
              <w:right w:val="single" w:color="000000" w:sz="8" w:space="0"/>
            </w:tcBorders>
            <w:shd w:val="clear" w:color="auto" w:fill="auto"/>
            <w:noWrap/>
            <w:vAlign w:val="center"/>
          </w:tcPr>
          <w:p w14:paraId="7812A8D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187.2</w:t>
            </w:r>
          </w:p>
        </w:tc>
        <w:tc>
          <w:tcPr>
            <w:tcW w:w="1159" w:type="dxa"/>
            <w:tcBorders>
              <w:top w:val="nil"/>
              <w:left w:val="single" w:color="000000" w:sz="8" w:space="0"/>
              <w:bottom w:val="single" w:color="000000" w:sz="8" w:space="0"/>
              <w:right w:val="single" w:color="000000" w:sz="8" w:space="0"/>
            </w:tcBorders>
            <w:shd w:val="clear" w:color="auto" w:fill="auto"/>
            <w:noWrap/>
            <w:vAlign w:val="center"/>
          </w:tcPr>
          <w:p w14:paraId="0AF25E6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厂区生化池</w:t>
            </w:r>
          </w:p>
        </w:tc>
      </w:tr>
      <w:tr w14:paraId="7EC08CD8">
        <w:tblPrEx>
          <w:tblCellMar>
            <w:top w:w="0" w:type="dxa"/>
            <w:left w:w="108" w:type="dxa"/>
            <w:bottom w:w="0" w:type="dxa"/>
            <w:right w:w="108" w:type="dxa"/>
          </w:tblCellMar>
        </w:tblPrEx>
        <w:trPr>
          <w:trHeight w:val="285" w:hRule="atLeast"/>
          <w:jc w:val="center"/>
        </w:trPr>
        <w:tc>
          <w:tcPr>
            <w:tcW w:w="1641" w:type="dxa"/>
            <w:gridSpan w:val="2"/>
            <w:tcBorders>
              <w:top w:val="nil"/>
              <w:left w:val="single" w:color="000000" w:sz="8" w:space="0"/>
              <w:bottom w:val="single" w:color="000000" w:sz="8" w:space="0"/>
              <w:right w:val="single" w:color="000000" w:sz="8" w:space="0"/>
            </w:tcBorders>
            <w:shd w:val="clear" w:color="auto" w:fill="auto"/>
            <w:noWrap/>
            <w:vAlign w:val="center"/>
          </w:tcPr>
          <w:p w14:paraId="2A02B17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小计</w:t>
            </w:r>
          </w:p>
        </w:tc>
        <w:tc>
          <w:tcPr>
            <w:tcW w:w="892" w:type="dxa"/>
            <w:tcBorders>
              <w:top w:val="nil"/>
              <w:left w:val="single" w:color="000000" w:sz="8" w:space="0"/>
              <w:bottom w:val="single" w:color="000000" w:sz="8" w:space="0"/>
              <w:right w:val="single" w:color="000000" w:sz="8" w:space="0"/>
            </w:tcBorders>
            <w:shd w:val="clear" w:color="auto" w:fill="auto"/>
            <w:noWrap/>
            <w:vAlign w:val="center"/>
          </w:tcPr>
          <w:p w14:paraId="41484A8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4.63</w:t>
            </w:r>
          </w:p>
        </w:tc>
        <w:tc>
          <w:tcPr>
            <w:tcW w:w="986" w:type="dxa"/>
            <w:tcBorders>
              <w:top w:val="nil"/>
              <w:left w:val="single" w:color="000000" w:sz="8" w:space="0"/>
              <w:bottom w:val="single" w:color="000000" w:sz="8" w:space="0"/>
              <w:right w:val="single" w:color="000000" w:sz="8" w:space="0"/>
            </w:tcBorders>
            <w:shd w:val="clear" w:color="auto" w:fill="auto"/>
            <w:noWrap/>
            <w:vAlign w:val="center"/>
          </w:tcPr>
          <w:p w14:paraId="787B6C2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1191.8</w:t>
            </w:r>
          </w:p>
        </w:tc>
        <w:tc>
          <w:tcPr>
            <w:tcW w:w="961" w:type="dxa"/>
            <w:tcBorders>
              <w:top w:val="nil"/>
              <w:left w:val="single" w:color="000000" w:sz="8" w:space="0"/>
              <w:bottom w:val="single" w:color="000000" w:sz="8" w:space="0"/>
              <w:right w:val="single" w:color="000000" w:sz="8" w:space="0"/>
            </w:tcBorders>
            <w:shd w:val="clear" w:color="auto" w:fill="auto"/>
            <w:noWrap/>
            <w:vAlign w:val="center"/>
          </w:tcPr>
          <w:p w14:paraId="0821D7A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252</w:t>
            </w:r>
          </w:p>
        </w:tc>
        <w:tc>
          <w:tcPr>
            <w:tcW w:w="1001" w:type="dxa"/>
            <w:tcBorders>
              <w:top w:val="nil"/>
              <w:left w:val="single" w:color="000000" w:sz="8" w:space="0"/>
              <w:bottom w:val="single" w:color="000000" w:sz="8" w:space="0"/>
              <w:right w:val="single" w:color="000000" w:sz="8" w:space="0"/>
            </w:tcBorders>
            <w:shd w:val="clear" w:color="auto" w:fill="auto"/>
            <w:noWrap/>
            <w:vAlign w:val="center"/>
          </w:tcPr>
          <w:p w14:paraId="34AA6E8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65520</w:t>
            </w:r>
          </w:p>
        </w:tc>
        <w:tc>
          <w:tcPr>
            <w:tcW w:w="923" w:type="dxa"/>
            <w:tcBorders>
              <w:top w:val="nil"/>
              <w:left w:val="single" w:color="000000" w:sz="8" w:space="0"/>
              <w:bottom w:val="single" w:color="000000" w:sz="8" w:space="0"/>
              <w:right w:val="single" w:color="000000" w:sz="8" w:space="0"/>
            </w:tcBorders>
            <w:shd w:val="clear" w:color="auto" w:fill="auto"/>
            <w:noWrap/>
            <w:vAlign w:val="center"/>
          </w:tcPr>
          <w:p w14:paraId="51F4257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3.87</w:t>
            </w:r>
          </w:p>
        </w:tc>
        <w:tc>
          <w:tcPr>
            <w:tcW w:w="975" w:type="dxa"/>
            <w:tcBorders>
              <w:top w:val="nil"/>
              <w:left w:val="single" w:color="000000" w:sz="8" w:space="0"/>
              <w:bottom w:val="single" w:color="000000" w:sz="8" w:space="0"/>
              <w:right w:val="single" w:color="000000" w:sz="8" w:space="0"/>
            </w:tcBorders>
            <w:shd w:val="clear" w:color="auto" w:fill="auto"/>
            <w:noWrap/>
            <w:vAlign w:val="center"/>
          </w:tcPr>
          <w:p w14:paraId="60A8559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994.2</w:t>
            </w:r>
          </w:p>
        </w:tc>
        <w:tc>
          <w:tcPr>
            <w:tcW w:w="1159" w:type="dxa"/>
            <w:tcBorders>
              <w:top w:val="nil"/>
              <w:left w:val="single" w:color="000000" w:sz="8" w:space="0"/>
              <w:bottom w:val="single" w:color="000000" w:sz="8" w:space="0"/>
              <w:right w:val="single" w:color="000000" w:sz="8" w:space="0"/>
            </w:tcBorders>
            <w:shd w:val="clear" w:color="auto" w:fill="auto"/>
            <w:noWrap/>
            <w:vAlign w:val="center"/>
          </w:tcPr>
          <w:p w14:paraId="2B952FA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r>
    </w:tbl>
    <w:p w14:paraId="1DAB9D38">
      <w:pPr>
        <w:pStyle w:val="93"/>
        <w:spacing w:before="0" w:line="240" w:lineRule="auto"/>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5273675" cy="3898265"/>
            <wp:effectExtent l="0" t="0" r="3175" b="6985"/>
            <wp:docPr id="30" name="图片 30" descr="水平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水平衡"/>
                    <pic:cNvPicPr>
                      <a:picLocks noChangeAspect="1"/>
                    </pic:cNvPicPr>
                  </pic:nvPicPr>
                  <pic:blipFill>
                    <a:blip r:embed="rId40"/>
                    <a:stretch>
                      <a:fillRect/>
                    </a:stretch>
                  </pic:blipFill>
                  <pic:spPr>
                    <a:xfrm>
                      <a:off x="0" y="0"/>
                      <a:ext cx="5273675" cy="3898265"/>
                    </a:xfrm>
                    <a:prstGeom prst="rect">
                      <a:avLst/>
                    </a:prstGeom>
                  </pic:spPr>
                </pic:pic>
              </a:graphicData>
            </a:graphic>
          </wp:inline>
        </w:drawing>
      </w:r>
    </w:p>
    <w:p w14:paraId="37DEC4F6">
      <w:pPr>
        <w:pStyle w:val="93"/>
        <w:rPr>
          <w:rFonts w:hint="default" w:ascii="Times New Roman" w:hAnsi="Times New Roman" w:cs="Times New Roman"/>
          <w:color w:val="auto"/>
        </w:rPr>
      </w:pPr>
      <w:r>
        <w:rPr>
          <w:rFonts w:hint="default" w:ascii="Times New Roman" w:hAnsi="Times New Roman" w:cs="Times New Roman"/>
          <w:color w:val="auto"/>
        </w:rPr>
        <w:t>图2.7-1   项目全厂给排水平衡图  单位：m</w:t>
      </w:r>
      <w:r>
        <w:rPr>
          <w:rFonts w:hint="default" w:ascii="Times New Roman" w:hAnsi="Times New Roman" w:cs="Times New Roman"/>
          <w:color w:val="auto"/>
          <w:vertAlign w:val="superscript"/>
        </w:rPr>
        <w:t>3</w:t>
      </w:r>
      <w:r>
        <w:rPr>
          <w:rFonts w:hint="default" w:ascii="Times New Roman" w:hAnsi="Times New Roman" w:cs="Times New Roman"/>
          <w:color w:val="auto"/>
        </w:rPr>
        <w:t>/d</w:t>
      </w:r>
    </w:p>
    <w:p w14:paraId="787DB94B">
      <w:pPr>
        <w:ind w:firstLine="0" w:firstLineChars="0"/>
        <w:rPr>
          <w:rFonts w:hint="default" w:ascii="Times New Roman" w:hAnsi="Times New Roman" w:cs="Times New Roman"/>
          <w:color w:val="auto"/>
        </w:rPr>
      </w:pPr>
    </w:p>
    <w:p w14:paraId="6D829E3F">
      <w:pPr>
        <w:ind w:firstLine="480"/>
        <w:rPr>
          <w:rFonts w:hint="default" w:ascii="Times New Roman" w:hAnsi="Times New Roman" w:cs="Times New Roman"/>
          <w:color w:val="auto"/>
        </w:rPr>
      </w:pPr>
      <w:r>
        <w:rPr>
          <w:rFonts w:hint="default" w:ascii="Times New Roman" w:hAnsi="Times New Roman" w:cs="Times New Roman"/>
          <w:color w:val="auto"/>
        </w:rPr>
        <w:t>（3）供电</w:t>
      </w:r>
    </w:p>
    <w:p w14:paraId="7011BE2D">
      <w:pPr>
        <w:ind w:firstLine="480"/>
        <w:rPr>
          <w:rFonts w:hint="default" w:ascii="Times New Roman" w:hAnsi="Times New Roman" w:cs="Times New Roman"/>
          <w:color w:val="auto"/>
        </w:rPr>
      </w:pPr>
      <w:r>
        <w:rPr>
          <w:rFonts w:hint="default" w:ascii="Times New Roman" w:hAnsi="Times New Roman" w:cs="Times New Roman"/>
          <w:color w:val="auto"/>
        </w:rPr>
        <w:t>本项目年耗电量约8万KW·h，来自城市电网，供电有保障。</w:t>
      </w:r>
    </w:p>
    <w:p w14:paraId="3DF4179A">
      <w:pPr>
        <w:pStyle w:val="3"/>
        <w:rPr>
          <w:rFonts w:hint="default" w:ascii="Times New Roman" w:hAnsi="Times New Roman" w:cs="Times New Roman"/>
          <w:color w:val="auto"/>
        </w:rPr>
      </w:pPr>
      <w:r>
        <w:rPr>
          <w:rFonts w:hint="default" w:ascii="Times New Roman" w:hAnsi="Times New Roman" w:cs="Times New Roman"/>
          <w:color w:val="auto"/>
        </w:rPr>
        <w:t>2.8 项目总平面布置及合理性分析</w:t>
      </w:r>
    </w:p>
    <w:p w14:paraId="79A03BF6">
      <w:pPr>
        <w:ind w:firstLine="480"/>
        <w:rPr>
          <w:rFonts w:hint="default" w:ascii="Times New Roman" w:hAnsi="Times New Roman" w:cs="Times New Roman"/>
          <w:color w:val="auto"/>
        </w:rPr>
      </w:pPr>
      <w:r>
        <w:rPr>
          <w:rFonts w:hint="default" w:ascii="Times New Roman" w:hAnsi="Times New Roman" w:cs="Times New Roman"/>
          <w:color w:val="auto"/>
          <w:szCs w:val="24"/>
        </w:rPr>
        <w:t>重庆万地通科技有限公司租用</w:t>
      </w:r>
      <w:r>
        <w:rPr>
          <w:rFonts w:hint="default" w:ascii="Times New Roman" w:hAnsi="Times New Roman" w:cs="Times New Roman"/>
          <w:color w:val="auto"/>
          <w:kern w:val="2"/>
          <w:szCs w:val="24"/>
        </w:rPr>
        <w:t>中铁二局集团物资有限公司重庆分公司已建3号楼1号仓间、2号仓间共3524.52m</w:t>
      </w:r>
      <w:r>
        <w:rPr>
          <w:rFonts w:hint="default" w:ascii="Times New Roman" w:hAnsi="Times New Roman" w:cs="Times New Roman"/>
          <w:color w:val="auto"/>
          <w:kern w:val="2"/>
          <w:szCs w:val="24"/>
          <w:vertAlign w:val="superscript"/>
        </w:rPr>
        <w:t>2</w:t>
      </w:r>
      <w:r>
        <w:rPr>
          <w:rFonts w:hint="default" w:ascii="Times New Roman" w:hAnsi="Times New Roman" w:cs="Times New Roman"/>
          <w:color w:val="auto"/>
          <w:kern w:val="2"/>
          <w:szCs w:val="24"/>
        </w:rPr>
        <w:t>开展重庆市九龙坡区汽车注塑件改性塑料颗粒生产项目</w:t>
      </w:r>
      <w:r>
        <w:rPr>
          <w:rFonts w:hint="default" w:ascii="Times New Roman" w:hAnsi="Times New Roman" w:cs="Times New Roman"/>
          <w:color w:val="auto"/>
        </w:rPr>
        <w:t>。该3号楼位于厂区西侧，共2层，</w:t>
      </w:r>
      <w:r>
        <w:rPr>
          <w:rFonts w:hint="default" w:ascii="Times New Roman" w:hAnsi="Times New Roman" w:cs="Times New Roman"/>
          <w:color w:val="auto"/>
          <w:kern w:val="2"/>
          <w:szCs w:val="24"/>
        </w:rPr>
        <w:t>1号仓间、2号仓间均在1层</w:t>
      </w:r>
      <w:r>
        <w:rPr>
          <w:rFonts w:hint="default" w:ascii="Times New Roman" w:hAnsi="Times New Roman" w:cs="Times New Roman"/>
          <w:color w:val="auto"/>
        </w:rPr>
        <w:t>。该厂区西北侧布置处理规模10.8m</w:t>
      </w:r>
      <w:r>
        <w:rPr>
          <w:rFonts w:hint="default" w:ascii="Times New Roman" w:hAnsi="Times New Roman" w:cs="Times New Roman"/>
          <w:color w:val="auto"/>
          <w:vertAlign w:val="superscript"/>
        </w:rPr>
        <w:t>3</w:t>
      </w:r>
      <w:r>
        <w:rPr>
          <w:rFonts w:hint="default" w:ascii="Times New Roman" w:hAnsi="Times New Roman" w:cs="Times New Roman"/>
          <w:color w:val="auto"/>
        </w:rPr>
        <w:t>/d生化池1座。</w:t>
      </w:r>
    </w:p>
    <w:p w14:paraId="09CCC019">
      <w:pPr>
        <w:ind w:firstLine="480"/>
        <w:rPr>
          <w:rFonts w:hint="default" w:ascii="Times New Roman" w:hAnsi="Times New Roman" w:cs="Times New Roman"/>
          <w:color w:val="auto"/>
        </w:rPr>
      </w:pPr>
      <w:r>
        <w:rPr>
          <w:rFonts w:hint="default" w:ascii="Times New Roman" w:hAnsi="Times New Roman" w:cs="Times New Roman"/>
          <w:color w:val="auto"/>
        </w:rPr>
        <w:t>3号楼厂房南侧布置6条改性粒料生产线，北侧主要布置成品区、原料区、办公室等。办公室等远离生产线。业主方对现有厂房进行改建，在6台挤出机上方新增1层主要布置3台立式拌料机及3台混料机；在均化料仓上方新增1层主要布置2套干燥机。</w:t>
      </w:r>
    </w:p>
    <w:p w14:paraId="00B62273">
      <w:pPr>
        <w:ind w:firstLine="480"/>
        <w:rPr>
          <w:rFonts w:hint="default" w:ascii="Times New Roman" w:hAnsi="Times New Roman" w:cs="Times New Roman"/>
          <w:color w:val="auto"/>
        </w:rPr>
      </w:pPr>
      <w:r>
        <w:rPr>
          <w:rFonts w:hint="default" w:ascii="Times New Roman" w:hAnsi="Times New Roman" w:cs="Times New Roman"/>
          <w:color w:val="auto"/>
        </w:rPr>
        <w:t>总体上，项目场地布置较为合理。本工程总平面布置详见附图2、附图3。</w:t>
      </w:r>
    </w:p>
    <w:p w14:paraId="7F243FE2">
      <w:pPr>
        <w:pStyle w:val="3"/>
        <w:rPr>
          <w:rFonts w:hint="default" w:ascii="Times New Roman" w:hAnsi="Times New Roman" w:cs="Times New Roman"/>
          <w:color w:val="auto"/>
        </w:rPr>
      </w:pPr>
      <w:r>
        <w:rPr>
          <w:rFonts w:hint="default" w:ascii="Times New Roman" w:hAnsi="Times New Roman" w:cs="Times New Roman"/>
          <w:color w:val="auto"/>
        </w:rPr>
        <w:t>2.9 主要原辅材料及燃料的种类和用量</w:t>
      </w:r>
    </w:p>
    <w:p w14:paraId="1D6FA6FE">
      <w:pPr>
        <w:ind w:firstLine="480"/>
        <w:rPr>
          <w:rFonts w:hint="default" w:ascii="Times New Roman" w:hAnsi="Times New Roman" w:cs="Times New Roman"/>
          <w:color w:val="auto"/>
        </w:rPr>
      </w:pPr>
      <w:r>
        <w:rPr>
          <w:rFonts w:hint="default" w:ascii="Times New Roman" w:hAnsi="Times New Roman" w:cs="Times New Roman"/>
          <w:color w:val="auto"/>
        </w:rPr>
        <w:t>（1）主要原辅材料</w:t>
      </w:r>
    </w:p>
    <w:p w14:paraId="482CA618">
      <w:pPr>
        <w:ind w:firstLine="480"/>
        <w:rPr>
          <w:rFonts w:hint="default" w:ascii="Times New Roman" w:hAnsi="Times New Roman" w:cs="Times New Roman"/>
          <w:color w:val="auto"/>
        </w:rPr>
      </w:pPr>
      <w:r>
        <w:rPr>
          <w:rFonts w:hint="default" w:ascii="Times New Roman" w:hAnsi="Times New Roman" w:cs="Times New Roman"/>
          <w:color w:val="auto"/>
        </w:rPr>
        <w:t>根据业主提供的资料和产品情况，本项目原材料加工过程中会使用色母</w:t>
      </w:r>
      <w:r>
        <w:rPr>
          <w:rFonts w:hint="default" w:ascii="Times New Roman" w:hAnsi="Times New Roman" w:cs="Times New Roman"/>
          <w:color w:val="auto"/>
          <w:lang w:eastAsia="zh-CN"/>
        </w:rPr>
        <w:t>。</w:t>
      </w:r>
      <w:r>
        <w:rPr>
          <w:rFonts w:hint="default" w:ascii="Times New Roman" w:hAnsi="Times New Roman" w:cs="Times New Roman"/>
          <w:color w:val="auto"/>
        </w:rPr>
        <w:t>本项目均采用新料生产，不涉及再生塑料颗粒。</w:t>
      </w:r>
      <w:r>
        <w:rPr>
          <w:rFonts w:hint="default" w:ascii="Times New Roman" w:hAnsi="Times New Roman" w:cs="Times New Roman"/>
          <w:color w:val="auto"/>
          <w:lang w:val="en-US" w:eastAsia="zh-CN"/>
        </w:rPr>
        <w:t>本项目所用原辅材料全部为外购。</w:t>
      </w:r>
      <w:r>
        <w:rPr>
          <w:rFonts w:hint="default" w:ascii="Times New Roman" w:hAnsi="Times New Roman" w:cs="Times New Roman"/>
          <w:color w:val="auto"/>
        </w:rPr>
        <w:t>主要原材料见下表。</w:t>
      </w:r>
    </w:p>
    <w:p w14:paraId="63DB51A4">
      <w:pPr>
        <w:pStyle w:val="93"/>
        <w:rPr>
          <w:rFonts w:hint="default" w:ascii="Times New Roman" w:hAnsi="Times New Roman" w:cs="Times New Roman"/>
          <w:color w:val="auto"/>
        </w:rPr>
      </w:pPr>
      <w:r>
        <w:rPr>
          <w:rFonts w:hint="default" w:ascii="Times New Roman" w:hAnsi="Times New Roman" w:cs="Times New Roman"/>
          <w:color w:val="auto"/>
        </w:rPr>
        <w:t>表2.9-1   运行期主要原材料汇总表  单位：t</w:t>
      </w:r>
    </w:p>
    <w:tbl>
      <w:tblPr>
        <w:tblStyle w:val="44"/>
        <w:tblW w:w="4763"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144"/>
        <w:gridCol w:w="850"/>
        <w:gridCol w:w="1791"/>
        <w:gridCol w:w="1256"/>
        <w:gridCol w:w="998"/>
        <w:gridCol w:w="2087"/>
      </w:tblGrid>
      <w:tr w14:paraId="37D2F07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45" w:hRule="atLeast"/>
          <w:jc w:val="center"/>
        </w:trPr>
        <w:tc>
          <w:tcPr>
            <w:tcW w:w="1226" w:type="pct"/>
            <w:gridSpan w:val="2"/>
            <w:tcBorders>
              <w:tl2br w:val="nil"/>
              <w:tr2bl w:val="nil"/>
            </w:tcBorders>
            <w:vAlign w:val="center"/>
          </w:tcPr>
          <w:p w14:paraId="2EF7E7F4">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类别</w:t>
            </w:r>
          </w:p>
        </w:tc>
        <w:tc>
          <w:tcPr>
            <w:tcW w:w="3773" w:type="pct"/>
            <w:gridSpan w:val="4"/>
            <w:tcBorders>
              <w:bottom w:val="single" w:color="auto" w:sz="4" w:space="0"/>
              <w:tl2br w:val="nil"/>
              <w:tr2bl w:val="nil"/>
            </w:tcBorders>
            <w:vAlign w:val="center"/>
          </w:tcPr>
          <w:p w14:paraId="4F587A3B">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原料</w:t>
            </w:r>
          </w:p>
        </w:tc>
      </w:tr>
      <w:tr w14:paraId="2E348DF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09" w:hRule="atLeast"/>
          <w:jc w:val="center"/>
        </w:trPr>
        <w:tc>
          <w:tcPr>
            <w:tcW w:w="703" w:type="pct"/>
            <w:tcBorders>
              <w:tl2br w:val="nil"/>
              <w:tr2bl w:val="nil"/>
            </w:tcBorders>
            <w:vAlign w:val="center"/>
          </w:tcPr>
          <w:p w14:paraId="551BFC06">
            <w:pPr>
              <w:autoSpaceDN w:val="0"/>
              <w:adjustRightInd w:val="0"/>
              <w:snapToGrid w:val="0"/>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名称</w:t>
            </w:r>
          </w:p>
        </w:tc>
        <w:tc>
          <w:tcPr>
            <w:tcW w:w="523" w:type="pct"/>
            <w:tcBorders>
              <w:tl2br w:val="nil"/>
              <w:tr2bl w:val="nil"/>
            </w:tcBorders>
            <w:vAlign w:val="center"/>
          </w:tcPr>
          <w:p w14:paraId="6230E3D1">
            <w:pPr>
              <w:autoSpaceDN w:val="0"/>
              <w:adjustRightInd w:val="0"/>
              <w:snapToGrid w:val="0"/>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年产量（t/a）</w:t>
            </w:r>
          </w:p>
        </w:tc>
        <w:tc>
          <w:tcPr>
            <w:tcW w:w="1102" w:type="pct"/>
            <w:tcBorders>
              <w:top w:val="single" w:color="auto" w:sz="4" w:space="0"/>
              <w:right w:val="single" w:color="auto" w:sz="4" w:space="0"/>
              <w:tl2br w:val="nil"/>
              <w:tr2bl w:val="nil"/>
            </w:tcBorders>
            <w:vAlign w:val="center"/>
          </w:tcPr>
          <w:p w14:paraId="3D9B4ADC">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物料名称</w:t>
            </w:r>
          </w:p>
        </w:tc>
        <w:tc>
          <w:tcPr>
            <w:tcW w:w="772" w:type="pct"/>
            <w:tcBorders>
              <w:top w:val="single" w:color="auto" w:sz="4" w:space="0"/>
              <w:left w:val="single" w:color="auto" w:sz="4" w:space="0"/>
              <w:tl2br w:val="nil"/>
              <w:tr2bl w:val="nil"/>
            </w:tcBorders>
            <w:vAlign w:val="center"/>
          </w:tcPr>
          <w:p w14:paraId="1CABB0CC">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年耗量</w:t>
            </w:r>
          </w:p>
        </w:tc>
        <w:tc>
          <w:tcPr>
            <w:tcW w:w="614" w:type="pct"/>
            <w:tcBorders>
              <w:top w:val="single" w:color="auto" w:sz="4" w:space="0"/>
              <w:left w:val="single" w:color="auto" w:sz="4" w:space="0"/>
              <w:tl2br w:val="nil"/>
              <w:tr2bl w:val="nil"/>
            </w:tcBorders>
            <w:vAlign w:val="center"/>
          </w:tcPr>
          <w:p w14:paraId="57238EDE">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最大存储量</w:t>
            </w:r>
          </w:p>
        </w:tc>
        <w:tc>
          <w:tcPr>
            <w:tcW w:w="1284" w:type="pct"/>
            <w:tcBorders>
              <w:top w:val="single" w:color="auto" w:sz="4" w:space="0"/>
              <w:left w:val="single" w:color="auto" w:sz="4" w:space="0"/>
              <w:tl2br w:val="nil"/>
              <w:tr2bl w:val="nil"/>
            </w:tcBorders>
            <w:vAlign w:val="center"/>
          </w:tcPr>
          <w:p w14:paraId="182B8169">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备注</w:t>
            </w:r>
          </w:p>
        </w:tc>
      </w:tr>
      <w:tr w14:paraId="40C498D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703" w:type="pct"/>
            <w:vMerge w:val="restart"/>
            <w:tcBorders>
              <w:tl2br w:val="nil"/>
              <w:tr2bl w:val="nil"/>
            </w:tcBorders>
            <w:vAlign w:val="center"/>
          </w:tcPr>
          <w:p w14:paraId="5A979DA0">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改性PP</w:t>
            </w:r>
          </w:p>
        </w:tc>
        <w:tc>
          <w:tcPr>
            <w:tcW w:w="523" w:type="pct"/>
            <w:vMerge w:val="restart"/>
            <w:tcBorders>
              <w:tl2br w:val="nil"/>
              <w:tr2bl w:val="nil"/>
            </w:tcBorders>
            <w:vAlign w:val="center"/>
          </w:tcPr>
          <w:p w14:paraId="54B3C184">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3200</w:t>
            </w:r>
          </w:p>
        </w:tc>
        <w:tc>
          <w:tcPr>
            <w:tcW w:w="1102" w:type="pct"/>
            <w:tcBorders>
              <w:right w:val="single" w:color="auto" w:sz="4" w:space="0"/>
              <w:tl2br w:val="nil"/>
              <w:tr2bl w:val="nil"/>
            </w:tcBorders>
            <w:vAlign w:val="center"/>
          </w:tcPr>
          <w:p w14:paraId="58CB61CA">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rPr>
              <w:t>PP树脂</w:t>
            </w:r>
          </w:p>
        </w:tc>
        <w:tc>
          <w:tcPr>
            <w:tcW w:w="772" w:type="pct"/>
            <w:tcBorders>
              <w:left w:val="single" w:color="auto" w:sz="4" w:space="0"/>
              <w:tl2br w:val="nil"/>
              <w:tr2bl w:val="nil"/>
            </w:tcBorders>
            <w:vAlign w:val="center"/>
          </w:tcPr>
          <w:p w14:paraId="41FEC247">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default" w:ascii="Times New Roman" w:hAnsi="Times New Roman" w:cs="Times New Roman"/>
                <w:color w:val="auto"/>
                <w:sz w:val="21"/>
                <w:szCs w:val="21"/>
                <w:shd w:val="clear" w:color="auto" w:fill="FFFFFF"/>
              </w:rPr>
              <w:t>22</w:t>
            </w:r>
            <w:r>
              <w:rPr>
                <w:rFonts w:hint="default" w:ascii="Times New Roman" w:hAnsi="Times New Roman" w:cs="Times New Roman"/>
                <w:color w:val="auto"/>
                <w:sz w:val="21"/>
                <w:szCs w:val="21"/>
                <w:shd w:val="clear" w:color="auto" w:fill="FFFFFF"/>
                <w:lang w:val="en-US" w:eastAsia="zh-CN"/>
              </w:rPr>
              <w:t>30.4</w:t>
            </w:r>
          </w:p>
        </w:tc>
        <w:tc>
          <w:tcPr>
            <w:tcW w:w="614" w:type="pct"/>
            <w:tcBorders>
              <w:left w:val="single" w:color="auto" w:sz="4" w:space="0"/>
              <w:tl2br w:val="nil"/>
              <w:tr2bl w:val="nil"/>
            </w:tcBorders>
            <w:vAlign w:val="center"/>
          </w:tcPr>
          <w:p w14:paraId="4B64682B">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rPr>
              <w:t>400</w:t>
            </w:r>
          </w:p>
        </w:tc>
        <w:tc>
          <w:tcPr>
            <w:tcW w:w="1284" w:type="pct"/>
            <w:tcBorders>
              <w:left w:val="single" w:color="auto" w:sz="4" w:space="0"/>
              <w:tl2br w:val="nil"/>
              <w:tr2bl w:val="nil"/>
            </w:tcBorders>
            <w:vAlign w:val="center"/>
          </w:tcPr>
          <w:p w14:paraId="57111E28">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rPr>
              <w:t>聚丙烯共聚物</w:t>
            </w:r>
          </w:p>
        </w:tc>
      </w:tr>
      <w:tr w14:paraId="6585598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703" w:type="pct"/>
            <w:vMerge w:val="continue"/>
            <w:tcBorders>
              <w:tl2br w:val="nil"/>
              <w:tr2bl w:val="nil"/>
            </w:tcBorders>
            <w:vAlign w:val="center"/>
          </w:tcPr>
          <w:p w14:paraId="7E8004C8">
            <w:pPr>
              <w:widowControl/>
              <w:spacing w:line="240" w:lineRule="auto"/>
              <w:ind w:firstLine="0" w:firstLineChars="0"/>
              <w:jc w:val="center"/>
              <w:rPr>
                <w:rFonts w:hint="default" w:ascii="Times New Roman" w:hAnsi="Times New Roman" w:cs="Times New Roman"/>
                <w:color w:val="auto"/>
                <w:sz w:val="21"/>
                <w:szCs w:val="21"/>
              </w:rPr>
            </w:pPr>
          </w:p>
        </w:tc>
        <w:tc>
          <w:tcPr>
            <w:tcW w:w="523" w:type="pct"/>
            <w:vMerge w:val="continue"/>
            <w:tcBorders>
              <w:tl2br w:val="nil"/>
              <w:tr2bl w:val="nil"/>
            </w:tcBorders>
            <w:vAlign w:val="center"/>
          </w:tcPr>
          <w:p w14:paraId="0BE66BBC">
            <w:pPr>
              <w:widowControl/>
              <w:spacing w:line="240" w:lineRule="auto"/>
              <w:ind w:firstLine="0" w:firstLineChars="0"/>
              <w:jc w:val="center"/>
              <w:rPr>
                <w:rFonts w:hint="default" w:ascii="Times New Roman" w:hAnsi="Times New Roman" w:cs="Times New Roman"/>
                <w:color w:val="auto"/>
                <w:sz w:val="21"/>
                <w:szCs w:val="21"/>
              </w:rPr>
            </w:pPr>
          </w:p>
        </w:tc>
        <w:tc>
          <w:tcPr>
            <w:tcW w:w="1102" w:type="pct"/>
            <w:tcBorders>
              <w:tl2br w:val="nil"/>
              <w:tr2bl w:val="nil"/>
            </w:tcBorders>
            <w:vAlign w:val="center"/>
          </w:tcPr>
          <w:p w14:paraId="3855B981">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rPr>
              <w:t>POE树脂</w:t>
            </w:r>
          </w:p>
        </w:tc>
        <w:tc>
          <w:tcPr>
            <w:tcW w:w="772" w:type="pct"/>
            <w:tcBorders>
              <w:tl2br w:val="nil"/>
              <w:tr2bl w:val="nil"/>
            </w:tcBorders>
            <w:vAlign w:val="center"/>
          </w:tcPr>
          <w:p w14:paraId="09D442BC">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320</w:t>
            </w:r>
          </w:p>
        </w:tc>
        <w:tc>
          <w:tcPr>
            <w:tcW w:w="614" w:type="pct"/>
            <w:tcBorders>
              <w:tl2br w:val="nil"/>
              <w:tr2bl w:val="nil"/>
            </w:tcBorders>
            <w:vAlign w:val="center"/>
          </w:tcPr>
          <w:p w14:paraId="42562AC9">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rPr>
              <w:t>30</w:t>
            </w:r>
          </w:p>
        </w:tc>
        <w:tc>
          <w:tcPr>
            <w:tcW w:w="1284" w:type="pct"/>
            <w:tcBorders>
              <w:tl2br w:val="nil"/>
              <w:tr2bl w:val="nil"/>
            </w:tcBorders>
            <w:vAlign w:val="center"/>
          </w:tcPr>
          <w:p w14:paraId="065C0223">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kern w:val="2"/>
                <w:sz w:val="21"/>
                <w:szCs w:val="21"/>
              </w:rPr>
              <w:t>乙烯和辛烯的高聚物</w:t>
            </w:r>
          </w:p>
        </w:tc>
      </w:tr>
      <w:tr w14:paraId="1B4F1B4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703" w:type="pct"/>
            <w:vMerge w:val="continue"/>
            <w:tcBorders>
              <w:tl2br w:val="nil"/>
              <w:tr2bl w:val="nil"/>
            </w:tcBorders>
            <w:vAlign w:val="center"/>
          </w:tcPr>
          <w:p w14:paraId="76064CA8">
            <w:pPr>
              <w:widowControl/>
              <w:spacing w:line="240" w:lineRule="auto"/>
              <w:ind w:firstLine="0" w:firstLineChars="0"/>
              <w:jc w:val="center"/>
              <w:rPr>
                <w:rFonts w:hint="default" w:ascii="Times New Roman" w:hAnsi="Times New Roman" w:cs="Times New Roman"/>
                <w:color w:val="auto"/>
                <w:sz w:val="21"/>
                <w:szCs w:val="21"/>
              </w:rPr>
            </w:pPr>
          </w:p>
        </w:tc>
        <w:tc>
          <w:tcPr>
            <w:tcW w:w="523" w:type="pct"/>
            <w:vMerge w:val="continue"/>
            <w:tcBorders>
              <w:tl2br w:val="nil"/>
              <w:tr2bl w:val="nil"/>
            </w:tcBorders>
            <w:vAlign w:val="center"/>
          </w:tcPr>
          <w:p w14:paraId="4112963D">
            <w:pPr>
              <w:widowControl/>
              <w:spacing w:line="240" w:lineRule="auto"/>
              <w:ind w:firstLine="0" w:firstLineChars="0"/>
              <w:jc w:val="center"/>
              <w:rPr>
                <w:rFonts w:hint="default" w:ascii="Times New Roman" w:hAnsi="Times New Roman" w:cs="Times New Roman"/>
                <w:color w:val="auto"/>
                <w:sz w:val="21"/>
                <w:szCs w:val="21"/>
              </w:rPr>
            </w:pPr>
          </w:p>
        </w:tc>
        <w:tc>
          <w:tcPr>
            <w:tcW w:w="1102" w:type="pct"/>
            <w:tcBorders>
              <w:tl2br w:val="nil"/>
              <w:tr2bl w:val="nil"/>
            </w:tcBorders>
            <w:vAlign w:val="center"/>
          </w:tcPr>
          <w:p w14:paraId="69594323">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滑石粉</w:t>
            </w:r>
          </w:p>
        </w:tc>
        <w:tc>
          <w:tcPr>
            <w:tcW w:w="772" w:type="pct"/>
            <w:tcBorders>
              <w:tl2br w:val="nil"/>
              <w:tr2bl w:val="nil"/>
            </w:tcBorders>
            <w:vAlign w:val="center"/>
          </w:tcPr>
          <w:p w14:paraId="44641939">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640</w:t>
            </w:r>
          </w:p>
        </w:tc>
        <w:tc>
          <w:tcPr>
            <w:tcW w:w="614" w:type="pct"/>
            <w:tcBorders>
              <w:tl2br w:val="nil"/>
              <w:tr2bl w:val="nil"/>
            </w:tcBorders>
            <w:vAlign w:val="center"/>
          </w:tcPr>
          <w:p w14:paraId="27C57AC7">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rPr>
              <w:t>20</w:t>
            </w:r>
          </w:p>
        </w:tc>
        <w:tc>
          <w:tcPr>
            <w:tcW w:w="1284" w:type="pct"/>
            <w:tcBorders>
              <w:tl2br w:val="nil"/>
              <w:tr2bl w:val="nil"/>
            </w:tcBorders>
            <w:vAlign w:val="center"/>
          </w:tcPr>
          <w:p w14:paraId="112FA3AB">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rPr>
              <w:t>硅镁类填充物</w:t>
            </w:r>
          </w:p>
        </w:tc>
      </w:tr>
      <w:tr w14:paraId="6F70329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703" w:type="pct"/>
            <w:vMerge w:val="continue"/>
            <w:tcBorders>
              <w:tl2br w:val="nil"/>
              <w:tr2bl w:val="nil"/>
            </w:tcBorders>
            <w:vAlign w:val="center"/>
          </w:tcPr>
          <w:p w14:paraId="449D3289">
            <w:pPr>
              <w:widowControl/>
              <w:spacing w:line="240" w:lineRule="auto"/>
              <w:ind w:firstLine="0" w:firstLineChars="0"/>
              <w:jc w:val="center"/>
              <w:rPr>
                <w:rFonts w:hint="default" w:ascii="Times New Roman" w:hAnsi="Times New Roman" w:cs="Times New Roman"/>
                <w:color w:val="auto"/>
                <w:sz w:val="21"/>
                <w:szCs w:val="21"/>
              </w:rPr>
            </w:pPr>
          </w:p>
        </w:tc>
        <w:tc>
          <w:tcPr>
            <w:tcW w:w="523" w:type="pct"/>
            <w:vMerge w:val="continue"/>
            <w:tcBorders>
              <w:tl2br w:val="nil"/>
              <w:tr2bl w:val="nil"/>
            </w:tcBorders>
            <w:vAlign w:val="center"/>
          </w:tcPr>
          <w:p w14:paraId="2221B965">
            <w:pPr>
              <w:widowControl/>
              <w:spacing w:line="240" w:lineRule="auto"/>
              <w:ind w:firstLine="0" w:firstLineChars="0"/>
              <w:jc w:val="center"/>
              <w:rPr>
                <w:rFonts w:hint="default" w:ascii="Times New Roman" w:hAnsi="Times New Roman" w:cs="Times New Roman"/>
                <w:color w:val="auto"/>
                <w:sz w:val="21"/>
                <w:szCs w:val="21"/>
              </w:rPr>
            </w:pPr>
          </w:p>
        </w:tc>
        <w:tc>
          <w:tcPr>
            <w:tcW w:w="1102" w:type="pct"/>
            <w:tcBorders>
              <w:tl2br w:val="nil"/>
              <w:tr2bl w:val="nil"/>
            </w:tcBorders>
            <w:vAlign w:val="center"/>
          </w:tcPr>
          <w:p w14:paraId="4176415D">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default" w:ascii="Times New Roman" w:hAnsi="Times New Roman" w:cs="Times New Roman"/>
                <w:color w:val="auto"/>
                <w:sz w:val="21"/>
                <w:szCs w:val="21"/>
                <w:shd w:val="clear" w:color="auto" w:fill="FFFFFF"/>
                <w:lang w:val="en-US" w:eastAsia="zh-CN"/>
              </w:rPr>
              <w:t>色母</w:t>
            </w:r>
          </w:p>
        </w:tc>
        <w:tc>
          <w:tcPr>
            <w:tcW w:w="772" w:type="pct"/>
            <w:tcBorders>
              <w:tl2br w:val="nil"/>
              <w:tr2bl w:val="nil"/>
            </w:tcBorders>
            <w:vAlign w:val="center"/>
          </w:tcPr>
          <w:p w14:paraId="785A081E">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default" w:ascii="Times New Roman" w:hAnsi="Times New Roman" w:cs="Times New Roman"/>
                <w:color w:val="auto"/>
                <w:sz w:val="21"/>
                <w:szCs w:val="21"/>
                <w:shd w:val="clear" w:color="auto" w:fill="FFFFFF"/>
                <w:lang w:val="en-US" w:eastAsia="zh-CN"/>
              </w:rPr>
              <w:t>9.6</w:t>
            </w:r>
          </w:p>
        </w:tc>
        <w:tc>
          <w:tcPr>
            <w:tcW w:w="614" w:type="pct"/>
            <w:tcBorders>
              <w:tl2br w:val="nil"/>
              <w:tr2bl w:val="nil"/>
            </w:tcBorders>
            <w:vAlign w:val="center"/>
          </w:tcPr>
          <w:p w14:paraId="33840AC5">
            <w:pPr>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10</w:t>
            </w:r>
          </w:p>
        </w:tc>
        <w:tc>
          <w:tcPr>
            <w:tcW w:w="1284" w:type="pct"/>
            <w:tcBorders>
              <w:tl2br w:val="nil"/>
              <w:tr2bl w:val="nil"/>
            </w:tcBorders>
            <w:vAlign w:val="center"/>
          </w:tcPr>
          <w:p w14:paraId="5285DE43">
            <w:pPr>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聚丙烯接枝</w:t>
            </w:r>
          </w:p>
        </w:tc>
      </w:tr>
      <w:tr w14:paraId="64E0E0D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703" w:type="pct"/>
            <w:vMerge w:val="restart"/>
            <w:tcBorders>
              <w:tl2br w:val="nil"/>
              <w:tr2bl w:val="nil"/>
            </w:tcBorders>
            <w:vAlign w:val="center"/>
          </w:tcPr>
          <w:p w14:paraId="4E1BBCC4">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改性PA</w:t>
            </w:r>
          </w:p>
        </w:tc>
        <w:tc>
          <w:tcPr>
            <w:tcW w:w="523" w:type="pct"/>
            <w:vMerge w:val="restart"/>
            <w:tcBorders>
              <w:tl2br w:val="nil"/>
              <w:tr2bl w:val="nil"/>
            </w:tcBorders>
            <w:vAlign w:val="center"/>
          </w:tcPr>
          <w:p w14:paraId="326E5CCD">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300</w:t>
            </w:r>
          </w:p>
        </w:tc>
        <w:tc>
          <w:tcPr>
            <w:tcW w:w="1102" w:type="pct"/>
            <w:tcBorders>
              <w:tl2br w:val="nil"/>
              <w:tr2bl w:val="nil"/>
            </w:tcBorders>
            <w:vAlign w:val="center"/>
          </w:tcPr>
          <w:p w14:paraId="5B17A4C0">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PA6</w:t>
            </w:r>
            <w:r>
              <w:rPr>
                <w:rFonts w:hint="default" w:ascii="Times New Roman" w:hAnsi="Times New Roman" w:cs="Times New Roman"/>
                <w:color w:val="auto"/>
                <w:sz w:val="21"/>
                <w:szCs w:val="21"/>
              </w:rPr>
              <w:t>树脂</w:t>
            </w:r>
          </w:p>
        </w:tc>
        <w:tc>
          <w:tcPr>
            <w:tcW w:w="772" w:type="pct"/>
            <w:tcBorders>
              <w:tl2br w:val="nil"/>
              <w:tr2bl w:val="nil"/>
            </w:tcBorders>
            <w:vAlign w:val="center"/>
          </w:tcPr>
          <w:p w14:paraId="0A4901E4">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default" w:ascii="Times New Roman" w:hAnsi="Times New Roman" w:cs="Times New Roman"/>
                <w:color w:val="auto"/>
                <w:sz w:val="21"/>
                <w:szCs w:val="21"/>
                <w:shd w:val="clear" w:color="auto" w:fill="FFFFFF"/>
                <w:lang w:val="en-US" w:eastAsia="zh-CN"/>
              </w:rPr>
              <w:t>209.1</w:t>
            </w:r>
          </w:p>
        </w:tc>
        <w:tc>
          <w:tcPr>
            <w:tcW w:w="614" w:type="pct"/>
            <w:tcBorders>
              <w:tl2br w:val="nil"/>
              <w:tr2bl w:val="nil"/>
            </w:tcBorders>
            <w:vAlign w:val="center"/>
          </w:tcPr>
          <w:p w14:paraId="09909DD7">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rPr>
              <w:t>30</w:t>
            </w:r>
          </w:p>
        </w:tc>
        <w:tc>
          <w:tcPr>
            <w:tcW w:w="1284" w:type="pct"/>
            <w:tcBorders>
              <w:tl2br w:val="nil"/>
              <w:tr2bl w:val="nil"/>
            </w:tcBorders>
            <w:vAlign w:val="center"/>
          </w:tcPr>
          <w:p w14:paraId="6DEE6480">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rPr>
              <w:t>聚己内酰胺</w:t>
            </w:r>
          </w:p>
        </w:tc>
      </w:tr>
      <w:tr w14:paraId="4745CAB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703" w:type="pct"/>
            <w:vMerge w:val="continue"/>
            <w:tcBorders>
              <w:tl2br w:val="nil"/>
              <w:tr2bl w:val="nil"/>
            </w:tcBorders>
            <w:vAlign w:val="center"/>
          </w:tcPr>
          <w:p w14:paraId="02C75BF3">
            <w:pPr>
              <w:widowControl/>
              <w:spacing w:line="240" w:lineRule="auto"/>
              <w:ind w:firstLine="0" w:firstLineChars="0"/>
              <w:rPr>
                <w:rFonts w:hint="default" w:ascii="Times New Roman" w:hAnsi="Times New Roman" w:cs="Times New Roman"/>
                <w:color w:val="auto"/>
                <w:sz w:val="21"/>
                <w:szCs w:val="21"/>
              </w:rPr>
            </w:pPr>
          </w:p>
        </w:tc>
        <w:tc>
          <w:tcPr>
            <w:tcW w:w="523" w:type="pct"/>
            <w:vMerge w:val="continue"/>
            <w:tcBorders>
              <w:tl2br w:val="nil"/>
              <w:tr2bl w:val="nil"/>
            </w:tcBorders>
            <w:vAlign w:val="center"/>
          </w:tcPr>
          <w:p w14:paraId="716EF79F">
            <w:pPr>
              <w:widowControl/>
              <w:spacing w:line="240" w:lineRule="auto"/>
              <w:ind w:firstLine="0" w:firstLineChars="0"/>
              <w:jc w:val="center"/>
              <w:rPr>
                <w:rFonts w:hint="default" w:ascii="Times New Roman" w:hAnsi="Times New Roman" w:cs="Times New Roman"/>
                <w:color w:val="auto"/>
                <w:sz w:val="21"/>
                <w:szCs w:val="21"/>
              </w:rPr>
            </w:pPr>
          </w:p>
        </w:tc>
        <w:tc>
          <w:tcPr>
            <w:tcW w:w="1102" w:type="pct"/>
            <w:tcBorders>
              <w:tl2br w:val="nil"/>
              <w:tr2bl w:val="nil"/>
            </w:tcBorders>
            <w:vAlign w:val="center"/>
          </w:tcPr>
          <w:p w14:paraId="6D7B8763">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长玻纤</w:t>
            </w:r>
          </w:p>
        </w:tc>
        <w:tc>
          <w:tcPr>
            <w:tcW w:w="772" w:type="pct"/>
            <w:tcBorders>
              <w:tl2br w:val="nil"/>
              <w:tr2bl w:val="nil"/>
            </w:tcBorders>
            <w:vAlign w:val="center"/>
          </w:tcPr>
          <w:p w14:paraId="360ACE12">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90</w:t>
            </w:r>
          </w:p>
        </w:tc>
        <w:tc>
          <w:tcPr>
            <w:tcW w:w="614" w:type="pct"/>
            <w:tcBorders>
              <w:tl2br w:val="nil"/>
              <w:tr2bl w:val="nil"/>
            </w:tcBorders>
            <w:vAlign w:val="center"/>
          </w:tcPr>
          <w:p w14:paraId="3B822470">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9</w:t>
            </w:r>
          </w:p>
        </w:tc>
        <w:tc>
          <w:tcPr>
            <w:tcW w:w="1284" w:type="pct"/>
            <w:tcBorders>
              <w:tl2br w:val="nil"/>
              <w:tr2bl w:val="nil"/>
            </w:tcBorders>
            <w:vAlign w:val="center"/>
          </w:tcPr>
          <w:p w14:paraId="5D9A8DF2">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玻璃纤维</w:t>
            </w:r>
          </w:p>
        </w:tc>
      </w:tr>
      <w:tr w14:paraId="6208D9D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703" w:type="pct"/>
            <w:vMerge w:val="continue"/>
            <w:tcBorders>
              <w:tl2br w:val="nil"/>
              <w:tr2bl w:val="nil"/>
            </w:tcBorders>
            <w:vAlign w:val="center"/>
          </w:tcPr>
          <w:p w14:paraId="3434102D">
            <w:pPr>
              <w:widowControl/>
              <w:spacing w:line="240" w:lineRule="auto"/>
              <w:ind w:firstLine="0" w:firstLineChars="0"/>
              <w:rPr>
                <w:rFonts w:hint="default" w:ascii="Times New Roman" w:hAnsi="Times New Roman" w:cs="Times New Roman"/>
                <w:color w:val="auto"/>
                <w:sz w:val="21"/>
                <w:szCs w:val="21"/>
              </w:rPr>
            </w:pPr>
          </w:p>
        </w:tc>
        <w:tc>
          <w:tcPr>
            <w:tcW w:w="523" w:type="pct"/>
            <w:vMerge w:val="continue"/>
            <w:tcBorders>
              <w:tl2br w:val="nil"/>
              <w:tr2bl w:val="nil"/>
            </w:tcBorders>
            <w:vAlign w:val="center"/>
          </w:tcPr>
          <w:p w14:paraId="21B229D5">
            <w:pPr>
              <w:widowControl/>
              <w:spacing w:line="240" w:lineRule="auto"/>
              <w:ind w:firstLine="0" w:firstLineChars="0"/>
              <w:jc w:val="center"/>
              <w:rPr>
                <w:rFonts w:hint="default" w:ascii="Times New Roman" w:hAnsi="Times New Roman" w:cs="Times New Roman"/>
                <w:color w:val="auto"/>
                <w:sz w:val="21"/>
                <w:szCs w:val="21"/>
              </w:rPr>
            </w:pPr>
          </w:p>
        </w:tc>
        <w:tc>
          <w:tcPr>
            <w:tcW w:w="1102" w:type="pct"/>
            <w:tcBorders>
              <w:tl2br w:val="nil"/>
              <w:tr2bl w:val="nil"/>
            </w:tcBorders>
            <w:vAlign w:val="center"/>
          </w:tcPr>
          <w:p w14:paraId="4E67D203">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default" w:ascii="Times New Roman" w:hAnsi="Times New Roman" w:cs="Times New Roman"/>
                <w:color w:val="auto"/>
                <w:sz w:val="21"/>
                <w:szCs w:val="21"/>
                <w:shd w:val="clear" w:color="auto" w:fill="FFFFFF"/>
                <w:lang w:val="en-US" w:eastAsia="zh-CN"/>
              </w:rPr>
              <w:t>色母</w:t>
            </w:r>
          </w:p>
        </w:tc>
        <w:tc>
          <w:tcPr>
            <w:tcW w:w="772" w:type="pct"/>
            <w:tcBorders>
              <w:tl2br w:val="nil"/>
              <w:tr2bl w:val="nil"/>
            </w:tcBorders>
            <w:vAlign w:val="center"/>
          </w:tcPr>
          <w:p w14:paraId="346677FF">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default" w:ascii="Times New Roman" w:hAnsi="Times New Roman" w:cs="Times New Roman"/>
                <w:color w:val="auto"/>
                <w:sz w:val="21"/>
                <w:szCs w:val="21"/>
                <w:shd w:val="clear" w:color="auto" w:fill="FFFFFF"/>
                <w:lang w:val="en-US" w:eastAsia="zh-CN"/>
              </w:rPr>
              <w:t>0.9</w:t>
            </w:r>
          </w:p>
        </w:tc>
        <w:tc>
          <w:tcPr>
            <w:tcW w:w="614" w:type="pct"/>
            <w:tcBorders>
              <w:tl2br w:val="nil"/>
              <w:tr2bl w:val="nil"/>
            </w:tcBorders>
            <w:vAlign w:val="center"/>
          </w:tcPr>
          <w:p w14:paraId="7E98C45C">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default" w:ascii="Times New Roman" w:hAnsi="Times New Roman" w:cs="Times New Roman"/>
                <w:color w:val="auto"/>
                <w:sz w:val="21"/>
                <w:szCs w:val="21"/>
                <w:shd w:val="clear" w:color="auto" w:fill="FFFFFF"/>
                <w:lang w:val="en-US" w:eastAsia="zh-CN"/>
              </w:rPr>
              <w:t>1</w:t>
            </w:r>
          </w:p>
        </w:tc>
        <w:tc>
          <w:tcPr>
            <w:tcW w:w="1284" w:type="pct"/>
            <w:tcBorders>
              <w:tl2br w:val="nil"/>
              <w:tr2bl w:val="nil"/>
            </w:tcBorders>
            <w:vAlign w:val="center"/>
          </w:tcPr>
          <w:p w14:paraId="64233D44">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default" w:ascii="Times New Roman" w:hAnsi="Times New Roman" w:cs="Times New Roman"/>
                <w:color w:val="auto"/>
                <w:sz w:val="21"/>
                <w:szCs w:val="21"/>
                <w:shd w:val="clear" w:color="auto" w:fill="FFFFFF"/>
                <w:lang w:val="en-US" w:eastAsia="zh-CN"/>
              </w:rPr>
              <w:t>PA接枝</w:t>
            </w:r>
          </w:p>
        </w:tc>
      </w:tr>
      <w:tr w14:paraId="38868BC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703" w:type="pct"/>
            <w:vMerge w:val="restart"/>
            <w:tcBorders>
              <w:tl2br w:val="nil"/>
              <w:tr2bl w:val="nil"/>
            </w:tcBorders>
            <w:vAlign w:val="center"/>
          </w:tcPr>
          <w:p w14:paraId="2D302F95">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改性PC/ABS</w:t>
            </w:r>
          </w:p>
        </w:tc>
        <w:tc>
          <w:tcPr>
            <w:tcW w:w="523" w:type="pct"/>
            <w:vMerge w:val="restart"/>
            <w:tcBorders>
              <w:tl2br w:val="nil"/>
              <w:tr2bl w:val="nil"/>
            </w:tcBorders>
            <w:vAlign w:val="center"/>
          </w:tcPr>
          <w:p w14:paraId="0F95A825">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p>
        </w:tc>
        <w:tc>
          <w:tcPr>
            <w:tcW w:w="1102" w:type="pct"/>
            <w:tcBorders>
              <w:tl2br w:val="nil"/>
              <w:tr2bl w:val="nil"/>
            </w:tcBorders>
            <w:vAlign w:val="center"/>
          </w:tcPr>
          <w:p w14:paraId="4772EF0D">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PC</w:t>
            </w:r>
            <w:r>
              <w:rPr>
                <w:rFonts w:hint="default" w:ascii="Times New Roman" w:hAnsi="Times New Roman" w:cs="Times New Roman"/>
                <w:color w:val="auto"/>
                <w:sz w:val="21"/>
                <w:szCs w:val="21"/>
              </w:rPr>
              <w:t>树脂</w:t>
            </w:r>
          </w:p>
        </w:tc>
        <w:tc>
          <w:tcPr>
            <w:tcW w:w="772" w:type="pct"/>
            <w:tcBorders>
              <w:tl2br w:val="nil"/>
              <w:tr2bl w:val="nil"/>
            </w:tcBorders>
            <w:vAlign w:val="center"/>
          </w:tcPr>
          <w:p w14:paraId="70F43597">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default" w:ascii="Times New Roman" w:hAnsi="Times New Roman" w:cs="Times New Roman"/>
                <w:color w:val="auto"/>
                <w:sz w:val="21"/>
                <w:szCs w:val="21"/>
                <w:shd w:val="clear" w:color="auto" w:fill="FFFFFF"/>
                <w:lang w:val="en-US" w:eastAsia="zh-CN"/>
              </w:rPr>
              <w:t>1</w:t>
            </w:r>
            <w:r>
              <w:rPr>
                <w:rFonts w:hint="eastAsia" w:cs="Times New Roman"/>
                <w:color w:val="auto"/>
                <w:sz w:val="21"/>
                <w:szCs w:val="21"/>
                <w:shd w:val="clear" w:color="auto" w:fill="FFFFFF"/>
                <w:lang w:val="en-US" w:eastAsia="zh-CN"/>
              </w:rPr>
              <w:t>40</w:t>
            </w:r>
          </w:p>
        </w:tc>
        <w:tc>
          <w:tcPr>
            <w:tcW w:w="614" w:type="pct"/>
            <w:tcBorders>
              <w:tl2br w:val="nil"/>
              <w:tr2bl w:val="nil"/>
            </w:tcBorders>
            <w:vAlign w:val="center"/>
          </w:tcPr>
          <w:p w14:paraId="4FE055FE">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rPr>
              <w:t>14</w:t>
            </w:r>
          </w:p>
        </w:tc>
        <w:tc>
          <w:tcPr>
            <w:tcW w:w="1284" w:type="pct"/>
            <w:tcBorders>
              <w:tl2br w:val="nil"/>
              <w:tr2bl w:val="nil"/>
            </w:tcBorders>
            <w:vAlign w:val="center"/>
          </w:tcPr>
          <w:p w14:paraId="3919B8BE">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聚碳酸酯</w:t>
            </w:r>
          </w:p>
        </w:tc>
      </w:tr>
      <w:tr w14:paraId="370FAF7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703" w:type="pct"/>
            <w:vMerge w:val="continue"/>
            <w:tcBorders>
              <w:tl2br w:val="nil"/>
              <w:tr2bl w:val="nil"/>
            </w:tcBorders>
            <w:vAlign w:val="center"/>
          </w:tcPr>
          <w:p w14:paraId="63E3DC33">
            <w:pPr>
              <w:widowControl/>
              <w:spacing w:line="240" w:lineRule="auto"/>
              <w:ind w:firstLine="0" w:firstLineChars="0"/>
              <w:jc w:val="center"/>
              <w:rPr>
                <w:rFonts w:hint="default" w:ascii="Times New Roman" w:hAnsi="Times New Roman" w:cs="Times New Roman"/>
                <w:color w:val="auto"/>
                <w:sz w:val="21"/>
                <w:szCs w:val="21"/>
              </w:rPr>
            </w:pPr>
          </w:p>
        </w:tc>
        <w:tc>
          <w:tcPr>
            <w:tcW w:w="523" w:type="pct"/>
            <w:vMerge w:val="continue"/>
            <w:tcBorders>
              <w:tl2br w:val="nil"/>
              <w:tr2bl w:val="nil"/>
            </w:tcBorders>
            <w:vAlign w:val="center"/>
          </w:tcPr>
          <w:p w14:paraId="752F40C1">
            <w:pPr>
              <w:widowControl/>
              <w:spacing w:line="240" w:lineRule="auto"/>
              <w:ind w:firstLine="0" w:firstLineChars="0"/>
              <w:jc w:val="center"/>
              <w:rPr>
                <w:rFonts w:hint="default" w:ascii="Times New Roman" w:hAnsi="Times New Roman" w:cs="Times New Roman"/>
                <w:color w:val="auto"/>
                <w:sz w:val="21"/>
                <w:szCs w:val="21"/>
              </w:rPr>
            </w:pPr>
          </w:p>
        </w:tc>
        <w:tc>
          <w:tcPr>
            <w:tcW w:w="1102" w:type="pct"/>
            <w:tcBorders>
              <w:tl2br w:val="nil"/>
              <w:tr2bl w:val="nil"/>
            </w:tcBorders>
            <w:vAlign w:val="center"/>
          </w:tcPr>
          <w:p w14:paraId="3356E3E4">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rPr>
              <w:t>ABS树脂</w:t>
            </w:r>
          </w:p>
        </w:tc>
        <w:tc>
          <w:tcPr>
            <w:tcW w:w="772" w:type="pct"/>
            <w:tcBorders>
              <w:tl2br w:val="nil"/>
              <w:tr2bl w:val="nil"/>
            </w:tcBorders>
            <w:vAlign w:val="center"/>
          </w:tcPr>
          <w:p w14:paraId="6CEA0872">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eastAsia" w:cs="Times New Roman"/>
                <w:color w:val="auto"/>
                <w:sz w:val="21"/>
                <w:szCs w:val="21"/>
                <w:shd w:val="clear" w:color="auto" w:fill="FFFFFF"/>
                <w:lang w:val="en-US" w:eastAsia="zh-CN"/>
              </w:rPr>
              <w:t>49.4</w:t>
            </w:r>
          </w:p>
        </w:tc>
        <w:tc>
          <w:tcPr>
            <w:tcW w:w="614" w:type="pct"/>
            <w:tcBorders>
              <w:tl2br w:val="nil"/>
              <w:tr2bl w:val="nil"/>
            </w:tcBorders>
            <w:vAlign w:val="center"/>
          </w:tcPr>
          <w:p w14:paraId="0C38679F">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1284" w:type="pct"/>
            <w:tcBorders>
              <w:tl2br w:val="nil"/>
              <w:tr2bl w:val="nil"/>
            </w:tcBorders>
            <w:vAlign w:val="center"/>
          </w:tcPr>
          <w:p w14:paraId="73D8A284">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丙烯腈-丁二烯-苯乙烯共聚物</w:t>
            </w:r>
          </w:p>
        </w:tc>
      </w:tr>
      <w:tr w14:paraId="693131F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703" w:type="pct"/>
            <w:vMerge w:val="continue"/>
            <w:tcBorders>
              <w:tl2br w:val="nil"/>
              <w:tr2bl w:val="nil"/>
            </w:tcBorders>
            <w:vAlign w:val="center"/>
          </w:tcPr>
          <w:p w14:paraId="3E69886C">
            <w:pPr>
              <w:widowControl/>
              <w:spacing w:line="240" w:lineRule="auto"/>
              <w:ind w:firstLine="0" w:firstLineChars="0"/>
              <w:jc w:val="center"/>
              <w:rPr>
                <w:rFonts w:hint="default" w:ascii="Times New Roman" w:hAnsi="Times New Roman" w:cs="Times New Roman"/>
                <w:color w:val="auto"/>
                <w:sz w:val="21"/>
                <w:szCs w:val="21"/>
              </w:rPr>
            </w:pPr>
          </w:p>
        </w:tc>
        <w:tc>
          <w:tcPr>
            <w:tcW w:w="523" w:type="pct"/>
            <w:vMerge w:val="continue"/>
            <w:tcBorders>
              <w:tl2br w:val="nil"/>
              <w:tr2bl w:val="nil"/>
            </w:tcBorders>
            <w:vAlign w:val="center"/>
          </w:tcPr>
          <w:p w14:paraId="0E26EE62">
            <w:pPr>
              <w:widowControl/>
              <w:spacing w:line="240" w:lineRule="auto"/>
              <w:ind w:firstLine="0" w:firstLineChars="0"/>
              <w:jc w:val="center"/>
              <w:rPr>
                <w:rFonts w:hint="default" w:ascii="Times New Roman" w:hAnsi="Times New Roman" w:cs="Times New Roman"/>
                <w:color w:val="auto"/>
                <w:sz w:val="21"/>
                <w:szCs w:val="21"/>
              </w:rPr>
            </w:pPr>
          </w:p>
        </w:tc>
        <w:tc>
          <w:tcPr>
            <w:tcW w:w="1102" w:type="pct"/>
            <w:tcBorders>
              <w:tl2br w:val="nil"/>
              <w:tr2bl w:val="nil"/>
            </w:tcBorders>
            <w:vAlign w:val="center"/>
          </w:tcPr>
          <w:p w14:paraId="3200312A">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shd w:val="clear" w:color="auto" w:fill="FFFFFF"/>
              </w:rPr>
              <w:t>PC/ABS增韧剂</w:t>
            </w:r>
          </w:p>
        </w:tc>
        <w:tc>
          <w:tcPr>
            <w:tcW w:w="772" w:type="pct"/>
            <w:tcBorders>
              <w:tl2br w:val="nil"/>
              <w:tr2bl w:val="nil"/>
            </w:tcBorders>
            <w:vAlign w:val="center"/>
          </w:tcPr>
          <w:p w14:paraId="17397384">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10</w:t>
            </w:r>
          </w:p>
        </w:tc>
        <w:tc>
          <w:tcPr>
            <w:tcW w:w="614" w:type="pct"/>
            <w:tcBorders>
              <w:tl2br w:val="nil"/>
              <w:tr2bl w:val="nil"/>
            </w:tcBorders>
            <w:vAlign w:val="center"/>
          </w:tcPr>
          <w:p w14:paraId="117ECD4F">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284" w:type="pct"/>
            <w:tcBorders>
              <w:tl2br w:val="nil"/>
              <w:tr2bl w:val="nil"/>
            </w:tcBorders>
            <w:vAlign w:val="center"/>
          </w:tcPr>
          <w:p w14:paraId="2A981B36">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甲基丙烯酸甲酯-丁二烯-苯乙烯</w:t>
            </w:r>
          </w:p>
        </w:tc>
      </w:tr>
      <w:tr w14:paraId="2EC5A3A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703" w:type="pct"/>
            <w:vMerge w:val="continue"/>
            <w:tcBorders>
              <w:tl2br w:val="nil"/>
              <w:tr2bl w:val="nil"/>
            </w:tcBorders>
            <w:vAlign w:val="center"/>
          </w:tcPr>
          <w:p w14:paraId="5D161EC7">
            <w:pPr>
              <w:widowControl/>
              <w:spacing w:line="240" w:lineRule="auto"/>
              <w:ind w:firstLine="0" w:firstLineChars="0"/>
              <w:jc w:val="center"/>
              <w:rPr>
                <w:rFonts w:hint="default" w:ascii="Times New Roman" w:hAnsi="Times New Roman" w:cs="Times New Roman"/>
                <w:color w:val="auto"/>
                <w:sz w:val="21"/>
                <w:szCs w:val="21"/>
              </w:rPr>
            </w:pPr>
          </w:p>
        </w:tc>
        <w:tc>
          <w:tcPr>
            <w:tcW w:w="523" w:type="pct"/>
            <w:vMerge w:val="continue"/>
            <w:tcBorders>
              <w:tl2br w:val="nil"/>
              <w:tr2bl w:val="nil"/>
            </w:tcBorders>
            <w:vAlign w:val="center"/>
          </w:tcPr>
          <w:p w14:paraId="76D341D4">
            <w:pPr>
              <w:widowControl/>
              <w:spacing w:line="240" w:lineRule="auto"/>
              <w:ind w:firstLine="0" w:firstLineChars="0"/>
              <w:jc w:val="center"/>
              <w:rPr>
                <w:rFonts w:hint="default" w:ascii="Times New Roman" w:hAnsi="Times New Roman" w:cs="Times New Roman"/>
                <w:color w:val="auto"/>
                <w:sz w:val="21"/>
                <w:szCs w:val="21"/>
              </w:rPr>
            </w:pPr>
          </w:p>
        </w:tc>
        <w:tc>
          <w:tcPr>
            <w:tcW w:w="1102" w:type="pct"/>
            <w:tcBorders>
              <w:tl2br w:val="nil"/>
              <w:tr2bl w:val="nil"/>
            </w:tcBorders>
            <w:vAlign w:val="center"/>
          </w:tcPr>
          <w:p w14:paraId="3C75E179">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default" w:ascii="Times New Roman" w:hAnsi="Times New Roman" w:cs="Times New Roman"/>
                <w:color w:val="auto"/>
                <w:sz w:val="21"/>
                <w:szCs w:val="21"/>
                <w:shd w:val="clear" w:color="auto" w:fill="FFFFFF"/>
                <w:lang w:val="en-US" w:eastAsia="zh-CN"/>
              </w:rPr>
              <w:t>色母</w:t>
            </w:r>
          </w:p>
        </w:tc>
        <w:tc>
          <w:tcPr>
            <w:tcW w:w="772" w:type="pct"/>
            <w:tcBorders>
              <w:tl2br w:val="nil"/>
              <w:tr2bl w:val="nil"/>
            </w:tcBorders>
            <w:vAlign w:val="center"/>
          </w:tcPr>
          <w:p w14:paraId="66CE505D">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default" w:ascii="Times New Roman" w:hAnsi="Times New Roman" w:cs="Times New Roman"/>
                <w:color w:val="auto"/>
                <w:sz w:val="21"/>
                <w:szCs w:val="21"/>
                <w:shd w:val="clear" w:color="auto" w:fill="FFFFFF"/>
                <w:lang w:val="en-US" w:eastAsia="zh-CN"/>
              </w:rPr>
              <w:t>0.6</w:t>
            </w:r>
          </w:p>
        </w:tc>
        <w:tc>
          <w:tcPr>
            <w:tcW w:w="614" w:type="pct"/>
            <w:tcBorders>
              <w:tl2br w:val="nil"/>
              <w:tr2bl w:val="nil"/>
            </w:tcBorders>
            <w:vAlign w:val="center"/>
          </w:tcPr>
          <w:p w14:paraId="1DD4B95B">
            <w:pPr>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1284" w:type="pct"/>
            <w:tcBorders>
              <w:tl2br w:val="nil"/>
              <w:tr2bl w:val="nil"/>
            </w:tcBorders>
            <w:vAlign w:val="center"/>
          </w:tcPr>
          <w:p w14:paraId="56857E3B">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default" w:ascii="Times New Roman" w:hAnsi="Times New Roman" w:cs="Times New Roman"/>
                <w:color w:val="auto"/>
                <w:sz w:val="21"/>
                <w:szCs w:val="21"/>
                <w:shd w:val="clear" w:color="auto" w:fill="FFFFFF"/>
                <w:lang w:val="en-US" w:eastAsia="zh-CN"/>
              </w:rPr>
              <w:t>ABS接枝</w:t>
            </w:r>
          </w:p>
        </w:tc>
      </w:tr>
      <w:tr w14:paraId="0A9B944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703" w:type="pct"/>
            <w:vMerge w:val="restart"/>
            <w:tcBorders>
              <w:tl2br w:val="nil"/>
              <w:tr2bl w:val="nil"/>
            </w:tcBorders>
            <w:vAlign w:val="center"/>
          </w:tcPr>
          <w:p w14:paraId="788C606A">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改性ABS</w:t>
            </w:r>
          </w:p>
        </w:tc>
        <w:tc>
          <w:tcPr>
            <w:tcW w:w="523" w:type="pct"/>
            <w:vMerge w:val="restart"/>
            <w:tcBorders>
              <w:tl2br w:val="nil"/>
              <w:tr2bl w:val="nil"/>
            </w:tcBorders>
            <w:vAlign w:val="center"/>
          </w:tcPr>
          <w:p w14:paraId="47E76E7C">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300</w:t>
            </w:r>
          </w:p>
        </w:tc>
        <w:tc>
          <w:tcPr>
            <w:tcW w:w="1102" w:type="pct"/>
            <w:tcBorders>
              <w:tl2br w:val="nil"/>
              <w:tr2bl w:val="nil"/>
            </w:tcBorders>
            <w:vAlign w:val="center"/>
          </w:tcPr>
          <w:p w14:paraId="7C8BA8D5">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rPr>
              <w:t>ABS树脂</w:t>
            </w:r>
          </w:p>
        </w:tc>
        <w:tc>
          <w:tcPr>
            <w:tcW w:w="772" w:type="pct"/>
            <w:tcBorders>
              <w:tl2br w:val="nil"/>
              <w:tr2bl w:val="nil"/>
            </w:tcBorders>
            <w:vAlign w:val="center"/>
          </w:tcPr>
          <w:p w14:paraId="4FEC2248">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default" w:ascii="Times New Roman" w:hAnsi="Times New Roman" w:cs="Times New Roman"/>
                <w:color w:val="auto"/>
                <w:sz w:val="21"/>
                <w:szCs w:val="21"/>
                <w:shd w:val="clear" w:color="auto" w:fill="FFFFFF"/>
                <w:lang w:val="en-US" w:eastAsia="zh-CN"/>
              </w:rPr>
              <w:t>269.1</w:t>
            </w:r>
          </w:p>
        </w:tc>
        <w:tc>
          <w:tcPr>
            <w:tcW w:w="614" w:type="pct"/>
            <w:tcBorders>
              <w:tl2br w:val="nil"/>
              <w:tr2bl w:val="nil"/>
            </w:tcBorders>
            <w:vAlign w:val="center"/>
          </w:tcPr>
          <w:p w14:paraId="324579BD">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27</w:t>
            </w:r>
          </w:p>
        </w:tc>
        <w:tc>
          <w:tcPr>
            <w:tcW w:w="1284" w:type="pct"/>
            <w:tcBorders>
              <w:tl2br w:val="nil"/>
              <w:tr2bl w:val="nil"/>
            </w:tcBorders>
            <w:vAlign w:val="center"/>
          </w:tcPr>
          <w:p w14:paraId="6CF395EC">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丙烯腈-丁二烯-苯乙烯共聚物</w:t>
            </w:r>
          </w:p>
        </w:tc>
      </w:tr>
      <w:tr w14:paraId="6220F90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703" w:type="pct"/>
            <w:vMerge w:val="continue"/>
            <w:tcBorders>
              <w:tl2br w:val="nil"/>
              <w:tr2bl w:val="nil"/>
            </w:tcBorders>
            <w:vAlign w:val="center"/>
          </w:tcPr>
          <w:p w14:paraId="0129B081">
            <w:pPr>
              <w:widowControl/>
              <w:spacing w:line="240" w:lineRule="auto"/>
              <w:ind w:firstLine="0" w:firstLineChars="0"/>
              <w:jc w:val="center"/>
              <w:rPr>
                <w:rFonts w:hint="default" w:ascii="Times New Roman" w:hAnsi="Times New Roman" w:cs="Times New Roman"/>
                <w:color w:val="auto"/>
                <w:sz w:val="21"/>
                <w:szCs w:val="21"/>
              </w:rPr>
            </w:pPr>
          </w:p>
        </w:tc>
        <w:tc>
          <w:tcPr>
            <w:tcW w:w="523" w:type="pct"/>
            <w:vMerge w:val="continue"/>
            <w:tcBorders>
              <w:tl2br w:val="nil"/>
              <w:tr2bl w:val="nil"/>
            </w:tcBorders>
            <w:vAlign w:val="center"/>
          </w:tcPr>
          <w:p w14:paraId="25ECD81F">
            <w:pPr>
              <w:widowControl/>
              <w:spacing w:line="240" w:lineRule="auto"/>
              <w:ind w:firstLine="0" w:firstLineChars="0"/>
              <w:jc w:val="center"/>
              <w:rPr>
                <w:rFonts w:hint="default" w:ascii="Times New Roman" w:hAnsi="Times New Roman" w:cs="Times New Roman"/>
                <w:color w:val="auto"/>
                <w:sz w:val="21"/>
                <w:szCs w:val="21"/>
              </w:rPr>
            </w:pPr>
          </w:p>
        </w:tc>
        <w:tc>
          <w:tcPr>
            <w:tcW w:w="1102" w:type="pct"/>
            <w:tcBorders>
              <w:tl2br w:val="nil"/>
              <w:tr2bl w:val="nil"/>
            </w:tcBorders>
            <w:vAlign w:val="center"/>
          </w:tcPr>
          <w:p w14:paraId="5E1B965C">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ABS增韧剂</w:t>
            </w:r>
          </w:p>
        </w:tc>
        <w:tc>
          <w:tcPr>
            <w:tcW w:w="772" w:type="pct"/>
            <w:tcBorders>
              <w:tl2br w:val="nil"/>
              <w:tr2bl w:val="nil"/>
            </w:tcBorders>
            <w:vAlign w:val="center"/>
          </w:tcPr>
          <w:p w14:paraId="2CE96839">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25</w:t>
            </w:r>
          </w:p>
        </w:tc>
        <w:tc>
          <w:tcPr>
            <w:tcW w:w="614" w:type="pct"/>
            <w:tcBorders>
              <w:tl2br w:val="nil"/>
              <w:tr2bl w:val="nil"/>
            </w:tcBorders>
            <w:vAlign w:val="center"/>
          </w:tcPr>
          <w:p w14:paraId="0D71CBFA">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2</w:t>
            </w:r>
          </w:p>
        </w:tc>
        <w:tc>
          <w:tcPr>
            <w:tcW w:w="1284" w:type="pct"/>
            <w:tcBorders>
              <w:tl2br w:val="nil"/>
              <w:tr2bl w:val="nil"/>
            </w:tcBorders>
            <w:vAlign w:val="center"/>
          </w:tcPr>
          <w:p w14:paraId="60BAE4F8">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高丁二烯接枝ABS</w:t>
            </w:r>
          </w:p>
        </w:tc>
      </w:tr>
      <w:tr w14:paraId="73F8243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703" w:type="pct"/>
            <w:vMerge w:val="continue"/>
            <w:tcBorders>
              <w:tl2br w:val="nil"/>
              <w:tr2bl w:val="nil"/>
            </w:tcBorders>
            <w:vAlign w:val="center"/>
          </w:tcPr>
          <w:p w14:paraId="416594C9">
            <w:pPr>
              <w:widowControl/>
              <w:spacing w:line="240" w:lineRule="auto"/>
              <w:ind w:firstLine="0" w:firstLineChars="0"/>
              <w:jc w:val="center"/>
              <w:rPr>
                <w:rFonts w:hint="default" w:ascii="Times New Roman" w:hAnsi="Times New Roman" w:cs="Times New Roman"/>
                <w:color w:val="auto"/>
                <w:sz w:val="21"/>
                <w:szCs w:val="21"/>
              </w:rPr>
            </w:pPr>
          </w:p>
        </w:tc>
        <w:tc>
          <w:tcPr>
            <w:tcW w:w="523" w:type="pct"/>
            <w:vMerge w:val="continue"/>
            <w:tcBorders>
              <w:tl2br w:val="nil"/>
              <w:tr2bl w:val="nil"/>
            </w:tcBorders>
            <w:vAlign w:val="center"/>
          </w:tcPr>
          <w:p w14:paraId="22D950BD">
            <w:pPr>
              <w:widowControl/>
              <w:spacing w:line="240" w:lineRule="auto"/>
              <w:ind w:firstLine="0" w:firstLineChars="0"/>
              <w:jc w:val="center"/>
              <w:rPr>
                <w:rFonts w:hint="default" w:ascii="Times New Roman" w:hAnsi="Times New Roman" w:cs="Times New Roman"/>
                <w:color w:val="auto"/>
                <w:sz w:val="21"/>
                <w:szCs w:val="21"/>
              </w:rPr>
            </w:pPr>
          </w:p>
        </w:tc>
        <w:tc>
          <w:tcPr>
            <w:tcW w:w="1102" w:type="pct"/>
            <w:tcBorders>
              <w:tl2br w:val="nil"/>
              <w:tr2bl w:val="nil"/>
            </w:tcBorders>
            <w:vAlign w:val="center"/>
          </w:tcPr>
          <w:p w14:paraId="3C9BCF1A">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shd w:val="clear" w:color="auto" w:fill="FFFFFF"/>
              </w:rPr>
              <w:t>ABS助剂</w:t>
            </w:r>
          </w:p>
        </w:tc>
        <w:tc>
          <w:tcPr>
            <w:tcW w:w="772" w:type="pct"/>
            <w:tcBorders>
              <w:tl2br w:val="nil"/>
              <w:tr2bl w:val="nil"/>
            </w:tcBorders>
            <w:vAlign w:val="center"/>
          </w:tcPr>
          <w:p w14:paraId="1329847B">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5</w:t>
            </w:r>
          </w:p>
        </w:tc>
        <w:tc>
          <w:tcPr>
            <w:tcW w:w="614" w:type="pct"/>
            <w:tcBorders>
              <w:tl2br w:val="nil"/>
              <w:tr2bl w:val="nil"/>
            </w:tcBorders>
            <w:vAlign w:val="center"/>
          </w:tcPr>
          <w:p w14:paraId="75FCA0CF">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1</w:t>
            </w:r>
          </w:p>
        </w:tc>
        <w:tc>
          <w:tcPr>
            <w:tcW w:w="1284" w:type="pct"/>
            <w:tcBorders>
              <w:tl2br w:val="nil"/>
              <w:tr2bl w:val="nil"/>
            </w:tcBorders>
            <w:vAlign w:val="center"/>
          </w:tcPr>
          <w:p w14:paraId="5522B36C">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X-CM714树脂共聚物</w:t>
            </w:r>
          </w:p>
        </w:tc>
      </w:tr>
      <w:tr w14:paraId="599B9D8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703" w:type="pct"/>
            <w:vMerge w:val="continue"/>
            <w:tcBorders>
              <w:tl2br w:val="nil"/>
              <w:tr2bl w:val="nil"/>
            </w:tcBorders>
            <w:vAlign w:val="center"/>
          </w:tcPr>
          <w:p w14:paraId="425FC300">
            <w:pPr>
              <w:widowControl/>
              <w:spacing w:line="240" w:lineRule="auto"/>
              <w:ind w:firstLine="0" w:firstLineChars="0"/>
              <w:jc w:val="center"/>
              <w:rPr>
                <w:rFonts w:hint="default" w:ascii="Times New Roman" w:hAnsi="Times New Roman" w:cs="Times New Roman"/>
                <w:color w:val="auto"/>
                <w:sz w:val="21"/>
                <w:szCs w:val="21"/>
              </w:rPr>
            </w:pPr>
          </w:p>
        </w:tc>
        <w:tc>
          <w:tcPr>
            <w:tcW w:w="523" w:type="pct"/>
            <w:vMerge w:val="continue"/>
            <w:tcBorders>
              <w:tl2br w:val="nil"/>
              <w:tr2bl w:val="nil"/>
            </w:tcBorders>
            <w:vAlign w:val="center"/>
          </w:tcPr>
          <w:p w14:paraId="7F207C10">
            <w:pPr>
              <w:widowControl/>
              <w:spacing w:line="240" w:lineRule="auto"/>
              <w:ind w:firstLine="0" w:firstLineChars="0"/>
              <w:jc w:val="center"/>
              <w:rPr>
                <w:rFonts w:hint="default" w:ascii="Times New Roman" w:hAnsi="Times New Roman" w:cs="Times New Roman"/>
                <w:color w:val="auto"/>
                <w:sz w:val="21"/>
                <w:szCs w:val="21"/>
              </w:rPr>
            </w:pPr>
          </w:p>
        </w:tc>
        <w:tc>
          <w:tcPr>
            <w:tcW w:w="1102" w:type="pct"/>
            <w:tcBorders>
              <w:tl2br w:val="nil"/>
              <w:tr2bl w:val="nil"/>
            </w:tcBorders>
            <w:vAlign w:val="center"/>
          </w:tcPr>
          <w:p w14:paraId="02463121">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default" w:ascii="Times New Roman" w:hAnsi="Times New Roman" w:cs="Times New Roman"/>
                <w:color w:val="auto"/>
                <w:sz w:val="21"/>
                <w:szCs w:val="21"/>
                <w:shd w:val="clear" w:color="auto" w:fill="FFFFFF"/>
                <w:lang w:val="en-US" w:eastAsia="zh-CN"/>
              </w:rPr>
              <w:t>色母</w:t>
            </w:r>
          </w:p>
        </w:tc>
        <w:tc>
          <w:tcPr>
            <w:tcW w:w="772" w:type="pct"/>
            <w:tcBorders>
              <w:tl2br w:val="nil"/>
              <w:tr2bl w:val="nil"/>
            </w:tcBorders>
            <w:vAlign w:val="center"/>
          </w:tcPr>
          <w:p w14:paraId="187CCBBF">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default" w:ascii="Times New Roman" w:hAnsi="Times New Roman" w:cs="Times New Roman"/>
                <w:color w:val="auto"/>
                <w:sz w:val="21"/>
                <w:szCs w:val="21"/>
                <w:shd w:val="clear" w:color="auto" w:fill="FFFFFF"/>
                <w:lang w:val="en-US" w:eastAsia="zh-CN"/>
              </w:rPr>
              <w:t>0.9</w:t>
            </w:r>
          </w:p>
        </w:tc>
        <w:tc>
          <w:tcPr>
            <w:tcW w:w="614" w:type="pct"/>
            <w:tcBorders>
              <w:tl2br w:val="nil"/>
              <w:tr2bl w:val="nil"/>
            </w:tcBorders>
            <w:vAlign w:val="center"/>
          </w:tcPr>
          <w:p w14:paraId="1585C88B">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default" w:ascii="Times New Roman" w:hAnsi="Times New Roman" w:cs="Times New Roman"/>
                <w:color w:val="auto"/>
                <w:sz w:val="21"/>
                <w:szCs w:val="21"/>
                <w:shd w:val="clear" w:color="auto" w:fill="FFFFFF"/>
                <w:lang w:val="en-US" w:eastAsia="zh-CN"/>
              </w:rPr>
              <w:t>1</w:t>
            </w:r>
          </w:p>
        </w:tc>
        <w:tc>
          <w:tcPr>
            <w:tcW w:w="1284" w:type="pct"/>
            <w:tcBorders>
              <w:tl2br w:val="nil"/>
              <w:tr2bl w:val="nil"/>
            </w:tcBorders>
            <w:vAlign w:val="center"/>
          </w:tcPr>
          <w:p w14:paraId="282CD9B8">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default" w:ascii="Times New Roman" w:hAnsi="Times New Roman" w:cs="Times New Roman"/>
                <w:color w:val="auto"/>
                <w:sz w:val="21"/>
                <w:szCs w:val="21"/>
                <w:shd w:val="clear" w:color="auto" w:fill="FFFFFF"/>
                <w:lang w:val="en-US" w:eastAsia="zh-CN"/>
              </w:rPr>
              <w:t>ABS接枝</w:t>
            </w:r>
          </w:p>
        </w:tc>
      </w:tr>
      <w:tr w14:paraId="1CF2B06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1226" w:type="pct"/>
            <w:gridSpan w:val="2"/>
            <w:tcBorders>
              <w:tl2br w:val="nil"/>
              <w:tr2bl w:val="nil"/>
            </w:tcBorders>
            <w:vAlign w:val="center"/>
          </w:tcPr>
          <w:p w14:paraId="17835806">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润滑油</w:t>
            </w:r>
          </w:p>
        </w:tc>
        <w:tc>
          <w:tcPr>
            <w:tcW w:w="1102" w:type="pct"/>
            <w:tcBorders>
              <w:tl2br w:val="nil"/>
              <w:tr2bl w:val="nil"/>
            </w:tcBorders>
            <w:vAlign w:val="center"/>
          </w:tcPr>
          <w:p w14:paraId="24304C9E">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润滑油</w:t>
            </w:r>
          </w:p>
        </w:tc>
        <w:tc>
          <w:tcPr>
            <w:tcW w:w="772" w:type="pct"/>
            <w:tcBorders>
              <w:tl2br w:val="nil"/>
              <w:tr2bl w:val="nil"/>
            </w:tcBorders>
            <w:vAlign w:val="center"/>
          </w:tcPr>
          <w:p w14:paraId="4F218D96">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0.35</w:t>
            </w:r>
          </w:p>
        </w:tc>
        <w:tc>
          <w:tcPr>
            <w:tcW w:w="614" w:type="pct"/>
            <w:tcBorders>
              <w:tl2br w:val="nil"/>
              <w:tr2bl w:val="nil"/>
            </w:tcBorders>
            <w:vAlign w:val="center"/>
          </w:tcPr>
          <w:p w14:paraId="5B4BFADF">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w:t>
            </w:r>
          </w:p>
        </w:tc>
        <w:tc>
          <w:tcPr>
            <w:tcW w:w="1284" w:type="pct"/>
            <w:tcBorders>
              <w:tl2br w:val="nil"/>
              <w:tr2bl w:val="nil"/>
            </w:tcBorders>
            <w:vAlign w:val="center"/>
          </w:tcPr>
          <w:p w14:paraId="048BF7DC">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不在厂区内贮存</w:t>
            </w:r>
          </w:p>
        </w:tc>
      </w:tr>
      <w:tr w14:paraId="557F6BF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1226" w:type="pct"/>
            <w:gridSpan w:val="2"/>
            <w:tcBorders>
              <w:tl2br w:val="nil"/>
              <w:tr2bl w:val="nil"/>
            </w:tcBorders>
            <w:vAlign w:val="center"/>
          </w:tcPr>
          <w:p w14:paraId="53723047">
            <w:pPr>
              <w:widowControl/>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NaOH</w:t>
            </w:r>
          </w:p>
        </w:tc>
        <w:tc>
          <w:tcPr>
            <w:tcW w:w="1102" w:type="pct"/>
            <w:tcBorders>
              <w:tl2br w:val="nil"/>
              <w:tr2bl w:val="nil"/>
            </w:tcBorders>
            <w:vAlign w:val="center"/>
          </w:tcPr>
          <w:p w14:paraId="361BAF4E">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99%工业片碱</w:t>
            </w:r>
          </w:p>
        </w:tc>
        <w:tc>
          <w:tcPr>
            <w:tcW w:w="772" w:type="pct"/>
            <w:tcBorders>
              <w:tl2br w:val="nil"/>
              <w:tr2bl w:val="nil"/>
            </w:tcBorders>
            <w:vAlign w:val="center"/>
          </w:tcPr>
          <w:p w14:paraId="643B0138">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eastAsia" w:cs="Times New Roman"/>
                <w:color w:val="auto"/>
                <w:sz w:val="21"/>
                <w:szCs w:val="21"/>
                <w:shd w:val="clear" w:color="auto" w:fill="FFFFFF"/>
                <w:lang w:val="en-US" w:eastAsia="zh-CN"/>
              </w:rPr>
              <w:t>6.5</w:t>
            </w:r>
          </w:p>
        </w:tc>
        <w:tc>
          <w:tcPr>
            <w:tcW w:w="614" w:type="pct"/>
            <w:tcBorders>
              <w:tl2br w:val="nil"/>
              <w:tr2bl w:val="nil"/>
            </w:tcBorders>
            <w:vAlign w:val="center"/>
          </w:tcPr>
          <w:p w14:paraId="65908A66">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eastAsia" w:cs="Times New Roman"/>
                <w:color w:val="auto"/>
                <w:sz w:val="21"/>
                <w:szCs w:val="21"/>
                <w:shd w:val="clear" w:color="auto" w:fill="FFFFFF"/>
                <w:lang w:val="en-US" w:eastAsia="zh-CN"/>
              </w:rPr>
              <w:t>0.5</w:t>
            </w:r>
          </w:p>
        </w:tc>
        <w:tc>
          <w:tcPr>
            <w:tcW w:w="1284" w:type="pct"/>
            <w:tcBorders>
              <w:tl2br w:val="nil"/>
              <w:tr2bl w:val="nil"/>
            </w:tcBorders>
            <w:vAlign w:val="center"/>
          </w:tcPr>
          <w:p w14:paraId="1FF37527">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eastAsia" w:cs="Times New Roman"/>
                <w:color w:val="auto"/>
                <w:sz w:val="21"/>
                <w:szCs w:val="21"/>
                <w:shd w:val="clear" w:color="auto" w:fill="FFFFFF"/>
                <w:lang w:val="en-US" w:eastAsia="zh-CN"/>
              </w:rPr>
              <w:t>碱洗塔消耗</w:t>
            </w:r>
          </w:p>
        </w:tc>
      </w:tr>
      <w:tr w14:paraId="0BB79E9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1226" w:type="pct"/>
            <w:gridSpan w:val="2"/>
            <w:tcBorders>
              <w:tl2br w:val="nil"/>
              <w:tr2bl w:val="nil"/>
            </w:tcBorders>
            <w:vAlign w:val="center"/>
          </w:tcPr>
          <w:p w14:paraId="0C40A069">
            <w:pPr>
              <w:widowControl/>
              <w:spacing w:line="240" w:lineRule="auto"/>
              <w:ind w:firstLine="0" w:firstLineChars="0"/>
              <w:jc w:val="center"/>
              <w:rPr>
                <w:rFonts w:hint="default" w:cs="Times New Roman"/>
                <w:color w:val="auto"/>
                <w:sz w:val="21"/>
                <w:szCs w:val="21"/>
                <w:lang w:val="en-US" w:eastAsia="zh-CN"/>
              </w:rPr>
            </w:pPr>
            <w:r>
              <w:rPr>
                <w:rFonts w:hint="eastAsia" w:cs="Times New Roman"/>
                <w:color w:val="auto"/>
                <w:sz w:val="21"/>
                <w:szCs w:val="21"/>
                <w:lang w:val="en-US" w:eastAsia="zh-CN"/>
              </w:rPr>
              <w:t>浓硫酸</w:t>
            </w:r>
          </w:p>
        </w:tc>
        <w:tc>
          <w:tcPr>
            <w:tcW w:w="1102" w:type="pct"/>
            <w:tcBorders>
              <w:tl2br w:val="nil"/>
              <w:tr2bl w:val="nil"/>
            </w:tcBorders>
            <w:vAlign w:val="center"/>
          </w:tcPr>
          <w:p w14:paraId="3D3713C4">
            <w:pPr>
              <w:spacing w:line="240" w:lineRule="auto"/>
              <w:ind w:firstLine="0" w:firstLineChars="0"/>
              <w:jc w:val="center"/>
              <w:rPr>
                <w:rFonts w:hint="default" w:ascii="Times New Roman" w:hAnsi="Times New Roman" w:eastAsia="宋体" w:cs="Times New Roman"/>
                <w:color w:val="auto"/>
                <w:sz w:val="21"/>
                <w:szCs w:val="21"/>
                <w:shd w:val="clear" w:color="auto" w:fill="FFFFFF"/>
                <w:lang w:val="en-US" w:eastAsia="zh-CN"/>
              </w:rPr>
            </w:pPr>
            <w:r>
              <w:rPr>
                <w:rFonts w:hint="eastAsia" w:cs="Times New Roman"/>
                <w:color w:val="auto"/>
                <w:sz w:val="21"/>
                <w:szCs w:val="21"/>
                <w:shd w:val="clear" w:color="auto" w:fill="FFFFFF"/>
                <w:lang w:val="en-US" w:eastAsia="zh-CN"/>
              </w:rPr>
              <w:t>98%浓硫酸</w:t>
            </w:r>
          </w:p>
        </w:tc>
        <w:tc>
          <w:tcPr>
            <w:tcW w:w="772" w:type="pct"/>
            <w:tcBorders>
              <w:tl2br w:val="nil"/>
              <w:tr2bl w:val="nil"/>
            </w:tcBorders>
            <w:vAlign w:val="center"/>
          </w:tcPr>
          <w:p w14:paraId="1194641A">
            <w:pPr>
              <w:spacing w:line="240" w:lineRule="auto"/>
              <w:ind w:firstLine="0" w:firstLineChars="0"/>
              <w:jc w:val="center"/>
              <w:rPr>
                <w:rFonts w:hint="default" w:cs="Times New Roman"/>
                <w:color w:val="auto"/>
                <w:sz w:val="21"/>
                <w:szCs w:val="21"/>
                <w:shd w:val="clear" w:color="auto" w:fill="FFFFFF"/>
                <w:lang w:val="en-US" w:eastAsia="zh-CN"/>
              </w:rPr>
            </w:pPr>
            <w:r>
              <w:rPr>
                <w:rFonts w:hint="eastAsia" w:cs="Times New Roman"/>
                <w:color w:val="auto"/>
                <w:sz w:val="21"/>
                <w:szCs w:val="21"/>
                <w:shd w:val="clear" w:color="auto" w:fill="FFFFFF"/>
                <w:lang w:val="en-US" w:eastAsia="zh-CN"/>
              </w:rPr>
              <w:t>3.6</w:t>
            </w:r>
          </w:p>
        </w:tc>
        <w:tc>
          <w:tcPr>
            <w:tcW w:w="614" w:type="pct"/>
            <w:tcBorders>
              <w:tl2br w:val="nil"/>
              <w:tr2bl w:val="nil"/>
            </w:tcBorders>
            <w:vAlign w:val="center"/>
          </w:tcPr>
          <w:p w14:paraId="038027EE">
            <w:pPr>
              <w:spacing w:line="240" w:lineRule="auto"/>
              <w:ind w:firstLine="0" w:firstLineChars="0"/>
              <w:jc w:val="center"/>
              <w:rPr>
                <w:rFonts w:hint="default" w:cs="Times New Roman"/>
                <w:color w:val="auto"/>
                <w:sz w:val="21"/>
                <w:szCs w:val="21"/>
                <w:shd w:val="clear" w:color="auto" w:fill="FFFFFF"/>
                <w:lang w:val="en-US" w:eastAsia="zh-CN"/>
              </w:rPr>
            </w:pPr>
            <w:r>
              <w:rPr>
                <w:rFonts w:hint="eastAsia" w:cs="Times New Roman"/>
                <w:color w:val="auto"/>
                <w:sz w:val="21"/>
                <w:szCs w:val="21"/>
                <w:shd w:val="clear" w:color="auto" w:fill="FFFFFF"/>
                <w:lang w:val="en-US" w:eastAsia="zh-CN"/>
              </w:rPr>
              <w:t>0.3</w:t>
            </w:r>
          </w:p>
        </w:tc>
        <w:tc>
          <w:tcPr>
            <w:tcW w:w="1284" w:type="pct"/>
            <w:tcBorders>
              <w:tl2br w:val="nil"/>
              <w:tr2bl w:val="nil"/>
            </w:tcBorders>
            <w:vAlign w:val="center"/>
          </w:tcPr>
          <w:p w14:paraId="263AFE07">
            <w:pPr>
              <w:spacing w:line="240" w:lineRule="auto"/>
              <w:ind w:firstLine="0" w:firstLineChars="0"/>
              <w:jc w:val="center"/>
              <w:rPr>
                <w:rFonts w:hint="default" w:cs="Times New Roman"/>
                <w:color w:val="auto"/>
                <w:sz w:val="21"/>
                <w:szCs w:val="21"/>
                <w:shd w:val="clear" w:color="auto" w:fill="FFFFFF"/>
                <w:lang w:val="en-US" w:eastAsia="zh-CN"/>
              </w:rPr>
            </w:pPr>
            <w:r>
              <w:rPr>
                <w:rFonts w:hint="eastAsia" w:cs="Times New Roman"/>
                <w:color w:val="auto"/>
                <w:sz w:val="21"/>
                <w:szCs w:val="21"/>
                <w:shd w:val="clear" w:color="auto" w:fill="FFFFFF"/>
                <w:lang w:val="en-US" w:eastAsia="zh-CN"/>
              </w:rPr>
              <w:t>碱洗废液中和</w:t>
            </w:r>
          </w:p>
        </w:tc>
      </w:tr>
    </w:tbl>
    <w:p w14:paraId="69D4B59F">
      <w:pPr>
        <w:pStyle w:val="93"/>
        <w:rPr>
          <w:rFonts w:hint="default" w:ascii="Times New Roman" w:hAnsi="Times New Roman" w:cs="Times New Roman"/>
          <w:color w:val="auto"/>
        </w:rPr>
      </w:pPr>
      <w:r>
        <w:rPr>
          <w:rFonts w:hint="default" w:ascii="Times New Roman" w:hAnsi="Times New Roman" w:cs="Times New Roman"/>
          <w:color w:val="auto"/>
        </w:rPr>
        <w:t>表2.9-2    本项目能源动力消耗一览表</w:t>
      </w:r>
    </w:p>
    <w:tbl>
      <w:tblPr>
        <w:tblStyle w:val="44"/>
        <w:tblW w:w="47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1"/>
        <w:gridCol w:w="1697"/>
        <w:gridCol w:w="1414"/>
        <w:gridCol w:w="1427"/>
        <w:gridCol w:w="2252"/>
      </w:tblGrid>
      <w:tr w14:paraId="56314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1302" w:type="dxa"/>
            <w:vAlign w:val="center"/>
          </w:tcPr>
          <w:p w14:paraId="2F7F57A9">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序号</w:t>
            </w:r>
          </w:p>
        </w:tc>
        <w:tc>
          <w:tcPr>
            <w:tcW w:w="1697" w:type="dxa"/>
            <w:vAlign w:val="center"/>
          </w:tcPr>
          <w:p w14:paraId="181924B6">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能源种类</w:t>
            </w:r>
          </w:p>
        </w:tc>
        <w:tc>
          <w:tcPr>
            <w:tcW w:w="1414" w:type="dxa"/>
            <w:vAlign w:val="center"/>
          </w:tcPr>
          <w:p w14:paraId="08AB7E1E">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单位</w:t>
            </w:r>
          </w:p>
        </w:tc>
        <w:tc>
          <w:tcPr>
            <w:tcW w:w="1427" w:type="dxa"/>
            <w:vAlign w:val="center"/>
          </w:tcPr>
          <w:p w14:paraId="2CA7C58A">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年消耗量</w:t>
            </w:r>
          </w:p>
        </w:tc>
        <w:tc>
          <w:tcPr>
            <w:tcW w:w="2252" w:type="dxa"/>
            <w:vAlign w:val="center"/>
          </w:tcPr>
          <w:p w14:paraId="59430D86">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备注</w:t>
            </w:r>
          </w:p>
        </w:tc>
      </w:tr>
      <w:tr w14:paraId="2C56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302" w:type="dxa"/>
            <w:vAlign w:val="center"/>
          </w:tcPr>
          <w:p w14:paraId="33EAA354">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1697" w:type="dxa"/>
            <w:vAlign w:val="center"/>
          </w:tcPr>
          <w:p w14:paraId="1C140076">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电</w:t>
            </w:r>
          </w:p>
        </w:tc>
        <w:tc>
          <w:tcPr>
            <w:tcW w:w="1414" w:type="dxa"/>
            <w:vAlign w:val="center"/>
          </w:tcPr>
          <w:p w14:paraId="1910CCB1">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万kw.h/a</w:t>
            </w:r>
          </w:p>
        </w:tc>
        <w:tc>
          <w:tcPr>
            <w:tcW w:w="1427" w:type="dxa"/>
            <w:vAlign w:val="center"/>
          </w:tcPr>
          <w:p w14:paraId="284963BB">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w:t>
            </w:r>
          </w:p>
        </w:tc>
        <w:tc>
          <w:tcPr>
            <w:tcW w:w="2252" w:type="dxa"/>
            <w:vAlign w:val="center"/>
          </w:tcPr>
          <w:p w14:paraId="4E5F1EEF">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市政用电</w:t>
            </w:r>
          </w:p>
        </w:tc>
      </w:tr>
      <w:tr w14:paraId="60CA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302" w:type="dxa"/>
            <w:vAlign w:val="center"/>
          </w:tcPr>
          <w:p w14:paraId="06AF77CC">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w:t>
            </w:r>
          </w:p>
        </w:tc>
        <w:tc>
          <w:tcPr>
            <w:tcW w:w="1697" w:type="dxa"/>
            <w:vAlign w:val="center"/>
          </w:tcPr>
          <w:p w14:paraId="288DC293">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自来水</w:t>
            </w:r>
          </w:p>
        </w:tc>
        <w:tc>
          <w:tcPr>
            <w:tcW w:w="1414" w:type="dxa"/>
            <w:vAlign w:val="center"/>
          </w:tcPr>
          <w:p w14:paraId="27D52DCE">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t/a</w:t>
            </w:r>
          </w:p>
        </w:tc>
        <w:tc>
          <w:tcPr>
            <w:tcW w:w="1427" w:type="dxa"/>
            <w:vAlign w:val="center"/>
          </w:tcPr>
          <w:p w14:paraId="755DDE1A">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eastAsia" w:ascii="Times New Roman" w:hAnsi="Times New Roman" w:cs="Times New Roman"/>
                <w:color w:val="auto"/>
                <w:sz w:val="21"/>
                <w:szCs w:val="21"/>
                <w:lang w:val="en-US" w:eastAsia="zh-CN" w:bidi="ar"/>
              </w:rPr>
              <w:t>1191.8</w:t>
            </w:r>
          </w:p>
        </w:tc>
        <w:tc>
          <w:tcPr>
            <w:tcW w:w="2252" w:type="dxa"/>
            <w:vAlign w:val="center"/>
          </w:tcPr>
          <w:p w14:paraId="239C7BCA">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市政用水</w:t>
            </w:r>
          </w:p>
        </w:tc>
      </w:tr>
    </w:tbl>
    <w:p w14:paraId="7D41A576">
      <w:pPr>
        <w:ind w:firstLine="480"/>
        <w:rPr>
          <w:rFonts w:hint="default" w:ascii="Times New Roman" w:hAnsi="Times New Roman" w:cs="Times New Roman"/>
          <w:color w:val="auto"/>
        </w:rPr>
      </w:pPr>
      <w:bookmarkStart w:id="14" w:name="_Toc274075939"/>
      <w:bookmarkStart w:id="15" w:name="_Toc274497817"/>
      <w:bookmarkStart w:id="16" w:name="_Toc274557471"/>
      <w:bookmarkStart w:id="17" w:name="_Toc274557268"/>
      <w:bookmarkStart w:id="18" w:name="_Toc274030018"/>
      <w:r>
        <w:rPr>
          <w:rFonts w:hint="default" w:ascii="Times New Roman" w:hAnsi="Times New Roman" w:cs="Times New Roman"/>
          <w:color w:val="auto"/>
        </w:rPr>
        <w:t>（2）主要物料理化性质</w:t>
      </w:r>
    </w:p>
    <w:p w14:paraId="7F689347">
      <w:pPr>
        <w:ind w:firstLine="480"/>
        <w:rPr>
          <w:rFonts w:hint="default" w:ascii="Times New Roman" w:hAnsi="Times New Roman" w:cs="Times New Roman"/>
          <w:color w:val="auto"/>
        </w:rPr>
      </w:pPr>
      <w:r>
        <w:rPr>
          <w:rFonts w:hint="default" w:ascii="Times New Roman" w:hAnsi="Times New Roman" w:cs="Times New Roman"/>
          <w:color w:val="auto"/>
        </w:rPr>
        <w:t>1）PP树脂（聚丙烯）：聚丙烯为无毒、无臭、无味的乳白色高结晶的</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"https://baike.baidu.com/item/%E8%81%9A%E5%90%88%E7%89%A9/6252844?fromModule=lemma_inlink" \t "https://baike.baidu.com/item/pp%E6%9D%90%E8%B4%A8/_blank" </w:instrText>
      </w:r>
      <w:r>
        <w:rPr>
          <w:rFonts w:hint="default" w:ascii="Times New Roman" w:hAnsi="Times New Roman" w:cs="Times New Roman"/>
          <w:color w:val="auto"/>
        </w:rPr>
        <w:fldChar w:fldCharType="separate"/>
      </w:r>
      <w:r>
        <w:rPr>
          <w:rFonts w:hint="default" w:ascii="Times New Roman" w:hAnsi="Times New Roman" w:cs="Times New Roman"/>
          <w:color w:val="auto"/>
        </w:rPr>
        <w:t>聚合物</w:t>
      </w:r>
      <w:r>
        <w:rPr>
          <w:rFonts w:hint="default" w:ascii="Times New Roman" w:hAnsi="Times New Roman" w:cs="Times New Roman"/>
          <w:color w:val="auto"/>
        </w:rPr>
        <w:fldChar w:fldCharType="end"/>
      </w:r>
      <w:r>
        <w:rPr>
          <w:rFonts w:hint="default" w:ascii="Times New Roman" w:hAnsi="Times New Roman" w:cs="Times New Roman"/>
          <w:color w:val="auto"/>
        </w:rPr>
        <w:t>，密度0.90~0.91g/cm</w:t>
      </w:r>
      <w:r>
        <w:rPr>
          <w:rFonts w:hint="default" w:ascii="Times New Roman" w:hAnsi="Times New Roman" w:cs="Times New Roman"/>
          <w:color w:val="auto"/>
          <w:vertAlign w:val="superscript"/>
        </w:rPr>
        <w:t>3</w:t>
      </w:r>
      <w:r>
        <w:rPr>
          <w:rFonts w:hint="default" w:ascii="Times New Roman" w:hAnsi="Times New Roman" w:cs="Times New Roman"/>
          <w:color w:val="auto"/>
        </w:rPr>
        <w:t>。熔点范围155℃~165℃，分解温度370℃。熔点165℃，在155℃C左右软化，使用温度范围为-30~140</w:t>
      </w:r>
      <w:bookmarkStart w:id="23" w:name="_GoBack"/>
      <w:bookmarkEnd w:id="23"/>
      <w:r>
        <w:rPr>
          <w:rFonts w:hint="default" w:ascii="Times New Roman" w:hAnsi="Times New Roman" w:cs="Times New Roman"/>
          <w:color w:val="auto"/>
        </w:rPr>
        <w:t>℃。在80℃以下能耐酸、碱、盐液及多种有机溶剂的腐蚀，能在高温和氧化作用下分解。易燃。</w:t>
      </w:r>
    </w:p>
    <w:p w14:paraId="3281772C">
      <w:pPr>
        <w:ind w:firstLine="480"/>
        <w:rPr>
          <w:rFonts w:hint="default" w:ascii="Times New Roman" w:hAnsi="Times New Roman" w:cs="Times New Roman"/>
          <w:color w:val="auto"/>
        </w:rPr>
      </w:pPr>
      <w:r>
        <w:rPr>
          <w:rFonts w:hint="default" w:ascii="Times New Roman" w:hAnsi="Times New Roman" w:cs="Times New Roman"/>
          <w:color w:val="auto"/>
        </w:rPr>
        <w:t>2）POE树脂（聚烯烃弹性体）：无毒、无臭、无味的乳白色弹性聚合物，密度0.86～0.90g/cm³。熔点范围60～120℃，分解温度370℃以上。在40～80℃左右开始软化，使用温度范围为-50～100℃。常温及低温下韧性优异，80℃以下耐酸、碱、盐液腐蚀，耐老化、耐候性好，高温氧化环境下会逐步分解，本身易燃。</w:t>
      </w:r>
    </w:p>
    <w:p w14:paraId="3FC709A2">
      <w:pPr>
        <w:ind w:firstLine="480"/>
        <w:rPr>
          <w:rFonts w:hint="default" w:ascii="Times New Roman" w:hAnsi="Times New Roman" w:cs="Times New Roman"/>
          <w:color w:val="auto"/>
        </w:rPr>
      </w:pPr>
      <w:r>
        <w:rPr>
          <w:rFonts w:hint="default" w:ascii="Times New Roman" w:hAnsi="Times New Roman" w:cs="Times New Roman"/>
          <w:color w:val="auto"/>
        </w:rPr>
        <w:t>3）PA6（尼龙，</w:t>
      </w:r>
      <w:r>
        <w:rPr>
          <w:rFonts w:hint="default" w:ascii="Times New Roman" w:hAnsi="Times New Roman" w:cs="Times New Roman"/>
          <w:color w:val="auto"/>
          <w:szCs w:val="24"/>
        </w:rPr>
        <w:t>聚酰胺</w:t>
      </w:r>
      <w:r>
        <w:rPr>
          <w:rFonts w:hint="default" w:ascii="Times New Roman" w:hAnsi="Times New Roman" w:cs="Times New Roman"/>
          <w:color w:val="auto"/>
        </w:rPr>
        <w:t>）</w:t>
      </w:r>
    </w:p>
    <w:p w14:paraId="2E808597">
      <w:pPr>
        <w:ind w:firstLine="480"/>
        <w:rPr>
          <w:rFonts w:hint="default" w:ascii="Times New Roman" w:hAnsi="Times New Roman" w:cs="Times New Roman"/>
          <w:color w:val="auto"/>
        </w:rPr>
      </w:pPr>
      <w:r>
        <w:rPr>
          <w:rFonts w:hint="default" w:ascii="Times New Roman" w:hAnsi="Times New Roman" w:cs="Times New Roman"/>
          <w:color w:val="auto"/>
        </w:rPr>
        <w:t>无毒无臭无味，乳白色结晶聚合物，密度1.12~1.16g/cm³。熔点210~260℃，分解温度约350℃，软化温度180℃左右，使用温度范围-40~120℃。常温下耐碱、盐液及多数有机溶剂，不耐强酸与强氧化剂，高温易氧化降解，易燃。</w:t>
      </w:r>
    </w:p>
    <w:p w14:paraId="62B28542">
      <w:pPr>
        <w:ind w:firstLine="480"/>
        <w:rPr>
          <w:rFonts w:hint="default" w:ascii="Times New Roman" w:hAnsi="Times New Roman" w:cs="Times New Roman"/>
          <w:color w:val="auto"/>
        </w:rPr>
      </w:pPr>
      <w:r>
        <w:rPr>
          <w:rFonts w:hint="default" w:ascii="Times New Roman" w:hAnsi="Times New Roman" w:cs="Times New Roman"/>
          <w:color w:val="auto"/>
        </w:rPr>
        <w:t>4）PC（聚碳酸酯）</w:t>
      </w:r>
    </w:p>
    <w:p w14:paraId="00C1E663">
      <w:pPr>
        <w:ind w:firstLine="480"/>
        <w:rPr>
          <w:rFonts w:hint="default" w:ascii="Times New Roman" w:hAnsi="Times New Roman" w:cs="Times New Roman"/>
          <w:color w:val="auto"/>
        </w:rPr>
      </w:pPr>
      <w:r>
        <w:rPr>
          <w:rFonts w:hint="default" w:ascii="Times New Roman" w:hAnsi="Times New Roman" w:cs="Times New Roman"/>
          <w:color w:val="auto"/>
        </w:rPr>
        <w:t>无毒无臭无味，无色透明无定形聚合物，密度1.18~1.20g/cm³。无明显熔点，熔融区间230~280℃，分解温度约340℃，软化温度145℃左右，使用温度范围-60~130℃。常温耐弱酸、弱碱、盐液，不耐强碱、酮类、芳烃，高温遇水易水解，可燃。</w:t>
      </w:r>
    </w:p>
    <w:p w14:paraId="19C773DF">
      <w:pPr>
        <w:ind w:firstLine="480"/>
        <w:rPr>
          <w:rFonts w:hint="default" w:ascii="Times New Roman" w:hAnsi="Times New Roman" w:cs="Times New Roman"/>
          <w:color w:val="auto"/>
        </w:rPr>
      </w:pPr>
      <w:r>
        <w:rPr>
          <w:rFonts w:hint="default" w:ascii="Times New Roman" w:hAnsi="Times New Roman" w:cs="Times New Roman"/>
          <w:color w:val="auto"/>
        </w:rPr>
        <w:t>5）ABS（丙烯腈-丁二烯-苯乙烯共聚物）</w:t>
      </w:r>
    </w:p>
    <w:p w14:paraId="68683E8D">
      <w:pPr>
        <w:ind w:firstLine="480"/>
        <w:rPr>
          <w:rFonts w:hint="default" w:ascii="Times New Roman" w:hAnsi="Times New Roman" w:cs="Times New Roman"/>
          <w:color w:val="auto"/>
        </w:rPr>
      </w:pPr>
      <w:r>
        <w:rPr>
          <w:rFonts w:hint="default" w:ascii="Times New Roman" w:hAnsi="Times New Roman" w:cs="Times New Roman"/>
          <w:color w:val="auto"/>
        </w:rPr>
        <w:t>无毒无臭无味，象牙色无定形聚合物，密度1.02~1.05g/cm³。无固定熔点，熔融区间180~240℃，分解温度约250℃，软化温度90℃左右，使用温度范围-20~80℃。常温耐酸、碱、盐及部分有机溶剂，耐候性一般，高温易分解变色，易燃。</w:t>
      </w:r>
    </w:p>
    <w:p w14:paraId="5DE64BA9">
      <w:pPr>
        <w:ind w:firstLine="480"/>
        <w:rPr>
          <w:rFonts w:hint="default" w:ascii="Times New Roman" w:hAnsi="Times New Roman" w:cs="Times New Roman"/>
          <w:color w:val="auto"/>
        </w:rPr>
      </w:pPr>
      <w:r>
        <w:rPr>
          <w:rFonts w:hint="default" w:ascii="Times New Roman" w:hAnsi="Times New Roman" w:cs="Times New Roman"/>
          <w:color w:val="auto"/>
        </w:rPr>
        <w:t>6）PC/ABS增韧剂（甲基丙烯酸甲酯-丁二烯-苯乙烯）</w:t>
      </w:r>
    </w:p>
    <w:p w14:paraId="53FE370E">
      <w:pPr>
        <w:ind w:firstLine="480"/>
        <w:rPr>
          <w:rFonts w:hint="default" w:ascii="Times New Roman" w:hAnsi="Times New Roman" w:cs="Times New Roman"/>
          <w:color w:val="auto"/>
        </w:rPr>
      </w:pPr>
      <w:r>
        <w:rPr>
          <w:rFonts w:hint="default" w:ascii="Times New Roman" w:hAnsi="Times New Roman" w:cs="Times New Roman"/>
          <w:color w:val="auto"/>
        </w:rPr>
        <w:t>无毒、无臭、无味，白色粉末/颗粒，无定形聚合物，密度1.08~1.12g/cm³。无固定熔点，熔融区间170~220℃，分解温度约245℃，软化温度85~95℃，使用温度范围-25~80℃。常温耐稀酸、稀碱、盐液，不耐强溶剂、芳烃，高温易分解发黄，易燃。</w:t>
      </w:r>
    </w:p>
    <w:p w14:paraId="62DE3BE6">
      <w:pPr>
        <w:ind w:firstLine="480"/>
        <w:rPr>
          <w:rFonts w:hint="default" w:ascii="Times New Roman" w:hAnsi="Times New Roman" w:cs="Times New Roman"/>
          <w:color w:val="auto"/>
        </w:rPr>
      </w:pPr>
      <w:r>
        <w:rPr>
          <w:rFonts w:hint="default" w:ascii="Times New Roman" w:hAnsi="Times New Roman" w:cs="Times New Roman"/>
          <w:color w:val="auto"/>
        </w:rPr>
        <w:t>7）ABS增韧剂（高丁二烯接枝ABS）</w:t>
      </w:r>
    </w:p>
    <w:p w14:paraId="42F1CD8F">
      <w:pPr>
        <w:ind w:firstLine="480"/>
        <w:rPr>
          <w:rFonts w:hint="default" w:ascii="Times New Roman" w:hAnsi="Times New Roman" w:cs="Times New Roman"/>
          <w:color w:val="auto"/>
        </w:rPr>
      </w:pPr>
      <w:r>
        <w:rPr>
          <w:rFonts w:hint="default" w:ascii="Times New Roman" w:hAnsi="Times New Roman" w:cs="Times New Roman"/>
          <w:color w:val="auto"/>
        </w:rPr>
        <w:t>高丁二烯接枝ABS（常称ABS高胶粉/PB‑g‑SAN），是丁二烯含量55%–70%的核壳型接枝共聚物（普通ABS丁二烯约10%–25%）。以聚丁二烯（PB）为核，接枝SAN（苯乙烯‑丙烯腈）为壳，呈白色粉末，是ABS改性的高效增韧基体与相容载体。</w:t>
      </w:r>
    </w:p>
    <w:p w14:paraId="29918BCF">
      <w:pPr>
        <w:ind w:firstLine="480"/>
        <w:rPr>
          <w:rFonts w:hint="default" w:ascii="Times New Roman" w:hAnsi="Times New Roman" w:cs="Times New Roman"/>
          <w:color w:val="auto"/>
        </w:rPr>
      </w:pPr>
      <w:r>
        <w:rPr>
          <w:rFonts w:hint="default" w:ascii="Times New Roman" w:hAnsi="Times New Roman" w:cs="Times New Roman"/>
          <w:color w:val="auto"/>
        </w:rPr>
        <w:t>8）ABS助剂（X-CM714树脂共聚物）</w:t>
      </w:r>
    </w:p>
    <w:p w14:paraId="263DE272">
      <w:pPr>
        <w:ind w:firstLine="480"/>
        <w:rPr>
          <w:rFonts w:hint="default" w:ascii="Times New Roman" w:hAnsi="Times New Roman" w:cs="Times New Roman"/>
          <w:color w:val="auto"/>
        </w:rPr>
      </w:pPr>
      <w:r>
        <w:rPr>
          <w:rFonts w:hint="default" w:ascii="Times New Roman" w:hAnsi="Times New Roman" w:cs="Times New Roman"/>
          <w:color w:val="auto"/>
        </w:rPr>
        <w:t>无毒、无臭、无味，无色透明非结晶共聚物，密度1.14g/cm³。无固定熔点，熔融区间180~220℃，分解温度约300℃，维卡软化点157℃，使用温度范围-20~120℃。常温耐稀酸、稀碱、盐液，高温稳定，不影响制品透明度；MA含量高达24~26%，反应活性极强，是PC/ABS等的高效增容剂。</w:t>
      </w:r>
    </w:p>
    <w:p w14:paraId="1B410641">
      <w:pPr>
        <w:ind w:firstLine="48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9）色母</w:t>
      </w:r>
    </w:p>
    <w:p w14:paraId="57E65598">
      <w:pPr>
        <w:ind w:firstLine="48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本项目所用色母</w:t>
      </w:r>
      <w:r>
        <w:rPr>
          <w:rFonts w:hint="default" w:ascii="Times New Roman" w:hAnsi="Times New Roman" w:eastAsia="宋体" w:cs="Times New Roman"/>
          <w:color w:val="auto"/>
          <w:sz w:val="24"/>
          <w:szCs w:val="24"/>
        </w:rPr>
        <w:t>载体</w:t>
      </w:r>
      <w:r>
        <w:rPr>
          <w:rFonts w:hint="default" w:ascii="Times New Roman" w:hAnsi="Times New Roman" w:cs="Times New Roman"/>
          <w:color w:val="auto"/>
          <w:sz w:val="24"/>
          <w:szCs w:val="24"/>
          <w:lang w:val="en-US" w:eastAsia="zh-CN"/>
        </w:rPr>
        <w:t>均</w:t>
      </w:r>
      <w:r>
        <w:rPr>
          <w:rFonts w:hint="default" w:ascii="Times New Roman" w:hAnsi="Times New Roman" w:eastAsia="宋体" w:cs="Times New Roman"/>
          <w:color w:val="auto"/>
          <w:sz w:val="24"/>
          <w:szCs w:val="24"/>
        </w:rPr>
        <w:t>和</w:t>
      </w:r>
      <w:r>
        <w:rPr>
          <w:rFonts w:hint="default" w:ascii="Times New Roman" w:hAnsi="Times New Roman" w:cs="Times New Roman"/>
          <w:color w:val="auto"/>
          <w:sz w:val="24"/>
          <w:szCs w:val="24"/>
          <w:lang w:val="en-US" w:eastAsia="zh-CN"/>
        </w:rPr>
        <w:t>挤出</w:t>
      </w:r>
      <w:r>
        <w:rPr>
          <w:rFonts w:hint="default" w:ascii="Times New Roman" w:hAnsi="Times New Roman" w:eastAsia="宋体" w:cs="Times New Roman"/>
          <w:color w:val="auto"/>
          <w:sz w:val="24"/>
          <w:szCs w:val="24"/>
        </w:rPr>
        <w:t>原材料</w:t>
      </w:r>
      <w:r>
        <w:rPr>
          <w:rFonts w:hint="default" w:ascii="Times New Roman" w:hAnsi="Times New Roman" w:cs="Times New Roman"/>
          <w:color w:val="auto"/>
          <w:sz w:val="24"/>
          <w:szCs w:val="24"/>
          <w:lang w:val="en-US" w:eastAsia="zh-CN"/>
        </w:rPr>
        <w:t>为相同物质</w:t>
      </w:r>
      <w:r>
        <w:rPr>
          <w:rFonts w:hint="default" w:ascii="Times New Roman" w:hAnsi="Times New Roman" w:eastAsia="宋体" w:cs="Times New Roman"/>
          <w:color w:val="auto"/>
          <w:sz w:val="24"/>
          <w:szCs w:val="24"/>
        </w:rPr>
        <w:t>，否则</w:t>
      </w:r>
      <w:r>
        <w:rPr>
          <w:rFonts w:hint="default" w:ascii="Times New Roman" w:hAnsi="Times New Roman" w:cs="Times New Roman"/>
          <w:color w:val="auto"/>
          <w:sz w:val="24"/>
          <w:szCs w:val="24"/>
          <w:lang w:val="en-US" w:eastAsia="zh-CN"/>
        </w:rPr>
        <w:t>注塑产品</w:t>
      </w:r>
      <w:r>
        <w:rPr>
          <w:rFonts w:hint="default" w:ascii="Times New Roman" w:hAnsi="Times New Roman" w:eastAsia="宋体" w:cs="Times New Roman"/>
          <w:color w:val="auto"/>
          <w:sz w:val="24"/>
          <w:szCs w:val="24"/>
        </w:rPr>
        <w:t>分层、色差、起皮</w:t>
      </w:r>
      <w:r>
        <w:rPr>
          <w:rFonts w:hint="default" w:ascii="Times New Roman" w:hAnsi="Times New Roman" w:cs="Times New Roman"/>
          <w:color w:val="auto"/>
          <w:sz w:val="24"/>
          <w:szCs w:val="24"/>
          <w:lang w:eastAsia="zh-CN"/>
        </w:rPr>
        <w:t>。</w:t>
      </w:r>
    </w:p>
    <w:p w14:paraId="66ADB641">
      <w:pPr>
        <w:pStyle w:val="3"/>
        <w:rPr>
          <w:rFonts w:hint="default" w:ascii="Times New Roman" w:hAnsi="Times New Roman" w:cs="Times New Roman" w:eastAsiaTheme="minorEastAsia"/>
          <w:color w:val="auto"/>
        </w:rPr>
      </w:pPr>
      <w:r>
        <w:rPr>
          <w:rFonts w:hint="default" w:ascii="Times New Roman" w:hAnsi="Times New Roman" w:cs="Times New Roman"/>
          <w:color w:val="auto"/>
        </w:rPr>
        <w:t>2.10</w:t>
      </w:r>
      <w:r>
        <w:rPr>
          <w:rFonts w:hint="default" w:ascii="Times New Roman" w:hAnsi="Times New Roman" w:cs="Times New Roman" w:eastAsiaTheme="minorEastAsia"/>
          <w:color w:val="auto"/>
        </w:rPr>
        <w:t xml:space="preserve"> 施工工期</w:t>
      </w:r>
    </w:p>
    <w:p w14:paraId="1725F58E">
      <w:pPr>
        <w:ind w:firstLine="480"/>
        <w:rPr>
          <w:rFonts w:hint="default" w:ascii="Times New Roman" w:hAnsi="Times New Roman" w:cs="Times New Roman"/>
          <w:color w:val="auto"/>
        </w:rPr>
      </w:pPr>
      <w:r>
        <w:rPr>
          <w:rFonts w:hint="default" w:ascii="Times New Roman" w:hAnsi="Times New Roman" w:cs="Times New Roman"/>
          <w:color w:val="auto"/>
        </w:rPr>
        <w:t>根据项目建设进度安排，施工期总计为1个月。</w:t>
      </w:r>
    </w:p>
    <w:bookmarkEnd w:id="14"/>
    <w:bookmarkEnd w:id="15"/>
    <w:bookmarkEnd w:id="16"/>
    <w:bookmarkEnd w:id="17"/>
    <w:bookmarkEnd w:id="18"/>
    <w:p w14:paraId="6EE99FE7">
      <w:pPr>
        <w:pStyle w:val="3"/>
        <w:rPr>
          <w:rFonts w:hint="default" w:ascii="Times New Roman" w:hAnsi="Times New Roman" w:cs="Times New Roman"/>
          <w:color w:val="auto"/>
        </w:rPr>
        <w:sectPr>
          <w:headerReference r:id="rId13" w:type="default"/>
          <w:pgSz w:w="11907" w:h="16840"/>
          <w:pgMar w:top="1440" w:right="1797" w:bottom="1440" w:left="1797" w:header="851" w:footer="992" w:gutter="0"/>
          <w:cols w:space="720" w:num="1"/>
          <w:docGrid w:type="lines" w:linePitch="312" w:charSpace="0"/>
        </w:sectPr>
      </w:pPr>
    </w:p>
    <w:p w14:paraId="4E4415BC">
      <w:pPr>
        <w:pStyle w:val="3"/>
        <w:rPr>
          <w:rFonts w:hint="default" w:ascii="Times New Roman" w:hAnsi="Times New Roman" w:cs="Times New Roman"/>
          <w:color w:val="auto"/>
        </w:rPr>
      </w:pPr>
      <w:r>
        <w:rPr>
          <w:rFonts w:hint="default" w:ascii="Times New Roman" w:hAnsi="Times New Roman" w:cs="Times New Roman"/>
          <w:color w:val="auto"/>
        </w:rPr>
        <w:t>2.11 工艺流程和产排污环节</w:t>
      </w:r>
    </w:p>
    <w:p w14:paraId="5CF8FC87">
      <w:pPr>
        <w:pStyle w:val="258"/>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eastAsia="宋体" w:cs="Times New Roman"/>
          <w:color w:val="auto"/>
        </w:rPr>
        <w:t>11</w:t>
      </w:r>
      <w:r>
        <w:rPr>
          <w:rFonts w:hint="default" w:ascii="Times New Roman" w:hAnsi="Times New Roman" w:cs="Times New Roman"/>
          <w:color w:val="auto"/>
        </w:rPr>
        <w:t>.1 施工期工艺流程及产污环节</w:t>
      </w:r>
    </w:p>
    <w:p w14:paraId="23ED60C6">
      <w:pPr>
        <w:ind w:firstLine="480"/>
        <w:rPr>
          <w:rFonts w:hint="default" w:ascii="Times New Roman" w:hAnsi="Times New Roman" w:cs="Times New Roman"/>
          <w:color w:val="auto"/>
        </w:rPr>
      </w:pPr>
      <w:r>
        <w:rPr>
          <w:rFonts w:hint="default" w:ascii="Times New Roman" w:hAnsi="Times New Roman" w:cs="Times New Roman"/>
          <w:color w:val="auto"/>
        </w:rPr>
        <w:t>本项目租赁</w:t>
      </w:r>
      <w:r>
        <w:rPr>
          <w:rFonts w:hint="default" w:ascii="Times New Roman" w:hAnsi="Times New Roman" w:cs="Times New Roman"/>
          <w:color w:val="auto"/>
          <w:kern w:val="2"/>
          <w:szCs w:val="24"/>
        </w:rPr>
        <w:t>中铁二局集团物资有限公司重庆分公司已建3号楼1号仓间、2号仓间</w:t>
      </w:r>
      <w:r>
        <w:rPr>
          <w:rFonts w:hint="default" w:ascii="Times New Roman" w:hAnsi="Times New Roman" w:cs="Times New Roman"/>
          <w:color w:val="auto"/>
        </w:rPr>
        <w:t>，不新建建构筑物，不涉及土建工程。施工期建设内容仅是设备安装，设备少、体量小。废水为少量生活污水依托厂区现有处理设施；废气为少量运输车辆尾气和装修产生的粉尘；固体废物为少量包装材料，交废品回收单位回收利用，施工期设备安装噪声小。</w:t>
      </w:r>
    </w:p>
    <w:p w14:paraId="5E1C91F3">
      <w:pPr>
        <w:ind w:firstLine="480"/>
        <w:rPr>
          <w:rFonts w:hint="default" w:ascii="Times New Roman" w:hAnsi="Times New Roman" w:cs="Times New Roman"/>
          <w:color w:val="auto"/>
        </w:rPr>
      </w:pPr>
      <w:r>
        <w:rPr>
          <w:rFonts w:hint="default" w:ascii="Times New Roman" w:hAnsi="Times New Roman" w:cs="Times New Roman"/>
          <w:color w:val="auto"/>
        </w:rPr>
        <w:t>本工程的施工工艺流程及产污环节见图2.11.1-1。</w:t>
      </w:r>
    </w:p>
    <w:p w14:paraId="556B65F0">
      <w:pPr>
        <w:ind w:firstLine="0" w:firstLineChars="0"/>
        <w:jc w:val="center"/>
        <w:rPr>
          <w:rFonts w:hint="default" w:ascii="Times New Roman" w:hAnsi="Times New Roman" w:cs="Times New Roman"/>
          <w:color w:val="auto"/>
          <w:kern w:val="2"/>
          <w:sz w:val="21"/>
        </w:rPr>
      </w:pPr>
      <w:r>
        <w:rPr>
          <w:rFonts w:hint="default" w:ascii="Times New Roman" w:hAnsi="Times New Roman" w:cs="Times New Roman"/>
          <w:color w:val="auto"/>
          <w:kern w:val="2"/>
          <w:sz w:val="21"/>
        </w:rPr>
        <mc:AlternateContent>
          <mc:Choice Requires="wpc">
            <w:drawing>
              <wp:inline distT="0" distB="0" distL="0" distR="0">
                <wp:extent cx="4958080" cy="1403985"/>
                <wp:effectExtent l="0" t="0" r="4445" b="0"/>
                <wp:docPr id="44" name="画布 44"/>
                <wp:cNvGraphicFramePr/>
                <a:graphic xmlns:a="http://schemas.openxmlformats.org/drawingml/2006/main">
                  <a:graphicData uri="http://schemas.microsoft.com/office/word/2010/wordprocessingCanvas">
                    <wpc:wpc>
                      <wpc:bg>
                        <a:noFill/>
                      </wpc:bg>
                      <wpc:whole>
                        <a:ln>
                          <a:noFill/>
                        </a:ln>
                      </wpc:whole>
                      <wps:wsp>
                        <wps:cNvPr id="15" name="Text Box 11"/>
                        <wps:cNvSpPr txBox="1">
                          <a:spLocks noChangeArrowheads="1"/>
                        </wps:cNvSpPr>
                        <wps:spPr bwMode="auto">
                          <a:xfrm>
                            <a:off x="1170903" y="340707"/>
                            <a:ext cx="634422" cy="251102"/>
                          </a:xfrm>
                          <a:prstGeom prst="rect">
                            <a:avLst/>
                          </a:prstGeom>
                          <a:noFill/>
                          <a:ln w="9525">
                            <a:solidFill>
                              <a:srgbClr val="000000"/>
                            </a:solidFill>
                            <a:miter lim="800000"/>
                          </a:ln>
                        </wps:spPr>
                        <wps:txbx>
                          <w:txbxContent>
                            <w:p w14:paraId="5AC925DF">
                              <w:pPr>
                                <w:spacing w:line="240" w:lineRule="auto"/>
                                <w:ind w:firstLine="0" w:firstLineChars="0"/>
                                <w:jc w:val="center"/>
                                <w:rPr>
                                  <w:sz w:val="18"/>
                                </w:rPr>
                              </w:pPr>
                              <w:r>
                                <w:rPr>
                                  <w:rFonts w:hint="eastAsia"/>
                                  <w:sz w:val="18"/>
                                </w:rPr>
                                <w:t>设备搬迁</w:t>
                              </w:r>
                            </w:p>
                          </w:txbxContent>
                        </wps:txbx>
                        <wps:bodyPr rot="0" vert="horz" wrap="square" lIns="80467" tIns="40234" rIns="80467" bIns="40234" anchor="t" anchorCtr="0" upright="1">
                          <a:noAutofit/>
                        </wps:bodyPr>
                      </wps:wsp>
                      <wps:wsp>
                        <wps:cNvPr id="17" name="Text Box 12"/>
                        <wps:cNvSpPr txBox="1">
                          <a:spLocks noChangeArrowheads="1"/>
                        </wps:cNvSpPr>
                        <wps:spPr bwMode="auto">
                          <a:xfrm>
                            <a:off x="2043579" y="331330"/>
                            <a:ext cx="634422" cy="251102"/>
                          </a:xfrm>
                          <a:prstGeom prst="rect">
                            <a:avLst/>
                          </a:prstGeom>
                          <a:noFill/>
                          <a:ln w="9525">
                            <a:solidFill>
                              <a:srgbClr val="000000"/>
                            </a:solidFill>
                            <a:miter lim="800000"/>
                          </a:ln>
                        </wps:spPr>
                        <wps:txbx>
                          <w:txbxContent>
                            <w:p w14:paraId="3CFB0794">
                              <w:pPr>
                                <w:spacing w:line="240" w:lineRule="auto"/>
                                <w:ind w:firstLine="0" w:firstLineChars="0"/>
                                <w:jc w:val="center"/>
                                <w:rPr>
                                  <w:sz w:val="18"/>
                                </w:rPr>
                              </w:pPr>
                              <w:r>
                                <w:rPr>
                                  <w:rFonts w:hint="eastAsia"/>
                                  <w:sz w:val="18"/>
                                </w:rPr>
                                <w:t>装饰工程</w:t>
                              </w:r>
                            </w:p>
                          </w:txbxContent>
                        </wps:txbx>
                        <wps:bodyPr rot="0" vert="horz" wrap="square" lIns="80467" tIns="40234" rIns="80467" bIns="40234" anchor="t" anchorCtr="0" upright="1">
                          <a:noAutofit/>
                        </wps:bodyPr>
                      </wps:wsp>
                      <wps:wsp>
                        <wps:cNvPr id="21" name="Text Box 13"/>
                        <wps:cNvSpPr txBox="1">
                          <a:spLocks noChangeArrowheads="1"/>
                        </wps:cNvSpPr>
                        <wps:spPr bwMode="auto">
                          <a:xfrm>
                            <a:off x="3797243" y="325079"/>
                            <a:ext cx="634422" cy="251102"/>
                          </a:xfrm>
                          <a:prstGeom prst="rect">
                            <a:avLst/>
                          </a:prstGeom>
                          <a:noFill/>
                          <a:ln w="9525">
                            <a:solidFill>
                              <a:srgbClr val="000000"/>
                            </a:solidFill>
                            <a:miter lim="800000"/>
                          </a:ln>
                        </wps:spPr>
                        <wps:txbx>
                          <w:txbxContent>
                            <w:p w14:paraId="1CA5DDE9">
                              <w:pPr>
                                <w:spacing w:line="240" w:lineRule="auto"/>
                                <w:ind w:firstLine="0" w:firstLineChars="0"/>
                                <w:jc w:val="center"/>
                                <w:rPr>
                                  <w:sz w:val="18"/>
                                </w:rPr>
                              </w:pPr>
                              <w:r>
                                <w:rPr>
                                  <w:rFonts w:hint="eastAsia"/>
                                  <w:sz w:val="18"/>
                                </w:rPr>
                                <w:t>工程验收</w:t>
                              </w:r>
                            </w:p>
                          </w:txbxContent>
                        </wps:txbx>
                        <wps:bodyPr rot="0" vert="horz" wrap="square" lIns="80467" tIns="40234" rIns="80467" bIns="40234" anchor="t" anchorCtr="0" upright="1">
                          <a:noAutofit/>
                        </wps:bodyPr>
                      </wps:wsp>
                      <wps:wsp>
                        <wps:cNvPr id="24" name="Text Box 14"/>
                        <wps:cNvSpPr txBox="1">
                          <a:spLocks noChangeArrowheads="1"/>
                        </wps:cNvSpPr>
                        <wps:spPr bwMode="auto">
                          <a:xfrm>
                            <a:off x="1137920" y="703580"/>
                            <a:ext cx="697865" cy="292100"/>
                          </a:xfrm>
                          <a:prstGeom prst="rect">
                            <a:avLst/>
                          </a:prstGeom>
                          <a:noFill/>
                          <a:ln>
                            <a:noFill/>
                          </a:ln>
                        </wps:spPr>
                        <wps:txbx>
                          <w:txbxContent>
                            <w:p w14:paraId="37477C0D">
                              <w:pPr>
                                <w:spacing w:line="240" w:lineRule="auto"/>
                                <w:ind w:firstLine="0" w:firstLineChars="0"/>
                                <w:jc w:val="center"/>
                                <w:rPr>
                                  <w:sz w:val="18"/>
                                </w:rPr>
                              </w:pPr>
                              <w:r>
                                <w:rPr>
                                  <w:rFonts w:hint="eastAsia"/>
                                  <w:sz w:val="18"/>
                                </w:rPr>
                                <w:t>固废、废水</w:t>
                              </w:r>
                            </w:p>
                          </w:txbxContent>
                        </wps:txbx>
                        <wps:bodyPr rot="0" vert="horz" wrap="square" lIns="80467" tIns="40234" rIns="80467" bIns="40234" anchor="t" anchorCtr="0" upright="1">
                          <a:noAutofit/>
                        </wps:bodyPr>
                      </wps:wsp>
                      <wps:wsp>
                        <wps:cNvPr id="25" name="Text Box 15"/>
                        <wps:cNvSpPr txBox="1">
                          <a:spLocks noChangeArrowheads="1"/>
                        </wps:cNvSpPr>
                        <wps:spPr bwMode="auto">
                          <a:xfrm>
                            <a:off x="1145969" y="20317"/>
                            <a:ext cx="698141" cy="221929"/>
                          </a:xfrm>
                          <a:prstGeom prst="rect">
                            <a:avLst/>
                          </a:prstGeom>
                          <a:noFill/>
                          <a:ln>
                            <a:noFill/>
                          </a:ln>
                        </wps:spPr>
                        <wps:txbx>
                          <w:txbxContent>
                            <w:p w14:paraId="5D63271A">
                              <w:pPr>
                                <w:spacing w:line="240" w:lineRule="auto"/>
                                <w:ind w:firstLine="0" w:firstLineChars="0"/>
                                <w:jc w:val="center"/>
                                <w:rPr>
                                  <w:sz w:val="18"/>
                                </w:rPr>
                              </w:pPr>
                              <w:r>
                                <w:rPr>
                                  <w:rFonts w:hint="eastAsia"/>
                                  <w:sz w:val="18"/>
                                </w:rPr>
                                <w:t>扬尘、噪声</w:t>
                              </w:r>
                            </w:p>
                          </w:txbxContent>
                        </wps:txbx>
                        <wps:bodyPr rot="0" vert="horz" wrap="square" lIns="80467" tIns="40234" rIns="80467" bIns="40234" anchor="t" anchorCtr="0" upright="1">
                          <a:noAutofit/>
                        </wps:bodyPr>
                      </wps:wsp>
                      <wps:wsp>
                        <wps:cNvPr id="26" name="Text Box 16"/>
                        <wps:cNvSpPr txBox="1">
                          <a:spLocks noChangeArrowheads="1"/>
                        </wps:cNvSpPr>
                        <wps:spPr bwMode="auto">
                          <a:xfrm>
                            <a:off x="965835" y="1069340"/>
                            <a:ext cx="3550920" cy="240665"/>
                          </a:xfrm>
                          <a:prstGeom prst="rect">
                            <a:avLst/>
                          </a:prstGeom>
                          <a:noFill/>
                          <a:ln>
                            <a:noFill/>
                          </a:ln>
                        </wps:spPr>
                        <wps:txbx>
                          <w:txbxContent>
                            <w:p w14:paraId="106D4E2E">
                              <w:pPr>
                                <w:spacing w:line="240" w:lineRule="auto"/>
                                <w:ind w:firstLine="0" w:firstLineChars="0"/>
                                <w:rPr>
                                  <w:b/>
                                  <w:szCs w:val="24"/>
                                </w:rPr>
                              </w:pPr>
                              <w:r>
                                <w:rPr>
                                  <w:rFonts w:hint="eastAsia"/>
                                  <w:b/>
                                  <w:szCs w:val="24"/>
                                </w:rPr>
                                <w:t>图2.11.1-1</w:t>
                              </w:r>
                              <w:r>
                                <w:rPr>
                                  <w:b/>
                                  <w:szCs w:val="24"/>
                                </w:rPr>
                                <w:t xml:space="preserve">   </w:t>
                              </w:r>
                              <w:r>
                                <w:rPr>
                                  <w:rFonts w:hint="eastAsia"/>
                                  <w:b/>
                                  <w:szCs w:val="24"/>
                                </w:rPr>
                                <w:t>本项目施工工艺流程及产污环节</w:t>
                              </w:r>
                            </w:p>
                          </w:txbxContent>
                        </wps:txbx>
                        <wps:bodyPr rot="0" vert="horz" wrap="square" lIns="80467" tIns="40234" rIns="80467" bIns="40234" anchor="t" anchorCtr="0" upright="1">
                          <a:noAutofit/>
                        </wps:bodyPr>
                      </wps:wsp>
                      <wps:wsp>
                        <wps:cNvPr id="28" name="Line 17"/>
                        <wps:cNvCnPr>
                          <a:cxnSpLocks noChangeShapeType="1"/>
                        </wps:cNvCnPr>
                        <wps:spPr bwMode="auto">
                          <a:xfrm flipV="1">
                            <a:off x="1478418" y="187545"/>
                            <a:ext cx="554" cy="147431"/>
                          </a:xfrm>
                          <a:prstGeom prst="line">
                            <a:avLst/>
                          </a:prstGeom>
                          <a:noFill/>
                          <a:ln w="9525">
                            <a:solidFill>
                              <a:srgbClr val="000000"/>
                            </a:solidFill>
                            <a:prstDash val="lgDashDotDot"/>
                            <a:round/>
                            <a:tailEnd type="triangle" w="med" len="med"/>
                          </a:ln>
                        </wps:spPr>
                        <wps:bodyPr/>
                      </wps:wsp>
                      <wps:wsp>
                        <wps:cNvPr id="31" name="Line 18"/>
                        <wps:cNvCnPr>
                          <a:cxnSpLocks noChangeShapeType="1"/>
                        </wps:cNvCnPr>
                        <wps:spPr bwMode="auto">
                          <a:xfrm>
                            <a:off x="2675231" y="456360"/>
                            <a:ext cx="251552" cy="521"/>
                          </a:xfrm>
                          <a:prstGeom prst="line">
                            <a:avLst/>
                          </a:prstGeom>
                          <a:noFill/>
                          <a:ln w="9525">
                            <a:solidFill>
                              <a:srgbClr val="000000"/>
                            </a:solidFill>
                            <a:round/>
                            <a:tailEnd type="triangle" w="med" len="med"/>
                          </a:ln>
                        </wps:spPr>
                        <wps:bodyPr/>
                      </wps:wsp>
                      <wps:wsp>
                        <wps:cNvPr id="32" name="Line 21"/>
                        <wps:cNvCnPr>
                          <a:cxnSpLocks noChangeShapeType="1"/>
                        </wps:cNvCnPr>
                        <wps:spPr bwMode="auto">
                          <a:xfrm flipV="1">
                            <a:off x="1802554" y="461049"/>
                            <a:ext cx="251552" cy="521"/>
                          </a:xfrm>
                          <a:prstGeom prst="line">
                            <a:avLst/>
                          </a:prstGeom>
                          <a:noFill/>
                          <a:ln w="9525">
                            <a:solidFill>
                              <a:srgbClr val="000000"/>
                            </a:solidFill>
                            <a:round/>
                            <a:tailEnd type="triangle" w="med" len="med"/>
                          </a:ln>
                        </wps:spPr>
                        <wps:bodyPr/>
                      </wps:wsp>
                      <wps:wsp>
                        <wps:cNvPr id="33" name="Line 22"/>
                        <wps:cNvCnPr>
                          <a:cxnSpLocks noChangeShapeType="1"/>
                        </wps:cNvCnPr>
                        <wps:spPr bwMode="auto">
                          <a:xfrm flipV="1">
                            <a:off x="1486729" y="593893"/>
                            <a:ext cx="554" cy="147431"/>
                          </a:xfrm>
                          <a:prstGeom prst="line">
                            <a:avLst/>
                          </a:prstGeom>
                          <a:noFill/>
                          <a:ln w="9525">
                            <a:solidFill>
                              <a:srgbClr val="000000"/>
                            </a:solidFill>
                            <a:prstDash val="lgDashDotDot"/>
                            <a:round/>
                            <a:headEnd type="triangle" w="med" len="med"/>
                          </a:ln>
                        </wps:spPr>
                        <wps:bodyPr/>
                      </wps:wsp>
                      <wps:wsp>
                        <wps:cNvPr id="34" name="Text Box 23"/>
                        <wps:cNvSpPr txBox="1">
                          <a:spLocks noChangeArrowheads="1"/>
                        </wps:cNvSpPr>
                        <wps:spPr bwMode="auto">
                          <a:xfrm>
                            <a:off x="2916255" y="328204"/>
                            <a:ext cx="634422" cy="251102"/>
                          </a:xfrm>
                          <a:prstGeom prst="rect">
                            <a:avLst/>
                          </a:prstGeom>
                          <a:noFill/>
                          <a:ln w="9525">
                            <a:solidFill>
                              <a:srgbClr val="000000"/>
                            </a:solidFill>
                            <a:miter lim="800000"/>
                          </a:ln>
                        </wps:spPr>
                        <wps:txbx>
                          <w:txbxContent>
                            <w:p w14:paraId="242219AD">
                              <w:pPr>
                                <w:spacing w:line="240" w:lineRule="auto"/>
                                <w:ind w:firstLine="0" w:firstLineChars="0"/>
                                <w:jc w:val="center"/>
                                <w:rPr>
                                  <w:sz w:val="18"/>
                                </w:rPr>
                              </w:pPr>
                              <w:r>
                                <w:rPr>
                                  <w:rFonts w:hint="eastAsia"/>
                                  <w:sz w:val="18"/>
                                </w:rPr>
                                <w:t>设备安装</w:t>
                              </w:r>
                            </w:p>
                          </w:txbxContent>
                        </wps:txbx>
                        <wps:bodyPr rot="0" vert="horz" wrap="square" lIns="80467" tIns="40234" rIns="80467" bIns="40234" anchor="t" anchorCtr="0" upright="1">
                          <a:noAutofit/>
                        </wps:bodyPr>
                      </wps:wsp>
                      <wps:wsp>
                        <wps:cNvPr id="35" name="Line 24"/>
                        <wps:cNvCnPr>
                          <a:cxnSpLocks noChangeShapeType="1"/>
                        </wps:cNvCnPr>
                        <wps:spPr bwMode="auto">
                          <a:xfrm>
                            <a:off x="3547907" y="453234"/>
                            <a:ext cx="251552" cy="521"/>
                          </a:xfrm>
                          <a:prstGeom prst="line">
                            <a:avLst/>
                          </a:prstGeom>
                          <a:noFill/>
                          <a:ln w="9525">
                            <a:solidFill>
                              <a:srgbClr val="000000"/>
                            </a:solidFill>
                            <a:round/>
                            <a:tailEnd type="triangle" w="med" len="med"/>
                          </a:ln>
                        </wps:spPr>
                        <wps:bodyPr/>
                      </wps:wsp>
                      <wps:wsp>
                        <wps:cNvPr id="36" name="Line 25"/>
                        <wps:cNvCnPr>
                          <a:cxnSpLocks noChangeShapeType="1"/>
                        </wps:cNvCnPr>
                        <wps:spPr bwMode="auto">
                          <a:xfrm flipV="1">
                            <a:off x="2359405" y="178168"/>
                            <a:ext cx="554" cy="147431"/>
                          </a:xfrm>
                          <a:prstGeom prst="line">
                            <a:avLst/>
                          </a:prstGeom>
                          <a:noFill/>
                          <a:ln w="9525">
                            <a:solidFill>
                              <a:srgbClr val="000000"/>
                            </a:solidFill>
                            <a:prstDash val="lgDashDotDot"/>
                            <a:round/>
                            <a:tailEnd type="triangle" w="med" len="med"/>
                          </a:ln>
                        </wps:spPr>
                        <wps:bodyPr/>
                      </wps:wsp>
                      <wps:wsp>
                        <wps:cNvPr id="37" name="Text Box 26"/>
                        <wps:cNvSpPr txBox="1">
                          <a:spLocks noChangeArrowheads="1"/>
                        </wps:cNvSpPr>
                        <wps:spPr bwMode="auto">
                          <a:xfrm>
                            <a:off x="2018665" y="0"/>
                            <a:ext cx="697865" cy="264160"/>
                          </a:xfrm>
                          <a:prstGeom prst="rect">
                            <a:avLst/>
                          </a:prstGeom>
                          <a:noFill/>
                          <a:ln>
                            <a:noFill/>
                          </a:ln>
                        </wps:spPr>
                        <wps:txbx>
                          <w:txbxContent>
                            <w:p w14:paraId="7762E96D">
                              <w:pPr>
                                <w:spacing w:line="240" w:lineRule="auto"/>
                                <w:ind w:firstLine="0" w:firstLineChars="0"/>
                                <w:jc w:val="center"/>
                                <w:rPr>
                                  <w:sz w:val="18"/>
                                </w:rPr>
                              </w:pPr>
                              <w:r>
                                <w:rPr>
                                  <w:rFonts w:hint="eastAsia"/>
                                  <w:sz w:val="18"/>
                                </w:rPr>
                                <w:t>废气、噪声</w:t>
                              </w:r>
                            </w:p>
                          </w:txbxContent>
                        </wps:txbx>
                        <wps:bodyPr rot="0" vert="horz" wrap="square" lIns="80467" tIns="40234" rIns="80467" bIns="40234" anchor="t" anchorCtr="0" upright="1">
                          <a:noAutofit/>
                        </wps:bodyPr>
                      </wps:wsp>
                      <wps:wsp>
                        <wps:cNvPr id="38" name="Line 27"/>
                        <wps:cNvCnPr>
                          <a:cxnSpLocks noChangeShapeType="1"/>
                        </wps:cNvCnPr>
                        <wps:spPr bwMode="auto">
                          <a:xfrm flipV="1">
                            <a:off x="2359405" y="584516"/>
                            <a:ext cx="554" cy="147431"/>
                          </a:xfrm>
                          <a:prstGeom prst="line">
                            <a:avLst/>
                          </a:prstGeom>
                          <a:noFill/>
                          <a:ln w="9525">
                            <a:solidFill>
                              <a:srgbClr val="000000"/>
                            </a:solidFill>
                            <a:prstDash val="lgDashDotDot"/>
                            <a:round/>
                            <a:headEnd type="triangle" w="med" len="med"/>
                          </a:ln>
                        </wps:spPr>
                        <wps:bodyPr/>
                      </wps:wsp>
                      <wps:wsp>
                        <wps:cNvPr id="39" name="Text Box 28"/>
                        <wps:cNvSpPr txBox="1">
                          <a:spLocks noChangeArrowheads="1"/>
                        </wps:cNvSpPr>
                        <wps:spPr bwMode="auto">
                          <a:xfrm>
                            <a:off x="2035175" y="668655"/>
                            <a:ext cx="698500" cy="273685"/>
                          </a:xfrm>
                          <a:prstGeom prst="rect">
                            <a:avLst/>
                          </a:prstGeom>
                          <a:noFill/>
                          <a:ln>
                            <a:noFill/>
                          </a:ln>
                        </wps:spPr>
                        <wps:txbx>
                          <w:txbxContent>
                            <w:p w14:paraId="0B0CD979">
                              <w:pPr>
                                <w:spacing w:line="240" w:lineRule="auto"/>
                                <w:ind w:firstLine="0" w:firstLineChars="0"/>
                                <w:jc w:val="center"/>
                                <w:rPr>
                                  <w:sz w:val="18"/>
                                </w:rPr>
                              </w:pPr>
                              <w:r>
                                <w:rPr>
                                  <w:rFonts w:hint="eastAsia"/>
                                  <w:sz w:val="18"/>
                                </w:rPr>
                                <w:t>固废、废水</w:t>
                              </w:r>
                            </w:p>
                          </w:txbxContent>
                        </wps:txbx>
                        <wps:bodyPr rot="0" vert="horz" wrap="square" lIns="80467" tIns="40234" rIns="80467" bIns="40234" anchor="t" anchorCtr="0" upright="1">
                          <a:noAutofit/>
                        </wps:bodyPr>
                      </wps:wsp>
                      <wps:wsp>
                        <wps:cNvPr id="40" name="Line 29"/>
                        <wps:cNvCnPr>
                          <a:cxnSpLocks noChangeShapeType="1"/>
                        </wps:cNvCnPr>
                        <wps:spPr bwMode="auto">
                          <a:xfrm flipV="1">
                            <a:off x="3223770" y="178168"/>
                            <a:ext cx="554" cy="147431"/>
                          </a:xfrm>
                          <a:prstGeom prst="line">
                            <a:avLst/>
                          </a:prstGeom>
                          <a:noFill/>
                          <a:ln w="9525">
                            <a:solidFill>
                              <a:srgbClr val="000000"/>
                            </a:solidFill>
                            <a:prstDash val="lgDashDotDot"/>
                            <a:round/>
                            <a:tailEnd type="triangle" w="med" len="med"/>
                          </a:ln>
                        </wps:spPr>
                        <wps:bodyPr/>
                      </wps:wsp>
                      <wps:wsp>
                        <wps:cNvPr id="41" name="Text Box 30"/>
                        <wps:cNvSpPr txBox="1">
                          <a:spLocks noChangeArrowheads="1"/>
                        </wps:cNvSpPr>
                        <wps:spPr bwMode="auto">
                          <a:xfrm>
                            <a:off x="2882900" y="0"/>
                            <a:ext cx="698500" cy="264160"/>
                          </a:xfrm>
                          <a:prstGeom prst="rect">
                            <a:avLst/>
                          </a:prstGeom>
                          <a:noFill/>
                          <a:ln>
                            <a:noFill/>
                          </a:ln>
                        </wps:spPr>
                        <wps:txbx>
                          <w:txbxContent>
                            <w:p w14:paraId="5A72C8FB">
                              <w:pPr>
                                <w:spacing w:line="240" w:lineRule="auto"/>
                                <w:ind w:firstLine="0" w:firstLineChars="0"/>
                                <w:jc w:val="center"/>
                                <w:rPr>
                                  <w:sz w:val="18"/>
                                </w:rPr>
                              </w:pPr>
                              <w:r>
                                <w:rPr>
                                  <w:rFonts w:hint="eastAsia"/>
                                  <w:sz w:val="18"/>
                                </w:rPr>
                                <w:t>废气、噪声</w:t>
                              </w:r>
                            </w:p>
                          </w:txbxContent>
                        </wps:txbx>
                        <wps:bodyPr rot="0" vert="horz" wrap="square" lIns="80467" tIns="40234" rIns="80467" bIns="40234" anchor="t" anchorCtr="0" upright="1">
                          <a:noAutofit/>
                        </wps:bodyPr>
                      </wps:wsp>
                      <wps:wsp>
                        <wps:cNvPr id="42" name="Line 31"/>
                        <wps:cNvCnPr>
                          <a:cxnSpLocks noChangeShapeType="1"/>
                        </wps:cNvCnPr>
                        <wps:spPr bwMode="auto">
                          <a:xfrm flipV="1">
                            <a:off x="3232081" y="584516"/>
                            <a:ext cx="554" cy="147431"/>
                          </a:xfrm>
                          <a:prstGeom prst="line">
                            <a:avLst/>
                          </a:prstGeom>
                          <a:noFill/>
                          <a:ln w="9525">
                            <a:solidFill>
                              <a:srgbClr val="000000"/>
                            </a:solidFill>
                            <a:prstDash val="lgDashDotDot"/>
                            <a:round/>
                            <a:headEnd type="triangle" w="med" len="med"/>
                          </a:ln>
                        </wps:spPr>
                        <wps:bodyPr/>
                      </wps:wsp>
                      <wps:wsp>
                        <wps:cNvPr id="43" name="Text Box 32"/>
                        <wps:cNvSpPr txBox="1">
                          <a:spLocks noChangeArrowheads="1"/>
                        </wps:cNvSpPr>
                        <wps:spPr bwMode="auto">
                          <a:xfrm>
                            <a:off x="2882900" y="668655"/>
                            <a:ext cx="698500" cy="273685"/>
                          </a:xfrm>
                          <a:prstGeom prst="rect">
                            <a:avLst/>
                          </a:prstGeom>
                          <a:noFill/>
                          <a:ln>
                            <a:noFill/>
                          </a:ln>
                        </wps:spPr>
                        <wps:txbx>
                          <w:txbxContent>
                            <w:p w14:paraId="407A0580">
                              <w:pPr>
                                <w:spacing w:line="240" w:lineRule="auto"/>
                                <w:ind w:firstLine="0" w:firstLineChars="0"/>
                                <w:jc w:val="center"/>
                                <w:rPr>
                                  <w:sz w:val="18"/>
                                </w:rPr>
                              </w:pPr>
                              <w:r>
                                <w:rPr>
                                  <w:rFonts w:hint="eastAsia"/>
                                  <w:sz w:val="18"/>
                                </w:rPr>
                                <w:t>固废、废水</w:t>
                              </w:r>
                            </w:p>
                          </w:txbxContent>
                        </wps:txbx>
                        <wps:bodyPr rot="0" vert="horz" wrap="square" lIns="80467" tIns="40234" rIns="80467" bIns="40234" anchor="t" anchorCtr="0" upright="1">
                          <a:noAutofit/>
                        </wps:bodyPr>
                      </wps:wsp>
                    </wpc:wpc>
                  </a:graphicData>
                </a:graphic>
              </wp:inline>
            </w:drawing>
          </mc:Choice>
          <mc:Fallback>
            <w:pict>
              <v:group id="_x0000_s1026" o:spid="_x0000_s1026" o:spt="203" style="height:110.55pt;width:390.4pt;" coordsize="4958080,1403985" editas="canvas" o:gfxdata="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">
                <o:lock v:ext="edit" aspectratio="f"/>
                <v:shape id="_x0000_s1026" o:spid="_x0000_s1026" style="position:absolute;left:0;top:0;height:1403985;width:4958080;" filled="f" stroked="f" coordsize="21600,21600" o:gfxdata="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">
                  <v:fill on="f" focussize="0,0"/>
                  <v:stroke on="f"/>
                  <v:imagedata o:title=""/>
                  <o:lock v:ext="edit" aspectratio="f"/>
                </v:shape>
                <v:shape id="Text Box 11" o:spid="_x0000_s1026" o:spt="202" type="#_x0000_t202" style="position:absolute;left:1170903;top:340707;height:251102;width:634422;" filled="f" stroked="t" coordsize="21600,21600" o:gfxdata="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Jdyvj9QAAAAFAQAADwAAAAAAAAABACAAAAAiAAAAZHJzL2Rvd25yZXYu&#10;eG1sUEsBAhQAFAAAAAgAh07iQOSIdSI4AgAAaQQAAA4AAAAAAAAAAQAgAAAAIwEAAGRycy9lMm9E&#10;b2MueG1sUEsFBgAAAAAGAAYAWQEAAM0FAAAAAA==&#10;">
                  <v:fill on="f" focussize="0,0"/>
                  <v:stroke color="#000000" miterlimit="8" joinstyle="miter"/>
                  <v:imagedata o:title=""/>
                  <o:lock v:ext="edit" aspectratio="f"/>
                  <v:textbox inset="6.3359842519685pt,3.16803149606299pt,6.3359842519685pt,3.16803149606299pt">
                    <w:txbxContent>
                      <w:p w14:paraId="5AC925DF">
                        <w:pPr>
                          <w:spacing w:line="240" w:lineRule="auto"/>
                          <w:ind w:firstLine="0" w:firstLineChars="0"/>
                          <w:jc w:val="center"/>
                          <w:rPr>
                            <w:sz w:val="18"/>
                          </w:rPr>
                        </w:pPr>
                        <w:r>
                          <w:rPr>
                            <w:rFonts w:hint="eastAsia"/>
                            <w:sz w:val="18"/>
                          </w:rPr>
                          <w:t>设备搬迁</w:t>
                        </w:r>
                      </w:p>
                    </w:txbxContent>
                  </v:textbox>
                </v:shape>
                <v:shape id="Text Box 12" o:spid="_x0000_s1026" o:spt="202" type="#_x0000_t202" style="position:absolute;left:2043579;top:331330;height:251102;width:634422;" filled="f" stroked="t" coordsize="21600,21600" o:gfxdata="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l3K+P1AAAAAUBAAAPAAAAAAAAAAEAIAAAACIAAABkcnMvZG93bnJl&#10;di54bWxQSwECFAAUAAAACACHTuJA57HdbToCAABpBAAADgAAAAAAAAABACAAAAAjAQAAZHJzL2Uy&#10;b0RvYy54bWxQSwUGAAAAAAYABgBZAQAAzwUAAAAA&#10;">
                  <v:fill on="f" focussize="0,0"/>
                  <v:stroke color="#000000" miterlimit="8" joinstyle="miter"/>
                  <v:imagedata o:title=""/>
                  <o:lock v:ext="edit" aspectratio="f"/>
                  <v:textbox inset="6.3359842519685pt,3.16803149606299pt,6.3359842519685pt,3.16803149606299pt">
                    <w:txbxContent>
                      <w:p w14:paraId="3CFB0794">
                        <w:pPr>
                          <w:spacing w:line="240" w:lineRule="auto"/>
                          <w:ind w:firstLine="0" w:firstLineChars="0"/>
                          <w:jc w:val="center"/>
                          <w:rPr>
                            <w:sz w:val="18"/>
                          </w:rPr>
                        </w:pPr>
                        <w:r>
                          <w:rPr>
                            <w:rFonts w:hint="eastAsia"/>
                            <w:sz w:val="18"/>
                          </w:rPr>
                          <w:t>装饰工程</w:t>
                        </w:r>
                      </w:p>
                    </w:txbxContent>
                  </v:textbox>
                </v:shape>
                <v:shape id="Text Box 13" o:spid="_x0000_s1026" o:spt="202" type="#_x0000_t202" style="position:absolute;left:3797243;top:325079;height:251102;width:634422;" filled="f" stroked="t" coordsize="21600,21600" o:gfxdata="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Xcr4/UAAAABQEAAA8AAAAAAAAAAQAgAAAAIgAAAGRycy9kb3ducmV2&#10;LnhtbFBLAQIUABQAAAAIAIdO4kDQPY71OQIAAGkEAAAOAAAAAAAAAAEAIAAAACMBAABkcnMvZTJv&#10;RG9jLnhtbFBLBQYAAAAABgAGAFkBAADOBQAAAAA=&#10;">
                  <v:fill on="f" focussize="0,0"/>
                  <v:stroke color="#000000" miterlimit="8" joinstyle="miter"/>
                  <v:imagedata o:title=""/>
                  <o:lock v:ext="edit" aspectratio="f"/>
                  <v:textbox inset="6.3359842519685pt,3.16803149606299pt,6.3359842519685pt,3.16803149606299pt">
                    <w:txbxContent>
                      <w:p w14:paraId="1CA5DDE9">
                        <w:pPr>
                          <w:spacing w:line="240" w:lineRule="auto"/>
                          <w:ind w:firstLine="0" w:firstLineChars="0"/>
                          <w:jc w:val="center"/>
                          <w:rPr>
                            <w:sz w:val="18"/>
                          </w:rPr>
                        </w:pPr>
                        <w:r>
                          <w:rPr>
                            <w:rFonts w:hint="eastAsia"/>
                            <w:sz w:val="18"/>
                          </w:rPr>
                          <w:t>工程验收</w:t>
                        </w:r>
                      </w:p>
                    </w:txbxContent>
                  </v:textbox>
                </v:shape>
                <v:shape id="Text Box 14" o:spid="_x0000_s1026" o:spt="202" type="#_x0000_t202" style="position:absolute;left:1137920;top:703580;height:292100;width:697865;" filled="f" stroked="f" coordsize="21600,21600" o:gfxdata="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zpBa3VAAAABQEAAA8AAAAAAAAA&#10;AQAgAAAAIgAAAGRycy9kb3ducmV2LnhtbFBLAQIUABQAAAAIAIdO4kDDvigHFAIAACAEAAAOAAAA&#10;AAAAAAEAIAAAACQBAABkcnMvZTJvRG9jLnhtbFBLBQYAAAAABgAGAFkBAACqBQAAAAA=&#10;">
                  <v:fill on="f" focussize="0,0"/>
                  <v:stroke on="f"/>
                  <v:imagedata o:title=""/>
                  <o:lock v:ext="edit" aspectratio="f"/>
                  <v:textbox inset="6.3359842519685pt,3.16803149606299pt,6.3359842519685pt,3.16803149606299pt">
                    <w:txbxContent>
                      <w:p w14:paraId="37477C0D">
                        <w:pPr>
                          <w:spacing w:line="240" w:lineRule="auto"/>
                          <w:ind w:firstLine="0" w:firstLineChars="0"/>
                          <w:jc w:val="center"/>
                          <w:rPr>
                            <w:sz w:val="18"/>
                          </w:rPr>
                        </w:pPr>
                        <w:r>
                          <w:rPr>
                            <w:rFonts w:hint="eastAsia"/>
                            <w:sz w:val="18"/>
                          </w:rPr>
                          <w:t>固废、废水</w:t>
                        </w:r>
                      </w:p>
                    </w:txbxContent>
                  </v:textbox>
                </v:shape>
                <v:shape id="Text Box 15" o:spid="_x0000_s1026" o:spt="202" type="#_x0000_t202" style="position:absolute;left:1145969;top:20317;height:221929;width:698141;" filled="f" stroked="f" coordsize="21600,21600" o:gfxdata="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rOkFrdUAAAAFAQAADwAAAAAAAAAB&#10;ACAAAAAiAAAAZHJzL2Rvd25yZXYueG1sUEsBAhQAFAAAAAgAh07iQPS1DIoTAgAAHwQAAA4AAAAA&#10;AAAAAQAgAAAAJAEAAGRycy9lMm9Eb2MueG1sUEsFBgAAAAAGAAYAWQEAAKkFAAAAAA==&#10;">
                  <v:fill on="f" focussize="0,0"/>
                  <v:stroke on="f"/>
                  <v:imagedata o:title=""/>
                  <o:lock v:ext="edit" aspectratio="f"/>
                  <v:textbox inset="6.3359842519685pt,3.16803149606299pt,6.3359842519685pt,3.16803149606299pt">
                    <w:txbxContent>
                      <w:p w14:paraId="5D63271A">
                        <w:pPr>
                          <w:spacing w:line="240" w:lineRule="auto"/>
                          <w:ind w:firstLine="0" w:firstLineChars="0"/>
                          <w:jc w:val="center"/>
                          <w:rPr>
                            <w:sz w:val="18"/>
                          </w:rPr>
                        </w:pPr>
                        <w:r>
                          <w:rPr>
                            <w:rFonts w:hint="eastAsia"/>
                            <w:sz w:val="18"/>
                          </w:rPr>
                          <w:t>扬尘、噪声</w:t>
                        </w:r>
                      </w:p>
                    </w:txbxContent>
                  </v:textbox>
                </v:shape>
                <v:shape id="Text Box 16" o:spid="_x0000_s1026" o:spt="202" type="#_x0000_t202" style="position:absolute;left:965835;top:1069340;height:240665;width:3550920;" filled="f" stroked="f" coordsize="21600,21600" o:gfxdata="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s6QWt1QAAAAUBAAAPAAAAAAAA&#10;AAEAIAAAACIAAABkcnMvZG93bnJldi54bWxQSwECFAAUAAAACACHTuJAq39OaRUCAAAhBAAADgAA&#10;AAAAAAABACAAAAAkAQAAZHJzL2Uyb0RvYy54bWxQSwUGAAAAAAYABgBZAQAAqwUAAAAA&#10;">
                  <v:fill on="f" focussize="0,0"/>
                  <v:stroke on="f"/>
                  <v:imagedata o:title=""/>
                  <o:lock v:ext="edit" aspectratio="f"/>
                  <v:textbox inset="6.3359842519685pt,3.16803149606299pt,6.3359842519685pt,3.16803149606299pt">
                    <w:txbxContent>
                      <w:p w14:paraId="106D4E2E">
                        <w:pPr>
                          <w:spacing w:line="240" w:lineRule="auto"/>
                          <w:ind w:firstLine="0" w:firstLineChars="0"/>
                          <w:rPr>
                            <w:b/>
                            <w:szCs w:val="24"/>
                          </w:rPr>
                        </w:pPr>
                        <w:r>
                          <w:rPr>
                            <w:rFonts w:hint="eastAsia"/>
                            <w:b/>
                            <w:szCs w:val="24"/>
                          </w:rPr>
                          <w:t>图2.11.1-1</w:t>
                        </w:r>
                        <w:r>
                          <w:rPr>
                            <w:b/>
                            <w:szCs w:val="24"/>
                          </w:rPr>
                          <w:t xml:space="preserve">   </w:t>
                        </w:r>
                        <w:r>
                          <w:rPr>
                            <w:rFonts w:hint="eastAsia"/>
                            <w:b/>
                            <w:szCs w:val="24"/>
                          </w:rPr>
                          <w:t>本项目施工工艺流程及产污环节</w:t>
                        </w:r>
                      </w:p>
                    </w:txbxContent>
                  </v:textbox>
                </v:shape>
                <v:line id="Line 17" o:spid="_x0000_s1026" o:spt="20" style="position:absolute;left:1478418;top:187545;flip:y;height:147431;width:554;" filled="f" stroked="t" coordsize="21600,21600" o:gfxdata="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v4VTu1QAAAAUBAAAPAAAAAAAAAAEAIAAAACIAAABkcnMv&#10;ZG93bnJldi54bWxQSwECFAAUAAAACACHTuJAywffOAYCAAAFBAAADgAAAAAAAAABACAAAAAkAQAA&#10;ZHJzL2Uyb0RvYy54bWxQSwUGAAAAAAYABgBZAQAAnAUAAAAA&#10;">
                  <v:fill on="f" focussize="0,0"/>
                  <v:stroke color="#000000" joinstyle="round" dashstyle="longDashDotDot" endarrow="block"/>
                  <v:imagedata o:title=""/>
                  <o:lock v:ext="edit" aspectratio="f"/>
                </v:line>
                <v:line id="Line 18" o:spid="_x0000_s1026" o:spt="20" style="position:absolute;left:2675231;top:456360;height:521;width:251552;" filled="f" stroked="t" coordsize="21600,21600" o:gfxdata="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LbUxY9YAAAAFAQAADwAAAAAAAAABACAAAAAiAAAAZHJzL2Rvd25yZXYueG1sUEsBAhQAFAAA&#10;AAgAh07iQPRGEmXxAQAA2wMAAA4AAAAAAAAAAQAgAAAAJQEAAGRycy9lMm9Eb2MueG1sUEsFBgAA&#10;AAAGAAYAWQEAAIgFAAAAAA==&#10;">
                  <v:fill on="f" focussize="0,0"/>
                  <v:stroke color="#000000" joinstyle="round" endarrow="block"/>
                  <v:imagedata o:title=""/>
                  <o:lock v:ext="edit" aspectratio="f"/>
                </v:line>
                <v:line id="Line 21" o:spid="_x0000_s1026" o:spt="20" style="position:absolute;left:1802554;top:461049;flip:y;height:521;width:251552;" filled="f" stroked="t" coordsize="21600,21600" o:gfxdata="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XdpDDWAAAABQEAAA8AAAAAAAAAAQAgAAAAIgAAAGRycy9kb3ducmV2LnhtbFBL&#10;AQIUABQAAAAIAIdO4kCVF3Gb+AEAAOUDAAAOAAAAAAAAAAEAIAAAACUBAABkcnMvZTJvRG9jLnht&#10;bFBLBQYAAAAABgAGAFkBAACPBQAAAAA=&#10;">
                  <v:fill on="f" focussize="0,0"/>
                  <v:stroke color="#000000" joinstyle="round" endarrow="block"/>
                  <v:imagedata o:title=""/>
                  <o:lock v:ext="edit" aspectratio="f"/>
                </v:line>
                <v:line id="Line 22" o:spid="_x0000_s1026" o:spt="20" style="position:absolute;left:1486729;top:593893;flip:y;height:147431;width:554;" filled="f" stroked="t" coordsize="21600,21600" o:gfxdata="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LlfWqtMAAAAFAQAADwAAAAAAAAABACAAAAAiAAAAZHJz&#10;L2Rvd25yZXYueG1sUEsBAhQAFAAAAAgAh07iQO7t4EEJAgAABQQAAA4AAAAAAAAAAQAgAAAAIgEA&#10;AGRycy9lMm9Eb2MueG1sUEsFBgAAAAAGAAYAWQEAAJ0FAAAAAA==&#10;">
                  <v:fill on="f" focussize="0,0"/>
                  <v:stroke color="#000000" joinstyle="round" dashstyle="longDashDotDot" startarrow="block"/>
                  <v:imagedata o:title=""/>
                  <o:lock v:ext="edit" aspectratio="f"/>
                </v:line>
                <v:shape id="Text Box 23" o:spid="_x0000_s1026" o:spt="202" type="#_x0000_t202" style="position:absolute;left:2916255;top:328204;height:251102;width:634422;" filled="f" stroked="t" coordsize="21600,21600" o:gfxdata="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l3K+P1AAAAAUBAAAPAAAAAAAAAAEAIAAAACIAAABkcnMvZG93bnJl&#10;di54bWxQSwECFAAUAAAACACHTuJAMKLxLToCAABpBAAADgAAAAAAAAABACAAAAAjAQAAZHJzL2Uy&#10;b0RvYy54bWxQSwUGAAAAAAYABgBZAQAAzwUAAAAA&#10;">
                  <v:fill on="f" focussize="0,0"/>
                  <v:stroke color="#000000" miterlimit="8" joinstyle="miter"/>
                  <v:imagedata o:title=""/>
                  <o:lock v:ext="edit" aspectratio="f"/>
                  <v:textbox inset="6.3359842519685pt,3.16803149606299pt,6.3359842519685pt,3.16803149606299pt">
                    <w:txbxContent>
                      <w:p w14:paraId="242219AD">
                        <w:pPr>
                          <w:spacing w:line="240" w:lineRule="auto"/>
                          <w:ind w:firstLine="0" w:firstLineChars="0"/>
                          <w:jc w:val="center"/>
                          <w:rPr>
                            <w:sz w:val="18"/>
                          </w:rPr>
                        </w:pPr>
                        <w:r>
                          <w:rPr>
                            <w:rFonts w:hint="eastAsia"/>
                            <w:sz w:val="18"/>
                          </w:rPr>
                          <w:t>设备安装</w:t>
                        </w:r>
                      </w:p>
                    </w:txbxContent>
                  </v:textbox>
                </v:shape>
                <v:line id="Line 24" o:spid="_x0000_s1026" o:spt="20" style="position:absolute;left:3547907;top:453234;height:521;width:251552;" filled="f" stroked="t" coordsize="21600,21600" o:gfxdata="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ttTFj1gAAAAUBAAAPAAAAAAAAAAEAIAAAACIAAABkcnMvZG93bnJldi54bWxQSwECFAAU&#10;AAAACACHTuJA265fw/MBAADbAwAADgAAAAAAAAABACAAAAAlAQAAZHJzL2Uyb0RvYy54bWxQSwUG&#10;AAAAAAYABgBZAQAAigUAAAAA&#10;">
                  <v:fill on="f" focussize="0,0"/>
                  <v:stroke color="#000000" joinstyle="round" endarrow="block"/>
                  <v:imagedata o:title=""/>
                  <o:lock v:ext="edit" aspectratio="f"/>
                </v:line>
                <v:line id="Line 25" o:spid="_x0000_s1026" o:spt="20" style="position:absolute;left:2359405;top:178168;flip:y;height:147431;width:554;" filled="f" stroked="t" coordsize="21600,21600" o:gfxdata="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v4VTu1QAAAAUBAAAPAAAAAAAAAAEAIAAAACIAAABkcnMv&#10;ZG93bnJldi54bWxQSwECFAAUAAAACACHTuJAWLDmMwYCAAAFBAAADgAAAAAAAAABACAAAAAkAQAA&#10;ZHJzL2Uyb0RvYy54bWxQSwUGAAAAAAYABgBZAQAAnAUAAAAA&#10;">
                  <v:fill on="f" focussize="0,0"/>
                  <v:stroke color="#000000" joinstyle="round" dashstyle="longDashDotDot" endarrow="block"/>
                  <v:imagedata o:title=""/>
                  <o:lock v:ext="edit" aspectratio="f"/>
                </v:line>
                <v:shape id="Text Box 26" o:spid="_x0000_s1026" o:spt="202" type="#_x0000_t202" style="position:absolute;left:2018665;top:0;height:264160;width:697865;" filled="f" stroked="f" coordsize="21600,21600" o:gfxdata="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rOkFrdUAAAAFAQAADwAAAAAAAAABACAAAAAi&#10;AAAAZHJzL2Rvd25yZXYueG1sUEsBAhQAFAAAAAgAh07iQK56NM4NAgAAGwQAAA4AAAAAAAAAAQAg&#10;AAAAJAEAAGRycy9lMm9Eb2MueG1sUEsFBgAAAAAGAAYAWQEAAKMFAAAAAA==&#10;">
                  <v:fill on="f" focussize="0,0"/>
                  <v:stroke on="f"/>
                  <v:imagedata o:title=""/>
                  <o:lock v:ext="edit" aspectratio="f"/>
                  <v:textbox inset="6.3359842519685pt,3.16803149606299pt,6.3359842519685pt,3.16803149606299pt">
                    <w:txbxContent>
                      <w:p w14:paraId="7762E96D">
                        <w:pPr>
                          <w:spacing w:line="240" w:lineRule="auto"/>
                          <w:ind w:firstLine="0" w:firstLineChars="0"/>
                          <w:jc w:val="center"/>
                          <w:rPr>
                            <w:sz w:val="18"/>
                          </w:rPr>
                        </w:pPr>
                        <w:r>
                          <w:rPr>
                            <w:rFonts w:hint="eastAsia"/>
                            <w:sz w:val="18"/>
                          </w:rPr>
                          <w:t>废气、噪声</w:t>
                        </w:r>
                      </w:p>
                    </w:txbxContent>
                  </v:textbox>
                </v:shape>
                <v:line id="Line 27" o:spid="_x0000_s1026" o:spt="20" style="position:absolute;left:2359405;top:584516;flip:y;height:147431;width:554;" filled="f" stroked="t" coordsize="21600,21600" o:gfxdata="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LlfWqtMAAAAFAQAADwAAAAAAAAABACAAAAAiAAAAZHJz&#10;L2Rvd25yZXYueG1sUEsBAhQAFAAAAAgAh07iQCRHym8JAgAABQQAAA4AAAAAAAAAAQAgAAAAIgEA&#10;AGRycy9lMm9Eb2MueG1sUEsFBgAAAAAGAAYAWQEAAJ0FAAAAAA==&#10;">
                  <v:fill on="f" focussize="0,0"/>
                  <v:stroke color="#000000" joinstyle="round" dashstyle="longDashDotDot" startarrow="block"/>
                  <v:imagedata o:title=""/>
                  <o:lock v:ext="edit" aspectratio="f"/>
                </v:line>
                <v:shape id="Text Box 28" o:spid="_x0000_s1026" o:spt="202" type="#_x0000_t202" style="position:absolute;left:2035175;top:668655;height:273685;width:698500;" filled="f" stroked="f" coordsize="21600,21600" o:gfxdata="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s6QWt1QAAAAUBAAAPAAAAAAAA&#10;AAEAIAAAACIAAABkcnMvZG93bnJldi54bWxQSwECFAAUAAAACACHTuJAYNNNhRUCAAAgBAAADgAA&#10;AAAAAAABACAAAAAkAQAAZHJzL2Uyb0RvYy54bWxQSwUGAAAAAAYABgBZAQAAqwUAAAAA&#10;">
                  <v:fill on="f" focussize="0,0"/>
                  <v:stroke on="f"/>
                  <v:imagedata o:title=""/>
                  <o:lock v:ext="edit" aspectratio="f"/>
                  <v:textbox inset="6.3359842519685pt,3.16803149606299pt,6.3359842519685pt,3.16803149606299pt">
                    <w:txbxContent>
                      <w:p w14:paraId="0B0CD979">
                        <w:pPr>
                          <w:spacing w:line="240" w:lineRule="auto"/>
                          <w:ind w:firstLine="0" w:firstLineChars="0"/>
                          <w:jc w:val="center"/>
                          <w:rPr>
                            <w:sz w:val="18"/>
                          </w:rPr>
                        </w:pPr>
                        <w:r>
                          <w:rPr>
                            <w:rFonts w:hint="eastAsia"/>
                            <w:sz w:val="18"/>
                          </w:rPr>
                          <w:t>固废、废水</w:t>
                        </w:r>
                      </w:p>
                    </w:txbxContent>
                  </v:textbox>
                </v:shape>
                <v:line id="Line 29" o:spid="_x0000_s1026" o:spt="20" style="position:absolute;left:3223770;top:178168;flip:y;height:147431;width:554;" filled="f" stroked="t" coordsize="21600,21600" o:gfxdata="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&#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hVO7VAAAABQEAAA8AAAAAAAAAAQAgAAAAIgAAAGRy&#10;cy9kb3ducmV2LnhtbFBLAQIUABQAAAAIAIdO4kCQRFLHCAIAAAUEAAAOAAAAAAAAAAEAIAAAACQB&#10;AABkcnMvZTJvRG9jLnhtbFBLBQYAAAAABgAGAFkBAACeBQAAAAA=&#10;">
                  <v:fill on="f" focussize="0,0"/>
                  <v:stroke color="#000000" joinstyle="round" dashstyle="longDashDotDot" endarrow="block"/>
                  <v:imagedata o:title=""/>
                  <o:lock v:ext="edit" aspectratio="f"/>
                </v:line>
                <v:shape id="Text Box 30" o:spid="_x0000_s1026" o:spt="202" type="#_x0000_t202" style="position:absolute;left:2882900;top:0;height:264160;width:698500;" filled="f" stroked="f" coordsize="21600,21600" o:gfxdata="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zpBa3VAAAABQEAAA8AAAAAAAAAAQAgAAAA&#10;IgAAAGRycy9kb3ducmV2LnhtbFBLAQIUABQAAAAIAIdO4kCqxLiVDgIAABsEAAAOAAAAAAAAAAEA&#10;IAAAACQBAABkcnMvZTJvRG9jLnhtbFBLBQYAAAAABgAGAFkBAACkBQAAAAA=&#10;">
                  <v:fill on="f" focussize="0,0"/>
                  <v:stroke on="f"/>
                  <v:imagedata o:title=""/>
                  <o:lock v:ext="edit" aspectratio="f"/>
                  <v:textbox inset="6.3359842519685pt,3.16803149606299pt,6.3359842519685pt,3.16803149606299pt">
                    <w:txbxContent>
                      <w:p w14:paraId="5A72C8FB">
                        <w:pPr>
                          <w:spacing w:line="240" w:lineRule="auto"/>
                          <w:ind w:firstLine="0" w:firstLineChars="0"/>
                          <w:jc w:val="center"/>
                          <w:rPr>
                            <w:sz w:val="18"/>
                          </w:rPr>
                        </w:pPr>
                        <w:r>
                          <w:rPr>
                            <w:rFonts w:hint="eastAsia"/>
                            <w:sz w:val="18"/>
                          </w:rPr>
                          <w:t>废气、噪声</w:t>
                        </w:r>
                      </w:p>
                    </w:txbxContent>
                  </v:textbox>
                </v:shape>
                <v:line id="Line 31" o:spid="_x0000_s1026" o:spt="20" style="position:absolute;left:3232081;top:584516;flip:y;height:147431;width:554;" filled="f" stroked="t" coordsize="21600,21600" o:gfxdata="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&#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5X1qrTAAAABQEAAA8AAAAAAAAAAQAgAAAAIgAAAGRy&#10;cy9kb3ducmV2LnhtbFBLAQIUABQAAAAIAIdO4kCWsHF9CgIAAAUEAAAOAAAAAAAAAAEAIAAAACIB&#10;AABkcnMvZTJvRG9jLnhtbFBLBQYAAAAABgAGAFkBAACeBQAAAAA=&#10;">
                  <v:fill on="f" focussize="0,0"/>
                  <v:stroke color="#000000" joinstyle="round" dashstyle="longDashDotDot" startarrow="block"/>
                  <v:imagedata o:title=""/>
                  <o:lock v:ext="edit" aspectratio="f"/>
                </v:line>
                <v:shape id="Text Box 32" o:spid="_x0000_s1026" o:spt="202" type="#_x0000_t202" style="position:absolute;left:2882900;top:668655;height:273685;width:698500;" filled="f" stroked="f" coordsize="21600,21600" o:gfxdata="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zpBa3VAAAABQEAAA8AAAAAAAAA&#10;AQAgAAAAIgAAAGRycy9kb3ducmV2LnhtbFBLAQIUABQAAAAIAIdO4kCuMIbqFAIAACAEAAAOAAAA&#10;AAAAAAEAIAAAACQBAABkcnMvZTJvRG9jLnhtbFBLBQYAAAAABgAGAFkBAACqBQAAAAA=&#10;">
                  <v:fill on="f" focussize="0,0"/>
                  <v:stroke on="f"/>
                  <v:imagedata o:title=""/>
                  <o:lock v:ext="edit" aspectratio="f"/>
                  <v:textbox inset="6.3359842519685pt,3.16803149606299pt,6.3359842519685pt,3.16803149606299pt">
                    <w:txbxContent>
                      <w:p w14:paraId="407A0580">
                        <w:pPr>
                          <w:spacing w:line="240" w:lineRule="auto"/>
                          <w:ind w:firstLine="0" w:firstLineChars="0"/>
                          <w:jc w:val="center"/>
                          <w:rPr>
                            <w:sz w:val="18"/>
                          </w:rPr>
                        </w:pPr>
                        <w:r>
                          <w:rPr>
                            <w:rFonts w:hint="eastAsia"/>
                            <w:sz w:val="18"/>
                          </w:rPr>
                          <w:t>固废、废水</w:t>
                        </w:r>
                      </w:p>
                    </w:txbxContent>
                  </v:textbox>
                </v:shape>
                <w10:wrap type="none"/>
                <w10:anchorlock/>
              </v:group>
            </w:pict>
          </mc:Fallback>
        </mc:AlternateContent>
      </w:r>
    </w:p>
    <w:p w14:paraId="56E143AF">
      <w:pPr>
        <w:pStyle w:val="258"/>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eastAsia="宋体" w:cs="Times New Roman"/>
          <w:color w:val="auto"/>
        </w:rPr>
        <w:t>11</w:t>
      </w:r>
      <w:r>
        <w:rPr>
          <w:rFonts w:hint="default" w:ascii="Times New Roman" w:hAnsi="Times New Roman" w:cs="Times New Roman"/>
          <w:color w:val="auto"/>
        </w:rPr>
        <w:t>.2 运营期工艺流程及产污环节</w:t>
      </w:r>
    </w:p>
    <w:p w14:paraId="61039244">
      <w:pPr>
        <w:ind w:firstLine="480"/>
        <w:rPr>
          <w:rFonts w:hint="default" w:ascii="Times New Roman" w:hAnsi="Times New Roman" w:cs="Times New Roman"/>
          <w:color w:val="auto"/>
        </w:rPr>
      </w:pPr>
      <w:r>
        <w:rPr>
          <w:rFonts w:hint="default" w:ascii="Times New Roman" w:hAnsi="Times New Roman" w:cs="Times New Roman"/>
          <w:color w:val="auto"/>
        </w:rPr>
        <w:t>本项目改性塑料颗粒主要利用外购的PP树脂、POE树脂、滑石粉、PA树脂、长玻纤、PC树脂、ABS树脂等作为原料进行生产。生产过程中不涉及再生塑料。工艺流程及产污环节下见图。</w:t>
      </w:r>
    </w:p>
    <w:p w14:paraId="30F15838">
      <w:pPr>
        <w:ind w:firstLine="482"/>
        <w:rPr>
          <w:rFonts w:hint="default" w:ascii="Times New Roman" w:hAnsi="Times New Roman" w:cs="Times New Roman"/>
          <w:b/>
          <w:color w:val="auto"/>
        </w:rPr>
      </w:pPr>
      <w:r>
        <w:rPr>
          <w:rFonts w:hint="default" w:ascii="Times New Roman" w:hAnsi="Times New Roman" w:cs="Times New Roman"/>
          <w:b/>
          <w:color w:val="auto"/>
        </w:rPr>
        <w:t>工艺流程简述：</w:t>
      </w:r>
    </w:p>
    <w:p w14:paraId="413C706E">
      <w:pPr>
        <w:ind w:firstLine="482"/>
        <w:rPr>
          <w:rFonts w:hint="default" w:ascii="Times New Roman" w:hAnsi="Times New Roman" w:cs="Times New Roman"/>
          <w:b/>
          <w:bCs/>
          <w:color w:val="auto"/>
        </w:rPr>
      </w:pPr>
      <w:r>
        <w:rPr>
          <w:rFonts w:hint="default" w:ascii="Times New Roman" w:hAnsi="Times New Roman" w:cs="Times New Roman"/>
          <w:b/>
          <w:bCs/>
          <w:color w:val="auto"/>
        </w:rPr>
        <w:t>1）改性PP</w:t>
      </w:r>
    </w:p>
    <w:p w14:paraId="627C925F">
      <w:pPr>
        <w:ind w:firstLine="0" w:firstLineChars="0"/>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3409950" cy="4180205"/>
            <wp:effectExtent l="0" t="0" r="0" b="10795"/>
            <wp:docPr id="57" name="图片 57" descr="改性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改性PP"/>
                    <pic:cNvPicPr>
                      <a:picLocks noChangeAspect="1"/>
                    </pic:cNvPicPr>
                  </pic:nvPicPr>
                  <pic:blipFill>
                    <a:blip r:embed="rId41"/>
                    <a:stretch>
                      <a:fillRect/>
                    </a:stretch>
                  </pic:blipFill>
                  <pic:spPr>
                    <a:xfrm>
                      <a:off x="0" y="0"/>
                      <a:ext cx="3409950" cy="4180205"/>
                    </a:xfrm>
                    <a:prstGeom prst="rect">
                      <a:avLst/>
                    </a:prstGeom>
                  </pic:spPr>
                </pic:pic>
              </a:graphicData>
            </a:graphic>
          </wp:inline>
        </w:drawing>
      </w:r>
    </w:p>
    <w:p w14:paraId="68455292">
      <w:pPr>
        <w:pStyle w:val="93"/>
        <w:rPr>
          <w:rFonts w:hint="default" w:ascii="Times New Roman" w:hAnsi="Times New Roman" w:cs="Times New Roman"/>
          <w:color w:val="auto"/>
        </w:rPr>
      </w:pPr>
      <w:r>
        <w:rPr>
          <w:rFonts w:hint="default" w:ascii="Times New Roman" w:hAnsi="Times New Roman" w:cs="Times New Roman"/>
          <w:color w:val="auto"/>
        </w:rPr>
        <w:t>图2.11.2-1    改性PP生产工艺及产污节点图</w:t>
      </w:r>
    </w:p>
    <w:p w14:paraId="5A09D6CE">
      <w:pPr>
        <w:pStyle w:val="50"/>
        <w:ind w:firstLine="480"/>
        <w:rPr>
          <w:rFonts w:hint="default" w:ascii="Times New Roman" w:hAnsi="Times New Roman" w:cs="Times New Roman"/>
          <w:color w:val="auto"/>
        </w:rPr>
      </w:pPr>
    </w:p>
    <w:p w14:paraId="789D9418">
      <w:pPr>
        <w:ind w:firstLine="480"/>
        <w:rPr>
          <w:rFonts w:hint="default" w:ascii="Times New Roman" w:hAnsi="Times New Roman" w:cs="Times New Roman"/>
          <w:color w:val="auto"/>
        </w:rPr>
      </w:pPr>
      <w:r>
        <w:rPr>
          <w:rFonts w:hint="default" w:ascii="Times New Roman" w:hAnsi="Times New Roman" w:cs="Times New Roman"/>
          <w:color w:val="auto"/>
        </w:rPr>
        <w:t>A）配料混合</w:t>
      </w:r>
    </w:p>
    <w:p w14:paraId="78A268F7">
      <w:pPr>
        <w:ind w:firstLine="480"/>
        <w:rPr>
          <w:rFonts w:hint="default" w:ascii="Times New Roman" w:hAnsi="Times New Roman" w:cs="Times New Roman"/>
          <w:color w:val="auto"/>
        </w:rPr>
      </w:pPr>
      <w:r>
        <w:rPr>
          <w:rFonts w:hint="default" w:ascii="Times New Roman" w:hAnsi="Times New Roman" w:cs="Times New Roman"/>
          <w:color w:val="auto"/>
          <w:szCs w:val="24"/>
        </w:rPr>
        <w:t>人工称重将PP树脂、POE树脂、滑石粉</w:t>
      </w:r>
      <w:r>
        <w:rPr>
          <w:rFonts w:hint="default" w:ascii="Times New Roman" w:hAnsi="Times New Roman" w:cs="Times New Roman"/>
          <w:color w:val="auto"/>
        </w:rPr>
        <w:t>送入混料机和立式拌料机进行混合3~8min。</w:t>
      </w:r>
    </w:p>
    <w:p w14:paraId="76B483F4">
      <w:pPr>
        <w:ind w:firstLine="480"/>
        <w:rPr>
          <w:rFonts w:hint="default" w:ascii="Times New Roman" w:hAnsi="Times New Roman" w:cs="Times New Roman"/>
          <w:color w:val="auto"/>
        </w:rPr>
      </w:pPr>
      <w:r>
        <w:rPr>
          <w:rFonts w:hint="default" w:ascii="Times New Roman" w:hAnsi="Times New Roman" w:cs="Times New Roman"/>
          <w:color w:val="auto"/>
        </w:rPr>
        <w:t>混合过程主要产生粉尘G1和设备噪声N1。</w:t>
      </w:r>
    </w:p>
    <w:p w14:paraId="2B2B379F">
      <w:pPr>
        <w:ind w:firstLine="480"/>
        <w:rPr>
          <w:rFonts w:hint="default" w:ascii="Times New Roman" w:hAnsi="Times New Roman" w:cs="Times New Roman"/>
          <w:color w:val="auto"/>
        </w:rPr>
      </w:pPr>
      <w:r>
        <w:rPr>
          <w:rFonts w:hint="default" w:ascii="Times New Roman" w:hAnsi="Times New Roman" w:cs="Times New Roman"/>
          <w:color w:val="auto"/>
        </w:rPr>
        <w:t>B）双螺杆挤出熔融共混</w:t>
      </w:r>
    </w:p>
    <w:p w14:paraId="59BC8115">
      <w:pPr>
        <w:ind w:firstLine="480"/>
        <w:rPr>
          <w:rFonts w:hint="default" w:ascii="Times New Roman" w:hAnsi="Times New Roman" w:cs="Times New Roman"/>
          <w:color w:val="auto"/>
        </w:rPr>
      </w:pPr>
      <w:r>
        <w:rPr>
          <w:rStyle w:val="47"/>
          <w:rFonts w:hint="default" w:ascii="Times New Roman" w:hAnsi="Times New Roman" w:cs="Times New Roman"/>
          <w:b w:val="0"/>
          <w:bCs w:val="0"/>
          <w:color w:val="auto"/>
          <w:szCs w:val="24"/>
        </w:rPr>
        <w:t>从平行双螺杆挤出机主喂料口</w:t>
      </w:r>
      <w:r>
        <w:rPr>
          <w:rFonts w:hint="default" w:ascii="Times New Roman" w:hAnsi="Times New Roman" w:cs="Times New Roman"/>
          <w:color w:val="auto"/>
          <w:szCs w:val="24"/>
        </w:rPr>
        <w:t>加入混合好的PP+POE+滑石粉</w:t>
      </w:r>
      <w:r>
        <w:rPr>
          <w:rFonts w:hint="default" w:ascii="Times New Roman" w:hAnsi="Times New Roman" w:cs="Times New Roman"/>
          <w:color w:val="auto"/>
        </w:rPr>
        <w:t>。原料在180~225℃下进行熔融共混，并由螺杆挤出。为消除熔融树脂中的气泡，双螺杆挤出机机筒上的真空排气口需外接真空泵并抽吸掉废气（对应螺杆的排气脱挥段），此外挤出机常压</w:t>
      </w:r>
      <w:r>
        <w:rPr>
          <w:rFonts w:hint="default" w:ascii="Times New Roman" w:hAnsi="Times New Roman" w:cs="Times New Roman"/>
          <w:color w:val="auto"/>
          <w:szCs w:val="24"/>
        </w:rPr>
        <w:t>排气口、模头挤出口、侧喂料口也会有有机废气产生。</w:t>
      </w:r>
    </w:p>
    <w:p w14:paraId="619DE79E">
      <w:pPr>
        <w:ind w:firstLine="480"/>
        <w:rPr>
          <w:rFonts w:hint="default" w:ascii="Times New Roman" w:hAnsi="Times New Roman" w:cs="Times New Roman"/>
          <w:color w:val="auto"/>
        </w:rPr>
      </w:pPr>
      <w:r>
        <w:rPr>
          <w:rFonts w:hint="default" w:ascii="Times New Roman" w:hAnsi="Times New Roman" w:cs="Times New Roman"/>
          <w:color w:val="auto"/>
        </w:rPr>
        <w:t>熔融共混过程主要产生有机废气G2和挤出设备噪声N2。</w:t>
      </w:r>
    </w:p>
    <w:p w14:paraId="2E28DED6">
      <w:pPr>
        <w:ind w:firstLine="480"/>
        <w:rPr>
          <w:rFonts w:hint="default" w:ascii="Times New Roman" w:hAnsi="Times New Roman" w:cs="Times New Roman"/>
          <w:color w:val="auto"/>
        </w:rPr>
      </w:pPr>
      <w:r>
        <w:rPr>
          <w:rFonts w:hint="default" w:ascii="Times New Roman" w:hAnsi="Times New Roman" w:cs="Times New Roman"/>
          <w:color w:val="auto"/>
        </w:rPr>
        <w:t>C）</w:t>
      </w:r>
      <w:r>
        <w:rPr>
          <w:rFonts w:hint="default" w:ascii="Times New Roman" w:hAnsi="Times New Roman" w:cs="Times New Roman"/>
          <w:color w:val="auto"/>
          <w:szCs w:val="24"/>
        </w:rPr>
        <w:t>冷却切粒</w:t>
      </w:r>
    </w:p>
    <w:p w14:paraId="32537EA3">
      <w:pPr>
        <w:ind w:firstLine="480"/>
        <w:rPr>
          <w:rFonts w:hint="default" w:ascii="Times New Roman" w:hAnsi="Times New Roman" w:cs="Times New Roman"/>
          <w:color w:val="auto"/>
          <w:szCs w:val="24"/>
        </w:rPr>
      </w:pPr>
      <w:r>
        <w:rPr>
          <w:rFonts w:hint="default" w:ascii="Times New Roman" w:hAnsi="Times New Roman" w:cs="Times New Roman"/>
          <w:color w:val="auto"/>
        </w:rPr>
        <w:t>挤出的混合料进入冷却水槽，在冷却水槽中完全冷却定型，并由切料机</w:t>
      </w:r>
      <w:r>
        <w:rPr>
          <w:rFonts w:hint="default" w:ascii="Times New Roman" w:hAnsi="Times New Roman" w:cs="Times New Roman"/>
          <w:color w:val="auto"/>
          <w:szCs w:val="24"/>
        </w:rPr>
        <w:t>定长切粒成一定规格的圆柱体颗粒。高温挤出的料条冷却水槽冷却过程中，内部残留的挥发分持续向环境释放。主要产生切粒机噪声N3和冷却废水W1、</w:t>
      </w:r>
      <w:r>
        <w:rPr>
          <w:rFonts w:hint="default" w:ascii="Times New Roman" w:hAnsi="Times New Roman" w:cs="Times New Roman"/>
          <w:color w:val="auto"/>
        </w:rPr>
        <w:t>有机废气G2</w:t>
      </w:r>
      <w:r>
        <w:rPr>
          <w:rFonts w:hint="default" w:ascii="Times New Roman" w:hAnsi="Times New Roman" w:cs="Times New Roman"/>
          <w:color w:val="auto"/>
          <w:szCs w:val="24"/>
        </w:rPr>
        <w:t>。</w:t>
      </w:r>
    </w:p>
    <w:p w14:paraId="2E4A549B">
      <w:pPr>
        <w:ind w:firstLine="480"/>
        <w:rPr>
          <w:rFonts w:hint="default" w:ascii="Times New Roman" w:hAnsi="Times New Roman" w:cs="Times New Roman"/>
          <w:color w:val="auto"/>
        </w:rPr>
      </w:pPr>
      <w:r>
        <w:rPr>
          <w:rFonts w:hint="default" w:ascii="Times New Roman" w:hAnsi="Times New Roman" w:cs="Times New Roman"/>
          <w:color w:val="auto"/>
        </w:rPr>
        <w:t>D）烘干</w:t>
      </w:r>
    </w:p>
    <w:p w14:paraId="782A1682">
      <w:pPr>
        <w:ind w:firstLine="480"/>
        <w:rPr>
          <w:rFonts w:hint="default" w:ascii="Times New Roman" w:hAnsi="Times New Roman" w:cs="Times New Roman"/>
          <w:color w:val="auto"/>
        </w:rPr>
      </w:pPr>
      <w:r>
        <w:rPr>
          <w:rFonts w:hint="default" w:ascii="Times New Roman" w:hAnsi="Times New Roman" w:cs="Times New Roman"/>
          <w:color w:val="auto"/>
        </w:rPr>
        <w:t>采用干燥机用电能加热进行烘干，烘干温度85℃，烘干时间约3h。烘干温度远低于物料熔融温度，主要为脱出水分，其产生的有机废气量G2极少。</w:t>
      </w:r>
    </w:p>
    <w:p w14:paraId="1BB372DC">
      <w:pPr>
        <w:ind w:firstLine="480"/>
        <w:rPr>
          <w:rFonts w:hint="default" w:ascii="Times New Roman" w:hAnsi="Times New Roman" w:cs="Times New Roman"/>
          <w:color w:val="auto"/>
        </w:rPr>
      </w:pPr>
      <w:r>
        <w:rPr>
          <w:rFonts w:hint="default" w:ascii="Times New Roman" w:hAnsi="Times New Roman" w:cs="Times New Roman"/>
          <w:color w:val="auto"/>
        </w:rPr>
        <w:t>E）均化</w:t>
      </w:r>
    </w:p>
    <w:p w14:paraId="4133A33D">
      <w:pPr>
        <w:ind w:firstLine="480"/>
        <w:rPr>
          <w:rFonts w:hint="default" w:ascii="Times New Roman" w:hAnsi="Times New Roman" w:cs="Times New Roman"/>
          <w:color w:val="auto"/>
        </w:rPr>
      </w:pPr>
      <w:r>
        <w:rPr>
          <w:rFonts w:hint="default" w:ascii="Times New Roman" w:hAnsi="Times New Roman" w:cs="Times New Roman"/>
          <w:color w:val="auto"/>
        </w:rPr>
        <w:t>各批次物料再送入均化料仓充分混合，消除前后段性能色差、熔指偏差。</w:t>
      </w:r>
      <w:r>
        <w:rPr>
          <w:rFonts w:hint="default" w:ascii="Times New Roman" w:hAnsi="Times New Roman" w:cs="Times New Roman"/>
          <w:color w:val="auto"/>
          <w:szCs w:val="24"/>
        </w:rPr>
        <w:t>主要产生均化噪声N4。</w:t>
      </w:r>
    </w:p>
    <w:p w14:paraId="4D6EFB5A">
      <w:pPr>
        <w:ind w:firstLine="480"/>
        <w:rPr>
          <w:rFonts w:hint="default" w:ascii="Times New Roman" w:hAnsi="Times New Roman" w:cs="Times New Roman"/>
          <w:color w:val="auto"/>
        </w:rPr>
      </w:pPr>
      <w:r>
        <w:rPr>
          <w:rFonts w:hint="default" w:ascii="Times New Roman" w:hAnsi="Times New Roman" w:cs="Times New Roman"/>
          <w:color w:val="auto"/>
        </w:rPr>
        <w:t>F）检测包装</w:t>
      </w:r>
    </w:p>
    <w:p w14:paraId="03EBE990">
      <w:pPr>
        <w:ind w:firstLine="480"/>
        <w:rPr>
          <w:rFonts w:hint="default" w:ascii="Times New Roman" w:hAnsi="Times New Roman" w:cs="Times New Roman"/>
          <w:color w:val="auto"/>
        </w:rPr>
      </w:pPr>
      <w:r>
        <w:rPr>
          <w:rFonts w:hint="default" w:ascii="Times New Roman" w:hAnsi="Times New Roman" w:cs="Times New Roman"/>
          <w:color w:val="auto"/>
        </w:rPr>
        <w:t>利用检测设备对粒料进行物理化学等性能的检测，并使用防潮编织袋进行包装，存放于成品区。包装设备产生噪声N5和不合格品S1。</w:t>
      </w:r>
    </w:p>
    <w:p w14:paraId="2239AAE7">
      <w:pPr>
        <w:ind w:firstLine="482"/>
        <w:rPr>
          <w:rFonts w:hint="default" w:ascii="Times New Roman" w:hAnsi="Times New Roman" w:cs="Times New Roman"/>
          <w:b/>
          <w:bCs/>
          <w:color w:val="auto"/>
        </w:rPr>
      </w:pPr>
      <w:r>
        <w:rPr>
          <w:rFonts w:hint="default" w:ascii="Times New Roman" w:hAnsi="Times New Roman" w:cs="Times New Roman"/>
          <w:b/>
          <w:bCs/>
          <w:color w:val="auto"/>
        </w:rPr>
        <w:t>2）改性PA</w:t>
      </w:r>
    </w:p>
    <w:p w14:paraId="3C498441">
      <w:pPr>
        <w:pStyle w:val="50"/>
        <w:ind w:firstLine="0" w:firstLineChars="0"/>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3489325" cy="3830955"/>
            <wp:effectExtent l="0" t="0" r="15875" b="17145"/>
            <wp:docPr id="58" name="图片 58" descr="改性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改性PA"/>
                    <pic:cNvPicPr>
                      <a:picLocks noChangeAspect="1"/>
                    </pic:cNvPicPr>
                  </pic:nvPicPr>
                  <pic:blipFill>
                    <a:blip r:embed="rId42"/>
                    <a:stretch>
                      <a:fillRect/>
                    </a:stretch>
                  </pic:blipFill>
                  <pic:spPr>
                    <a:xfrm>
                      <a:off x="0" y="0"/>
                      <a:ext cx="3489325" cy="3830955"/>
                    </a:xfrm>
                    <a:prstGeom prst="rect">
                      <a:avLst/>
                    </a:prstGeom>
                  </pic:spPr>
                </pic:pic>
              </a:graphicData>
            </a:graphic>
          </wp:inline>
        </w:drawing>
      </w:r>
    </w:p>
    <w:p w14:paraId="40CFF5E1">
      <w:pPr>
        <w:pStyle w:val="93"/>
        <w:rPr>
          <w:rFonts w:hint="default" w:ascii="Times New Roman" w:hAnsi="Times New Roman" w:cs="Times New Roman"/>
          <w:color w:val="auto"/>
        </w:rPr>
      </w:pPr>
      <w:r>
        <w:rPr>
          <w:rFonts w:hint="default" w:ascii="Times New Roman" w:hAnsi="Times New Roman" w:cs="Times New Roman"/>
          <w:color w:val="auto"/>
        </w:rPr>
        <w:t>图2.11.2-2    改性PA生产工艺及产污节点图</w:t>
      </w:r>
    </w:p>
    <w:p w14:paraId="2E5BB172">
      <w:pPr>
        <w:pStyle w:val="11"/>
        <w:ind w:firstLine="480"/>
        <w:rPr>
          <w:rFonts w:hint="default" w:ascii="Times New Roman" w:hAnsi="Times New Roman" w:cs="Times New Roman"/>
          <w:color w:val="auto"/>
        </w:rPr>
      </w:pPr>
    </w:p>
    <w:p w14:paraId="6A2BEA19">
      <w:pPr>
        <w:ind w:firstLine="480"/>
        <w:rPr>
          <w:rFonts w:hint="default" w:ascii="Times New Roman" w:hAnsi="Times New Roman" w:cs="Times New Roman"/>
          <w:color w:val="auto"/>
        </w:rPr>
      </w:pPr>
      <w:r>
        <w:rPr>
          <w:rFonts w:hint="default" w:ascii="Times New Roman" w:hAnsi="Times New Roman" w:cs="Times New Roman"/>
          <w:color w:val="auto"/>
        </w:rPr>
        <w:t>A）双螺杆挤出熔融共混</w:t>
      </w:r>
    </w:p>
    <w:p w14:paraId="317F11BB">
      <w:pPr>
        <w:ind w:firstLine="480"/>
        <w:rPr>
          <w:rFonts w:hint="default" w:ascii="Times New Roman" w:hAnsi="Times New Roman" w:cs="Times New Roman"/>
          <w:color w:val="auto"/>
        </w:rPr>
      </w:pPr>
      <w:r>
        <w:rPr>
          <w:rStyle w:val="47"/>
          <w:rFonts w:hint="default" w:ascii="Times New Roman" w:hAnsi="Times New Roman" w:cs="Times New Roman"/>
          <w:b w:val="0"/>
          <w:bCs w:val="0"/>
          <w:color w:val="auto"/>
          <w:szCs w:val="24"/>
        </w:rPr>
        <w:t>从平行双螺杆挤出机主喂料口</w:t>
      </w:r>
      <w:r>
        <w:rPr>
          <w:rFonts w:hint="default" w:ascii="Times New Roman" w:hAnsi="Times New Roman" w:cs="Times New Roman"/>
          <w:color w:val="auto"/>
          <w:szCs w:val="24"/>
        </w:rPr>
        <w:t>加入</w:t>
      </w:r>
      <w:r>
        <w:rPr>
          <w:rFonts w:hint="default" w:ascii="Times New Roman" w:hAnsi="Times New Roman" w:cs="Times New Roman"/>
          <w:color w:val="auto"/>
        </w:rPr>
        <w:t>PA树脂。在</w:t>
      </w:r>
      <w:r>
        <w:rPr>
          <w:rStyle w:val="47"/>
          <w:rFonts w:hint="default" w:ascii="Times New Roman" w:hAnsi="Times New Roman" w:cs="Times New Roman"/>
          <w:b w:val="0"/>
          <w:bCs w:val="0"/>
          <w:color w:val="auto"/>
          <w:szCs w:val="24"/>
        </w:rPr>
        <w:t>平行双螺杆挤出机侧喂料口加入长玻纤。</w:t>
      </w:r>
      <w:r>
        <w:rPr>
          <w:rFonts w:hint="default" w:ascii="Times New Roman" w:hAnsi="Times New Roman" w:cs="Times New Roman"/>
          <w:color w:val="auto"/>
        </w:rPr>
        <w:t>原料在270℃下进行熔融共混，并由螺杆挤出。为消除熔融树脂中的气泡，双螺杆挤出机机筒上的真空排气口需外接真空泵并抽吸掉废气（对应螺杆的排气脱挥段），此外挤出机常压</w:t>
      </w:r>
      <w:r>
        <w:rPr>
          <w:rFonts w:hint="default" w:ascii="Times New Roman" w:hAnsi="Times New Roman" w:cs="Times New Roman"/>
          <w:color w:val="auto"/>
          <w:szCs w:val="24"/>
        </w:rPr>
        <w:t>排气口、模头挤出口、侧喂料口也会有有机废气产生。</w:t>
      </w:r>
    </w:p>
    <w:p w14:paraId="208AAB21">
      <w:pPr>
        <w:ind w:firstLine="480"/>
        <w:rPr>
          <w:rFonts w:hint="default" w:ascii="Times New Roman" w:hAnsi="Times New Roman" w:cs="Times New Roman"/>
          <w:color w:val="auto"/>
        </w:rPr>
      </w:pPr>
      <w:r>
        <w:rPr>
          <w:rFonts w:hint="default" w:ascii="Times New Roman" w:hAnsi="Times New Roman" w:cs="Times New Roman"/>
          <w:color w:val="auto"/>
        </w:rPr>
        <w:t>熔融共混过程主要产生有机废气G2和设备噪声N2。</w:t>
      </w:r>
    </w:p>
    <w:p w14:paraId="04DE666C">
      <w:pPr>
        <w:ind w:firstLine="480"/>
        <w:rPr>
          <w:rFonts w:hint="default" w:ascii="Times New Roman" w:hAnsi="Times New Roman" w:cs="Times New Roman"/>
          <w:color w:val="auto"/>
        </w:rPr>
      </w:pPr>
      <w:r>
        <w:rPr>
          <w:rFonts w:hint="default" w:ascii="Times New Roman" w:hAnsi="Times New Roman" w:cs="Times New Roman"/>
          <w:color w:val="auto"/>
        </w:rPr>
        <w:t>B）</w:t>
      </w:r>
      <w:r>
        <w:rPr>
          <w:rFonts w:hint="default" w:ascii="Times New Roman" w:hAnsi="Times New Roman" w:cs="Times New Roman"/>
          <w:color w:val="auto"/>
          <w:szCs w:val="24"/>
        </w:rPr>
        <w:t>冷却切粒</w:t>
      </w:r>
    </w:p>
    <w:p w14:paraId="14038881">
      <w:pPr>
        <w:ind w:firstLine="480"/>
        <w:rPr>
          <w:rFonts w:hint="default" w:ascii="Times New Roman" w:hAnsi="Times New Roman" w:cs="Times New Roman"/>
          <w:color w:val="auto"/>
          <w:szCs w:val="24"/>
        </w:rPr>
      </w:pPr>
      <w:r>
        <w:rPr>
          <w:rFonts w:hint="default" w:ascii="Times New Roman" w:hAnsi="Times New Roman" w:cs="Times New Roman"/>
          <w:color w:val="auto"/>
        </w:rPr>
        <w:t>挤出的混合料进入冷却水槽，在冷却水槽中完全冷却定型，并由切料机</w:t>
      </w:r>
      <w:r>
        <w:rPr>
          <w:rFonts w:hint="default" w:ascii="Times New Roman" w:hAnsi="Times New Roman" w:cs="Times New Roman"/>
          <w:color w:val="auto"/>
          <w:szCs w:val="24"/>
        </w:rPr>
        <w:t>定长切粒成一定规格的圆柱体颗粒。高温挤出的料条冷却水槽冷却过程中，内部残留的挥发分持续向环境释放。主要产生切粒机噪声N3和冷却废水W1、</w:t>
      </w:r>
      <w:r>
        <w:rPr>
          <w:rFonts w:hint="default" w:ascii="Times New Roman" w:hAnsi="Times New Roman" w:cs="Times New Roman"/>
          <w:color w:val="auto"/>
        </w:rPr>
        <w:t>有机废气G2</w:t>
      </w:r>
      <w:r>
        <w:rPr>
          <w:rFonts w:hint="default" w:ascii="Times New Roman" w:hAnsi="Times New Roman" w:cs="Times New Roman"/>
          <w:color w:val="auto"/>
          <w:szCs w:val="24"/>
        </w:rPr>
        <w:t>。</w:t>
      </w:r>
    </w:p>
    <w:p w14:paraId="7FD28B25">
      <w:pPr>
        <w:ind w:firstLine="480"/>
        <w:rPr>
          <w:rFonts w:hint="default" w:ascii="Times New Roman" w:hAnsi="Times New Roman" w:cs="Times New Roman"/>
          <w:color w:val="auto"/>
        </w:rPr>
      </w:pPr>
      <w:r>
        <w:rPr>
          <w:rFonts w:hint="default" w:ascii="Times New Roman" w:hAnsi="Times New Roman" w:cs="Times New Roman"/>
          <w:color w:val="auto"/>
        </w:rPr>
        <w:t>C）烘干</w:t>
      </w:r>
    </w:p>
    <w:p w14:paraId="60BB4276">
      <w:pPr>
        <w:ind w:firstLine="480"/>
        <w:rPr>
          <w:rFonts w:hint="default" w:ascii="Times New Roman" w:hAnsi="Times New Roman" w:cs="Times New Roman"/>
          <w:color w:val="auto"/>
        </w:rPr>
      </w:pPr>
      <w:r>
        <w:rPr>
          <w:rFonts w:hint="default" w:ascii="Times New Roman" w:hAnsi="Times New Roman" w:cs="Times New Roman"/>
          <w:color w:val="auto"/>
        </w:rPr>
        <w:t>采用干燥机用电能加热进行烘干，烘干温度100℃，烘干时间约1h。烘干温度远低于物料熔融温度，主要为脱出水分，其产生的有机废气量G2极少。</w:t>
      </w:r>
    </w:p>
    <w:p w14:paraId="31658ED2">
      <w:pPr>
        <w:ind w:firstLine="480"/>
        <w:rPr>
          <w:rFonts w:hint="default" w:ascii="Times New Roman" w:hAnsi="Times New Roman" w:cs="Times New Roman"/>
          <w:color w:val="auto"/>
        </w:rPr>
      </w:pPr>
      <w:r>
        <w:rPr>
          <w:rFonts w:hint="default" w:ascii="Times New Roman" w:hAnsi="Times New Roman" w:cs="Times New Roman"/>
          <w:color w:val="auto"/>
        </w:rPr>
        <w:t>D）均化</w:t>
      </w:r>
    </w:p>
    <w:p w14:paraId="60603238">
      <w:pPr>
        <w:ind w:firstLine="480"/>
        <w:rPr>
          <w:rFonts w:hint="default" w:ascii="Times New Roman" w:hAnsi="Times New Roman" w:cs="Times New Roman"/>
          <w:color w:val="auto"/>
        </w:rPr>
      </w:pPr>
      <w:r>
        <w:rPr>
          <w:rFonts w:hint="default" w:ascii="Times New Roman" w:hAnsi="Times New Roman" w:cs="Times New Roman"/>
          <w:color w:val="auto"/>
        </w:rPr>
        <w:t>各批次物料再送入均化料仓充分混合，消除前后段性能色差、熔指偏差。</w:t>
      </w:r>
      <w:r>
        <w:rPr>
          <w:rFonts w:hint="default" w:ascii="Times New Roman" w:hAnsi="Times New Roman" w:cs="Times New Roman"/>
          <w:color w:val="auto"/>
          <w:szCs w:val="24"/>
        </w:rPr>
        <w:t>主要产生均化噪声N4。</w:t>
      </w:r>
    </w:p>
    <w:p w14:paraId="22BE2919">
      <w:pPr>
        <w:ind w:firstLine="480"/>
        <w:rPr>
          <w:rFonts w:hint="default" w:ascii="Times New Roman" w:hAnsi="Times New Roman" w:cs="Times New Roman"/>
          <w:color w:val="auto"/>
        </w:rPr>
      </w:pPr>
      <w:r>
        <w:rPr>
          <w:rFonts w:hint="default" w:ascii="Times New Roman" w:hAnsi="Times New Roman" w:cs="Times New Roman"/>
          <w:color w:val="auto"/>
        </w:rPr>
        <w:t>E）检测包装</w:t>
      </w:r>
    </w:p>
    <w:p w14:paraId="45F51C78">
      <w:pPr>
        <w:ind w:firstLine="480"/>
        <w:rPr>
          <w:rFonts w:hint="default" w:ascii="Times New Roman" w:hAnsi="Times New Roman" w:cs="Times New Roman"/>
          <w:color w:val="auto"/>
        </w:rPr>
      </w:pPr>
      <w:r>
        <w:rPr>
          <w:rFonts w:hint="default" w:ascii="Times New Roman" w:hAnsi="Times New Roman" w:cs="Times New Roman"/>
          <w:color w:val="auto"/>
        </w:rPr>
        <w:t>利用检测设备对粒料进行物理化学等性能的检测，并使用防潮编织袋进行包装，存放于成品区。包装设备产生噪声N5和不合格品S1。</w:t>
      </w:r>
    </w:p>
    <w:p w14:paraId="5AE26575">
      <w:pPr>
        <w:ind w:firstLine="482"/>
        <w:rPr>
          <w:rFonts w:hint="default" w:ascii="Times New Roman" w:hAnsi="Times New Roman" w:cs="Times New Roman"/>
          <w:b/>
          <w:bCs/>
          <w:color w:val="auto"/>
        </w:rPr>
      </w:pPr>
      <w:r>
        <w:rPr>
          <w:rFonts w:hint="default" w:ascii="Times New Roman" w:hAnsi="Times New Roman" w:cs="Times New Roman"/>
          <w:b/>
          <w:bCs/>
          <w:color w:val="auto"/>
        </w:rPr>
        <w:t>3）改性PC/ABS</w:t>
      </w:r>
    </w:p>
    <w:p w14:paraId="4C54BCC6">
      <w:pPr>
        <w:ind w:firstLine="0" w:firstLineChars="0"/>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3152140" cy="4209415"/>
            <wp:effectExtent l="0" t="0" r="10160" b="635"/>
            <wp:docPr id="59" name="图片 59" descr="改性PC和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改性PC和ABS"/>
                    <pic:cNvPicPr>
                      <a:picLocks noChangeAspect="1"/>
                    </pic:cNvPicPr>
                  </pic:nvPicPr>
                  <pic:blipFill>
                    <a:blip r:embed="rId43"/>
                    <a:stretch>
                      <a:fillRect/>
                    </a:stretch>
                  </pic:blipFill>
                  <pic:spPr>
                    <a:xfrm>
                      <a:off x="0" y="0"/>
                      <a:ext cx="3152140" cy="4209415"/>
                    </a:xfrm>
                    <a:prstGeom prst="rect">
                      <a:avLst/>
                    </a:prstGeom>
                  </pic:spPr>
                </pic:pic>
              </a:graphicData>
            </a:graphic>
          </wp:inline>
        </w:drawing>
      </w:r>
    </w:p>
    <w:p w14:paraId="64D967D8">
      <w:pPr>
        <w:pStyle w:val="93"/>
        <w:rPr>
          <w:rFonts w:hint="default" w:ascii="Times New Roman" w:hAnsi="Times New Roman" w:cs="Times New Roman"/>
          <w:color w:val="auto"/>
        </w:rPr>
      </w:pPr>
      <w:r>
        <w:rPr>
          <w:rFonts w:hint="default" w:ascii="Times New Roman" w:hAnsi="Times New Roman" w:cs="Times New Roman"/>
          <w:color w:val="auto"/>
        </w:rPr>
        <w:t>图2.11.2-3    改性PC/ABS生产工艺及产污节点图</w:t>
      </w:r>
    </w:p>
    <w:p w14:paraId="72BC0AD7">
      <w:pPr>
        <w:pStyle w:val="50"/>
        <w:ind w:firstLine="480"/>
        <w:rPr>
          <w:rFonts w:hint="default" w:ascii="Times New Roman" w:hAnsi="Times New Roman" w:cs="Times New Roman"/>
          <w:color w:val="auto"/>
        </w:rPr>
      </w:pPr>
    </w:p>
    <w:p w14:paraId="5DF555E9">
      <w:pPr>
        <w:ind w:firstLine="480"/>
        <w:rPr>
          <w:rFonts w:hint="default" w:ascii="Times New Roman" w:hAnsi="Times New Roman" w:cs="Times New Roman"/>
          <w:color w:val="auto"/>
        </w:rPr>
      </w:pPr>
      <w:r>
        <w:rPr>
          <w:rFonts w:hint="default" w:ascii="Times New Roman" w:hAnsi="Times New Roman" w:cs="Times New Roman"/>
          <w:color w:val="auto"/>
        </w:rPr>
        <w:t>A）配料混合</w:t>
      </w:r>
    </w:p>
    <w:p w14:paraId="513C3341">
      <w:pPr>
        <w:ind w:firstLine="480"/>
        <w:rPr>
          <w:rFonts w:hint="default" w:ascii="Times New Roman" w:hAnsi="Times New Roman" w:cs="Times New Roman"/>
          <w:color w:val="auto"/>
        </w:rPr>
      </w:pPr>
      <w:r>
        <w:rPr>
          <w:rFonts w:hint="default" w:ascii="Times New Roman" w:hAnsi="Times New Roman" w:cs="Times New Roman"/>
          <w:color w:val="auto"/>
          <w:szCs w:val="24"/>
        </w:rPr>
        <w:t>人工称重将</w:t>
      </w:r>
      <w:r>
        <w:rPr>
          <w:rFonts w:hint="default" w:ascii="Times New Roman" w:hAnsi="Times New Roman" w:cs="Times New Roman"/>
          <w:color w:val="auto"/>
        </w:rPr>
        <w:t>PC树脂</w:t>
      </w:r>
      <w:r>
        <w:rPr>
          <w:rFonts w:hint="default" w:ascii="Times New Roman" w:hAnsi="Times New Roman" w:cs="Times New Roman"/>
          <w:color w:val="auto"/>
          <w:szCs w:val="24"/>
        </w:rPr>
        <w:t>、ABS树脂、增韧剂</w:t>
      </w:r>
      <w:r>
        <w:rPr>
          <w:rFonts w:hint="default" w:ascii="Times New Roman" w:hAnsi="Times New Roman" w:cs="Times New Roman"/>
          <w:color w:val="auto"/>
        </w:rPr>
        <w:t>送入混料机和立式拌料机混合3~5min。</w:t>
      </w:r>
    </w:p>
    <w:p w14:paraId="14939EBC">
      <w:pPr>
        <w:ind w:firstLine="480"/>
        <w:rPr>
          <w:rFonts w:hint="default" w:ascii="Times New Roman" w:hAnsi="Times New Roman" w:cs="Times New Roman"/>
          <w:color w:val="auto"/>
        </w:rPr>
      </w:pPr>
      <w:r>
        <w:rPr>
          <w:rFonts w:hint="default" w:ascii="Times New Roman" w:hAnsi="Times New Roman" w:cs="Times New Roman"/>
          <w:color w:val="auto"/>
        </w:rPr>
        <w:t>混合过程主要产生粉尘G3和混合设备噪声N1。</w:t>
      </w:r>
    </w:p>
    <w:p w14:paraId="38EC9359">
      <w:pPr>
        <w:ind w:firstLine="480"/>
        <w:rPr>
          <w:rFonts w:hint="default" w:ascii="Times New Roman" w:hAnsi="Times New Roman" w:cs="Times New Roman"/>
          <w:color w:val="auto"/>
        </w:rPr>
      </w:pPr>
      <w:r>
        <w:rPr>
          <w:rFonts w:hint="default" w:ascii="Times New Roman" w:hAnsi="Times New Roman" w:cs="Times New Roman"/>
          <w:color w:val="auto"/>
        </w:rPr>
        <w:t>B）双螺杆挤出熔融共混</w:t>
      </w:r>
    </w:p>
    <w:p w14:paraId="4E2B8A56">
      <w:pPr>
        <w:ind w:firstLine="480"/>
        <w:rPr>
          <w:rFonts w:hint="default" w:ascii="Times New Roman" w:hAnsi="Times New Roman" w:cs="Times New Roman"/>
          <w:color w:val="auto"/>
        </w:rPr>
      </w:pPr>
      <w:r>
        <w:rPr>
          <w:rFonts w:hint="default" w:ascii="Times New Roman" w:hAnsi="Times New Roman" w:cs="Times New Roman"/>
          <w:color w:val="auto"/>
        </w:rPr>
        <w:t>从平行双螺杆挤出机主喂料口加入混合好的PC树脂、ABS树脂、增韧剂。原料在240℃下进行熔融共混，并由螺杆挤出。为消除熔融树脂中的气泡，双螺杆挤出机机筒上的真空排气口需外接真空泵并抽吸掉废气（对应螺杆的排气脱挥段），此外挤出机常压</w:t>
      </w:r>
      <w:r>
        <w:rPr>
          <w:rFonts w:hint="default" w:ascii="Times New Roman" w:hAnsi="Times New Roman" w:cs="Times New Roman"/>
          <w:color w:val="auto"/>
          <w:szCs w:val="24"/>
        </w:rPr>
        <w:t>排气口、模头挤出口、侧喂料口也会有有机废气产生。</w:t>
      </w:r>
    </w:p>
    <w:p w14:paraId="7FDC5BC1">
      <w:pPr>
        <w:ind w:firstLine="480"/>
        <w:rPr>
          <w:rFonts w:hint="default" w:ascii="Times New Roman" w:hAnsi="Times New Roman" w:cs="Times New Roman"/>
          <w:color w:val="auto"/>
        </w:rPr>
      </w:pPr>
      <w:r>
        <w:rPr>
          <w:rFonts w:hint="default" w:ascii="Times New Roman" w:hAnsi="Times New Roman" w:cs="Times New Roman"/>
          <w:color w:val="auto"/>
        </w:rPr>
        <w:t>熔融共混过程主要产生有机废气G2和挤出设备噪声N2。</w:t>
      </w:r>
    </w:p>
    <w:p w14:paraId="4DC58A24">
      <w:pPr>
        <w:ind w:firstLine="480"/>
        <w:rPr>
          <w:rFonts w:hint="default" w:ascii="Times New Roman" w:hAnsi="Times New Roman" w:cs="Times New Roman"/>
          <w:color w:val="auto"/>
        </w:rPr>
      </w:pPr>
      <w:r>
        <w:rPr>
          <w:rFonts w:hint="default" w:ascii="Times New Roman" w:hAnsi="Times New Roman" w:cs="Times New Roman"/>
          <w:color w:val="auto"/>
        </w:rPr>
        <w:t>C）</w:t>
      </w:r>
      <w:r>
        <w:rPr>
          <w:rFonts w:hint="default" w:ascii="Times New Roman" w:hAnsi="Times New Roman" w:cs="Times New Roman"/>
          <w:color w:val="auto"/>
          <w:szCs w:val="24"/>
        </w:rPr>
        <w:t>冷却切粒</w:t>
      </w:r>
    </w:p>
    <w:p w14:paraId="148DF844">
      <w:pPr>
        <w:ind w:firstLine="480"/>
        <w:rPr>
          <w:rFonts w:hint="default" w:ascii="Times New Roman" w:hAnsi="Times New Roman" w:cs="Times New Roman"/>
          <w:color w:val="auto"/>
          <w:szCs w:val="24"/>
        </w:rPr>
      </w:pPr>
      <w:r>
        <w:rPr>
          <w:rFonts w:hint="default" w:ascii="Times New Roman" w:hAnsi="Times New Roman" w:cs="Times New Roman"/>
          <w:color w:val="auto"/>
        </w:rPr>
        <w:t>挤出的混合料进入冷却水槽，在冷却水槽中完全冷却定型，并由切料机</w:t>
      </w:r>
      <w:r>
        <w:rPr>
          <w:rFonts w:hint="default" w:ascii="Times New Roman" w:hAnsi="Times New Roman" w:cs="Times New Roman"/>
          <w:color w:val="auto"/>
          <w:szCs w:val="24"/>
        </w:rPr>
        <w:t>定长切粒成一定规格的圆柱体颗粒。高温挤出的料条冷却水槽冷却过程中，内部残留的挥发分持续向环境释放。主要产生切粒机噪声N3和冷却废水W1、</w:t>
      </w:r>
      <w:r>
        <w:rPr>
          <w:rFonts w:hint="default" w:ascii="Times New Roman" w:hAnsi="Times New Roman" w:cs="Times New Roman"/>
          <w:color w:val="auto"/>
        </w:rPr>
        <w:t>有机废气G2</w:t>
      </w:r>
      <w:r>
        <w:rPr>
          <w:rFonts w:hint="default" w:ascii="Times New Roman" w:hAnsi="Times New Roman" w:cs="Times New Roman"/>
          <w:color w:val="auto"/>
          <w:szCs w:val="24"/>
        </w:rPr>
        <w:t>。</w:t>
      </w:r>
    </w:p>
    <w:p w14:paraId="36E1F28E">
      <w:pPr>
        <w:ind w:firstLine="480"/>
        <w:rPr>
          <w:rFonts w:hint="default" w:ascii="Times New Roman" w:hAnsi="Times New Roman" w:cs="Times New Roman"/>
          <w:color w:val="auto"/>
          <w:szCs w:val="24"/>
        </w:rPr>
      </w:pPr>
      <w:r>
        <w:rPr>
          <w:rFonts w:hint="default" w:ascii="Times New Roman" w:hAnsi="Times New Roman" w:cs="Times New Roman"/>
          <w:color w:val="auto"/>
          <w:szCs w:val="24"/>
        </w:rPr>
        <w:t>D）烘干</w:t>
      </w:r>
    </w:p>
    <w:p w14:paraId="14C75AC4">
      <w:pPr>
        <w:ind w:firstLine="480"/>
        <w:rPr>
          <w:rFonts w:hint="default" w:ascii="Times New Roman" w:hAnsi="Times New Roman" w:cs="Times New Roman"/>
          <w:color w:val="auto"/>
        </w:rPr>
      </w:pPr>
      <w:r>
        <w:rPr>
          <w:rFonts w:hint="default" w:ascii="Times New Roman" w:hAnsi="Times New Roman" w:cs="Times New Roman"/>
          <w:color w:val="auto"/>
        </w:rPr>
        <w:t>采用干燥机用电能加热进行烘干，烘干温度100℃，烘干时间约1h。烘干温度远低于物料熔融温度，主要为脱出水分，其产生的有机废气量G2极少。</w:t>
      </w:r>
    </w:p>
    <w:p w14:paraId="5AB4729D">
      <w:pPr>
        <w:ind w:firstLine="480"/>
        <w:rPr>
          <w:rFonts w:hint="default" w:ascii="Times New Roman" w:hAnsi="Times New Roman" w:cs="Times New Roman"/>
          <w:color w:val="auto"/>
        </w:rPr>
      </w:pPr>
      <w:r>
        <w:rPr>
          <w:rFonts w:hint="default" w:ascii="Times New Roman" w:hAnsi="Times New Roman" w:cs="Times New Roman"/>
          <w:color w:val="auto"/>
        </w:rPr>
        <w:t>E）均化</w:t>
      </w:r>
    </w:p>
    <w:p w14:paraId="464C65C4">
      <w:pPr>
        <w:ind w:firstLine="480"/>
        <w:rPr>
          <w:rFonts w:hint="default" w:ascii="Times New Roman" w:hAnsi="Times New Roman" w:cs="Times New Roman"/>
          <w:color w:val="auto"/>
        </w:rPr>
      </w:pPr>
      <w:r>
        <w:rPr>
          <w:rFonts w:hint="default" w:ascii="Times New Roman" w:hAnsi="Times New Roman" w:cs="Times New Roman"/>
          <w:color w:val="auto"/>
        </w:rPr>
        <w:t>各批次物料再送入均化料仓充分混合，消除前后段性能色差、熔指偏差。</w:t>
      </w:r>
      <w:r>
        <w:rPr>
          <w:rFonts w:hint="default" w:ascii="Times New Roman" w:hAnsi="Times New Roman" w:cs="Times New Roman"/>
          <w:color w:val="auto"/>
          <w:szCs w:val="24"/>
        </w:rPr>
        <w:t>主要产生均化噪声N4。</w:t>
      </w:r>
    </w:p>
    <w:p w14:paraId="350AF036">
      <w:pPr>
        <w:ind w:firstLine="480"/>
        <w:rPr>
          <w:rFonts w:hint="default" w:ascii="Times New Roman" w:hAnsi="Times New Roman" w:cs="Times New Roman"/>
          <w:color w:val="auto"/>
        </w:rPr>
      </w:pPr>
      <w:r>
        <w:rPr>
          <w:rFonts w:hint="default" w:ascii="Times New Roman" w:hAnsi="Times New Roman" w:cs="Times New Roman"/>
          <w:color w:val="auto"/>
        </w:rPr>
        <w:t>F）检测包装</w:t>
      </w:r>
    </w:p>
    <w:p w14:paraId="1E6382CF">
      <w:pPr>
        <w:ind w:firstLine="480"/>
        <w:rPr>
          <w:rFonts w:hint="default" w:ascii="Times New Roman" w:hAnsi="Times New Roman" w:cs="Times New Roman"/>
          <w:color w:val="auto"/>
        </w:rPr>
      </w:pPr>
      <w:r>
        <w:rPr>
          <w:rFonts w:hint="default" w:ascii="Times New Roman" w:hAnsi="Times New Roman" w:cs="Times New Roman"/>
          <w:color w:val="auto"/>
        </w:rPr>
        <w:t>利用检测设备对粒料进行物理化学等性能的检测，并使用防潮编织袋进行包装，存放于成品区。包装设备产生噪声N5和不合格品S1。</w:t>
      </w:r>
    </w:p>
    <w:p w14:paraId="57FBE5B4">
      <w:pPr>
        <w:ind w:firstLine="482"/>
        <w:rPr>
          <w:rFonts w:hint="default" w:ascii="Times New Roman" w:hAnsi="Times New Roman" w:cs="Times New Roman"/>
          <w:b/>
          <w:bCs/>
          <w:color w:val="auto"/>
        </w:rPr>
      </w:pPr>
      <w:r>
        <w:rPr>
          <w:rFonts w:hint="default" w:ascii="Times New Roman" w:hAnsi="Times New Roman" w:cs="Times New Roman"/>
          <w:b/>
          <w:bCs/>
          <w:color w:val="auto"/>
        </w:rPr>
        <w:t>4）改性ABS</w:t>
      </w:r>
    </w:p>
    <w:p w14:paraId="2624935C">
      <w:pPr>
        <w:ind w:firstLine="0" w:firstLineChars="0"/>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3449320" cy="4454525"/>
            <wp:effectExtent l="0" t="0" r="17780" b="3175"/>
            <wp:docPr id="60" name="图片 60" descr="改性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改性ABS"/>
                    <pic:cNvPicPr>
                      <a:picLocks noChangeAspect="1"/>
                    </pic:cNvPicPr>
                  </pic:nvPicPr>
                  <pic:blipFill>
                    <a:blip r:embed="rId44"/>
                    <a:stretch>
                      <a:fillRect/>
                    </a:stretch>
                  </pic:blipFill>
                  <pic:spPr>
                    <a:xfrm>
                      <a:off x="0" y="0"/>
                      <a:ext cx="3449320" cy="4454525"/>
                    </a:xfrm>
                    <a:prstGeom prst="rect">
                      <a:avLst/>
                    </a:prstGeom>
                  </pic:spPr>
                </pic:pic>
              </a:graphicData>
            </a:graphic>
          </wp:inline>
        </w:drawing>
      </w:r>
    </w:p>
    <w:p w14:paraId="04754302">
      <w:pPr>
        <w:pStyle w:val="93"/>
        <w:rPr>
          <w:rFonts w:hint="default" w:ascii="Times New Roman" w:hAnsi="Times New Roman" w:cs="Times New Roman"/>
          <w:color w:val="auto"/>
        </w:rPr>
      </w:pPr>
      <w:r>
        <w:rPr>
          <w:rFonts w:hint="default" w:ascii="Times New Roman" w:hAnsi="Times New Roman" w:cs="Times New Roman"/>
          <w:color w:val="auto"/>
        </w:rPr>
        <w:t>图2.11.2-4    改性ABS生产工艺及产污节点图</w:t>
      </w:r>
    </w:p>
    <w:p w14:paraId="4FAEE9D0">
      <w:pPr>
        <w:pStyle w:val="50"/>
        <w:ind w:firstLine="480"/>
        <w:rPr>
          <w:rFonts w:hint="default" w:ascii="Times New Roman" w:hAnsi="Times New Roman" w:cs="Times New Roman"/>
          <w:color w:val="auto"/>
        </w:rPr>
      </w:pPr>
    </w:p>
    <w:p w14:paraId="2D693C52">
      <w:pPr>
        <w:ind w:firstLine="480"/>
        <w:rPr>
          <w:rFonts w:hint="default" w:ascii="Times New Roman" w:hAnsi="Times New Roman" w:cs="Times New Roman"/>
          <w:color w:val="auto"/>
        </w:rPr>
      </w:pPr>
      <w:r>
        <w:rPr>
          <w:rFonts w:hint="default" w:ascii="Times New Roman" w:hAnsi="Times New Roman" w:cs="Times New Roman"/>
          <w:color w:val="auto"/>
        </w:rPr>
        <w:t>A）配料混合</w:t>
      </w:r>
    </w:p>
    <w:p w14:paraId="70EF9B12">
      <w:pPr>
        <w:ind w:firstLine="480"/>
        <w:rPr>
          <w:rFonts w:hint="default" w:ascii="Times New Roman" w:hAnsi="Times New Roman" w:cs="Times New Roman"/>
          <w:color w:val="auto"/>
        </w:rPr>
      </w:pPr>
      <w:r>
        <w:rPr>
          <w:rFonts w:hint="default" w:ascii="Times New Roman" w:hAnsi="Times New Roman" w:cs="Times New Roman"/>
          <w:color w:val="auto"/>
          <w:szCs w:val="24"/>
        </w:rPr>
        <w:t>人工称重将</w:t>
      </w:r>
      <w:r>
        <w:rPr>
          <w:rFonts w:hint="default" w:ascii="Times New Roman" w:hAnsi="Times New Roman" w:cs="Times New Roman"/>
          <w:color w:val="auto"/>
        </w:rPr>
        <w:t>ABS树脂</w:t>
      </w:r>
      <w:r>
        <w:rPr>
          <w:rFonts w:hint="default" w:ascii="Times New Roman" w:hAnsi="Times New Roman" w:cs="Times New Roman"/>
          <w:color w:val="auto"/>
          <w:szCs w:val="24"/>
        </w:rPr>
        <w:t>、增韧剂、助剂</w:t>
      </w:r>
      <w:r>
        <w:rPr>
          <w:rFonts w:hint="default" w:ascii="Times New Roman" w:hAnsi="Times New Roman" w:cs="Times New Roman"/>
          <w:color w:val="auto"/>
        </w:rPr>
        <w:t>送入混料机和立式拌料机混合3~5min。</w:t>
      </w:r>
    </w:p>
    <w:p w14:paraId="35EE1BA7">
      <w:pPr>
        <w:ind w:firstLine="480"/>
        <w:rPr>
          <w:rFonts w:hint="default" w:ascii="Times New Roman" w:hAnsi="Times New Roman" w:cs="Times New Roman"/>
          <w:color w:val="auto"/>
        </w:rPr>
      </w:pPr>
      <w:r>
        <w:rPr>
          <w:rFonts w:hint="default" w:ascii="Times New Roman" w:hAnsi="Times New Roman" w:cs="Times New Roman"/>
          <w:color w:val="auto"/>
        </w:rPr>
        <w:t>混合过程主要产生粉尘G3和混合设备噪声N1。</w:t>
      </w:r>
    </w:p>
    <w:p w14:paraId="7FF28F77">
      <w:pPr>
        <w:ind w:firstLine="480"/>
        <w:rPr>
          <w:rFonts w:hint="default" w:ascii="Times New Roman" w:hAnsi="Times New Roman" w:cs="Times New Roman"/>
          <w:color w:val="auto"/>
        </w:rPr>
      </w:pPr>
      <w:r>
        <w:rPr>
          <w:rFonts w:hint="default" w:ascii="Times New Roman" w:hAnsi="Times New Roman" w:cs="Times New Roman"/>
          <w:color w:val="auto"/>
        </w:rPr>
        <w:t>B）双螺杆挤出熔融共混</w:t>
      </w:r>
    </w:p>
    <w:p w14:paraId="484E0F30">
      <w:pPr>
        <w:ind w:firstLine="480"/>
        <w:rPr>
          <w:rFonts w:hint="default" w:ascii="Times New Roman" w:hAnsi="Times New Roman" w:cs="Times New Roman"/>
          <w:color w:val="auto"/>
        </w:rPr>
      </w:pPr>
      <w:r>
        <w:rPr>
          <w:rStyle w:val="47"/>
          <w:rFonts w:hint="default" w:ascii="Times New Roman" w:hAnsi="Times New Roman" w:cs="Times New Roman"/>
          <w:b w:val="0"/>
          <w:bCs w:val="0"/>
          <w:color w:val="auto"/>
          <w:szCs w:val="24"/>
        </w:rPr>
        <w:t>从平行双螺杆挤出机主喂料口</w:t>
      </w:r>
      <w:r>
        <w:rPr>
          <w:rFonts w:hint="default" w:ascii="Times New Roman" w:hAnsi="Times New Roman" w:cs="Times New Roman"/>
          <w:color w:val="auto"/>
          <w:szCs w:val="24"/>
        </w:rPr>
        <w:t>加入混合好的</w:t>
      </w:r>
      <w:r>
        <w:rPr>
          <w:rFonts w:hint="default" w:ascii="Times New Roman" w:hAnsi="Times New Roman" w:cs="Times New Roman"/>
          <w:color w:val="auto"/>
        </w:rPr>
        <w:t>ABS树脂</w:t>
      </w:r>
      <w:r>
        <w:rPr>
          <w:rFonts w:hint="default" w:ascii="Times New Roman" w:hAnsi="Times New Roman" w:cs="Times New Roman"/>
          <w:color w:val="auto"/>
          <w:szCs w:val="24"/>
        </w:rPr>
        <w:t>、增韧剂、助剂</w:t>
      </w:r>
      <w:r>
        <w:rPr>
          <w:rFonts w:hint="default" w:ascii="Times New Roman" w:hAnsi="Times New Roman" w:cs="Times New Roman"/>
          <w:color w:val="auto"/>
        </w:rPr>
        <w:t>。原料在230℃下进行熔融共混，并由螺杆挤出。为消除熔融树脂中的气泡，双螺杆挤出机机筒上的真空排气口需外接真空泵并抽吸掉废气（对应螺杆的排气脱挥段），此外挤出机常压</w:t>
      </w:r>
      <w:r>
        <w:rPr>
          <w:rFonts w:hint="default" w:ascii="Times New Roman" w:hAnsi="Times New Roman" w:cs="Times New Roman"/>
          <w:color w:val="auto"/>
          <w:szCs w:val="24"/>
        </w:rPr>
        <w:t>排气口、模头挤出口、侧喂料口也会有有机废气产生</w:t>
      </w:r>
    </w:p>
    <w:p w14:paraId="5BBACD1B">
      <w:pPr>
        <w:ind w:firstLine="480"/>
        <w:rPr>
          <w:rFonts w:hint="default" w:ascii="Times New Roman" w:hAnsi="Times New Roman" w:cs="Times New Roman"/>
          <w:color w:val="auto"/>
        </w:rPr>
      </w:pPr>
      <w:r>
        <w:rPr>
          <w:rFonts w:hint="default" w:ascii="Times New Roman" w:hAnsi="Times New Roman" w:cs="Times New Roman"/>
          <w:color w:val="auto"/>
        </w:rPr>
        <w:t>熔融共混过程主要产生有机废气G2和挤出设备噪声N2。</w:t>
      </w:r>
    </w:p>
    <w:p w14:paraId="612B7F3D">
      <w:pPr>
        <w:ind w:firstLine="480"/>
        <w:rPr>
          <w:rFonts w:hint="default" w:ascii="Times New Roman" w:hAnsi="Times New Roman" w:cs="Times New Roman"/>
          <w:color w:val="auto"/>
        </w:rPr>
      </w:pPr>
      <w:r>
        <w:rPr>
          <w:rFonts w:hint="default" w:ascii="Times New Roman" w:hAnsi="Times New Roman" w:cs="Times New Roman"/>
          <w:color w:val="auto"/>
        </w:rPr>
        <w:t>C）</w:t>
      </w:r>
      <w:r>
        <w:rPr>
          <w:rFonts w:hint="default" w:ascii="Times New Roman" w:hAnsi="Times New Roman" w:cs="Times New Roman"/>
          <w:color w:val="auto"/>
          <w:szCs w:val="24"/>
        </w:rPr>
        <w:t>冷却切粒</w:t>
      </w:r>
    </w:p>
    <w:p w14:paraId="16B7AB00">
      <w:pPr>
        <w:ind w:firstLine="480"/>
        <w:rPr>
          <w:rFonts w:hint="default" w:ascii="Times New Roman" w:hAnsi="Times New Roman" w:cs="Times New Roman"/>
          <w:color w:val="auto"/>
          <w:szCs w:val="24"/>
        </w:rPr>
      </w:pPr>
      <w:r>
        <w:rPr>
          <w:rFonts w:hint="default" w:ascii="Times New Roman" w:hAnsi="Times New Roman" w:cs="Times New Roman"/>
          <w:color w:val="auto"/>
        </w:rPr>
        <w:t>挤出的混合料进入冷却水槽，在冷却水槽中完全冷却定型，并由切料机</w:t>
      </w:r>
      <w:r>
        <w:rPr>
          <w:rFonts w:hint="default" w:ascii="Times New Roman" w:hAnsi="Times New Roman" w:cs="Times New Roman"/>
          <w:color w:val="auto"/>
          <w:szCs w:val="24"/>
        </w:rPr>
        <w:t>定长切粒成一定规格的圆柱体颗粒。高温挤出的料条冷却水槽冷却过程中，内部残留的挥发分持续向环境释放。主要产生切粒机噪声N3和冷却废水W1、</w:t>
      </w:r>
      <w:r>
        <w:rPr>
          <w:rFonts w:hint="default" w:ascii="Times New Roman" w:hAnsi="Times New Roman" w:cs="Times New Roman"/>
          <w:color w:val="auto"/>
        </w:rPr>
        <w:t>有机废气G2</w:t>
      </w:r>
      <w:r>
        <w:rPr>
          <w:rFonts w:hint="default" w:ascii="Times New Roman" w:hAnsi="Times New Roman" w:cs="Times New Roman"/>
          <w:color w:val="auto"/>
          <w:szCs w:val="24"/>
        </w:rPr>
        <w:t>。</w:t>
      </w:r>
    </w:p>
    <w:p w14:paraId="3A234E5B">
      <w:pPr>
        <w:ind w:firstLine="480"/>
        <w:rPr>
          <w:rFonts w:hint="default" w:ascii="Times New Roman" w:hAnsi="Times New Roman" w:cs="Times New Roman"/>
          <w:color w:val="auto"/>
          <w:szCs w:val="24"/>
        </w:rPr>
      </w:pPr>
      <w:r>
        <w:rPr>
          <w:rFonts w:hint="default" w:ascii="Times New Roman" w:hAnsi="Times New Roman" w:cs="Times New Roman"/>
          <w:color w:val="auto"/>
          <w:szCs w:val="24"/>
        </w:rPr>
        <w:t>D）烘干</w:t>
      </w:r>
    </w:p>
    <w:p w14:paraId="224DB96F">
      <w:pPr>
        <w:ind w:firstLine="480"/>
        <w:rPr>
          <w:rFonts w:hint="default" w:ascii="Times New Roman" w:hAnsi="Times New Roman" w:cs="Times New Roman"/>
          <w:color w:val="auto"/>
        </w:rPr>
      </w:pPr>
      <w:r>
        <w:rPr>
          <w:rFonts w:hint="default" w:ascii="Times New Roman" w:hAnsi="Times New Roman" w:cs="Times New Roman"/>
          <w:color w:val="auto"/>
        </w:rPr>
        <w:t>采用干燥机用电能加热进行烘干，烘干温度90℃，烘干时间约1h。烘干温度远低于物料熔融温度，主要为脱出水分，其产生的有机废气量G2极少。</w:t>
      </w:r>
    </w:p>
    <w:p w14:paraId="52158CA0">
      <w:pPr>
        <w:ind w:firstLine="480"/>
        <w:rPr>
          <w:rFonts w:hint="default" w:ascii="Times New Roman" w:hAnsi="Times New Roman" w:cs="Times New Roman"/>
          <w:color w:val="auto"/>
        </w:rPr>
      </w:pPr>
      <w:r>
        <w:rPr>
          <w:rFonts w:hint="default" w:ascii="Times New Roman" w:hAnsi="Times New Roman" w:cs="Times New Roman"/>
          <w:color w:val="auto"/>
        </w:rPr>
        <w:t>E）均化</w:t>
      </w:r>
    </w:p>
    <w:p w14:paraId="273F9C8A">
      <w:pPr>
        <w:ind w:firstLine="480"/>
        <w:rPr>
          <w:rFonts w:hint="default" w:ascii="Times New Roman" w:hAnsi="Times New Roman" w:cs="Times New Roman"/>
          <w:color w:val="auto"/>
        </w:rPr>
      </w:pPr>
      <w:r>
        <w:rPr>
          <w:rFonts w:hint="default" w:ascii="Times New Roman" w:hAnsi="Times New Roman" w:cs="Times New Roman"/>
          <w:color w:val="auto"/>
        </w:rPr>
        <w:t>各批次物料再送入均化料仓充分混合，消除前后段性能色差、熔指偏差。</w:t>
      </w:r>
      <w:r>
        <w:rPr>
          <w:rFonts w:hint="default" w:ascii="Times New Roman" w:hAnsi="Times New Roman" w:cs="Times New Roman"/>
          <w:color w:val="auto"/>
          <w:szCs w:val="24"/>
        </w:rPr>
        <w:t>主要产生均化噪声N4。</w:t>
      </w:r>
    </w:p>
    <w:p w14:paraId="5C269D97">
      <w:pPr>
        <w:ind w:firstLine="480"/>
        <w:rPr>
          <w:rFonts w:hint="default" w:ascii="Times New Roman" w:hAnsi="Times New Roman" w:cs="Times New Roman"/>
          <w:color w:val="auto"/>
        </w:rPr>
      </w:pPr>
      <w:r>
        <w:rPr>
          <w:rFonts w:hint="default" w:ascii="Times New Roman" w:hAnsi="Times New Roman" w:cs="Times New Roman"/>
          <w:color w:val="auto"/>
        </w:rPr>
        <w:t>F）检测包装</w:t>
      </w:r>
    </w:p>
    <w:p w14:paraId="0D71597B">
      <w:pPr>
        <w:ind w:firstLine="480"/>
        <w:rPr>
          <w:rFonts w:hint="default" w:ascii="Times New Roman" w:hAnsi="Times New Roman" w:cs="Times New Roman"/>
          <w:color w:val="auto"/>
        </w:rPr>
      </w:pPr>
      <w:r>
        <w:rPr>
          <w:rFonts w:hint="default" w:ascii="Times New Roman" w:hAnsi="Times New Roman" w:cs="Times New Roman"/>
          <w:color w:val="auto"/>
        </w:rPr>
        <w:t>利用检测设备对粒料进行物理化学等性能的检测，并使用防潮编织袋进行包装，存放于成品区。包装设备产生噪声N5和不合格品S1。</w:t>
      </w:r>
    </w:p>
    <w:p w14:paraId="4E56FF9E">
      <w:pPr>
        <w:ind w:firstLine="482"/>
        <w:rPr>
          <w:rFonts w:hint="default" w:ascii="Times New Roman" w:hAnsi="Times New Roman" w:cs="Times New Roman"/>
          <w:b/>
          <w:bCs/>
          <w:color w:val="auto"/>
        </w:rPr>
      </w:pPr>
      <w:r>
        <w:rPr>
          <w:rFonts w:hint="default" w:ascii="Times New Roman" w:hAnsi="Times New Roman" w:cs="Times New Roman"/>
          <w:b/>
          <w:bCs/>
          <w:color w:val="auto"/>
        </w:rPr>
        <w:t>5）机头料破碎</w:t>
      </w:r>
    </w:p>
    <w:p w14:paraId="336DE646">
      <w:pPr>
        <w:ind w:firstLine="480"/>
        <w:rPr>
          <w:rFonts w:hint="default" w:ascii="Times New Roman" w:hAnsi="Times New Roman" w:cs="Times New Roman"/>
          <w:color w:val="auto"/>
        </w:rPr>
      </w:pPr>
      <w:r>
        <w:rPr>
          <w:rFonts w:hint="default" w:ascii="Times New Roman" w:hAnsi="Times New Roman" w:cs="Times New Roman"/>
          <w:color w:val="auto"/>
        </w:rPr>
        <w:t>每次挤出机开机和配方调试时，在挤出机机头会产生机头料、清膛料。机头料为废料，全部外售处置。清膛料为原材料冷凝后材料，为单一材质、干净无污染、没老化，采用破碎机破碎至12~18mm，持续时间约10min。破碎料全部回收利用。由于破碎后料尺寸较大，且干净无老化、污染，因此其产生的粉尘极少。该阶段主要产生破碎噪声N5，极少量粉尘G3。</w:t>
      </w:r>
    </w:p>
    <w:p w14:paraId="2A4F3CBC">
      <w:pPr>
        <w:ind w:firstLine="482"/>
        <w:rPr>
          <w:rFonts w:hint="default" w:ascii="Times New Roman" w:hAnsi="Times New Roman" w:cs="Times New Roman"/>
          <w:b/>
          <w:bCs/>
          <w:color w:val="auto"/>
        </w:rPr>
      </w:pPr>
      <w:r>
        <w:rPr>
          <w:rFonts w:hint="default" w:ascii="Times New Roman" w:hAnsi="Times New Roman" w:cs="Times New Roman"/>
          <w:b/>
          <w:bCs/>
          <w:color w:val="auto"/>
        </w:rPr>
        <w:t>6）检测检验</w:t>
      </w:r>
    </w:p>
    <w:p w14:paraId="726D3C8F">
      <w:pPr>
        <w:ind w:firstLine="480"/>
        <w:rPr>
          <w:rFonts w:hint="default" w:ascii="Times New Roman" w:hAnsi="Times New Roman" w:cs="Times New Roman"/>
          <w:color w:val="auto"/>
        </w:rPr>
      </w:pPr>
      <w:r>
        <w:rPr>
          <w:rFonts w:hint="default" w:ascii="Times New Roman" w:hAnsi="Times New Roman" w:cs="Times New Roman"/>
          <w:color w:val="auto"/>
        </w:rPr>
        <w:t>本项目设置了4台样板注塑机、1台拉力试验机、1台冲击试验机、1台熔融指数仪、1台密度仪、1台小型干燥箱对改性粒料进行物理性质的检验检测。</w:t>
      </w:r>
    </w:p>
    <w:p w14:paraId="149EB62C">
      <w:pPr>
        <w:ind w:firstLine="480"/>
        <w:rPr>
          <w:rFonts w:hint="default" w:ascii="Times New Roman" w:hAnsi="Times New Roman" w:cs="Times New Roman"/>
          <w:color w:val="auto"/>
        </w:rPr>
      </w:pPr>
      <w:r>
        <w:rPr>
          <w:rFonts w:hint="default" w:ascii="Times New Roman" w:hAnsi="Times New Roman" w:cs="Times New Roman"/>
          <w:color w:val="auto"/>
          <w:lang w:val="en-US" w:eastAsia="zh-CN"/>
        </w:rPr>
        <w:t>本项目共设置</w:t>
      </w:r>
      <w:r>
        <w:rPr>
          <w:rFonts w:hint="default" w:ascii="Times New Roman" w:hAnsi="Times New Roman" w:cs="Times New Roman"/>
          <w:color w:val="auto"/>
        </w:rPr>
        <w:t>3台海鹰550型注塑机，1台海天MA1200型注塑机。1台海天MA1200型注塑机为改性PC/ABS、改性ABS、改性PA打试验样板机；</w:t>
      </w:r>
      <w:r>
        <w:rPr>
          <w:rFonts w:hint="default" w:ascii="Times New Roman" w:hAnsi="Times New Roman" w:cs="Times New Roman"/>
          <w:color w:val="auto"/>
          <w:lang w:val="en-US" w:eastAsia="zh-CN"/>
        </w:rPr>
        <w:t>1</w:t>
      </w:r>
      <w:r>
        <w:rPr>
          <w:rFonts w:hint="default" w:ascii="Times New Roman" w:hAnsi="Times New Roman" w:cs="Times New Roman"/>
          <w:color w:val="auto"/>
        </w:rPr>
        <w:t>台海鹰550型注塑机为改性PP试验样条机，剩下2台海鹰550型注塑机为调色样板专用机</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混合色母等生产颜色小样便于客户了解产品质量和混色能力</w:t>
      </w:r>
      <w:r>
        <w:rPr>
          <w:rFonts w:hint="default" w:ascii="Times New Roman" w:hAnsi="Times New Roman" w:cs="Times New Roman"/>
          <w:color w:val="auto"/>
          <w:lang w:eastAsia="zh-CN"/>
        </w:rPr>
        <w:t>）</w:t>
      </w:r>
      <w:r>
        <w:rPr>
          <w:rFonts w:hint="default" w:ascii="Times New Roman" w:hAnsi="Times New Roman" w:cs="Times New Roman"/>
          <w:color w:val="auto"/>
        </w:rPr>
        <w:t>。</w:t>
      </w:r>
    </w:p>
    <w:p w14:paraId="3BF3758E">
      <w:pPr>
        <w:ind w:firstLine="480"/>
        <w:rPr>
          <w:rFonts w:hint="default" w:ascii="Times New Roman" w:hAnsi="Times New Roman" w:cs="Times New Roman"/>
          <w:color w:val="auto"/>
        </w:rPr>
      </w:pPr>
      <w:r>
        <w:rPr>
          <w:rFonts w:hint="default" w:ascii="Times New Roman" w:hAnsi="Times New Roman" w:cs="Times New Roman"/>
          <w:color w:val="auto"/>
          <w:lang w:val="en-US" w:eastAsia="zh-CN"/>
        </w:rPr>
        <w:t>本项目注塑小样生产时间</w:t>
      </w:r>
      <w:r>
        <w:rPr>
          <w:rFonts w:hint="default" w:ascii="Times New Roman" w:hAnsi="Times New Roman" w:cs="Times New Roman"/>
          <w:color w:val="auto"/>
        </w:rPr>
        <w:t>每次2~3min，每天约5~6次，</w:t>
      </w:r>
      <w:r>
        <w:rPr>
          <w:rFonts w:hint="default" w:ascii="Times New Roman" w:hAnsi="Times New Roman" w:cs="Times New Roman"/>
          <w:color w:val="auto"/>
          <w:lang w:val="en-US" w:eastAsia="zh-CN"/>
        </w:rPr>
        <w:t>其注塑机进料能力最小为100~400g，</w:t>
      </w:r>
      <w:r>
        <w:rPr>
          <w:rFonts w:hint="default" w:ascii="Times New Roman" w:hAnsi="Times New Roman" w:cs="Times New Roman"/>
          <w:color w:val="auto"/>
        </w:rPr>
        <w:t>每次注塑机生产样品</w:t>
      </w:r>
      <w:r>
        <w:rPr>
          <w:rFonts w:hint="default" w:ascii="Times New Roman" w:hAnsi="Times New Roman" w:cs="Times New Roman"/>
          <w:color w:val="auto"/>
          <w:lang w:val="en-US" w:eastAsia="zh-CN"/>
        </w:rPr>
        <w:t>最大</w:t>
      </w:r>
      <w:r>
        <w:rPr>
          <w:rFonts w:hint="default" w:ascii="Times New Roman" w:hAnsi="Times New Roman" w:cs="Times New Roman"/>
          <w:color w:val="auto"/>
        </w:rPr>
        <w:t>约0.4kg。检验过程产生有机废气、噪声，废气产生量极小，非甲烷总烃产生量约0.0017t/a。主要产生废料S1。</w:t>
      </w:r>
    </w:p>
    <w:p w14:paraId="3000CFF2">
      <w:pPr>
        <w:ind w:firstLine="482"/>
        <w:rPr>
          <w:rFonts w:hint="default" w:ascii="Times New Roman" w:hAnsi="Times New Roman" w:cs="Times New Roman"/>
          <w:b/>
          <w:bCs/>
          <w:color w:val="auto"/>
        </w:rPr>
      </w:pPr>
      <w:r>
        <w:rPr>
          <w:rFonts w:hint="default" w:ascii="Times New Roman" w:hAnsi="Times New Roman" w:cs="Times New Roman"/>
          <w:b/>
          <w:bCs/>
          <w:color w:val="auto"/>
        </w:rPr>
        <w:t>7）其他产污环节</w:t>
      </w:r>
    </w:p>
    <w:p w14:paraId="0D283807">
      <w:pPr>
        <w:ind w:firstLine="480"/>
        <w:rPr>
          <w:rFonts w:hint="default" w:ascii="Times New Roman" w:hAnsi="Times New Roman" w:cs="Times New Roman"/>
          <w:color w:val="auto"/>
        </w:rPr>
      </w:pPr>
      <w:r>
        <w:rPr>
          <w:rFonts w:hint="default" w:ascii="Times New Roman" w:hAnsi="Times New Roman" w:cs="Times New Roman"/>
          <w:color w:val="auto"/>
        </w:rPr>
        <w:t>原材料拆袋和产品包装过程中产生废包装材料S2；</w:t>
      </w:r>
    </w:p>
    <w:p w14:paraId="7A1C0184">
      <w:pPr>
        <w:ind w:firstLine="480"/>
        <w:rPr>
          <w:rFonts w:hint="default" w:ascii="Times New Roman" w:hAnsi="Times New Roman" w:cs="Times New Roman"/>
          <w:color w:val="auto"/>
        </w:rPr>
      </w:pPr>
      <w:r>
        <w:rPr>
          <w:rFonts w:hint="default" w:ascii="Times New Roman" w:hAnsi="Times New Roman" w:cs="Times New Roman"/>
          <w:color w:val="auto"/>
        </w:rPr>
        <w:t>生产过程中产生的废润滑油S3、废油桶S4、废含油抹布/劳保用品S5、空压机油水混合物S6。</w:t>
      </w:r>
    </w:p>
    <w:p w14:paraId="76DEB8E0">
      <w:pPr>
        <w:ind w:firstLine="480"/>
        <w:rPr>
          <w:rFonts w:hint="default" w:ascii="Times New Roman" w:hAnsi="Times New Roman" w:cs="Times New Roman"/>
          <w:color w:val="auto"/>
        </w:rPr>
      </w:pPr>
      <w:r>
        <w:rPr>
          <w:rFonts w:hint="default" w:ascii="Times New Roman" w:hAnsi="Times New Roman" w:cs="Times New Roman"/>
          <w:color w:val="auto"/>
        </w:rPr>
        <w:t>水环真空泵产生的冷却废水W2。</w:t>
      </w:r>
    </w:p>
    <w:p w14:paraId="3A5CAB9F">
      <w:pPr>
        <w:ind w:firstLine="480"/>
        <w:rPr>
          <w:rFonts w:hint="default" w:ascii="Times New Roman" w:hAnsi="Times New Roman" w:cs="Times New Roman"/>
          <w:color w:val="auto"/>
        </w:rPr>
      </w:pPr>
      <w:r>
        <w:rPr>
          <w:rFonts w:hint="default" w:ascii="Times New Roman" w:hAnsi="Times New Roman" w:cs="Times New Roman"/>
          <w:color w:val="auto"/>
        </w:rPr>
        <w:t>废气处理产生的废活性炭S7。</w:t>
      </w:r>
    </w:p>
    <w:p w14:paraId="7EEB0A1B">
      <w:pPr>
        <w:ind w:firstLine="480"/>
        <w:rPr>
          <w:rFonts w:hint="default" w:ascii="Times New Roman" w:hAnsi="Times New Roman" w:cs="Times New Roman"/>
          <w:color w:val="auto"/>
        </w:rPr>
      </w:pPr>
      <w:r>
        <w:rPr>
          <w:rFonts w:hint="default" w:ascii="Times New Roman" w:hAnsi="Times New Roman" w:cs="Times New Roman"/>
          <w:color w:val="auto"/>
        </w:rPr>
        <w:t>生产废水过滤预处理产生的废塑料渣S8。</w:t>
      </w:r>
    </w:p>
    <w:p w14:paraId="30F23191">
      <w:pPr>
        <w:ind w:firstLine="480"/>
        <w:rPr>
          <w:rFonts w:hint="default" w:ascii="Times New Roman" w:hAnsi="Times New Roman" w:eastAsia="宋体" w:cs="Times New Roman"/>
          <w:color w:val="auto"/>
          <w:lang w:val="en-US" w:eastAsia="zh-CN"/>
        </w:rPr>
      </w:pPr>
      <w:r>
        <w:rPr>
          <w:rFonts w:hint="eastAsia" w:cs="Times New Roman"/>
          <w:color w:val="auto"/>
          <w:lang w:val="en-US" w:eastAsia="zh-CN"/>
        </w:rPr>
        <w:t>检验检测产生的废塑料S8。</w:t>
      </w:r>
    </w:p>
    <w:p w14:paraId="2E2D13E6">
      <w:pPr>
        <w:ind w:firstLine="480"/>
        <w:rPr>
          <w:rFonts w:hint="default" w:ascii="Times New Roman" w:hAnsi="Times New Roman" w:cs="Times New Roman"/>
          <w:color w:val="auto"/>
        </w:rPr>
      </w:pPr>
      <w:r>
        <w:rPr>
          <w:rFonts w:hint="default" w:ascii="Times New Roman" w:hAnsi="Times New Roman" w:cs="Times New Roman"/>
          <w:color w:val="auto"/>
        </w:rPr>
        <w:t>活性炭废气处理装置风机和布袋除尘器风机噪声N6。</w:t>
      </w:r>
    </w:p>
    <w:p w14:paraId="0765CEF0">
      <w:pPr>
        <w:ind w:firstLine="480"/>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rPr>
        <w:t>本项目挤出机、注塑机的</w:t>
      </w:r>
      <w:r>
        <w:rPr>
          <w:rFonts w:hint="default" w:ascii="Times New Roman" w:hAnsi="Times New Roman" w:cs="Times New Roman" w:eastAsiaTheme="minorEastAsia"/>
          <w:color w:val="auto"/>
        </w:rPr>
        <w:t>模头、模具等外委进行维修，不在厂内产生污染物；模头、模具的清理主要采用物理清理方式，用铜刮刀、铜丝刷、铜通针等刮除模头、模具的残留物，再采用压缩空气吹扫，该过程主要产生清膛料S9，挤出机</w:t>
      </w:r>
      <w:r>
        <w:rPr>
          <w:rFonts w:hint="default" w:ascii="Times New Roman" w:hAnsi="Times New Roman" w:cs="Times New Roman"/>
          <w:color w:val="auto"/>
        </w:rPr>
        <w:t>机头料S8</w:t>
      </w:r>
      <w:r>
        <w:rPr>
          <w:rFonts w:hint="default" w:ascii="Times New Roman" w:hAnsi="Times New Roman" w:cs="Times New Roman" w:eastAsiaTheme="minorEastAsia"/>
          <w:color w:val="auto"/>
        </w:rPr>
        <w:t>。</w:t>
      </w:r>
      <w:r>
        <w:rPr>
          <w:rFonts w:hint="eastAsia" w:cs="Times New Roman" w:eastAsiaTheme="minorEastAsia"/>
          <w:color w:val="auto"/>
          <w:lang w:val="en-US" w:eastAsia="zh-CN"/>
        </w:rPr>
        <w:t>另外在色母更换过程中也会产生洗机料S8，做固废处置。</w:t>
      </w:r>
    </w:p>
    <w:p w14:paraId="0F437660">
      <w:pPr>
        <w:ind w:firstLine="482"/>
        <w:rPr>
          <w:rFonts w:hint="default" w:ascii="Times New Roman" w:hAnsi="Times New Roman" w:cs="Times New Roman"/>
          <w:b/>
          <w:bCs/>
          <w:color w:val="auto"/>
        </w:rPr>
      </w:pPr>
      <w:r>
        <w:rPr>
          <w:rFonts w:hint="default" w:ascii="Times New Roman" w:hAnsi="Times New Roman" w:cs="Times New Roman"/>
          <w:b/>
          <w:bCs/>
          <w:color w:val="auto"/>
        </w:rPr>
        <w:t xml:space="preserve">8）主要污染工序 </w:t>
      </w:r>
    </w:p>
    <w:p w14:paraId="4EF4B8D9">
      <w:pPr>
        <w:ind w:firstLine="480"/>
        <w:rPr>
          <w:rFonts w:hint="default" w:ascii="Times New Roman" w:hAnsi="Times New Roman" w:cs="Times New Roman"/>
          <w:color w:val="auto"/>
        </w:rPr>
      </w:pPr>
      <w:r>
        <w:rPr>
          <w:rFonts w:hint="default" w:ascii="Times New Roman" w:hAnsi="Times New Roman" w:cs="Times New Roman"/>
          <w:color w:val="auto"/>
        </w:rPr>
        <w:t>本项目各生产工序排污环节见表2.11.2-1。</w:t>
      </w:r>
    </w:p>
    <w:p w14:paraId="518E6281">
      <w:pPr>
        <w:pStyle w:val="93"/>
        <w:rPr>
          <w:rFonts w:hint="default" w:ascii="Times New Roman" w:hAnsi="Times New Roman" w:cs="Times New Roman"/>
          <w:color w:val="auto"/>
        </w:rPr>
      </w:pPr>
      <w:r>
        <w:rPr>
          <w:rFonts w:hint="default" w:ascii="Times New Roman" w:hAnsi="Times New Roman" w:cs="Times New Roman"/>
          <w:color w:val="auto"/>
        </w:rPr>
        <w:t>表2.11.2-1    各生产工序排污环节汇总表</w:t>
      </w:r>
    </w:p>
    <w:tbl>
      <w:tblPr>
        <w:tblStyle w:val="44"/>
        <w:tblW w:w="80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0"/>
        <w:gridCol w:w="1252"/>
        <w:gridCol w:w="1398"/>
        <w:gridCol w:w="1355"/>
        <w:gridCol w:w="2378"/>
      </w:tblGrid>
      <w:tr w14:paraId="0DE3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1680" w:type="dxa"/>
            <w:vMerge w:val="restart"/>
            <w:vAlign w:val="center"/>
          </w:tcPr>
          <w:p w14:paraId="22AA6DC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工序</w:t>
            </w:r>
          </w:p>
        </w:tc>
        <w:tc>
          <w:tcPr>
            <w:tcW w:w="6383" w:type="dxa"/>
            <w:gridSpan w:val="4"/>
            <w:vAlign w:val="center"/>
          </w:tcPr>
          <w:p w14:paraId="51A4FCC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污染物产生情况</w:t>
            </w:r>
          </w:p>
        </w:tc>
      </w:tr>
      <w:tr w14:paraId="33F6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1680" w:type="dxa"/>
            <w:vMerge w:val="continue"/>
            <w:vAlign w:val="center"/>
          </w:tcPr>
          <w:p w14:paraId="569651F7">
            <w:pPr>
              <w:spacing w:line="240" w:lineRule="auto"/>
              <w:ind w:firstLine="0" w:firstLineChars="0"/>
              <w:jc w:val="center"/>
              <w:rPr>
                <w:rFonts w:hint="default" w:ascii="Times New Roman" w:hAnsi="Times New Roman" w:cs="Times New Roman"/>
                <w:color w:val="auto"/>
                <w:kern w:val="2"/>
                <w:sz w:val="21"/>
                <w:szCs w:val="21"/>
              </w:rPr>
            </w:pPr>
          </w:p>
        </w:tc>
        <w:tc>
          <w:tcPr>
            <w:tcW w:w="1252" w:type="dxa"/>
            <w:vAlign w:val="center"/>
          </w:tcPr>
          <w:p w14:paraId="379E785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废水</w:t>
            </w:r>
          </w:p>
        </w:tc>
        <w:tc>
          <w:tcPr>
            <w:tcW w:w="1398" w:type="dxa"/>
            <w:vAlign w:val="center"/>
          </w:tcPr>
          <w:p w14:paraId="0C24CD6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废气</w:t>
            </w:r>
          </w:p>
        </w:tc>
        <w:tc>
          <w:tcPr>
            <w:tcW w:w="1355" w:type="dxa"/>
            <w:vAlign w:val="center"/>
          </w:tcPr>
          <w:p w14:paraId="47F1DA2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噪声</w:t>
            </w:r>
          </w:p>
        </w:tc>
        <w:tc>
          <w:tcPr>
            <w:tcW w:w="2378" w:type="dxa"/>
            <w:vAlign w:val="center"/>
          </w:tcPr>
          <w:p w14:paraId="7F693D1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固废</w:t>
            </w:r>
          </w:p>
        </w:tc>
      </w:tr>
      <w:tr w14:paraId="28FE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8063" w:type="dxa"/>
            <w:gridSpan w:val="5"/>
            <w:vAlign w:val="center"/>
          </w:tcPr>
          <w:p w14:paraId="2FA22C6D">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一、改性PP生产</w:t>
            </w:r>
          </w:p>
        </w:tc>
      </w:tr>
      <w:tr w14:paraId="5FC9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1680" w:type="dxa"/>
            <w:vAlign w:val="center"/>
          </w:tcPr>
          <w:p w14:paraId="593EB2E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配料混合</w:t>
            </w:r>
          </w:p>
        </w:tc>
        <w:tc>
          <w:tcPr>
            <w:tcW w:w="1252" w:type="dxa"/>
            <w:vAlign w:val="center"/>
          </w:tcPr>
          <w:p w14:paraId="679CDCC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5E320EB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粉尘G1</w:t>
            </w:r>
          </w:p>
        </w:tc>
        <w:tc>
          <w:tcPr>
            <w:tcW w:w="1355" w:type="dxa"/>
            <w:vAlign w:val="center"/>
          </w:tcPr>
          <w:p w14:paraId="33D09FF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噪声N1</w:t>
            </w:r>
          </w:p>
        </w:tc>
        <w:tc>
          <w:tcPr>
            <w:tcW w:w="2378" w:type="dxa"/>
            <w:vAlign w:val="center"/>
          </w:tcPr>
          <w:p w14:paraId="5E03C1F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2058B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680" w:type="dxa"/>
            <w:vAlign w:val="center"/>
          </w:tcPr>
          <w:p w14:paraId="065AD14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双螺杆挤出熔融共混</w:t>
            </w:r>
          </w:p>
        </w:tc>
        <w:tc>
          <w:tcPr>
            <w:tcW w:w="1252" w:type="dxa"/>
            <w:vAlign w:val="center"/>
          </w:tcPr>
          <w:p w14:paraId="068A7AC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727CF42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有机废气G2</w:t>
            </w:r>
          </w:p>
        </w:tc>
        <w:tc>
          <w:tcPr>
            <w:tcW w:w="1355" w:type="dxa"/>
            <w:vAlign w:val="center"/>
          </w:tcPr>
          <w:p w14:paraId="378DE62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噪声N2</w:t>
            </w:r>
          </w:p>
        </w:tc>
        <w:tc>
          <w:tcPr>
            <w:tcW w:w="2378" w:type="dxa"/>
            <w:vAlign w:val="center"/>
          </w:tcPr>
          <w:p w14:paraId="73EACF2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26D2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1680" w:type="dxa"/>
            <w:vAlign w:val="center"/>
          </w:tcPr>
          <w:p w14:paraId="75E8129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冷却切粒</w:t>
            </w:r>
          </w:p>
        </w:tc>
        <w:tc>
          <w:tcPr>
            <w:tcW w:w="1252" w:type="dxa"/>
            <w:vAlign w:val="center"/>
          </w:tcPr>
          <w:p w14:paraId="0F02D62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冷却废水W1</w:t>
            </w:r>
          </w:p>
        </w:tc>
        <w:tc>
          <w:tcPr>
            <w:tcW w:w="1398" w:type="dxa"/>
            <w:vAlign w:val="center"/>
          </w:tcPr>
          <w:p w14:paraId="60B7CCF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有机废气G2</w:t>
            </w:r>
          </w:p>
        </w:tc>
        <w:tc>
          <w:tcPr>
            <w:tcW w:w="1355" w:type="dxa"/>
            <w:vAlign w:val="center"/>
          </w:tcPr>
          <w:p w14:paraId="3115623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噪声N3</w:t>
            </w:r>
          </w:p>
        </w:tc>
        <w:tc>
          <w:tcPr>
            <w:tcW w:w="2378" w:type="dxa"/>
            <w:vAlign w:val="center"/>
          </w:tcPr>
          <w:p w14:paraId="00B2AB4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25CF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1680" w:type="dxa"/>
            <w:vAlign w:val="center"/>
          </w:tcPr>
          <w:p w14:paraId="05ED6BD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烘干</w:t>
            </w:r>
          </w:p>
        </w:tc>
        <w:tc>
          <w:tcPr>
            <w:tcW w:w="1252" w:type="dxa"/>
            <w:vAlign w:val="center"/>
          </w:tcPr>
          <w:p w14:paraId="4D0CC47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2BBB083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有机废气G2</w:t>
            </w:r>
          </w:p>
        </w:tc>
        <w:tc>
          <w:tcPr>
            <w:tcW w:w="1355" w:type="dxa"/>
            <w:vAlign w:val="center"/>
          </w:tcPr>
          <w:p w14:paraId="26B68F3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2378" w:type="dxa"/>
            <w:vAlign w:val="center"/>
          </w:tcPr>
          <w:p w14:paraId="7AA4883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732A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1680" w:type="dxa"/>
            <w:vAlign w:val="center"/>
          </w:tcPr>
          <w:p w14:paraId="0FDCCCD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均化</w:t>
            </w:r>
          </w:p>
        </w:tc>
        <w:tc>
          <w:tcPr>
            <w:tcW w:w="1252" w:type="dxa"/>
            <w:vAlign w:val="center"/>
          </w:tcPr>
          <w:p w14:paraId="07A20DD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1C194CD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55" w:type="dxa"/>
            <w:vAlign w:val="center"/>
          </w:tcPr>
          <w:p w14:paraId="2833068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噪声N4</w:t>
            </w:r>
          </w:p>
        </w:tc>
        <w:tc>
          <w:tcPr>
            <w:tcW w:w="2378" w:type="dxa"/>
            <w:vAlign w:val="center"/>
          </w:tcPr>
          <w:p w14:paraId="44D647B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7297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527159D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检测包装</w:t>
            </w:r>
          </w:p>
        </w:tc>
        <w:tc>
          <w:tcPr>
            <w:tcW w:w="1252" w:type="dxa"/>
            <w:vAlign w:val="center"/>
          </w:tcPr>
          <w:p w14:paraId="4CEF010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702F27E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55" w:type="dxa"/>
            <w:vAlign w:val="center"/>
          </w:tcPr>
          <w:p w14:paraId="6FFB76D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噪声N5</w:t>
            </w:r>
          </w:p>
        </w:tc>
        <w:tc>
          <w:tcPr>
            <w:tcW w:w="2378" w:type="dxa"/>
            <w:vAlign w:val="center"/>
          </w:tcPr>
          <w:p w14:paraId="41DD1F2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不合格品S1</w:t>
            </w:r>
          </w:p>
        </w:tc>
      </w:tr>
      <w:tr w14:paraId="7A30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063" w:type="dxa"/>
            <w:gridSpan w:val="5"/>
            <w:vAlign w:val="center"/>
          </w:tcPr>
          <w:p w14:paraId="13B4BBEA">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二、改性PA</w:t>
            </w:r>
          </w:p>
        </w:tc>
      </w:tr>
      <w:tr w14:paraId="1F973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6C8853E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双螺杆挤出熔融共混</w:t>
            </w:r>
          </w:p>
        </w:tc>
        <w:tc>
          <w:tcPr>
            <w:tcW w:w="1252" w:type="dxa"/>
            <w:vAlign w:val="center"/>
          </w:tcPr>
          <w:p w14:paraId="606F7A3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43E12D1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有机废气G2</w:t>
            </w:r>
          </w:p>
        </w:tc>
        <w:tc>
          <w:tcPr>
            <w:tcW w:w="1355" w:type="dxa"/>
            <w:vAlign w:val="center"/>
          </w:tcPr>
          <w:p w14:paraId="2E9D141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噪声N2</w:t>
            </w:r>
          </w:p>
        </w:tc>
        <w:tc>
          <w:tcPr>
            <w:tcW w:w="2378" w:type="dxa"/>
            <w:vAlign w:val="center"/>
          </w:tcPr>
          <w:p w14:paraId="120F22C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21471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7A617A6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冷却切粒</w:t>
            </w:r>
          </w:p>
        </w:tc>
        <w:tc>
          <w:tcPr>
            <w:tcW w:w="1252" w:type="dxa"/>
            <w:vAlign w:val="center"/>
          </w:tcPr>
          <w:p w14:paraId="244BA7B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冷却废水W1</w:t>
            </w:r>
          </w:p>
        </w:tc>
        <w:tc>
          <w:tcPr>
            <w:tcW w:w="1398" w:type="dxa"/>
            <w:vAlign w:val="center"/>
          </w:tcPr>
          <w:p w14:paraId="693D45C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有机废气G2</w:t>
            </w:r>
          </w:p>
        </w:tc>
        <w:tc>
          <w:tcPr>
            <w:tcW w:w="1355" w:type="dxa"/>
            <w:vAlign w:val="center"/>
          </w:tcPr>
          <w:p w14:paraId="2F78387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噪声N3</w:t>
            </w:r>
          </w:p>
        </w:tc>
        <w:tc>
          <w:tcPr>
            <w:tcW w:w="2378" w:type="dxa"/>
            <w:vAlign w:val="center"/>
          </w:tcPr>
          <w:p w14:paraId="07D5393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60E6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28E12CD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烘干</w:t>
            </w:r>
          </w:p>
        </w:tc>
        <w:tc>
          <w:tcPr>
            <w:tcW w:w="1252" w:type="dxa"/>
            <w:vAlign w:val="center"/>
          </w:tcPr>
          <w:p w14:paraId="346A58E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1CEB71B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有机废气G2</w:t>
            </w:r>
          </w:p>
        </w:tc>
        <w:tc>
          <w:tcPr>
            <w:tcW w:w="1355" w:type="dxa"/>
            <w:vAlign w:val="center"/>
          </w:tcPr>
          <w:p w14:paraId="0D6682F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2378" w:type="dxa"/>
            <w:vAlign w:val="center"/>
          </w:tcPr>
          <w:p w14:paraId="717482A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3F8B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3361E1F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均化</w:t>
            </w:r>
          </w:p>
        </w:tc>
        <w:tc>
          <w:tcPr>
            <w:tcW w:w="1252" w:type="dxa"/>
            <w:vAlign w:val="center"/>
          </w:tcPr>
          <w:p w14:paraId="2EFD43F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246045C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55" w:type="dxa"/>
            <w:vAlign w:val="center"/>
          </w:tcPr>
          <w:p w14:paraId="10BD24F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噪声N4</w:t>
            </w:r>
          </w:p>
        </w:tc>
        <w:tc>
          <w:tcPr>
            <w:tcW w:w="2378" w:type="dxa"/>
            <w:vAlign w:val="center"/>
          </w:tcPr>
          <w:p w14:paraId="5A37825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79117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2B0D544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检测包装</w:t>
            </w:r>
          </w:p>
        </w:tc>
        <w:tc>
          <w:tcPr>
            <w:tcW w:w="1252" w:type="dxa"/>
            <w:vAlign w:val="center"/>
          </w:tcPr>
          <w:p w14:paraId="5F7A4E7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2246499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55" w:type="dxa"/>
            <w:vAlign w:val="center"/>
          </w:tcPr>
          <w:p w14:paraId="42B2D20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噪声N5</w:t>
            </w:r>
          </w:p>
        </w:tc>
        <w:tc>
          <w:tcPr>
            <w:tcW w:w="2378" w:type="dxa"/>
            <w:vAlign w:val="center"/>
          </w:tcPr>
          <w:p w14:paraId="1DD742E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不合格品S1</w:t>
            </w:r>
          </w:p>
        </w:tc>
      </w:tr>
      <w:tr w14:paraId="7A7F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063" w:type="dxa"/>
            <w:gridSpan w:val="5"/>
            <w:vAlign w:val="center"/>
          </w:tcPr>
          <w:p w14:paraId="4193FFAC">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三、改性PC/ABS</w:t>
            </w:r>
          </w:p>
        </w:tc>
      </w:tr>
      <w:tr w14:paraId="1FCA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26B541C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配料混合</w:t>
            </w:r>
          </w:p>
        </w:tc>
        <w:tc>
          <w:tcPr>
            <w:tcW w:w="1252" w:type="dxa"/>
            <w:vAlign w:val="center"/>
          </w:tcPr>
          <w:p w14:paraId="19A25F0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41B384A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粉尘G1</w:t>
            </w:r>
          </w:p>
        </w:tc>
        <w:tc>
          <w:tcPr>
            <w:tcW w:w="1355" w:type="dxa"/>
            <w:vAlign w:val="center"/>
          </w:tcPr>
          <w:p w14:paraId="57E243A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噪声N1</w:t>
            </w:r>
          </w:p>
        </w:tc>
        <w:tc>
          <w:tcPr>
            <w:tcW w:w="2378" w:type="dxa"/>
            <w:vAlign w:val="center"/>
          </w:tcPr>
          <w:p w14:paraId="7CC5B93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1CFA0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4EC0A90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双螺杆挤出熔融共混</w:t>
            </w:r>
          </w:p>
        </w:tc>
        <w:tc>
          <w:tcPr>
            <w:tcW w:w="1252" w:type="dxa"/>
            <w:vAlign w:val="center"/>
          </w:tcPr>
          <w:p w14:paraId="7610A79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4BE506D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有机废气G2</w:t>
            </w:r>
          </w:p>
        </w:tc>
        <w:tc>
          <w:tcPr>
            <w:tcW w:w="1355" w:type="dxa"/>
            <w:vAlign w:val="center"/>
          </w:tcPr>
          <w:p w14:paraId="4450EAA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噪声N2</w:t>
            </w:r>
          </w:p>
        </w:tc>
        <w:tc>
          <w:tcPr>
            <w:tcW w:w="2378" w:type="dxa"/>
            <w:vAlign w:val="center"/>
          </w:tcPr>
          <w:p w14:paraId="6B244B4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1DD0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7596FEB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冷却切粒</w:t>
            </w:r>
          </w:p>
        </w:tc>
        <w:tc>
          <w:tcPr>
            <w:tcW w:w="1252" w:type="dxa"/>
            <w:vAlign w:val="center"/>
          </w:tcPr>
          <w:p w14:paraId="191C4CA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冷却废水W1</w:t>
            </w:r>
          </w:p>
        </w:tc>
        <w:tc>
          <w:tcPr>
            <w:tcW w:w="1398" w:type="dxa"/>
            <w:vAlign w:val="center"/>
          </w:tcPr>
          <w:p w14:paraId="15BCF21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有机废气G2</w:t>
            </w:r>
          </w:p>
        </w:tc>
        <w:tc>
          <w:tcPr>
            <w:tcW w:w="1355" w:type="dxa"/>
            <w:vAlign w:val="center"/>
          </w:tcPr>
          <w:p w14:paraId="467A070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噪声N3</w:t>
            </w:r>
          </w:p>
        </w:tc>
        <w:tc>
          <w:tcPr>
            <w:tcW w:w="2378" w:type="dxa"/>
            <w:vAlign w:val="center"/>
          </w:tcPr>
          <w:p w14:paraId="432B3D3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5741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2159275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烘干</w:t>
            </w:r>
          </w:p>
        </w:tc>
        <w:tc>
          <w:tcPr>
            <w:tcW w:w="1252" w:type="dxa"/>
            <w:vAlign w:val="center"/>
          </w:tcPr>
          <w:p w14:paraId="6B2D5CB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621DC18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有机废气G2</w:t>
            </w:r>
          </w:p>
        </w:tc>
        <w:tc>
          <w:tcPr>
            <w:tcW w:w="1355" w:type="dxa"/>
            <w:vAlign w:val="center"/>
          </w:tcPr>
          <w:p w14:paraId="4D1F797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2378" w:type="dxa"/>
            <w:vAlign w:val="center"/>
          </w:tcPr>
          <w:p w14:paraId="215501A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4E022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29EFAD2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均化</w:t>
            </w:r>
          </w:p>
        </w:tc>
        <w:tc>
          <w:tcPr>
            <w:tcW w:w="1252" w:type="dxa"/>
            <w:vAlign w:val="center"/>
          </w:tcPr>
          <w:p w14:paraId="1C7B4BB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2892012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55" w:type="dxa"/>
            <w:vAlign w:val="center"/>
          </w:tcPr>
          <w:p w14:paraId="2F89476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噪声N4</w:t>
            </w:r>
          </w:p>
        </w:tc>
        <w:tc>
          <w:tcPr>
            <w:tcW w:w="2378" w:type="dxa"/>
            <w:vAlign w:val="center"/>
          </w:tcPr>
          <w:p w14:paraId="62F89D3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6BE8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70ABFA0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检测包装</w:t>
            </w:r>
          </w:p>
        </w:tc>
        <w:tc>
          <w:tcPr>
            <w:tcW w:w="1252" w:type="dxa"/>
            <w:vAlign w:val="center"/>
          </w:tcPr>
          <w:p w14:paraId="41EB995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06A26F4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55" w:type="dxa"/>
            <w:vAlign w:val="center"/>
          </w:tcPr>
          <w:p w14:paraId="24D2446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噪声N5</w:t>
            </w:r>
          </w:p>
        </w:tc>
        <w:tc>
          <w:tcPr>
            <w:tcW w:w="2378" w:type="dxa"/>
            <w:vAlign w:val="center"/>
          </w:tcPr>
          <w:p w14:paraId="7401B09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不合格品S1</w:t>
            </w:r>
          </w:p>
        </w:tc>
      </w:tr>
      <w:tr w14:paraId="1125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063" w:type="dxa"/>
            <w:gridSpan w:val="5"/>
            <w:vAlign w:val="center"/>
          </w:tcPr>
          <w:p w14:paraId="0A50E98A">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四、改性ABS</w:t>
            </w:r>
          </w:p>
        </w:tc>
      </w:tr>
      <w:tr w14:paraId="2DB9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17415DE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配料混合</w:t>
            </w:r>
          </w:p>
        </w:tc>
        <w:tc>
          <w:tcPr>
            <w:tcW w:w="1252" w:type="dxa"/>
            <w:vAlign w:val="center"/>
          </w:tcPr>
          <w:p w14:paraId="2B9E06B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3C582F2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粉尘G1</w:t>
            </w:r>
          </w:p>
        </w:tc>
        <w:tc>
          <w:tcPr>
            <w:tcW w:w="1355" w:type="dxa"/>
            <w:vAlign w:val="center"/>
          </w:tcPr>
          <w:p w14:paraId="38E4E77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噪声N1</w:t>
            </w:r>
          </w:p>
        </w:tc>
        <w:tc>
          <w:tcPr>
            <w:tcW w:w="2378" w:type="dxa"/>
            <w:vAlign w:val="center"/>
          </w:tcPr>
          <w:p w14:paraId="3EA3B89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2870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23C642B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双螺杆挤出熔融共混</w:t>
            </w:r>
          </w:p>
        </w:tc>
        <w:tc>
          <w:tcPr>
            <w:tcW w:w="1252" w:type="dxa"/>
            <w:vAlign w:val="center"/>
          </w:tcPr>
          <w:p w14:paraId="45A2F83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019539A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有机废气G2</w:t>
            </w:r>
          </w:p>
        </w:tc>
        <w:tc>
          <w:tcPr>
            <w:tcW w:w="1355" w:type="dxa"/>
            <w:vAlign w:val="center"/>
          </w:tcPr>
          <w:p w14:paraId="57FA1E9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噪声N2</w:t>
            </w:r>
          </w:p>
        </w:tc>
        <w:tc>
          <w:tcPr>
            <w:tcW w:w="2378" w:type="dxa"/>
            <w:vAlign w:val="center"/>
          </w:tcPr>
          <w:p w14:paraId="37D818E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68A7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26C441B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冷却切粒</w:t>
            </w:r>
          </w:p>
        </w:tc>
        <w:tc>
          <w:tcPr>
            <w:tcW w:w="1252" w:type="dxa"/>
            <w:vAlign w:val="center"/>
          </w:tcPr>
          <w:p w14:paraId="4714B68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冷却废水W1</w:t>
            </w:r>
          </w:p>
        </w:tc>
        <w:tc>
          <w:tcPr>
            <w:tcW w:w="1398" w:type="dxa"/>
            <w:vAlign w:val="center"/>
          </w:tcPr>
          <w:p w14:paraId="56F04D9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有机废气G2</w:t>
            </w:r>
          </w:p>
        </w:tc>
        <w:tc>
          <w:tcPr>
            <w:tcW w:w="1355" w:type="dxa"/>
            <w:vAlign w:val="center"/>
          </w:tcPr>
          <w:p w14:paraId="38C8E23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噪声N3</w:t>
            </w:r>
          </w:p>
        </w:tc>
        <w:tc>
          <w:tcPr>
            <w:tcW w:w="2378" w:type="dxa"/>
            <w:vAlign w:val="center"/>
          </w:tcPr>
          <w:p w14:paraId="00AF7F3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778E8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4DB061D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烘干</w:t>
            </w:r>
          </w:p>
        </w:tc>
        <w:tc>
          <w:tcPr>
            <w:tcW w:w="1252" w:type="dxa"/>
            <w:vAlign w:val="center"/>
          </w:tcPr>
          <w:p w14:paraId="5022C05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5328F1C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有机废气G2</w:t>
            </w:r>
          </w:p>
        </w:tc>
        <w:tc>
          <w:tcPr>
            <w:tcW w:w="1355" w:type="dxa"/>
            <w:vAlign w:val="center"/>
          </w:tcPr>
          <w:p w14:paraId="38C2D33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2378" w:type="dxa"/>
            <w:vAlign w:val="center"/>
          </w:tcPr>
          <w:p w14:paraId="47BDE96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2E67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66C65F8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均化</w:t>
            </w:r>
          </w:p>
        </w:tc>
        <w:tc>
          <w:tcPr>
            <w:tcW w:w="1252" w:type="dxa"/>
            <w:vAlign w:val="center"/>
          </w:tcPr>
          <w:p w14:paraId="175D8A8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0BC289C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55" w:type="dxa"/>
            <w:vAlign w:val="center"/>
          </w:tcPr>
          <w:p w14:paraId="1017FC9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噪声N4</w:t>
            </w:r>
          </w:p>
        </w:tc>
        <w:tc>
          <w:tcPr>
            <w:tcW w:w="2378" w:type="dxa"/>
            <w:vAlign w:val="center"/>
          </w:tcPr>
          <w:p w14:paraId="53D76B8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710F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1006BAD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检测包装</w:t>
            </w:r>
          </w:p>
        </w:tc>
        <w:tc>
          <w:tcPr>
            <w:tcW w:w="1252" w:type="dxa"/>
            <w:vAlign w:val="center"/>
          </w:tcPr>
          <w:p w14:paraId="2A7828C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396D375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55" w:type="dxa"/>
            <w:vAlign w:val="center"/>
          </w:tcPr>
          <w:p w14:paraId="489C025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噪声N5</w:t>
            </w:r>
          </w:p>
        </w:tc>
        <w:tc>
          <w:tcPr>
            <w:tcW w:w="2378" w:type="dxa"/>
            <w:vAlign w:val="center"/>
          </w:tcPr>
          <w:p w14:paraId="7D2DC36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不合格品S1</w:t>
            </w:r>
          </w:p>
        </w:tc>
      </w:tr>
      <w:tr w14:paraId="0196D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063" w:type="dxa"/>
            <w:gridSpan w:val="5"/>
            <w:vAlign w:val="center"/>
          </w:tcPr>
          <w:p w14:paraId="314242EE">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五、机头料破碎</w:t>
            </w:r>
          </w:p>
        </w:tc>
      </w:tr>
      <w:tr w14:paraId="3511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7504387D">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破碎</w:t>
            </w:r>
          </w:p>
        </w:tc>
        <w:tc>
          <w:tcPr>
            <w:tcW w:w="1252" w:type="dxa"/>
            <w:vAlign w:val="center"/>
          </w:tcPr>
          <w:p w14:paraId="61D4472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3379789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55" w:type="dxa"/>
            <w:vAlign w:val="center"/>
          </w:tcPr>
          <w:p w14:paraId="00D8750B">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破碎噪声N5</w:t>
            </w:r>
          </w:p>
        </w:tc>
        <w:tc>
          <w:tcPr>
            <w:tcW w:w="2378" w:type="dxa"/>
            <w:vAlign w:val="center"/>
          </w:tcPr>
          <w:p w14:paraId="597B647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废品S1</w:t>
            </w:r>
          </w:p>
        </w:tc>
      </w:tr>
      <w:tr w14:paraId="2EA4B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063" w:type="dxa"/>
            <w:gridSpan w:val="5"/>
            <w:vAlign w:val="center"/>
          </w:tcPr>
          <w:p w14:paraId="6D936100">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六、检验检测</w:t>
            </w:r>
          </w:p>
        </w:tc>
      </w:tr>
      <w:tr w14:paraId="5B23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680" w:type="dxa"/>
            <w:vAlign w:val="center"/>
          </w:tcPr>
          <w:p w14:paraId="7DF1BF88">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检验检测</w:t>
            </w:r>
          </w:p>
        </w:tc>
        <w:tc>
          <w:tcPr>
            <w:tcW w:w="1252" w:type="dxa"/>
            <w:vAlign w:val="center"/>
          </w:tcPr>
          <w:p w14:paraId="02BF2E6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98" w:type="dxa"/>
            <w:vAlign w:val="center"/>
          </w:tcPr>
          <w:p w14:paraId="530B2A0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55" w:type="dxa"/>
            <w:vAlign w:val="center"/>
          </w:tcPr>
          <w:p w14:paraId="6BB111EA">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w:t>
            </w:r>
          </w:p>
        </w:tc>
        <w:tc>
          <w:tcPr>
            <w:tcW w:w="2378" w:type="dxa"/>
            <w:vAlign w:val="center"/>
          </w:tcPr>
          <w:p w14:paraId="2EB61CA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废料S1</w:t>
            </w:r>
          </w:p>
        </w:tc>
      </w:tr>
      <w:tr w14:paraId="1561C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063" w:type="dxa"/>
            <w:gridSpan w:val="5"/>
            <w:vAlign w:val="center"/>
          </w:tcPr>
          <w:p w14:paraId="223753A9">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七、其他</w:t>
            </w:r>
          </w:p>
        </w:tc>
      </w:tr>
      <w:tr w14:paraId="1925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1680" w:type="dxa"/>
            <w:vAlign w:val="center"/>
          </w:tcPr>
          <w:p w14:paraId="2DF1391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其他</w:t>
            </w:r>
          </w:p>
        </w:tc>
        <w:tc>
          <w:tcPr>
            <w:tcW w:w="1252" w:type="dxa"/>
            <w:vAlign w:val="center"/>
          </w:tcPr>
          <w:p w14:paraId="25EE3B2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水环真空泵冷却废水W2</w:t>
            </w:r>
          </w:p>
        </w:tc>
        <w:tc>
          <w:tcPr>
            <w:tcW w:w="1398" w:type="dxa"/>
            <w:vAlign w:val="center"/>
          </w:tcPr>
          <w:p w14:paraId="365547E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55" w:type="dxa"/>
            <w:vAlign w:val="center"/>
          </w:tcPr>
          <w:p w14:paraId="7C9960D3">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color w:val="auto"/>
                <w:sz w:val="21"/>
                <w:szCs w:val="21"/>
              </w:rPr>
              <w:t>活性炭废气处理装置风机和布袋除尘器风机噪声N6</w:t>
            </w:r>
          </w:p>
        </w:tc>
        <w:tc>
          <w:tcPr>
            <w:tcW w:w="2378" w:type="dxa"/>
            <w:vAlign w:val="center"/>
          </w:tcPr>
          <w:p w14:paraId="52ADA008">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color w:val="auto"/>
                <w:sz w:val="21"/>
                <w:szCs w:val="21"/>
              </w:rPr>
              <w:t>废包装材料S2、废润滑油S3、废油桶S4、废含油抹布/劳保用品S5、空压机油水混合物S6、废活性炭S7、废塑料渣</w:t>
            </w:r>
            <w:r>
              <w:rPr>
                <w:rFonts w:hint="eastAsia" w:cs="Times New Roman"/>
                <w:color w:val="auto"/>
                <w:sz w:val="21"/>
                <w:szCs w:val="21"/>
                <w:lang w:val="en-US" w:eastAsia="zh-CN"/>
              </w:rPr>
              <w:t>/洗机料/机头料</w:t>
            </w:r>
            <w:r>
              <w:rPr>
                <w:rFonts w:hint="default" w:ascii="Times New Roman" w:hAnsi="Times New Roman" w:cs="Times New Roman"/>
                <w:color w:val="auto"/>
                <w:sz w:val="21"/>
                <w:szCs w:val="21"/>
              </w:rPr>
              <w:t>S8、清膛料S9。</w:t>
            </w:r>
          </w:p>
        </w:tc>
      </w:tr>
    </w:tbl>
    <w:p w14:paraId="7D5FC368">
      <w:pPr>
        <w:pStyle w:val="3"/>
        <w:rPr>
          <w:rFonts w:hint="default" w:ascii="Times New Roman" w:hAnsi="Times New Roman" w:cs="Times New Roman"/>
          <w:color w:val="auto"/>
        </w:rPr>
        <w:sectPr>
          <w:headerReference r:id="rId14" w:type="default"/>
          <w:pgSz w:w="11907" w:h="16840"/>
          <w:pgMar w:top="1440" w:right="1797" w:bottom="1440" w:left="1797" w:header="851" w:footer="992" w:gutter="0"/>
          <w:cols w:space="720" w:num="1"/>
          <w:docGrid w:type="lines" w:linePitch="312" w:charSpace="0"/>
        </w:sectPr>
      </w:pPr>
    </w:p>
    <w:p w14:paraId="13E57B96">
      <w:pPr>
        <w:pStyle w:val="3"/>
        <w:rPr>
          <w:rFonts w:hint="default" w:ascii="Times New Roman" w:hAnsi="Times New Roman" w:cs="Times New Roman"/>
          <w:color w:val="auto"/>
        </w:rPr>
      </w:pPr>
      <w:r>
        <w:rPr>
          <w:rFonts w:hint="default" w:ascii="Times New Roman" w:hAnsi="Times New Roman" w:cs="Times New Roman"/>
          <w:color w:val="auto"/>
        </w:rPr>
        <w:t>2.11 与项目有关的原有环境污染问题</w:t>
      </w:r>
    </w:p>
    <w:p w14:paraId="07D3E683">
      <w:pPr>
        <w:ind w:firstLine="480"/>
        <w:rPr>
          <w:rFonts w:hint="default" w:ascii="Times New Roman" w:hAnsi="Times New Roman" w:cs="Times New Roman"/>
          <w:color w:val="auto"/>
        </w:rPr>
      </w:pPr>
      <w:r>
        <w:rPr>
          <w:rFonts w:hint="default" w:ascii="Times New Roman" w:hAnsi="Times New Roman" w:cs="Times New Roman"/>
          <w:color w:val="auto"/>
        </w:rPr>
        <w:t>根据调查，本项目</w:t>
      </w:r>
      <w:r>
        <w:rPr>
          <w:rFonts w:hint="default" w:ascii="Times New Roman" w:hAnsi="Times New Roman" w:cs="Times New Roman"/>
          <w:color w:val="auto"/>
          <w:szCs w:val="24"/>
        </w:rPr>
        <w:t>拟租用</w:t>
      </w:r>
      <w:r>
        <w:rPr>
          <w:rFonts w:hint="default" w:ascii="Times New Roman" w:hAnsi="Times New Roman" w:cs="Times New Roman"/>
          <w:color w:val="auto"/>
          <w:kern w:val="2"/>
          <w:szCs w:val="24"/>
        </w:rPr>
        <w:t>中铁二局集团物资有限公司重庆分公司已建3号楼1号仓间、2号仓间建设。</w:t>
      </w:r>
      <w:r>
        <w:rPr>
          <w:rFonts w:hint="default" w:ascii="Times New Roman" w:hAnsi="Times New Roman" w:cs="Times New Roman"/>
          <w:color w:val="auto"/>
        </w:rPr>
        <w:t>现有</w:t>
      </w:r>
      <w:r>
        <w:rPr>
          <w:rFonts w:hint="default" w:ascii="Times New Roman" w:hAnsi="Times New Roman" w:cs="Times New Roman"/>
          <w:color w:val="auto"/>
          <w:kern w:val="2"/>
          <w:szCs w:val="24"/>
        </w:rPr>
        <w:t>1号仓间、2号仓间主要用于贮存商品，</w:t>
      </w:r>
      <w:r>
        <w:rPr>
          <w:rFonts w:hint="default" w:ascii="Times New Roman" w:hAnsi="Times New Roman" w:cs="Times New Roman"/>
          <w:color w:val="auto"/>
        </w:rPr>
        <w:t>无遗留环保问题，未有环保投诉和处罚情况。</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5"/>
      </w:tblGrid>
      <w:tr w14:paraId="181C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4" w:hRule="atLeast"/>
          <w:jc w:val="center"/>
        </w:trPr>
        <w:tc>
          <w:tcPr>
            <w:tcW w:w="4264" w:type="dxa"/>
            <w:vAlign w:val="center"/>
          </w:tcPr>
          <w:p w14:paraId="7BA93B7E">
            <w:pPr>
              <w:pStyle w:val="50"/>
              <w:ind w:firstLine="0" w:firstLineChars="0"/>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2560320" cy="1920240"/>
                  <wp:effectExtent l="0" t="0" r="11430" b="3810"/>
                  <wp:docPr id="46" name="图片 46" descr="e998a56aac692f7225b432df6b105c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e998a56aac692f7225b432df6b105c4f"/>
                          <pic:cNvPicPr>
                            <a:picLocks noChangeAspect="1"/>
                          </pic:cNvPicPr>
                        </pic:nvPicPr>
                        <pic:blipFill>
                          <a:blip r:embed="rId45"/>
                          <a:stretch>
                            <a:fillRect/>
                          </a:stretch>
                        </pic:blipFill>
                        <pic:spPr>
                          <a:xfrm>
                            <a:off x="0" y="0"/>
                            <a:ext cx="2560320" cy="1920240"/>
                          </a:xfrm>
                          <a:prstGeom prst="rect">
                            <a:avLst/>
                          </a:prstGeom>
                        </pic:spPr>
                      </pic:pic>
                    </a:graphicData>
                  </a:graphic>
                </wp:inline>
              </w:drawing>
            </w:r>
          </w:p>
        </w:tc>
        <w:tc>
          <w:tcPr>
            <w:tcW w:w="4265" w:type="dxa"/>
            <w:vAlign w:val="center"/>
          </w:tcPr>
          <w:p w14:paraId="5768E197">
            <w:pPr>
              <w:pStyle w:val="50"/>
              <w:ind w:firstLine="0" w:firstLineChars="0"/>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2567305" cy="1926590"/>
                  <wp:effectExtent l="0" t="0" r="4445" b="16510"/>
                  <wp:docPr id="47" name="图片 47" descr="24ade79c7d50dcd1bde16f7aca9bd9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24ade79c7d50dcd1bde16f7aca9bd91c"/>
                          <pic:cNvPicPr>
                            <a:picLocks noChangeAspect="1"/>
                          </pic:cNvPicPr>
                        </pic:nvPicPr>
                        <pic:blipFill>
                          <a:blip r:embed="rId46"/>
                          <a:stretch>
                            <a:fillRect/>
                          </a:stretch>
                        </pic:blipFill>
                        <pic:spPr>
                          <a:xfrm>
                            <a:off x="0" y="0"/>
                            <a:ext cx="2567305" cy="1926590"/>
                          </a:xfrm>
                          <a:prstGeom prst="rect">
                            <a:avLst/>
                          </a:prstGeom>
                        </pic:spPr>
                      </pic:pic>
                    </a:graphicData>
                  </a:graphic>
                </wp:inline>
              </w:drawing>
            </w:r>
          </w:p>
        </w:tc>
      </w:tr>
      <w:tr w14:paraId="6818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529" w:type="dxa"/>
            <w:gridSpan w:val="2"/>
            <w:vAlign w:val="center"/>
          </w:tcPr>
          <w:p w14:paraId="2E6D9BB0">
            <w:pPr>
              <w:pStyle w:val="50"/>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租赁场地现状</w:t>
            </w:r>
          </w:p>
        </w:tc>
      </w:tr>
    </w:tbl>
    <w:p w14:paraId="33594D3A">
      <w:pPr>
        <w:pStyle w:val="50"/>
        <w:ind w:firstLine="0" w:firstLineChars="0"/>
        <w:rPr>
          <w:rFonts w:hint="default" w:ascii="Times New Roman" w:hAnsi="Times New Roman" w:cs="Times New Roman"/>
          <w:color w:val="auto"/>
        </w:rPr>
      </w:pPr>
    </w:p>
    <w:p w14:paraId="4291FC81">
      <w:pPr>
        <w:pStyle w:val="11"/>
        <w:ind w:firstLine="480"/>
        <w:rPr>
          <w:rFonts w:hint="default" w:ascii="Times New Roman" w:hAnsi="Times New Roman" w:cs="Times New Roman"/>
          <w:color w:val="auto"/>
        </w:rPr>
      </w:pPr>
    </w:p>
    <w:p w14:paraId="6FF8BD59">
      <w:pPr>
        <w:spacing w:line="480" w:lineRule="exact"/>
        <w:ind w:firstLine="480"/>
        <w:rPr>
          <w:rFonts w:hint="default" w:ascii="Times New Roman" w:hAnsi="Times New Roman" w:cs="Times New Roman"/>
          <w:color w:val="auto"/>
        </w:rPr>
      </w:pPr>
    </w:p>
    <w:p w14:paraId="26008D71">
      <w:pPr>
        <w:spacing w:line="480" w:lineRule="exact"/>
        <w:ind w:firstLine="480"/>
        <w:rPr>
          <w:rFonts w:hint="default" w:ascii="Times New Roman" w:hAnsi="Times New Roman" w:cs="Times New Roman"/>
          <w:color w:val="auto"/>
          <w:lang w:val="zh-CN"/>
        </w:rPr>
        <w:sectPr>
          <w:headerReference r:id="rId15" w:type="default"/>
          <w:pgSz w:w="11907" w:h="16840"/>
          <w:pgMar w:top="1440" w:right="1797" w:bottom="1440" w:left="1797" w:header="851" w:footer="992" w:gutter="0"/>
          <w:cols w:space="720" w:num="1"/>
          <w:docGrid w:type="lines" w:linePitch="312" w:charSpace="0"/>
        </w:sectPr>
      </w:pPr>
    </w:p>
    <w:p w14:paraId="02E7D757">
      <w:pPr>
        <w:pStyle w:val="3"/>
        <w:rPr>
          <w:rFonts w:hint="default" w:ascii="Times New Roman" w:hAnsi="Times New Roman" w:cs="Times New Roman"/>
          <w:color w:val="auto"/>
        </w:rPr>
      </w:pPr>
      <w:r>
        <w:rPr>
          <w:rFonts w:hint="default" w:ascii="Times New Roman" w:hAnsi="Times New Roman" w:cs="Times New Roman"/>
          <w:color w:val="auto"/>
        </w:rPr>
        <w:t>3.1 区域环境质量现状</w:t>
      </w:r>
    </w:p>
    <w:p w14:paraId="2BED6EBD">
      <w:pPr>
        <w:pStyle w:val="258"/>
        <w:rPr>
          <w:rFonts w:hint="default" w:ascii="Times New Roman" w:hAnsi="Times New Roman" w:cs="Times New Roman"/>
          <w:color w:val="auto"/>
        </w:rPr>
      </w:pPr>
      <w:r>
        <w:rPr>
          <w:rFonts w:hint="default" w:ascii="Times New Roman" w:hAnsi="Times New Roman" w:cs="Times New Roman"/>
          <w:color w:val="auto"/>
        </w:rPr>
        <w:t>3.1</w:t>
      </w:r>
      <w:r>
        <w:rPr>
          <w:rFonts w:hint="default" w:ascii="Times New Roman" w:hAnsi="Times New Roman" w:eastAsia="宋体" w:cs="Times New Roman"/>
          <w:color w:val="auto"/>
        </w:rPr>
        <w:t>.1</w:t>
      </w:r>
      <w:r>
        <w:rPr>
          <w:rFonts w:hint="default" w:ascii="Times New Roman" w:hAnsi="Times New Roman" w:cs="Times New Roman"/>
          <w:color w:val="auto"/>
        </w:rPr>
        <w:t xml:space="preserve"> </w:t>
      </w:r>
      <w:r>
        <w:rPr>
          <w:rFonts w:hint="default" w:ascii="Times New Roman" w:hAnsi="Times New Roman" w:eastAsia="宋体" w:cs="Times New Roman"/>
          <w:color w:val="auto"/>
        </w:rPr>
        <w:t>空气环境质量</w:t>
      </w:r>
    </w:p>
    <w:p w14:paraId="74F67C09">
      <w:pPr>
        <w:ind w:firstLine="480"/>
        <w:rPr>
          <w:rFonts w:hint="default" w:ascii="Times New Roman" w:hAnsi="Times New Roman" w:cs="Times New Roman"/>
          <w:color w:val="auto"/>
        </w:rPr>
      </w:pPr>
      <w:r>
        <w:rPr>
          <w:rFonts w:hint="default" w:ascii="Times New Roman" w:hAnsi="Times New Roman" w:cs="Times New Roman"/>
          <w:color w:val="auto"/>
        </w:rPr>
        <w:t>（1）区域达标分析</w:t>
      </w:r>
    </w:p>
    <w:p w14:paraId="3B44560B">
      <w:pPr>
        <w:ind w:firstLine="480"/>
        <w:rPr>
          <w:rFonts w:hint="default" w:ascii="Times New Roman" w:hAnsi="Times New Roman" w:cs="Times New Roman"/>
          <w:color w:val="auto"/>
        </w:rPr>
      </w:pPr>
      <w:r>
        <w:rPr>
          <w:rFonts w:hint="default" w:ascii="Times New Roman" w:hAnsi="Times New Roman" w:cs="Times New Roman"/>
          <w:color w:val="auto"/>
        </w:rPr>
        <w:t>根据重庆市人民政府《关于印发重庆市环境空气质量功能区划分规定的通知》（渝府发[2016]19号），本项目所在区域属于二类区域，环境空气质量执行《环境空气质量标准》（GB3095-2026）过渡阶段二类标准。</w:t>
      </w:r>
    </w:p>
    <w:p w14:paraId="4845A516">
      <w:pPr>
        <w:ind w:firstLine="480"/>
        <w:rPr>
          <w:rFonts w:hint="default" w:ascii="Times New Roman" w:hAnsi="Times New Roman" w:cs="Times New Roman"/>
          <w:color w:val="auto"/>
          <w:szCs w:val="24"/>
        </w:rPr>
      </w:pPr>
      <w:r>
        <w:rPr>
          <w:rFonts w:hint="default" w:ascii="Times New Roman" w:hAnsi="Times New Roman" w:cs="Times New Roman"/>
          <w:color w:val="auto"/>
          <w:szCs w:val="24"/>
          <w:lang w:bidi="ar"/>
        </w:rPr>
        <w:t>根据《2025重庆市生态环境状况公报》中的数据和结论，2025年重庆市九龙坡区属于环境空气质量达标区。但环境空气中臭氧（O</w:t>
      </w:r>
      <w:r>
        <w:rPr>
          <w:rFonts w:hint="default" w:ascii="Times New Roman" w:hAnsi="Times New Roman" w:cs="Times New Roman"/>
          <w:color w:val="auto"/>
          <w:szCs w:val="24"/>
          <w:vertAlign w:val="subscript"/>
          <w:lang w:bidi="ar"/>
        </w:rPr>
        <w:t>3</w:t>
      </w:r>
      <w:r>
        <w:rPr>
          <w:rFonts w:hint="default" w:ascii="Times New Roman" w:hAnsi="Times New Roman" w:cs="Times New Roman"/>
          <w:color w:val="auto"/>
          <w:szCs w:val="24"/>
          <w:lang w:bidi="ar"/>
        </w:rPr>
        <w:t>）年均值不满足《环境空气质量标准》（GB3095-2026）表1环境空气污染物基本项目过渡阶段二级浓度限值要求</w:t>
      </w:r>
      <w:r>
        <w:rPr>
          <w:rFonts w:hint="default" w:ascii="Times New Roman" w:hAnsi="Times New Roman" w:cs="Times New Roman"/>
          <w:bCs/>
          <w:color w:val="auto"/>
          <w:szCs w:val="24"/>
          <w:lang w:bidi="ar"/>
        </w:rPr>
        <w:t>，九龙坡区正在制定空气质量达标规划和方案。</w:t>
      </w:r>
      <w:r>
        <w:rPr>
          <w:rFonts w:hint="default" w:ascii="Times New Roman" w:hAnsi="Times New Roman" w:cs="Times New Roman"/>
          <w:color w:val="auto"/>
          <w:szCs w:val="24"/>
          <w:lang w:bidi="ar"/>
        </w:rPr>
        <w:t>项目所在区域环境空气质量现状评价详见表 3.1.1-1。</w:t>
      </w:r>
    </w:p>
    <w:p w14:paraId="3859C127">
      <w:pPr>
        <w:pStyle w:val="93"/>
        <w:rPr>
          <w:rFonts w:hint="default" w:ascii="Times New Roman" w:hAnsi="Times New Roman" w:cs="Times New Roman"/>
          <w:color w:val="auto"/>
          <w:szCs w:val="24"/>
        </w:rPr>
      </w:pPr>
      <w:r>
        <w:rPr>
          <w:rFonts w:hint="default" w:ascii="Times New Roman" w:hAnsi="Times New Roman" w:cs="Times New Roman"/>
          <w:color w:val="auto"/>
          <w:szCs w:val="24"/>
          <w:lang w:bidi="ar"/>
        </w:rPr>
        <w:t>表3.1.1-1   区域空气质量现状评价表  单位：μg/m</w:t>
      </w:r>
      <w:r>
        <w:rPr>
          <w:rFonts w:hint="default" w:ascii="Times New Roman" w:hAnsi="Times New Roman" w:cs="Times New Roman"/>
          <w:color w:val="auto"/>
          <w:szCs w:val="24"/>
          <w:vertAlign w:val="superscript"/>
          <w:lang w:bidi="ar"/>
        </w:rPr>
        <w:t>3</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2"/>
        <w:gridCol w:w="2215"/>
        <w:gridCol w:w="1134"/>
        <w:gridCol w:w="1962"/>
        <w:gridCol w:w="1441"/>
        <w:gridCol w:w="765"/>
      </w:tblGrid>
      <w:tr w14:paraId="2851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2" w:type="dxa"/>
            <w:tcBorders>
              <w:top w:val="single" w:color="auto" w:sz="4" w:space="0"/>
              <w:left w:val="single" w:color="auto" w:sz="4" w:space="0"/>
              <w:bottom w:val="single" w:color="auto" w:sz="4" w:space="0"/>
              <w:right w:val="single" w:color="auto" w:sz="4" w:space="0"/>
            </w:tcBorders>
            <w:vAlign w:val="center"/>
          </w:tcPr>
          <w:p w14:paraId="5C675D89">
            <w:pPr>
              <w:widowControl/>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污染物</w:t>
            </w:r>
          </w:p>
        </w:tc>
        <w:tc>
          <w:tcPr>
            <w:tcW w:w="2215" w:type="dxa"/>
            <w:tcBorders>
              <w:top w:val="single" w:color="auto" w:sz="4" w:space="0"/>
              <w:left w:val="nil"/>
              <w:bottom w:val="single" w:color="auto" w:sz="4" w:space="0"/>
              <w:right w:val="single" w:color="auto" w:sz="4" w:space="0"/>
            </w:tcBorders>
            <w:vAlign w:val="center"/>
          </w:tcPr>
          <w:p w14:paraId="2B99FBD7">
            <w:pPr>
              <w:widowControl/>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年评价指标</w:t>
            </w:r>
          </w:p>
        </w:tc>
        <w:tc>
          <w:tcPr>
            <w:tcW w:w="1134" w:type="dxa"/>
            <w:tcBorders>
              <w:top w:val="single" w:color="auto" w:sz="4" w:space="0"/>
              <w:left w:val="nil"/>
              <w:bottom w:val="single" w:color="auto" w:sz="4" w:space="0"/>
              <w:right w:val="single" w:color="auto" w:sz="4" w:space="0"/>
            </w:tcBorders>
            <w:vAlign w:val="center"/>
          </w:tcPr>
          <w:p w14:paraId="3B079E15">
            <w:pPr>
              <w:widowControl/>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现状浓度</w:t>
            </w:r>
          </w:p>
        </w:tc>
        <w:tc>
          <w:tcPr>
            <w:tcW w:w="1962" w:type="dxa"/>
            <w:tcBorders>
              <w:top w:val="single" w:color="auto" w:sz="4" w:space="0"/>
              <w:left w:val="nil"/>
              <w:bottom w:val="single" w:color="auto" w:sz="4" w:space="0"/>
              <w:right w:val="single" w:color="auto" w:sz="4" w:space="0"/>
            </w:tcBorders>
            <w:vAlign w:val="center"/>
          </w:tcPr>
          <w:p w14:paraId="7056912A">
            <w:pPr>
              <w:widowControl/>
              <w:spacing w:line="240" w:lineRule="atLeast"/>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bCs/>
                <w:color w:val="auto"/>
                <w:kern w:val="2"/>
                <w:sz w:val="21"/>
                <w:szCs w:val="21"/>
                <w:lang w:bidi="ar"/>
              </w:rPr>
              <w:t>GB3095-2026</w:t>
            </w:r>
            <w:r>
              <w:rPr>
                <w:rFonts w:hint="default" w:ascii="Times New Roman" w:hAnsi="Times New Roman" w:cs="Times New Roman"/>
                <w:color w:val="auto"/>
                <w:kern w:val="2"/>
                <w:sz w:val="21"/>
                <w:szCs w:val="21"/>
                <w:lang w:bidi="ar"/>
              </w:rPr>
              <w:t>过渡阶段浓度限值（µg/m</w:t>
            </w:r>
            <w:r>
              <w:rPr>
                <w:rFonts w:hint="default" w:ascii="Times New Roman" w:hAnsi="Times New Roman" w:cs="Times New Roman"/>
                <w:color w:val="auto"/>
                <w:kern w:val="2"/>
                <w:sz w:val="21"/>
                <w:szCs w:val="21"/>
                <w:vertAlign w:val="superscript"/>
                <w:lang w:bidi="ar"/>
              </w:rPr>
              <w:t>3</w:t>
            </w:r>
            <w:r>
              <w:rPr>
                <w:rFonts w:hint="default" w:ascii="Times New Roman" w:hAnsi="Times New Roman" w:cs="Times New Roman"/>
                <w:color w:val="auto"/>
                <w:kern w:val="2"/>
                <w:sz w:val="21"/>
                <w:szCs w:val="21"/>
                <w:lang w:bidi="ar"/>
              </w:rPr>
              <w:t>）</w:t>
            </w:r>
          </w:p>
        </w:tc>
        <w:tc>
          <w:tcPr>
            <w:tcW w:w="0" w:type="auto"/>
            <w:tcBorders>
              <w:top w:val="single" w:color="auto" w:sz="4" w:space="0"/>
              <w:left w:val="nil"/>
              <w:bottom w:val="single" w:color="auto" w:sz="4" w:space="0"/>
              <w:right w:val="single" w:color="auto" w:sz="4" w:space="0"/>
            </w:tcBorders>
            <w:vAlign w:val="center"/>
          </w:tcPr>
          <w:p w14:paraId="1B17D6EB">
            <w:pPr>
              <w:widowControl/>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占标率（%）</w:t>
            </w:r>
          </w:p>
        </w:tc>
        <w:tc>
          <w:tcPr>
            <w:tcW w:w="0" w:type="auto"/>
            <w:tcBorders>
              <w:top w:val="single" w:color="auto" w:sz="4" w:space="0"/>
              <w:left w:val="nil"/>
              <w:bottom w:val="single" w:color="auto" w:sz="4" w:space="0"/>
              <w:right w:val="single" w:color="auto" w:sz="4" w:space="0"/>
            </w:tcBorders>
            <w:vAlign w:val="center"/>
          </w:tcPr>
          <w:p w14:paraId="7F6323C3">
            <w:pPr>
              <w:widowControl/>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达标情况</w:t>
            </w:r>
          </w:p>
        </w:tc>
      </w:tr>
      <w:tr w14:paraId="2AEA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2" w:type="dxa"/>
            <w:tcBorders>
              <w:top w:val="single" w:color="auto" w:sz="4" w:space="0"/>
              <w:left w:val="single" w:color="auto" w:sz="4" w:space="0"/>
              <w:bottom w:val="single" w:color="auto" w:sz="4" w:space="0"/>
              <w:right w:val="single" w:color="auto" w:sz="4" w:space="0"/>
            </w:tcBorders>
            <w:vAlign w:val="center"/>
          </w:tcPr>
          <w:p w14:paraId="6A0E36D9">
            <w:pPr>
              <w:widowControl/>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PM</w:t>
            </w:r>
            <w:r>
              <w:rPr>
                <w:rFonts w:hint="default" w:ascii="Times New Roman" w:hAnsi="Times New Roman" w:cs="Times New Roman"/>
                <w:color w:val="auto"/>
                <w:kern w:val="2"/>
                <w:sz w:val="21"/>
                <w:szCs w:val="21"/>
                <w:vertAlign w:val="subscript"/>
                <w:lang w:bidi="ar"/>
              </w:rPr>
              <w:t>10</w:t>
            </w:r>
          </w:p>
        </w:tc>
        <w:tc>
          <w:tcPr>
            <w:tcW w:w="2215" w:type="dxa"/>
            <w:vMerge w:val="restart"/>
            <w:tcBorders>
              <w:top w:val="nil"/>
              <w:left w:val="nil"/>
              <w:bottom w:val="single" w:color="auto" w:sz="4" w:space="0"/>
              <w:right w:val="single" w:color="auto" w:sz="4" w:space="0"/>
            </w:tcBorders>
            <w:vAlign w:val="center"/>
          </w:tcPr>
          <w:p w14:paraId="07628C9A">
            <w:pPr>
              <w:widowControl/>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年平均质量浓度</w:t>
            </w:r>
          </w:p>
        </w:tc>
        <w:tc>
          <w:tcPr>
            <w:tcW w:w="1134" w:type="dxa"/>
            <w:tcBorders>
              <w:top w:val="single" w:color="auto" w:sz="4" w:space="0"/>
              <w:left w:val="nil"/>
              <w:bottom w:val="single" w:color="auto" w:sz="4" w:space="0"/>
              <w:right w:val="single" w:color="auto" w:sz="4" w:space="0"/>
            </w:tcBorders>
            <w:vAlign w:val="center"/>
          </w:tcPr>
          <w:p w14:paraId="7AFD8BD1">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48</w:t>
            </w:r>
          </w:p>
        </w:tc>
        <w:tc>
          <w:tcPr>
            <w:tcW w:w="1962" w:type="dxa"/>
            <w:tcBorders>
              <w:top w:val="single" w:color="auto" w:sz="4" w:space="0"/>
              <w:left w:val="nil"/>
              <w:bottom w:val="single" w:color="auto" w:sz="4" w:space="0"/>
              <w:right w:val="single" w:color="auto" w:sz="4" w:space="0"/>
            </w:tcBorders>
            <w:vAlign w:val="center"/>
          </w:tcPr>
          <w:p w14:paraId="1C4F4B31">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60</w:t>
            </w:r>
          </w:p>
        </w:tc>
        <w:tc>
          <w:tcPr>
            <w:tcW w:w="1441" w:type="dxa"/>
            <w:tcBorders>
              <w:top w:val="single" w:color="auto" w:sz="4" w:space="0"/>
              <w:left w:val="nil"/>
              <w:bottom w:val="single" w:color="auto" w:sz="4" w:space="0"/>
              <w:right w:val="single" w:color="auto" w:sz="4" w:space="0"/>
            </w:tcBorders>
            <w:vAlign w:val="center"/>
          </w:tcPr>
          <w:p w14:paraId="7ADFFCBD">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80.0</w:t>
            </w:r>
          </w:p>
        </w:tc>
        <w:tc>
          <w:tcPr>
            <w:tcW w:w="0" w:type="auto"/>
            <w:tcBorders>
              <w:top w:val="single" w:color="auto" w:sz="4" w:space="0"/>
              <w:left w:val="nil"/>
              <w:bottom w:val="single" w:color="auto" w:sz="4" w:space="0"/>
              <w:right w:val="single" w:color="auto" w:sz="4" w:space="0"/>
            </w:tcBorders>
            <w:vAlign w:val="center"/>
          </w:tcPr>
          <w:p w14:paraId="64B150AB">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达标</w:t>
            </w:r>
          </w:p>
        </w:tc>
      </w:tr>
      <w:tr w14:paraId="15BA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2" w:type="dxa"/>
            <w:tcBorders>
              <w:top w:val="single" w:color="auto" w:sz="4" w:space="0"/>
              <w:left w:val="single" w:color="auto" w:sz="4" w:space="0"/>
              <w:bottom w:val="single" w:color="auto" w:sz="4" w:space="0"/>
              <w:right w:val="single" w:color="auto" w:sz="4" w:space="0"/>
            </w:tcBorders>
            <w:vAlign w:val="center"/>
          </w:tcPr>
          <w:p w14:paraId="7CF7E362">
            <w:pPr>
              <w:widowControl/>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SO</w:t>
            </w:r>
            <w:r>
              <w:rPr>
                <w:rFonts w:hint="default" w:ascii="Times New Roman" w:hAnsi="Times New Roman" w:cs="Times New Roman"/>
                <w:color w:val="auto"/>
                <w:kern w:val="2"/>
                <w:sz w:val="21"/>
                <w:szCs w:val="21"/>
                <w:vertAlign w:val="subscript"/>
                <w:lang w:bidi="ar"/>
              </w:rPr>
              <w:t>2</w:t>
            </w:r>
          </w:p>
        </w:tc>
        <w:tc>
          <w:tcPr>
            <w:tcW w:w="2215" w:type="dxa"/>
            <w:vMerge w:val="continue"/>
            <w:tcBorders>
              <w:top w:val="nil"/>
              <w:left w:val="nil"/>
              <w:bottom w:val="single" w:color="auto" w:sz="4" w:space="0"/>
              <w:right w:val="single" w:color="auto" w:sz="4" w:space="0"/>
            </w:tcBorders>
            <w:vAlign w:val="center"/>
          </w:tcPr>
          <w:p w14:paraId="2FEE0EC0">
            <w:pPr>
              <w:ind w:firstLine="400"/>
              <w:rPr>
                <w:rFonts w:hint="default" w:ascii="Times New Roman" w:hAnsi="Times New Roman" w:cs="Times New Roman"/>
                <w:color w:val="auto"/>
                <w:sz w:val="20"/>
              </w:rPr>
            </w:pPr>
          </w:p>
        </w:tc>
        <w:tc>
          <w:tcPr>
            <w:tcW w:w="1134" w:type="dxa"/>
            <w:tcBorders>
              <w:top w:val="single" w:color="auto" w:sz="4" w:space="0"/>
              <w:left w:val="nil"/>
              <w:bottom w:val="single" w:color="auto" w:sz="4" w:space="0"/>
              <w:right w:val="single" w:color="auto" w:sz="4" w:space="0"/>
            </w:tcBorders>
            <w:vAlign w:val="center"/>
          </w:tcPr>
          <w:p w14:paraId="5CCD1BF1">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7</w:t>
            </w:r>
          </w:p>
        </w:tc>
        <w:tc>
          <w:tcPr>
            <w:tcW w:w="1962" w:type="dxa"/>
            <w:tcBorders>
              <w:top w:val="single" w:color="auto" w:sz="4" w:space="0"/>
              <w:left w:val="nil"/>
              <w:bottom w:val="single" w:color="auto" w:sz="4" w:space="0"/>
              <w:right w:val="single" w:color="auto" w:sz="4" w:space="0"/>
            </w:tcBorders>
            <w:vAlign w:val="center"/>
          </w:tcPr>
          <w:p w14:paraId="359E9DB3">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60</w:t>
            </w:r>
          </w:p>
        </w:tc>
        <w:tc>
          <w:tcPr>
            <w:tcW w:w="1441" w:type="dxa"/>
            <w:tcBorders>
              <w:top w:val="single" w:color="auto" w:sz="4" w:space="0"/>
              <w:left w:val="nil"/>
              <w:bottom w:val="single" w:color="auto" w:sz="4" w:space="0"/>
              <w:right w:val="single" w:color="auto" w:sz="4" w:space="0"/>
            </w:tcBorders>
            <w:vAlign w:val="center"/>
          </w:tcPr>
          <w:p w14:paraId="25E501D0">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11.7</w:t>
            </w:r>
          </w:p>
        </w:tc>
        <w:tc>
          <w:tcPr>
            <w:tcW w:w="0" w:type="auto"/>
            <w:tcBorders>
              <w:top w:val="single" w:color="auto" w:sz="4" w:space="0"/>
              <w:left w:val="nil"/>
              <w:bottom w:val="single" w:color="auto" w:sz="4" w:space="0"/>
              <w:right w:val="single" w:color="auto" w:sz="4" w:space="0"/>
            </w:tcBorders>
            <w:vAlign w:val="center"/>
          </w:tcPr>
          <w:p w14:paraId="4F43C601">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达标</w:t>
            </w:r>
          </w:p>
        </w:tc>
      </w:tr>
      <w:tr w14:paraId="1B52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2" w:type="dxa"/>
            <w:tcBorders>
              <w:top w:val="single" w:color="auto" w:sz="4" w:space="0"/>
              <w:left w:val="single" w:color="auto" w:sz="4" w:space="0"/>
              <w:bottom w:val="single" w:color="auto" w:sz="4" w:space="0"/>
              <w:right w:val="single" w:color="auto" w:sz="4" w:space="0"/>
            </w:tcBorders>
            <w:vAlign w:val="center"/>
          </w:tcPr>
          <w:p w14:paraId="7FE02AD4">
            <w:pPr>
              <w:widowControl/>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NO</w:t>
            </w:r>
            <w:r>
              <w:rPr>
                <w:rFonts w:hint="default" w:ascii="Times New Roman" w:hAnsi="Times New Roman" w:cs="Times New Roman"/>
                <w:color w:val="auto"/>
                <w:kern w:val="2"/>
                <w:sz w:val="21"/>
                <w:szCs w:val="21"/>
                <w:vertAlign w:val="subscript"/>
                <w:lang w:bidi="ar"/>
              </w:rPr>
              <w:t>2</w:t>
            </w:r>
          </w:p>
        </w:tc>
        <w:tc>
          <w:tcPr>
            <w:tcW w:w="2215" w:type="dxa"/>
            <w:vMerge w:val="continue"/>
            <w:tcBorders>
              <w:top w:val="nil"/>
              <w:left w:val="nil"/>
              <w:bottom w:val="single" w:color="auto" w:sz="4" w:space="0"/>
              <w:right w:val="single" w:color="auto" w:sz="4" w:space="0"/>
            </w:tcBorders>
            <w:vAlign w:val="center"/>
          </w:tcPr>
          <w:p w14:paraId="08D985BE">
            <w:pPr>
              <w:ind w:firstLine="400"/>
              <w:rPr>
                <w:rFonts w:hint="default" w:ascii="Times New Roman" w:hAnsi="Times New Roman" w:cs="Times New Roman"/>
                <w:color w:val="auto"/>
                <w:sz w:val="20"/>
              </w:rPr>
            </w:pPr>
          </w:p>
        </w:tc>
        <w:tc>
          <w:tcPr>
            <w:tcW w:w="1134" w:type="dxa"/>
            <w:tcBorders>
              <w:top w:val="single" w:color="auto" w:sz="4" w:space="0"/>
              <w:left w:val="nil"/>
              <w:bottom w:val="single" w:color="auto" w:sz="4" w:space="0"/>
              <w:right w:val="single" w:color="auto" w:sz="4" w:space="0"/>
            </w:tcBorders>
            <w:vAlign w:val="center"/>
          </w:tcPr>
          <w:p w14:paraId="07F7EBD0">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30</w:t>
            </w:r>
          </w:p>
        </w:tc>
        <w:tc>
          <w:tcPr>
            <w:tcW w:w="1962" w:type="dxa"/>
            <w:tcBorders>
              <w:top w:val="single" w:color="auto" w:sz="4" w:space="0"/>
              <w:left w:val="nil"/>
              <w:bottom w:val="single" w:color="auto" w:sz="4" w:space="0"/>
              <w:right w:val="single" w:color="auto" w:sz="4" w:space="0"/>
            </w:tcBorders>
            <w:vAlign w:val="center"/>
          </w:tcPr>
          <w:p w14:paraId="07013F64">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40</w:t>
            </w:r>
          </w:p>
        </w:tc>
        <w:tc>
          <w:tcPr>
            <w:tcW w:w="1441" w:type="dxa"/>
            <w:tcBorders>
              <w:top w:val="single" w:color="auto" w:sz="4" w:space="0"/>
              <w:left w:val="nil"/>
              <w:bottom w:val="single" w:color="auto" w:sz="4" w:space="0"/>
              <w:right w:val="single" w:color="auto" w:sz="4" w:space="0"/>
            </w:tcBorders>
            <w:vAlign w:val="center"/>
          </w:tcPr>
          <w:p w14:paraId="1BA1BFDE">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75.0</w:t>
            </w:r>
          </w:p>
        </w:tc>
        <w:tc>
          <w:tcPr>
            <w:tcW w:w="0" w:type="auto"/>
            <w:tcBorders>
              <w:top w:val="single" w:color="auto" w:sz="4" w:space="0"/>
              <w:left w:val="nil"/>
              <w:bottom w:val="single" w:color="auto" w:sz="4" w:space="0"/>
              <w:right w:val="single" w:color="auto" w:sz="4" w:space="0"/>
            </w:tcBorders>
            <w:vAlign w:val="center"/>
          </w:tcPr>
          <w:p w14:paraId="6C4BA99A">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达标</w:t>
            </w:r>
          </w:p>
        </w:tc>
      </w:tr>
      <w:tr w14:paraId="746B8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2" w:type="dxa"/>
            <w:tcBorders>
              <w:top w:val="single" w:color="auto" w:sz="4" w:space="0"/>
              <w:left w:val="single" w:color="auto" w:sz="4" w:space="0"/>
              <w:bottom w:val="single" w:color="auto" w:sz="4" w:space="0"/>
              <w:right w:val="single" w:color="auto" w:sz="4" w:space="0"/>
            </w:tcBorders>
            <w:vAlign w:val="center"/>
          </w:tcPr>
          <w:p w14:paraId="5190158D">
            <w:pPr>
              <w:widowControl/>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PM</w:t>
            </w:r>
            <w:r>
              <w:rPr>
                <w:rFonts w:hint="default" w:ascii="Times New Roman" w:hAnsi="Times New Roman" w:cs="Times New Roman"/>
                <w:color w:val="auto"/>
                <w:kern w:val="2"/>
                <w:sz w:val="21"/>
                <w:szCs w:val="21"/>
                <w:vertAlign w:val="subscript"/>
                <w:lang w:bidi="ar"/>
              </w:rPr>
              <w:t>2.5</w:t>
            </w:r>
          </w:p>
        </w:tc>
        <w:tc>
          <w:tcPr>
            <w:tcW w:w="2215" w:type="dxa"/>
            <w:vMerge w:val="continue"/>
            <w:tcBorders>
              <w:top w:val="nil"/>
              <w:left w:val="nil"/>
              <w:bottom w:val="single" w:color="auto" w:sz="4" w:space="0"/>
              <w:right w:val="single" w:color="auto" w:sz="4" w:space="0"/>
            </w:tcBorders>
            <w:vAlign w:val="center"/>
          </w:tcPr>
          <w:p w14:paraId="4541E935">
            <w:pPr>
              <w:ind w:firstLine="400"/>
              <w:rPr>
                <w:rFonts w:hint="default" w:ascii="Times New Roman" w:hAnsi="Times New Roman" w:cs="Times New Roman"/>
                <w:color w:val="auto"/>
                <w:sz w:val="20"/>
              </w:rPr>
            </w:pPr>
          </w:p>
        </w:tc>
        <w:tc>
          <w:tcPr>
            <w:tcW w:w="1134" w:type="dxa"/>
            <w:tcBorders>
              <w:top w:val="single" w:color="auto" w:sz="4" w:space="0"/>
              <w:left w:val="nil"/>
              <w:bottom w:val="single" w:color="auto" w:sz="4" w:space="0"/>
              <w:right w:val="single" w:color="auto" w:sz="4" w:space="0"/>
            </w:tcBorders>
            <w:vAlign w:val="center"/>
          </w:tcPr>
          <w:p w14:paraId="0588727F">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29.7</w:t>
            </w:r>
          </w:p>
        </w:tc>
        <w:tc>
          <w:tcPr>
            <w:tcW w:w="1962" w:type="dxa"/>
            <w:tcBorders>
              <w:top w:val="single" w:color="auto" w:sz="4" w:space="0"/>
              <w:left w:val="nil"/>
              <w:bottom w:val="single" w:color="auto" w:sz="4" w:space="0"/>
              <w:right w:val="single" w:color="auto" w:sz="4" w:space="0"/>
            </w:tcBorders>
            <w:vAlign w:val="center"/>
          </w:tcPr>
          <w:p w14:paraId="7F601DEC">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30</w:t>
            </w:r>
          </w:p>
        </w:tc>
        <w:tc>
          <w:tcPr>
            <w:tcW w:w="1441" w:type="dxa"/>
            <w:tcBorders>
              <w:top w:val="single" w:color="auto" w:sz="4" w:space="0"/>
              <w:left w:val="nil"/>
              <w:bottom w:val="single" w:color="auto" w:sz="4" w:space="0"/>
              <w:right w:val="single" w:color="auto" w:sz="4" w:space="0"/>
            </w:tcBorders>
            <w:vAlign w:val="center"/>
          </w:tcPr>
          <w:p w14:paraId="06D5654E">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99.0</w:t>
            </w:r>
          </w:p>
        </w:tc>
        <w:tc>
          <w:tcPr>
            <w:tcW w:w="0" w:type="auto"/>
            <w:tcBorders>
              <w:top w:val="single" w:color="auto" w:sz="4" w:space="0"/>
              <w:left w:val="nil"/>
              <w:bottom w:val="single" w:color="auto" w:sz="4" w:space="0"/>
              <w:right w:val="single" w:color="auto" w:sz="4" w:space="0"/>
            </w:tcBorders>
            <w:vAlign w:val="center"/>
          </w:tcPr>
          <w:p w14:paraId="5FF09F2F">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达标</w:t>
            </w:r>
          </w:p>
        </w:tc>
      </w:tr>
      <w:tr w14:paraId="72328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2" w:type="dxa"/>
            <w:tcBorders>
              <w:top w:val="single" w:color="auto" w:sz="4" w:space="0"/>
              <w:left w:val="single" w:color="auto" w:sz="4" w:space="0"/>
              <w:bottom w:val="single" w:color="auto" w:sz="4" w:space="0"/>
              <w:right w:val="single" w:color="auto" w:sz="4" w:space="0"/>
            </w:tcBorders>
            <w:vAlign w:val="center"/>
          </w:tcPr>
          <w:p w14:paraId="56546609">
            <w:pPr>
              <w:widowControl/>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O</w:t>
            </w:r>
            <w:r>
              <w:rPr>
                <w:rFonts w:hint="default" w:ascii="Times New Roman" w:hAnsi="Times New Roman" w:cs="Times New Roman"/>
                <w:color w:val="auto"/>
                <w:kern w:val="2"/>
                <w:sz w:val="21"/>
                <w:szCs w:val="21"/>
                <w:vertAlign w:val="subscript"/>
                <w:lang w:bidi="ar"/>
              </w:rPr>
              <w:t>3</w:t>
            </w:r>
          </w:p>
        </w:tc>
        <w:tc>
          <w:tcPr>
            <w:tcW w:w="2215" w:type="dxa"/>
            <w:tcBorders>
              <w:top w:val="single" w:color="auto" w:sz="4" w:space="0"/>
              <w:left w:val="nil"/>
              <w:bottom w:val="single" w:color="auto" w:sz="4" w:space="0"/>
              <w:right w:val="single" w:color="auto" w:sz="4" w:space="0"/>
            </w:tcBorders>
            <w:vAlign w:val="center"/>
          </w:tcPr>
          <w:p w14:paraId="6D1AE9CE">
            <w:pPr>
              <w:widowControl/>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日最大8h平均浓度的第90百分位数</w:t>
            </w:r>
          </w:p>
        </w:tc>
        <w:tc>
          <w:tcPr>
            <w:tcW w:w="1134" w:type="dxa"/>
            <w:tcBorders>
              <w:top w:val="single" w:color="auto" w:sz="4" w:space="0"/>
              <w:left w:val="nil"/>
              <w:bottom w:val="single" w:color="auto" w:sz="4" w:space="0"/>
              <w:right w:val="single" w:color="auto" w:sz="4" w:space="0"/>
            </w:tcBorders>
            <w:vAlign w:val="center"/>
          </w:tcPr>
          <w:p w14:paraId="5F7C3CF7">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163</w:t>
            </w:r>
          </w:p>
        </w:tc>
        <w:tc>
          <w:tcPr>
            <w:tcW w:w="1962" w:type="dxa"/>
            <w:tcBorders>
              <w:top w:val="single" w:color="auto" w:sz="4" w:space="0"/>
              <w:left w:val="nil"/>
              <w:bottom w:val="single" w:color="auto" w:sz="4" w:space="0"/>
              <w:right w:val="single" w:color="auto" w:sz="4" w:space="0"/>
            </w:tcBorders>
            <w:vAlign w:val="center"/>
          </w:tcPr>
          <w:p w14:paraId="0DC667B7">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160</w:t>
            </w:r>
          </w:p>
        </w:tc>
        <w:tc>
          <w:tcPr>
            <w:tcW w:w="1441" w:type="dxa"/>
            <w:tcBorders>
              <w:top w:val="single" w:color="auto" w:sz="4" w:space="0"/>
              <w:left w:val="nil"/>
              <w:bottom w:val="single" w:color="auto" w:sz="4" w:space="0"/>
              <w:right w:val="single" w:color="auto" w:sz="4" w:space="0"/>
            </w:tcBorders>
            <w:vAlign w:val="center"/>
          </w:tcPr>
          <w:p w14:paraId="2767F57E">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101.9</w:t>
            </w:r>
          </w:p>
        </w:tc>
        <w:tc>
          <w:tcPr>
            <w:tcW w:w="0" w:type="auto"/>
            <w:tcBorders>
              <w:top w:val="single" w:color="auto" w:sz="4" w:space="0"/>
              <w:left w:val="nil"/>
              <w:bottom w:val="single" w:color="auto" w:sz="4" w:space="0"/>
              <w:right w:val="single" w:color="auto" w:sz="4" w:space="0"/>
            </w:tcBorders>
            <w:vAlign w:val="center"/>
          </w:tcPr>
          <w:p w14:paraId="586E623F">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b/>
                <w:bCs/>
                <w:color w:val="auto"/>
                <w:kern w:val="2"/>
                <w:sz w:val="21"/>
                <w:szCs w:val="21"/>
                <w:lang w:bidi="ar"/>
              </w:rPr>
              <w:t>超标</w:t>
            </w:r>
          </w:p>
        </w:tc>
      </w:tr>
      <w:tr w14:paraId="79B2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2" w:type="dxa"/>
            <w:tcBorders>
              <w:top w:val="single" w:color="auto" w:sz="4" w:space="0"/>
              <w:left w:val="single" w:color="auto" w:sz="4" w:space="0"/>
              <w:bottom w:val="single" w:color="auto" w:sz="4" w:space="0"/>
              <w:right w:val="single" w:color="auto" w:sz="4" w:space="0"/>
            </w:tcBorders>
            <w:vAlign w:val="center"/>
          </w:tcPr>
          <w:p w14:paraId="26A487AA">
            <w:pPr>
              <w:widowControl/>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CO</w:t>
            </w:r>
          </w:p>
        </w:tc>
        <w:tc>
          <w:tcPr>
            <w:tcW w:w="2215" w:type="dxa"/>
            <w:tcBorders>
              <w:top w:val="single" w:color="auto" w:sz="4" w:space="0"/>
              <w:left w:val="nil"/>
              <w:bottom w:val="single" w:color="auto" w:sz="4" w:space="0"/>
              <w:right w:val="single" w:color="auto" w:sz="4" w:space="0"/>
            </w:tcBorders>
            <w:vAlign w:val="center"/>
          </w:tcPr>
          <w:p w14:paraId="06B0D768">
            <w:pPr>
              <w:widowControl/>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日均浓度的第95百分位数</w:t>
            </w:r>
          </w:p>
        </w:tc>
        <w:tc>
          <w:tcPr>
            <w:tcW w:w="1134" w:type="dxa"/>
            <w:tcBorders>
              <w:top w:val="single" w:color="auto" w:sz="4" w:space="0"/>
              <w:left w:val="nil"/>
              <w:bottom w:val="single" w:color="auto" w:sz="4" w:space="0"/>
              <w:right w:val="single" w:color="auto" w:sz="4" w:space="0"/>
            </w:tcBorders>
            <w:vAlign w:val="center"/>
          </w:tcPr>
          <w:p w14:paraId="236802A9">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1200</w:t>
            </w:r>
          </w:p>
        </w:tc>
        <w:tc>
          <w:tcPr>
            <w:tcW w:w="1962" w:type="dxa"/>
            <w:tcBorders>
              <w:top w:val="single" w:color="auto" w:sz="4" w:space="0"/>
              <w:left w:val="nil"/>
              <w:bottom w:val="single" w:color="auto" w:sz="4" w:space="0"/>
              <w:right w:val="single" w:color="auto" w:sz="4" w:space="0"/>
            </w:tcBorders>
            <w:vAlign w:val="center"/>
          </w:tcPr>
          <w:p w14:paraId="64E141ED">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4000</w:t>
            </w:r>
          </w:p>
        </w:tc>
        <w:tc>
          <w:tcPr>
            <w:tcW w:w="1441" w:type="dxa"/>
            <w:tcBorders>
              <w:top w:val="single" w:color="auto" w:sz="4" w:space="0"/>
              <w:left w:val="nil"/>
              <w:bottom w:val="single" w:color="auto" w:sz="4" w:space="0"/>
              <w:right w:val="single" w:color="auto" w:sz="4" w:space="0"/>
            </w:tcBorders>
            <w:vAlign w:val="center"/>
          </w:tcPr>
          <w:p w14:paraId="11B429B9">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30.0</w:t>
            </w:r>
          </w:p>
        </w:tc>
        <w:tc>
          <w:tcPr>
            <w:tcW w:w="0" w:type="auto"/>
            <w:tcBorders>
              <w:top w:val="single" w:color="auto" w:sz="4" w:space="0"/>
              <w:left w:val="nil"/>
              <w:bottom w:val="single" w:color="auto" w:sz="4" w:space="0"/>
              <w:right w:val="single" w:color="auto" w:sz="4" w:space="0"/>
            </w:tcBorders>
            <w:vAlign w:val="center"/>
          </w:tcPr>
          <w:p w14:paraId="38B89A7F">
            <w:pPr>
              <w:widowControl/>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达标</w:t>
            </w:r>
          </w:p>
        </w:tc>
      </w:tr>
    </w:tbl>
    <w:p w14:paraId="34B24976">
      <w:pPr>
        <w:ind w:firstLine="480"/>
        <w:rPr>
          <w:rFonts w:hint="default" w:ascii="Times New Roman" w:hAnsi="Times New Roman" w:cs="Times New Roman"/>
          <w:color w:val="auto"/>
        </w:rPr>
      </w:pPr>
      <w:r>
        <w:rPr>
          <w:rFonts w:hint="default" w:ascii="Times New Roman" w:hAnsi="Times New Roman" w:cs="Times New Roman"/>
          <w:color w:val="auto"/>
        </w:rPr>
        <w:t>根据重庆市人民政府关于印发《重庆市空气质量持续改善行动实施方案》的通知（渝府发</w:t>
      </w:r>
      <w:r>
        <w:rPr>
          <w:rFonts w:hint="default" w:ascii="Times New Roman" w:hAnsi="Times New Roman" w:cs="Times New Roman"/>
          <w:color w:val="auto"/>
          <w:szCs w:val="21"/>
        </w:rPr>
        <w:t>〔2024〕15号</w:t>
      </w:r>
      <w:r>
        <w:rPr>
          <w:rFonts w:hint="default" w:ascii="Times New Roman" w:hAnsi="Times New Roman" w:cs="Times New Roman"/>
          <w:color w:val="auto"/>
        </w:rPr>
        <w:t>），实施方案主要采取措施包括：</w:t>
      </w:r>
    </w:p>
    <w:p w14:paraId="0CF77900">
      <w:pPr>
        <w:ind w:firstLine="480"/>
        <w:rPr>
          <w:rFonts w:hint="default" w:ascii="Times New Roman" w:hAnsi="Times New Roman" w:cs="Times New Roman"/>
          <w:color w:val="auto"/>
        </w:rPr>
      </w:pPr>
      <w:r>
        <w:rPr>
          <w:rFonts w:hint="default" w:ascii="Times New Roman" w:hAnsi="Times New Roman" w:cs="Times New Roman"/>
          <w:color w:val="auto"/>
        </w:rPr>
        <w:t>1）实施产业产品绿色转型升级行动，推动产业结构优化。推动实施重点行业产业产品绿色转型升级，遏制高耗能、高排放、低水平项目盲目上马，推动产业集群实施废气治理和升级改造，优化含VOCs原辅材料和产品结构，推动绿色环保产业高质量发展。</w:t>
      </w:r>
    </w:p>
    <w:p w14:paraId="1F91E0B8">
      <w:pPr>
        <w:ind w:firstLine="480"/>
        <w:rPr>
          <w:rFonts w:hint="default" w:ascii="Times New Roman" w:hAnsi="Times New Roman" w:cs="Times New Roman"/>
          <w:color w:val="auto"/>
        </w:rPr>
      </w:pPr>
      <w:r>
        <w:rPr>
          <w:rFonts w:hint="default" w:ascii="Times New Roman" w:hAnsi="Times New Roman" w:cs="Times New Roman"/>
          <w:color w:val="auto"/>
        </w:rPr>
        <w:t>2）实施能源清洁低碳高效利用行动，推动能源结构优化。严格合理控制煤炭消费总量，大力发展新能源和清洁能源，开展燃煤锅炉关停整合和工业炉窑清洁能源替代，巩固并扩大高污染燃料禁燃区域。</w:t>
      </w:r>
    </w:p>
    <w:p w14:paraId="65B67AD7">
      <w:pPr>
        <w:ind w:firstLine="480"/>
        <w:rPr>
          <w:rFonts w:hint="default" w:ascii="Times New Roman" w:hAnsi="Times New Roman" w:cs="Times New Roman"/>
          <w:color w:val="auto"/>
        </w:rPr>
      </w:pPr>
      <w:r>
        <w:rPr>
          <w:rFonts w:hint="default" w:ascii="Times New Roman" w:hAnsi="Times New Roman" w:cs="Times New Roman"/>
          <w:color w:val="auto"/>
        </w:rPr>
        <w:t>3）实施移动源大气综合治理提升行动，推动交通结构优化。优化调整货客运结构，提升机动车清洁化水平，强化机动车排放管控，实施船舶和非道路移动源综合治理，全面保障成品油质量和推行错峰加油。</w:t>
      </w:r>
    </w:p>
    <w:p w14:paraId="1FB80F50">
      <w:pPr>
        <w:ind w:firstLine="480"/>
        <w:rPr>
          <w:rFonts w:hint="default" w:ascii="Times New Roman" w:hAnsi="Times New Roman" w:cs="Times New Roman"/>
          <w:color w:val="auto"/>
          <w:szCs w:val="21"/>
        </w:rPr>
      </w:pPr>
      <w:r>
        <w:rPr>
          <w:rFonts w:hint="default" w:ascii="Times New Roman" w:hAnsi="Times New Roman" w:cs="Times New Roman"/>
          <w:color w:val="auto"/>
          <w:szCs w:val="21"/>
        </w:rPr>
        <w:t>4）实施深度治理和精细化管控行动，推动多污染物减排。实施重点行业污染深度治理，强化VOCs全过程控制。</w:t>
      </w:r>
    </w:p>
    <w:p w14:paraId="6C482CE7">
      <w:pPr>
        <w:ind w:firstLine="480"/>
        <w:rPr>
          <w:rFonts w:hint="default" w:ascii="Times New Roman" w:hAnsi="Times New Roman" w:cs="Times New Roman"/>
          <w:color w:val="auto"/>
        </w:rPr>
      </w:pPr>
      <w:r>
        <w:rPr>
          <w:rFonts w:hint="default" w:ascii="Times New Roman" w:hAnsi="Times New Roman" w:cs="Times New Roman"/>
          <w:color w:val="auto"/>
        </w:rPr>
        <w:t>5）实施扬尘焚烧油烟等面源治污行动，切实解决扰民问题。深化扬尘污染综合治理，加强露天焚烧管控和秸秆综合利用，加强露天焚烧管控和秸秆综合利用，开展餐饮油烟和臭气扰民专项治理，加强露天烧烤和烟花爆竹燃放管控。</w:t>
      </w:r>
    </w:p>
    <w:p w14:paraId="1C2FA5DA">
      <w:pPr>
        <w:ind w:firstLine="480"/>
        <w:rPr>
          <w:rFonts w:hint="default" w:ascii="Times New Roman" w:hAnsi="Times New Roman" w:cs="Times New Roman"/>
          <w:color w:val="auto"/>
        </w:rPr>
      </w:pPr>
      <w:r>
        <w:rPr>
          <w:rFonts w:hint="default" w:ascii="Times New Roman" w:hAnsi="Times New Roman" w:cs="Times New Roman"/>
          <w:color w:val="auto"/>
        </w:rPr>
        <w:t>6）实施预警预报和联防联控提升行动，强化污染应对。提升预警预报及监测监控能力，完善大气污染联防联控和污染应对机制。</w:t>
      </w:r>
    </w:p>
    <w:p w14:paraId="3F1F8303">
      <w:pPr>
        <w:ind w:firstLine="480"/>
        <w:rPr>
          <w:rFonts w:hint="default" w:ascii="Times New Roman" w:hAnsi="Times New Roman" w:cs="Times New Roman"/>
          <w:color w:val="auto"/>
          <w:szCs w:val="21"/>
        </w:rPr>
      </w:pPr>
      <w:r>
        <w:rPr>
          <w:rFonts w:hint="default" w:ascii="Times New Roman" w:hAnsi="Times New Roman" w:cs="Times New Roman"/>
          <w:color w:val="auto"/>
          <w:szCs w:val="21"/>
        </w:rPr>
        <w:t>7）实施“治气”智能化精准化建设行动，强化科技支撑。推进“巴渝治气”及监管执法能力建设，加强决策科技支撑。</w:t>
      </w:r>
    </w:p>
    <w:p w14:paraId="4CE277B3">
      <w:pPr>
        <w:ind w:firstLine="480"/>
        <w:rPr>
          <w:rFonts w:hint="default" w:ascii="Times New Roman" w:hAnsi="Times New Roman" w:cs="Times New Roman"/>
          <w:color w:val="auto"/>
          <w:szCs w:val="21"/>
        </w:rPr>
      </w:pPr>
      <w:r>
        <w:rPr>
          <w:rFonts w:hint="default" w:ascii="Times New Roman" w:hAnsi="Times New Roman" w:cs="Times New Roman"/>
          <w:color w:val="auto"/>
          <w:szCs w:val="21"/>
        </w:rPr>
        <w:t>8）实施地方标准和经济政策激励行动，强化政策保障。推进标准和规范制（修）订，完善经济和政策激励机制。</w:t>
      </w:r>
    </w:p>
    <w:p w14:paraId="2A5108D5">
      <w:pPr>
        <w:ind w:firstLine="480"/>
        <w:rPr>
          <w:rFonts w:hint="default" w:ascii="Times New Roman" w:hAnsi="Times New Roman" w:cs="Times New Roman"/>
          <w:color w:val="auto"/>
        </w:rPr>
      </w:pPr>
      <w:r>
        <w:rPr>
          <w:rFonts w:hint="default" w:ascii="Times New Roman" w:hAnsi="Times New Roman" w:cs="Times New Roman"/>
          <w:color w:val="auto"/>
        </w:rPr>
        <w:t>9）实施空气质量共保共治全民行动，强化各方责任。加强组织领导，强化责任落实，严格监督考核，构建全民共治格局，加强宣传引导。</w:t>
      </w:r>
    </w:p>
    <w:p w14:paraId="7FA0934D">
      <w:pPr>
        <w:ind w:firstLine="480"/>
        <w:rPr>
          <w:rFonts w:hint="default" w:ascii="Times New Roman" w:hAnsi="Times New Roman" w:cs="Times New Roman"/>
          <w:color w:val="auto"/>
        </w:rPr>
      </w:pPr>
      <w:r>
        <w:rPr>
          <w:rFonts w:hint="default" w:ascii="Times New Roman" w:hAnsi="Times New Roman" w:cs="Times New Roman"/>
          <w:color w:val="auto"/>
        </w:rPr>
        <w:t>在九龙坡区范围内执行相应的整治措施后，可改善区域环境质量达标情况。</w:t>
      </w:r>
    </w:p>
    <w:p w14:paraId="40BC14FC">
      <w:pPr>
        <w:ind w:firstLine="480"/>
        <w:rPr>
          <w:rFonts w:hint="default" w:ascii="Times New Roman" w:hAnsi="Times New Roman" w:cs="Times New Roman"/>
          <w:color w:val="auto"/>
        </w:rPr>
      </w:pPr>
      <w:r>
        <w:rPr>
          <w:rFonts w:hint="default" w:ascii="Times New Roman" w:hAnsi="Times New Roman" w:cs="Times New Roman"/>
          <w:color w:val="auto"/>
        </w:rPr>
        <w:t>（2）其他污染物</w:t>
      </w:r>
    </w:p>
    <w:p w14:paraId="3F85EF51">
      <w:pPr>
        <w:ind w:firstLine="480"/>
        <w:rPr>
          <w:rFonts w:hint="default" w:ascii="Times New Roman" w:hAnsi="Times New Roman" w:cs="Times New Roman"/>
          <w:color w:val="auto"/>
        </w:rPr>
      </w:pPr>
      <w:r>
        <w:rPr>
          <w:rFonts w:hint="default" w:ascii="Times New Roman" w:hAnsi="Times New Roman" w:cs="Times New Roman"/>
          <w:color w:val="auto"/>
        </w:rPr>
        <w:t>为了解项目所在区域非甲烷总烃的环境质量现状，本次评价引用“西部（重庆）科学城九龙新城园区规划环境影响报告书”中相关数据进行评价。监测点位位于项目东南侧1.7km处，监测时间为2025年6月，引用的监测数据位于项目周边5km范围内，且在3年有效期内，监测至今，区域大气环境质量未发生重大变化，因此引用数据有效。</w:t>
      </w:r>
    </w:p>
    <w:p w14:paraId="6C3F8216">
      <w:pPr>
        <w:ind w:firstLine="480"/>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1 \* GB3 </w:instrText>
      </w:r>
      <w:r>
        <w:rPr>
          <w:rFonts w:hint="default" w:ascii="Times New Roman" w:hAnsi="Times New Roman" w:cs="Times New Roman"/>
          <w:color w:val="auto"/>
        </w:rPr>
        <w:fldChar w:fldCharType="separate"/>
      </w:r>
      <w:r>
        <w:rPr>
          <w:rFonts w:hint="default" w:ascii="Times New Roman" w:hAnsi="Times New Roman" w:cs="Times New Roman"/>
          <w:color w:val="auto"/>
        </w:rPr>
        <w:t>①</w:t>
      </w:r>
      <w:r>
        <w:rPr>
          <w:rFonts w:hint="default" w:ascii="Times New Roman" w:hAnsi="Times New Roman" w:cs="Times New Roman"/>
          <w:color w:val="auto"/>
        </w:rPr>
        <w:fldChar w:fldCharType="end"/>
      </w:r>
      <w:r>
        <w:rPr>
          <w:rFonts w:hint="default" w:ascii="Times New Roman" w:hAnsi="Times New Roman" w:cs="Times New Roman"/>
          <w:color w:val="auto"/>
        </w:rPr>
        <w:t>监测点位及监测因子</w:t>
      </w:r>
    </w:p>
    <w:p w14:paraId="7A9A0BD6">
      <w:pPr>
        <w:ind w:firstLine="480"/>
        <w:rPr>
          <w:rFonts w:hint="default" w:ascii="Times New Roman" w:hAnsi="Times New Roman" w:cs="Times New Roman"/>
          <w:color w:val="auto"/>
          <w:szCs w:val="21"/>
        </w:rPr>
      </w:pPr>
      <w:r>
        <w:rPr>
          <w:rFonts w:hint="default" w:ascii="Times New Roman" w:hAnsi="Times New Roman" w:cs="Times New Roman"/>
          <w:color w:val="auto"/>
        </w:rPr>
        <w:t>具体监测情况见表3.1.1-2</w:t>
      </w:r>
      <w:r>
        <w:rPr>
          <w:rFonts w:hint="default" w:ascii="Times New Roman" w:hAnsi="Times New Roman" w:cs="Times New Roman"/>
          <w:color w:val="auto"/>
          <w:szCs w:val="21"/>
        </w:rPr>
        <w:t>。</w:t>
      </w:r>
    </w:p>
    <w:p w14:paraId="103D1568">
      <w:pPr>
        <w:ind w:firstLine="480"/>
        <w:rPr>
          <w:rFonts w:hint="default" w:ascii="Times New Roman" w:hAnsi="Times New Roman" w:cs="Times New Roman"/>
          <w:color w:val="auto"/>
          <w:szCs w:val="21"/>
        </w:rPr>
      </w:pPr>
    </w:p>
    <w:p w14:paraId="368A1C04">
      <w:pPr>
        <w:pStyle w:val="93"/>
        <w:rPr>
          <w:rFonts w:hint="default" w:ascii="Times New Roman" w:hAnsi="Times New Roman" w:cs="Times New Roman"/>
          <w:color w:val="auto"/>
        </w:rPr>
      </w:pPr>
      <w:r>
        <w:rPr>
          <w:rFonts w:hint="default" w:ascii="Times New Roman" w:hAnsi="Times New Roman" w:cs="Times New Roman"/>
          <w:color w:val="auto"/>
        </w:rPr>
        <w:t>表3.1.1-2   环境空气质量现状监测情况一览表</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2"/>
        <w:gridCol w:w="1619"/>
        <w:gridCol w:w="1438"/>
        <w:gridCol w:w="2532"/>
        <w:gridCol w:w="1088"/>
      </w:tblGrid>
      <w:tr w14:paraId="5670C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73" w:type="dxa"/>
            <w:vAlign w:val="center"/>
          </w:tcPr>
          <w:p w14:paraId="0E930201">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监测位置</w:t>
            </w:r>
          </w:p>
        </w:tc>
        <w:tc>
          <w:tcPr>
            <w:tcW w:w="1637" w:type="dxa"/>
            <w:vAlign w:val="center"/>
          </w:tcPr>
          <w:p w14:paraId="4963BD4D">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监测时间</w:t>
            </w:r>
          </w:p>
        </w:tc>
        <w:tc>
          <w:tcPr>
            <w:tcW w:w="1454" w:type="dxa"/>
            <w:vAlign w:val="center"/>
          </w:tcPr>
          <w:p w14:paraId="47AA1FFC">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监测项目</w:t>
            </w:r>
          </w:p>
        </w:tc>
        <w:tc>
          <w:tcPr>
            <w:tcW w:w="2562" w:type="dxa"/>
            <w:vAlign w:val="center"/>
          </w:tcPr>
          <w:p w14:paraId="3DFB7C3E">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监测周期及监测频次</w:t>
            </w:r>
          </w:p>
        </w:tc>
        <w:tc>
          <w:tcPr>
            <w:tcW w:w="1099" w:type="dxa"/>
            <w:vAlign w:val="center"/>
          </w:tcPr>
          <w:p w14:paraId="5C00935B">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备注</w:t>
            </w:r>
          </w:p>
        </w:tc>
      </w:tr>
      <w:tr w14:paraId="144C1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73" w:type="dxa"/>
            <w:vAlign w:val="center"/>
          </w:tcPr>
          <w:p w14:paraId="33792F0E">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Q4长石村委</w:t>
            </w:r>
          </w:p>
        </w:tc>
        <w:tc>
          <w:tcPr>
            <w:tcW w:w="1637" w:type="dxa"/>
            <w:vAlign w:val="center"/>
          </w:tcPr>
          <w:p w14:paraId="5DE91D11">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2025年6月23日~6月29日</w:t>
            </w:r>
          </w:p>
        </w:tc>
        <w:tc>
          <w:tcPr>
            <w:tcW w:w="1454" w:type="dxa"/>
            <w:vAlign w:val="center"/>
          </w:tcPr>
          <w:p w14:paraId="5CCBA627">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非甲烷总烃</w:t>
            </w:r>
          </w:p>
        </w:tc>
        <w:tc>
          <w:tcPr>
            <w:tcW w:w="2562" w:type="dxa"/>
            <w:vAlign w:val="center"/>
          </w:tcPr>
          <w:p w14:paraId="02BE4DF7">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连续监测7天，监测小时值，每天监测4次</w:t>
            </w:r>
          </w:p>
        </w:tc>
        <w:tc>
          <w:tcPr>
            <w:tcW w:w="1099" w:type="dxa"/>
            <w:vAlign w:val="center"/>
          </w:tcPr>
          <w:p w14:paraId="01DF30CA">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引用</w:t>
            </w:r>
          </w:p>
        </w:tc>
      </w:tr>
    </w:tbl>
    <w:p w14:paraId="7BF54704">
      <w:pPr>
        <w:ind w:firstLine="480"/>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2 \* GB3 </w:instrText>
      </w:r>
      <w:r>
        <w:rPr>
          <w:rFonts w:hint="default" w:ascii="Times New Roman" w:hAnsi="Times New Roman" w:cs="Times New Roman"/>
          <w:color w:val="auto"/>
        </w:rPr>
        <w:fldChar w:fldCharType="separate"/>
      </w:r>
      <w:r>
        <w:rPr>
          <w:rFonts w:hint="default" w:ascii="Times New Roman" w:hAnsi="Times New Roman" w:cs="Times New Roman"/>
          <w:color w:val="auto"/>
        </w:rPr>
        <w:t>②</w:t>
      </w:r>
      <w:r>
        <w:rPr>
          <w:rFonts w:hint="default" w:ascii="Times New Roman" w:hAnsi="Times New Roman" w:cs="Times New Roman"/>
          <w:color w:val="auto"/>
        </w:rPr>
        <w:fldChar w:fldCharType="end"/>
      </w:r>
      <w:r>
        <w:rPr>
          <w:rFonts w:hint="default" w:ascii="Times New Roman" w:hAnsi="Times New Roman" w:cs="Times New Roman"/>
          <w:color w:val="auto"/>
        </w:rPr>
        <w:t>评价方法</w:t>
      </w:r>
    </w:p>
    <w:p w14:paraId="3A8E5363">
      <w:pPr>
        <w:ind w:firstLine="480"/>
        <w:rPr>
          <w:rFonts w:hint="default" w:ascii="Times New Roman" w:hAnsi="Times New Roman" w:cs="Times New Roman"/>
          <w:color w:val="auto"/>
        </w:rPr>
      </w:pPr>
      <w:r>
        <w:rPr>
          <w:rFonts w:hint="default" w:ascii="Times New Roman" w:hAnsi="Times New Roman" w:cs="Times New Roman"/>
          <w:color w:val="auto"/>
        </w:rPr>
        <w:t>采用占标率对环境空气质量现状进行评价。公式如下：</w:t>
      </w:r>
    </w:p>
    <w:p w14:paraId="299BCB56">
      <w:pPr>
        <w:ind w:firstLine="480"/>
        <w:jc w:val="center"/>
        <w:rPr>
          <w:rFonts w:hint="default" w:ascii="Times New Roman" w:hAnsi="Times New Roman" w:cs="Times New Roman"/>
          <w:color w:val="auto"/>
          <w:szCs w:val="21"/>
        </w:rPr>
      </w:pPr>
      <w:r>
        <w:rPr>
          <w:rFonts w:hint="default" w:ascii="Times New Roman" w:hAnsi="Times New Roman" w:cs="Times New Roman"/>
          <w:color w:val="auto"/>
          <w:szCs w:val="21"/>
        </w:rPr>
        <w:t>Pi=Ci/C0i</w:t>
      </w:r>
    </w:p>
    <w:p w14:paraId="090F6AF2">
      <w:pPr>
        <w:ind w:firstLine="480"/>
        <w:rPr>
          <w:rFonts w:hint="default" w:ascii="Times New Roman" w:hAnsi="Times New Roman" w:cs="Times New Roman"/>
          <w:color w:val="auto"/>
          <w:szCs w:val="21"/>
        </w:rPr>
      </w:pPr>
      <w:r>
        <w:rPr>
          <w:rFonts w:hint="default" w:ascii="Times New Roman" w:hAnsi="Times New Roman" w:cs="Times New Roman"/>
          <w:color w:val="auto"/>
          <w:szCs w:val="21"/>
        </w:rPr>
        <w:t>式中：Pi—第 i 种污染物的占标率，%；</w:t>
      </w:r>
    </w:p>
    <w:p w14:paraId="500C33F4">
      <w:pPr>
        <w:ind w:firstLine="1200" w:firstLineChars="500"/>
        <w:rPr>
          <w:rFonts w:hint="default" w:ascii="Times New Roman" w:hAnsi="Times New Roman" w:cs="Times New Roman"/>
          <w:color w:val="auto"/>
          <w:szCs w:val="21"/>
        </w:rPr>
      </w:pPr>
      <w:r>
        <w:rPr>
          <w:rFonts w:hint="default" w:ascii="Times New Roman" w:hAnsi="Times New Roman" w:cs="Times New Roman"/>
          <w:color w:val="auto"/>
          <w:szCs w:val="21"/>
        </w:rPr>
        <w:t>Ci—第 i 种污染物的实测浓度（mg/m</w:t>
      </w:r>
      <w:r>
        <w:rPr>
          <w:rFonts w:hint="default" w:ascii="Times New Roman" w:hAnsi="Times New Roman" w:cs="Times New Roman"/>
          <w:color w:val="auto"/>
          <w:szCs w:val="21"/>
          <w:vertAlign w:val="superscript"/>
        </w:rPr>
        <w:t>3</w:t>
      </w:r>
      <w:r>
        <w:rPr>
          <w:rFonts w:hint="default" w:ascii="Times New Roman" w:hAnsi="Times New Roman" w:cs="Times New Roman"/>
          <w:color w:val="auto"/>
          <w:szCs w:val="21"/>
        </w:rPr>
        <w:t>）；</w:t>
      </w:r>
    </w:p>
    <w:p w14:paraId="184595F2">
      <w:pPr>
        <w:ind w:firstLine="1200" w:firstLineChars="500"/>
        <w:rPr>
          <w:rFonts w:hint="default" w:ascii="Times New Roman" w:hAnsi="Times New Roman" w:cs="Times New Roman"/>
          <w:color w:val="auto"/>
          <w:szCs w:val="21"/>
        </w:rPr>
      </w:pPr>
      <w:r>
        <w:rPr>
          <w:rFonts w:hint="default" w:ascii="Times New Roman" w:hAnsi="Times New Roman" w:cs="Times New Roman"/>
          <w:color w:val="auto"/>
          <w:szCs w:val="21"/>
        </w:rPr>
        <w:t>C0i—第 i 种污染物的评价标准值（mg/m</w:t>
      </w:r>
      <w:r>
        <w:rPr>
          <w:rFonts w:hint="default" w:ascii="Times New Roman" w:hAnsi="Times New Roman" w:cs="Times New Roman"/>
          <w:color w:val="auto"/>
          <w:szCs w:val="21"/>
          <w:vertAlign w:val="superscript"/>
        </w:rPr>
        <w:t>3</w:t>
      </w:r>
      <w:r>
        <w:rPr>
          <w:rFonts w:hint="default" w:ascii="Times New Roman" w:hAnsi="Times New Roman" w:cs="Times New Roman"/>
          <w:color w:val="auto"/>
          <w:szCs w:val="21"/>
        </w:rPr>
        <w:t>）。</w:t>
      </w:r>
    </w:p>
    <w:p w14:paraId="40321E61">
      <w:pPr>
        <w:ind w:firstLine="480"/>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3 \* GB3 </w:instrText>
      </w:r>
      <w:r>
        <w:rPr>
          <w:rFonts w:hint="default" w:ascii="Times New Roman" w:hAnsi="Times New Roman" w:cs="Times New Roman"/>
          <w:color w:val="auto"/>
        </w:rPr>
        <w:fldChar w:fldCharType="separate"/>
      </w:r>
      <w:r>
        <w:rPr>
          <w:rFonts w:hint="default" w:ascii="Times New Roman" w:hAnsi="Times New Roman" w:cs="Times New Roman"/>
          <w:color w:val="auto"/>
        </w:rPr>
        <w:t>③</w:t>
      </w:r>
      <w:r>
        <w:rPr>
          <w:rFonts w:hint="default" w:ascii="Times New Roman" w:hAnsi="Times New Roman" w:cs="Times New Roman"/>
          <w:color w:val="auto"/>
        </w:rPr>
        <w:fldChar w:fldCharType="end"/>
      </w:r>
      <w:r>
        <w:rPr>
          <w:rFonts w:hint="default" w:ascii="Times New Roman" w:hAnsi="Times New Roman" w:cs="Times New Roman"/>
          <w:color w:val="auto"/>
        </w:rPr>
        <w:t>评价标准</w:t>
      </w:r>
    </w:p>
    <w:p w14:paraId="7C6A08EB">
      <w:pPr>
        <w:ind w:firstLine="480"/>
        <w:rPr>
          <w:rFonts w:hint="default" w:ascii="Times New Roman" w:hAnsi="Times New Roman" w:cs="Times New Roman"/>
          <w:color w:val="auto"/>
          <w:szCs w:val="21"/>
        </w:rPr>
      </w:pPr>
      <w:r>
        <w:rPr>
          <w:rFonts w:hint="default" w:ascii="Times New Roman" w:hAnsi="Times New Roman" w:cs="Times New Roman"/>
          <w:color w:val="auto"/>
          <w:szCs w:val="21"/>
        </w:rPr>
        <w:t>非甲烷总烃参照执行河北省地方标准《环境空气质量 非甲烷总烃限值》（DB13/1577-2012）中二级标准限值。</w:t>
      </w:r>
    </w:p>
    <w:p w14:paraId="3A41840F">
      <w:pPr>
        <w:ind w:firstLine="480"/>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4 \* GB3 </w:instrText>
      </w:r>
      <w:r>
        <w:rPr>
          <w:rFonts w:hint="default" w:ascii="Times New Roman" w:hAnsi="Times New Roman" w:cs="Times New Roman"/>
          <w:color w:val="auto"/>
        </w:rPr>
        <w:fldChar w:fldCharType="separate"/>
      </w:r>
      <w:r>
        <w:rPr>
          <w:rFonts w:hint="default" w:ascii="Times New Roman" w:hAnsi="Times New Roman" w:cs="Times New Roman"/>
          <w:color w:val="auto"/>
        </w:rPr>
        <w:t>④</w:t>
      </w:r>
      <w:r>
        <w:rPr>
          <w:rFonts w:hint="default" w:ascii="Times New Roman" w:hAnsi="Times New Roman" w:cs="Times New Roman"/>
          <w:color w:val="auto"/>
        </w:rPr>
        <w:fldChar w:fldCharType="end"/>
      </w:r>
      <w:r>
        <w:rPr>
          <w:rFonts w:hint="default" w:ascii="Times New Roman" w:hAnsi="Times New Roman" w:cs="Times New Roman"/>
          <w:color w:val="auto"/>
        </w:rPr>
        <w:t>监测结果及评价</w:t>
      </w:r>
    </w:p>
    <w:p w14:paraId="7DF9219C">
      <w:pPr>
        <w:ind w:firstLine="480"/>
        <w:rPr>
          <w:rFonts w:hint="default" w:ascii="Times New Roman" w:hAnsi="Times New Roman" w:cs="Times New Roman"/>
          <w:color w:val="auto"/>
        </w:rPr>
      </w:pPr>
      <w:r>
        <w:rPr>
          <w:rFonts w:hint="default" w:ascii="Times New Roman" w:hAnsi="Times New Roman" w:cs="Times New Roman"/>
          <w:color w:val="auto"/>
        </w:rPr>
        <w:t>监测数据及评价结果见表3.1.1-3。</w:t>
      </w:r>
    </w:p>
    <w:p w14:paraId="5DCA3098">
      <w:pPr>
        <w:pStyle w:val="93"/>
        <w:rPr>
          <w:rFonts w:hint="default" w:ascii="Times New Roman" w:hAnsi="Times New Roman" w:cs="Times New Roman"/>
          <w:color w:val="auto"/>
        </w:rPr>
      </w:pPr>
      <w:r>
        <w:rPr>
          <w:rFonts w:hint="default" w:ascii="Times New Roman" w:hAnsi="Times New Roman" w:cs="Times New Roman"/>
          <w:color w:val="auto"/>
        </w:rPr>
        <w:t>表3.1.1-3   其他污染物环境空气质量状况一览表</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066"/>
        <w:gridCol w:w="1066"/>
        <w:gridCol w:w="1066"/>
        <w:gridCol w:w="1066"/>
        <w:gridCol w:w="1066"/>
        <w:gridCol w:w="1066"/>
        <w:gridCol w:w="1066"/>
      </w:tblGrid>
      <w:tr w14:paraId="7E0AC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625" w:type="pct"/>
            <w:vAlign w:val="center"/>
          </w:tcPr>
          <w:p w14:paraId="24A46372">
            <w:pPr>
              <w:widowControl/>
              <w:autoSpaceDE w:val="0"/>
              <w:autoSpaceDN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监测点</w:t>
            </w:r>
          </w:p>
        </w:tc>
        <w:tc>
          <w:tcPr>
            <w:tcW w:w="625" w:type="pct"/>
            <w:vAlign w:val="center"/>
          </w:tcPr>
          <w:p w14:paraId="316C3D1C">
            <w:pPr>
              <w:widowControl/>
              <w:autoSpaceDE w:val="0"/>
              <w:autoSpaceDN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监测因子</w:t>
            </w:r>
          </w:p>
        </w:tc>
        <w:tc>
          <w:tcPr>
            <w:tcW w:w="625" w:type="pct"/>
            <w:vAlign w:val="center"/>
          </w:tcPr>
          <w:p w14:paraId="3AF33133">
            <w:pPr>
              <w:widowControl/>
              <w:autoSpaceDE w:val="0"/>
              <w:autoSpaceDN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平均时间</w:t>
            </w:r>
          </w:p>
        </w:tc>
        <w:tc>
          <w:tcPr>
            <w:tcW w:w="625" w:type="pct"/>
            <w:vAlign w:val="center"/>
          </w:tcPr>
          <w:p w14:paraId="18D572EB">
            <w:pPr>
              <w:widowControl/>
              <w:autoSpaceDE w:val="0"/>
              <w:autoSpaceDN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监测值</w:t>
            </w:r>
          </w:p>
        </w:tc>
        <w:tc>
          <w:tcPr>
            <w:tcW w:w="625" w:type="pct"/>
            <w:vAlign w:val="center"/>
          </w:tcPr>
          <w:p w14:paraId="7CB4D28C">
            <w:pPr>
              <w:widowControl/>
              <w:autoSpaceDE w:val="0"/>
              <w:autoSpaceDN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标准值</w:t>
            </w:r>
          </w:p>
        </w:tc>
        <w:tc>
          <w:tcPr>
            <w:tcW w:w="625" w:type="pct"/>
            <w:vAlign w:val="center"/>
          </w:tcPr>
          <w:p w14:paraId="57848361">
            <w:pPr>
              <w:widowControl/>
              <w:autoSpaceDE w:val="0"/>
              <w:autoSpaceDN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最大占标率%</w:t>
            </w:r>
          </w:p>
        </w:tc>
        <w:tc>
          <w:tcPr>
            <w:tcW w:w="625" w:type="pct"/>
            <w:vAlign w:val="center"/>
          </w:tcPr>
          <w:p w14:paraId="3A8E3D60">
            <w:pPr>
              <w:widowControl/>
              <w:autoSpaceDE w:val="0"/>
              <w:autoSpaceDN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超标倍数</w:t>
            </w:r>
          </w:p>
        </w:tc>
        <w:tc>
          <w:tcPr>
            <w:tcW w:w="626" w:type="pct"/>
            <w:vAlign w:val="center"/>
          </w:tcPr>
          <w:p w14:paraId="6AEAAAB7">
            <w:pPr>
              <w:autoSpaceDE w:val="0"/>
              <w:autoSpaceDN w:val="0"/>
              <w:snapToGrid w:val="0"/>
              <w:spacing w:line="240" w:lineRule="auto"/>
              <w:ind w:firstLine="0" w:firstLineChars="0"/>
              <w:jc w:val="center"/>
              <w:rPr>
                <w:rFonts w:hint="default" w:ascii="Times New Roman" w:hAnsi="Times New Roman" w:cs="Times New Roman"/>
                <w:color w:val="auto"/>
                <w:spacing w:val="10"/>
                <w:sz w:val="21"/>
                <w:szCs w:val="21"/>
              </w:rPr>
            </w:pPr>
            <w:r>
              <w:rPr>
                <w:rFonts w:hint="default" w:ascii="Times New Roman" w:hAnsi="Times New Roman" w:cs="Times New Roman"/>
                <w:color w:val="auto"/>
                <w:spacing w:val="10"/>
                <w:sz w:val="21"/>
                <w:szCs w:val="21"/>
              </w:rPr>
              <w:t>达标情况</w:t>
            </w:r>
          </w:p>
        </w:tc>
      </w:tr>
      <w:tr w14:paraId="18D20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5" w:type="pct"/>
            <w:vAlign w:val="center"/>
          </w:tcPr>
          <w:p w14:paraId="1E547D10">
            <w:pPr>
              <w:widowControl/>
              <w:autoSpaceDE w:val="0"/>
              <w:autoSpaceDN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Q4长石村委</w:t>
            </w:r>
          </w:p>
        </w:tc>
        <w:tc>
          <w:tcPr>
            <w:tcW w:w="625" w:type="pct"/>
            <w:vAlign w:val="center"/>
          </w:tcPr>
          <w:p w14:paraId="3A642F65">
            <w:pPr>
              <w:widowControl/>
              <w:autoSpaceDE w:val="0"/>
              <w:autoSpaceDN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非甲烷总烃</w:t>
            </w:r>
          </w:p>
        </w:tc>
        <w:tc>
          <w:tcPr>
            <w:tcW w:w="625" w:type="pct"/>
            <w:vAlign w:val="center"/>
          </w:tcPr>
          <w:p w14:paraId="133C633D">
            <w:pPr>
              <w:widowControl/>
              <w:autoSpaceDE w:val="0"/>
              <w:autoSpaceDN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小时值</w:t>
            </w:r>
          </w:p>
        </w:tc>
        <w:tc>
          <w:tcPr>
            <w:tcW w:w="625" w:type="pct"/>
            <w:vAlign w:val="center"/>
          </w:tcPr>
          <w:p w14:paraId="1E7B94FE">
            <w:pPr>
              <w:widowControl/>
              <w:autoSpaceDE w:val="0"/>
              <w:autoSpaceDN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0.41~0.66</w:t>
            </w:r>
          </w:p>
        </w:tc>
        <w:tc>
          <w:tcPr>
            <w:tcW w:w="625" w:type="pct"/>
            <w:vAlign w:val="center"/>
          </w:tcPr>
          <w:p w14:paraId="2A542578">
            <w:pPr>
              <w:widowControl/>
              <w:autoSpaceDE w:val="0"/>
              <w:autoSpaceDN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w:t>
            </w:r>
          </w:p>
        </w:tc>
        <w:tc>
          <w:tcPr>
            <w:tcW w:w="625" w:type="pct"/>
            <w:vAlign w:val="center"/>
          </w:tcPr>
          <w:p w14:paraId="36EE75E5">
            <w:pPr>
              <w:widowControl/>
              <w:autoSpaceDE w:val="0"/>
              <w:autoSpaceDN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33</w:t>
            </w:r>
          </w:p>
        </w:tc>
        <w:tc>
          <w:tcPr>
            <w:tcW w:w="625" w:type="pct"/>
            <w:vAlign w:val="center"/>
          </w:tcPr>
          <w:p w14:paraId="27B78339">
            <w:pPr>
              <w:widowControl/>
              <w:autoSpaceDE w:val="0"/>
              <w:autoSpaceDN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626" w:type="pct"/>
            <w:vAlign w:val="center"/>
          </w:tcPr>
          <w:p w14:paraId="07ED430B">
            <w:pPr>
              <w:widowControl/>
              <w:autoSpaceDE w:val="0"/>
              <w:autoSpaceDN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达标</w:t>
            </w:r>
          </w:p>
        </w:tc>
      </w:tr>
    </w:tbl>
    <w:p w14:paraId="3760C775">
      <w:pPr>
        <w:ind w:firstLine="480"/>
        <w:rPr>
          <w:rFonts w:hint="default" w:ascii="Times New Roman" w:hAnsi="Times New Roman" w:cs="Times New Roman"/>
          <w:color w:val="auto"/>
        </w:rPr>
      </w:pPr>
      <w:r>
        <w:rPr>
          <w:rFonts w:hint="default" w:ascii="Times New Roman" w:hAnsi="Times New Roman" w:cs="Times New Roman"/>
          <w:color w:val="auto"/>
        </w:rPr>
        <w:t>根据表3.1.1-3可知，非甲烷总烃浓度满足河北省地方标准《环境空气质量 非甲烷总烃限值》（DB13/1577-2012）二级标准限值要求。</w:t>
      </w:r>
    </w:p>
    <w:p w14:paraId="70D281CB">
      <w:pPr>
        <w:pStyle w:val="258"/>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eastAsia="宋体" w:cs="Times New Roman"/>
          <w:color w:val="auto"/>
        </w:rPr>
        <w:t>1.2</w:t>
      </w:r>
      <w:r>
        <w:rPr>
          <w:rFonts w:hint="default" w:ascii="Times New Roman" w:hAnsi="Times New Roman" w:cs="Times New Roman"/>
          <w:color w:val="auto"/>
        </w:rPr>
        <w:t xml:space="preserve"> </w:t>
      </w:r>
      <w:r>
        <w:rPr>
          <w:rFonts w:hint="default" w:ascii="Times New Roman" w:hAnsi="Times New Roman" w:eastAsia="宋体" w:cs="Times New Roman"/>
          <w:color w:val="auto"/>
        </w:rPr>
        <w:t>地表水环境质量</w:t>
      </w:r>
    </w:p>
    <w:p w14:paraId="497501F2">
      <w:pPr>
        <w:ind w:firstLine="480"/>
        <w:rPr>
          <w:rFonts w:hint="default" w:ascii="Times New Roman" w:hAnsi="Times New Roman" w:cs="Times New Roman"/>
          <w:color w:val="auto"/>
        </w:rPr>
      </w:pPr>
      <w:r>
        <w:rPr>
          <w:rFonts w:hint="default" w:ascii="Times New Roman" w:hAnsi="Times New Roman" w:cs="Times New Roman"/>
          <w:color w:val="auto"/>
        </w:rPr>
        <w:t>本项目受纳水体为杨柳曲河，再汇入大溪河。</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"http://baike.sogou.com/PicBooklet.v?relateImageGroupIds=109623,109625,109626,109630&amp;lemmaId=183479&amp;now=http://pic.baike.soso.com/p/20140221/20140221023858-343882178.jpg&amp;type=1" \t "http://baike.sogou.com/_blank" \o "点击查看大图" </w:instrText>
      </w:r>
      <w:r>
        <w:rPr>
          <w:rFonts w:hint="default" w:ascii="Times New Roman" w:hAnsi="Times New Roman" w:cs="Times New Roman"/>
          <w:color w:val="auto"/>
        </w:rPr>
        <w:fldChar w:fldCharType="separate"/>
      </w:r>
      <w:r>
        <w:rPr>
          <w:rFonts w:hint="default" w:ascii="Times New Roman" w:hAnsi="Times New Roman" w:cs="Times New Roman"/>
          <w:color w:val="auto"/>
        </w:rPr>
        <w:t>根据《重庆市人民政府批转重庆市地表水环境功能类别调整方案的通知》（渝府发〔2012〕4号文，规划区涉及的大溪河（九龙坡段）未划分水域功能，其中大溪河（九龙坡段）水质管理目标为IV类。</w:t>
      </w:r>
      <w:r>
        <w:rPr>
          <w:rFonts w:hint="default" w:ascii="Times New Roman" w:hAnsi="Times New Roman" w:cs="Times New Roman"/>
          <w:color w:val="auto"/>
        </w:rPr>
        <w:fldChar w:fldCharType="end"/>
      </w:r>
    </w:p>
    <w:p w14:paraId="3D5FF3A0">
      <w:pPr>
        <w:ind w:firstLine="480"/>
        <w:rPr>
          <w:rFonts w:hint="default" w:ascii="Times New Roman" w:hAnsi="Times New Roman" w:cs="Times New Roman"/>
          <w:color w:val="auto"/>
        </w:rPr>
      </w:pPr>
      <w:r>
        <w:rPr>
          <w:rFonts w:hint="default" w:ascii="Times New Roman" w:hAnsi="Times New Roman" w:cs="Times New Roman"/>
          <w:color w:val="auto"/>
        </w:rPr>
        <w:t>根据</w:t>
      </w:r>
      <w:r>
        <w:rPr>
          <w:rFonts w:hint="default" w:ascii="Times New Roman" w:hAnsi="Times New Roman" w:cs="Times New Roman"/>
          <w:color w:val="auto"/>
          <w:szCs w:val="21"/>
        </w:rPr>
        <w:t>《2025年重庆市生态环境状况公报》</w:t>
      </w:r>
      <w:r>
        <w:rPr>
          <w:rFonts w:hint="default" w:ascii="Times New Roman" w:hAnsi="Times New Roman" w:cs="Times New Roman"/>
          <w:color w:val="auto"/>
        </w:rPr>
        <w:t>：“2025年，全市地表水总体水质为优，238个监测断面中I~III类水质的断面比例为95.4%，水质满足水域功能要求的断面比例为98.3%。74个国控考核断面水质优良比例为100%，高于国家考核目标2.7个百分点。长江干流重庆段水质为优，20个监测断面水质均为II类。”</w:t>
      </w:r>
    </w:p>
    <w:p w14:paraId="3F869340">
      <w:pPr>
        <w:ind w:firstLine="480"/>
        <w:rPr>
          <w:rFonts w:hint="default" w:ascii="Times New Roman" w:hAnsi="Times New Roman" w:cs="Times New Roman"/>
          <w:color w:val="auto"/>
          <w:szCs w:val="21"/>
        </w:rPr>
      </w:pPr>
      <w:r>
        <w:rPr>
          <w:rFonts w:hint="default" w:ascii="Times New Roman" w:hAnsi="Times New Roman" w:cs="Times New Roman"/>
          <w:color w:val="auto"/>
        </w:rPr>
        <w:t>大溪河地表水体根据《</w:t>
      </w:r>
      <w:r>
        <w:rPr>
          <w:rFonts w:hint="default" w:ascii="Times New Roman" w:hAnsi="Times New Roman" w:cs="Times New Roman"/>
          <w:color w:val="auto"/>
          <w:szCs w:val="24"/>
        </w:rPr>
        <w:t>西部（重庆）科学城九龙新城园区规划环境影响报告书</w:t>
      </w:r>
      <w:r>
        <w:rPr>
          <w:rFonts w:hint="default" w:ascii="Times New Roman" w:hAnsi="Times New Roman" w:cs="Times New Roman"/>
          <w:color w:val="auto"/>
        </w:rPr>
        <w:t>》中监测结果判定地表水质量现状。大溪河分别在</w:t>
      </w:r>
      <w:r>
        <w:rPr>
          <w:rFonts w:hint="default" w:ascii="Times New Roman" w:hAnsi="Times New Roman" w:cs="Times New Roman"/>
          <w:color w:val="auto"/>
          <w:szCs w:val="21"/>
        </w:rPr>
        <w:t>陶家镇污水处理厂上游500m和陶家镇污水处理厂下游2000m设置了1个监测点，监测时间为2025年6月23日~6月25日。</w:t>
      </w:r>
    </w:p>
    <w:p w14:paraId="088B8F9B">
      <w:pPr>
        <w:pStyle w:val="93"/>
        <w:rPr>
          <w:rFonts w:hint="default" w:ascii="Times New Roman" w:hAnsi="Times New Roman" w:cs="Times New Roman"/>
          <w:color w:val="auto"/>
        </w:rPr>
      </w:pPr>
      <w:r>
        <w:rPr>
          <w:rFonts w:hint="default" w:ascii="Times New Roman" w:hAnsi="Times New Roman" w:cs="Times New Roman"/>
          <w:color w:val="auto"/>
        </w:rPr>
        <w:t>表3.1.2-1        地表水监测结果（大溪河）      单位：mg/L</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758"/>
        <w:gridCol w:w="1144"/>
        <w:gridCol w:w="1069"/>
        <w:gridCol w:w="1084"/>
        <w:gridCol w:w="969"/>
        <w:gridCol w:w="969"/>
        <w:gridCol w:w="1128"/>
        <w:gridCol w:w="928"/>
      </w:tblGrid>
      <w:tr w14:paraId="22DF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pct"/>
            <w:gridSpan w:val="2"/>
            <w:vAlign w:val="center"/>
          </w:tcPr>
          <w:p w14:paraId="1685F772">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监测点位</w:t>
            </w:r>
          </w:p>
        </w:tc>
        <w:tc>
          <w:tcPr>
            <w:tcW w:w="670" w:type="pct"/>
            <w:vAlign w:val="center"/>
          </w:tcPr>
          <w:p w14:paraId="2BD6CDD2">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pH</w:t>
            </w:r>
          </w:p>
          <w:p w14:paraId="24D08E77">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（无量纲）</w:t>
            </w:r>
          </w:p>
        </w:tc>
        <w:tc>
          <w:tcPr>
            <w:tcW w:w="626" w:type="pct"/>
            <w:vAlign w:val="center"/>
          </w:tcPr>
          <w:p w14:paraId="2C293A07">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水温</w:t>
            </w:r>
          </w:p>
          <w:p w14:paraId="10E64FA5">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635" w:type="pct"/>
            <w:vAlign w:val="center"/>
          </w:tcPr>
          <w:p w14:paraId="5BED7FC6">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溶解氧（mg/L）</w:t>
            </w:r>
          </w:p>
        </w:tc>
        <w:tc>
          <w:tcPr>
            <w:tcW w:w="568" w:type="pct"/>
            <w:vAlign w:val="center"/>
          </w:tcPr>
          <w:p w14:paraId="44591B5D">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COD</w:t>
            </w:r>
          </w:p>
          <w:p w14:paraId="556DFFD6">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（mg/L）</w:t>
            </w:r>
          </w:p>
        </w:tc>
        <w:tc>
          <w:tcPr>
            <w:tcW w:w="568" w:type="pct"/>
            <w:vAlign w:val="center"/>
          </w:tcPr>
          <w:p w14:paraId="4D221A56">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BOD</w:t>
            </w:r>
            <w:r>
              <w:rPr>
                <w:rFonts w:hint="default" w:ascii="Times New Roman" w:hAnsi="Times New Roman" w:cs="Times New Roman"/>
                <w:color w:val="auto"/>
                <w:sz w:val="21"/>
                <w:szCs w:val="21"/>
                <w:vertAlign w:val="subscript"/>
              </w:rPr>
              <w:t>5</w:t>
            </w:r>
            <w:r>
              <w:rPr>
                <w:rFonts w:hint="default" w:ascii="Times New Roman" w:hAnsi="Times New Roman" w:cs="Times New Roman"/>
                <w:color w:val="auto"/>
                <w:sz w:val="21"/>
                <w:szCs w:val="21"/>
              </w:rPr>
              <w:t>（mg/L）</w:t>
            </w:r>
          </w:p>
        </w:tc>
        <w:tc>
          <w:tcPr>
            <w:tcW w:w="661" w:type="pct"/>
            <w:vAlign w:val="center"/>
          </w:tcPr>
          <w:p w14:paraId="5A6E3889">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氨氮</w:t>
            </w:r>
          </w:p>
          <w:p w14:paraId="2BC45EF4">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（mg/L）</w:t>
            </w:r>
          </w:p>
        </w:tc>
        <w:tc>
          <w:tcPr>
            <w:tcW w:w="544" w:type="pct"/>
            <w:vAlign w:val="center"/>
          </w:tcPr>
          <w:p w14:paraId="6D2088FE">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pacing w:val="-6"/>
                <w:sz w:val="21"/>
                <w:szCs w:val="21"/>
              </w:rPr>
              <w:t>石油类（mg/L）</w:t>
            </w:r>
          </w:p>
        </w:tc>
      </w:tr>
      <w:tr w14:paraId="17BAD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 w:type="pct"/>
            <w:vMerge w:val="restart"/>
            <w:vAlign w:val="center"/>
          </w:tcPr>
          <w:p w14:paraId="7E25CABC">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W3</w:t>
            </w:r>
          </w:p>
        </w:tc>
        <w:tc>
          <w:tcPr>
            <w:tcW w:w="444" w:type="pct"/>
            <w:vAlign w:val="center"/>
          </w:tcPr>
          <w:p w14:paraId="084DF449">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监测值</w:t>
            </w:r>
          </w:p>
        </w:tc>
        <w:tc>
          <w:tcPr>
            <w:tcW w:w="670" w:type="pct"/>
            <w:vAlign w:val="center"/>
          </w:tcPr>
          <w:p w14:paraId="2C16AC1E">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7.8~8.0</w:t>
            </w:r>
          </w:p>
        </w:tc>
        <w:tc>
          <w:tcPr>
            <w:tcW w:w="626" w:type="pct"/>
            <w:vAlign w:val="center"/>
          </w:tcPr>
          <w:p w14:paraId="738B1D79">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25.7~28.4</w:t>
            </w:r>
          </w:p>
        </w:tc>
        <w:tc>
          <w:tcPr>
            <w:tcW w:w="635" w:type="pct"/>
            <w:vAlign w:val="center"/>
          </w:tcPr>
          <w:p w14:paraId="18B02EE9">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5.7~5.8</w:t>
            </w:r>
          </w:p>
        </w:tc>
        <w:tc>
          <w:tcPr>
            <w:tcW w:w="568" w:type="pct"/>
            <w:vAlign w:val="center"/>
          </w:tcPr>
          <w:p w14:paraId="52C1F2A2">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17</w:t>
            </w:r>
          </w:p>
        </w:tc>
        <w:tc>
          <w:tcPr>
            <w:tcW w:w="568" w:type="pct"/>
            <w:vAlign w:val="center"/>
          </w:tcPr>
          <w:p w14:paraId="0B79A205">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3.1~3.5</w:t>
            </w:r>
          </w:p>
        </w:tc>
        <w:tc>
          <w:tcPr>
            <w:tcW w:w="661" w:type="pct"/>
            <w:vAlign w:val="center"/>
          </w:tcPr>
          <w:p w14:paraId="296299F6">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0.267~0.341</w:t>
            </w:r>
          </w:p>
        </w:tc>
        <w:tc>
          <w:tcPr>
            <w:tcW w:w="544" w:type="pct"/>
            <w:vAlign w:val="center"/>
          </w:tcPr>
          <w:p w14:paraId="4E165B6D">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pacing w:val="-6"/>
                <w:sz w:val="21"/>
                <w:szCs w:val="21"/>
              </w:rPr>
              <w:t>0.01~0.02</w:t>
            </w:r>
          </w:p>
        </w:tc>
      </w:tr>
      <w:tr w14:paraId="5101F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 w:type="pct"/>
            <w:vMerge w:val="continue"/>
            <w:vAlign w:val="center"/>
          </w:tcPr>
          <w:p w14:paraId="3C67D2A3">
            <w:pPr>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444" w:type="pct"/>
            <w:vAlign w:val="center"/>
          </w:tcPr>
          <w:p w14:paraId="60E5CA32">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Si值</w:t>
            </w:r>
          </w:p>
        </w:tc>
        <w:tc>
          <w:tcPr>
            <w:tcW w:w="670" w:type="pct"/>
            <w:vAlign w:val="center"/>
          </w:tcPr>
          <w:p w14:paraId="5CDFBB84">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0.40~0.50</w:t>
            </w:r>
          </w:p>
        </w:tc>
        <w:tc>
          <w:tcPr>
            <w:tcW w:w="626" w:type="pct"/>
            <w:vAlign w:val="center"/>
          </w:tcPr>
          <w:p w14:paraId="0CC79F6D">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635" w:type="pct"/>
            <w:vAlign w:val="center"/>
          </w:tcPr>
          <w:p w14:paraId="1F90E63F">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0.59~0.60</w:t>
            </w:r>
          </w:p>
        </w:tc>
        <w:tc>
          <w:tcPr>
            <w:tcW w:w="568" w:type="pct"/>
            <w:vAlign w:val="center"/>
          </w:tcPr>
          <w:p w14:paraId="470F5D61">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0.53</w:t>
            </w:r>
          </w:p>
        </w:tc>
        <w:tc>
          <w:tcPr>
            <w:tcW w:w="568" w:type="pct"/>
            <w:vAlign w:val="center"/>
          </w:tcPr>
          <w:p w14:paraId="31875344">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0.52 ~ 0.58</w:t>
            </w:r>
          </w:p>
        </w:tc>
        <w:tc>
          <w:tcPr>
            <w:tcW w:w="661" w:type="pct"/>
            <w:vAlign w:val="center"/>
          </w:tcPr>
          <w:p w14:paraId="6CA785D4">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0.178~0.227</w:t>
            </w:r>
          </w:p>
        </w:tc>
        <w:tc>
          <w:tcPr>
            <w:tcW w:w="544" w:type="pct"/>
            <w:vAlign w:val="center"/>
          </w:tcPr>
          <w:p w14:paraId="5704554B">
            <w:pPr>
              <w:adjustRightInd w:val="0"/>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pacing w:val="-6"/>
                <w:sz w:val="21"/>
                <w:szCs w:val="21"/>
              </w:rPr>
              <w:t>0.02 ~ 0.04</w:t>
            </w:r>
          </w:p>
        </w:tc>
      </w:tr>
      <w:tr w14:paraId="7AF6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 w:type="pct"/>
            <w:vMerge w:val="restart"/>
            <w:vAlign w:val="center"/>
          </w:tcPr>
          <w:p w14:paraId="31798238">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W4</w:t>
            </w:r>
          </w:p>
        </w:tc>
        <w:tc>
          <w:tcPr>
            <w:tcW w:w="444" w:type="pct"/>
            <w:vAlign w:val="center"/>
          </w:tcPr>
          <w:p w14:paraId="02E2C7C8">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监测值</w:t>
            </w:r>
          </w:p>
        </w:tc>
        <w:tc>
          <w:tcPr>
            <w:tcW w:w="670" w:type="pct"/>
            <w:vAlign w:val="center"/>
          </w:tcPr>
          <w:p w14:paraId="4D9F0EA0">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7.9~8.0</w:t>
            </w:r>
          </w:p>
        </w:tc>
        <w:tc>
          <w:tcPr>
            <w:tcW w:w="626" w:type="pct"/>
            <w:vAlign w:val="center"/>
          </w:tcPr>
          <w:p w14:paraId="64BDE8B1">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25.3~28.1</w:t>
            </w:r>
          </w:p>
        </w:tc>
        <w:tc>
          <w:tcPr>
            <w:tcW w:w="635" w:type="pct"/>
            <w:vAlign w:val="center"/>
          </w:tcPr>
          <w:p w14:paraId="44D4546A">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6.1~6.4</w:t>
            </w:r>
          </w:p>
        </w:tc>
        <w:tc>
          <w:tcPr>
            <w:tcW w:w="568" w:type="pct"/>
            <w:vAlign w:val="center"/>
          </w:tcPr>
          <w:p w14:paraId="1FF9AD48">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16~17</w:t>
            </w:r>
          </w:p>
        </w:tc>
        <w:tc>
          <w:tcPr>
            <w:tcW w:w="568" w:type="pct"/>
            <w:vAlign w:val="center"/>
          </w:tcPr>
          <w:p w14:paraId="65171E87">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2.7~3.3</w:t>
            </w:r>
          </w:p>
        </w:tc>
        <w:tc>
          <w:tcPr>
            <w:tcW w:w="661" w:type="pct"/>
            <w:vAlign w:val="center"/>
          </w:tcPr>
          <w:p w14:paraId="7B825009">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0.031~0.04</w:t>
            </w:r>
          </w:p>
        </w:tc>
        <w:tc>
          <w:tcPr>
            <w:tcW w:w="544" w:type="pct"/>
            <w:vAlign w:val="center"/>
          </w:tcPr>
          <w:p w14:paraId="3EE553DB">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pacing w:val="-6"/>
                <w:kern w:val="2"/>
                <w:sz w:val="21"/>
                <w:szCs w:val="21"/>
              </w:rPr>
              <w:t>0.01</w:t>
            </w:r>
          </w:p>
        </w:tc>
      </w:tr>
      <w:tr w14:paraId="48F3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 w:type="pct"/>
            <w:vMerge w:val="continue"/>
            <w:vAlign w:val="center"/>
          </w:tcPr>
          <w:p w14:paraId="0ED6F3EB">
            <w:pPr>
              <w:adjustRightInd w:val="0"/>
              <w:snapToGrid w:val="0"/>
              <w:spacing w:line="240" w:lineRule="auto"/>
              <w:ind w:firstLine="0" w:firstLineChars="0"/>
              <w:jc w:val="center"/>
              <w:rPr>
                <w:rFonts w:hint="default" w:ascii="Times New Roman" w:hAnsi="Times New Roman" w:cs="Times New Roman"/>
                <w:color w:val="auto"/>
                <w:sz w:val="21"/>
                <w:szCs w:val="21"/>
              </w:rPr>
            </w:pPr>
          </w:p>
        </w:tc>
        <w:tc>
          <w:tcPr>
            <w:tcW w:w="444" w:type="pct"/>
            <w:vAlign w:val="center"/>
          </w:tcPr>
          <w:p w14:paraId="46AE49C9">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Si值</w:t>
            </w:r>
          </w:p>
        </w:tc>
        <w:tc>
          <w:tcPr>
            <w:tcW w:w="670" w:type="pct"/>
            <w:vAlign w:val="center"/>
          </w:tcPr>
          <w:p w14:paraId="77673832">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0.45~0.50</w:t>
            </w:r>
          </w:p>
        </w:tc>
        <w:tc>
          <w:tcPr>
            <w:tcW w:w="626" w:type="pct"/>
            <w:vAlign w:val="center"/>
          </w:tcPr>
          <w:p w14:paraId="6B11188C">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635" w:type="pct"/>
            <w:vAlign w:val="center"/>
          </w:tcPr>
          <w:p w14:paraId="41E590CA">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0.51~0.55</w:t>
            </w:r>
          </w:p>
        </w:tc>
        <w:tc>
          <w:tcPr>
            <w:tcW w:w="568" w:type="pct"/>
            <w:vAlign w:val="center"/>
          </w:tcPr>
          <w:p w14:paraId="677FD54D">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0.53~0.57</w:t>
            </w:r>
          </w:p>
        </w:tc>
        <w:tc>
          <w:tcPr>
            <w:tcW w:w="568" w:type="pct"/>
            <w:vAlign w:val="center"/>
          </w:tcPr>
          <w:p w14:paraId="36FDB842">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0.45~0.55</w:t>
            </w:r>
          </w:p>
        </w:tc>
        <w:tc>
          <w:tcPr>
            <w:tcW w:w="661" w:type="pct"/>
            <w:vAlign w:val="center"/>
          </w:tcPr>
          <w:p w14:paraId="3BD9600E">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0.021~0.027</w:t>
            </w:r>
          </w:p>
        </w:tc>
        <w:tc>
          <w:tcPr>
            <w:tcW w:w="544" w:type="pct"/>
            <w:vAlign w:val="center"/>
          </w:tcPr>
          <w:p w14:paraId="7C70F02B">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pacing w:val="-6"/>
                <w:sz w:val="21"/>
                <w:szCs w:val="21"/>
              </w:rPr>
              <w:t>0.02</w:t>
            </w:r>
          </w:p>
        </w:tc>
      </w:tr>
      <w:tr w14:paraId="0658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pct"/>
            <w:gridSpan w:val="2"/>
            <w:vAlign w:val="center"/>
          </w:tcPr>
          <w:p w14:paraId="78A245D0">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IV类标准值</w:t>
            </w:r>
          </w:p>
        </w:tc>
        <w:tc>
          <w:tcPr>
            <w:tcW w:w="670" w:type="pct"/>
            <w:vAlign w:val="center"/>
          </w:tcPr>
          <w:p w14:paraId="4E45C41B">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6~9</w:t>
            </w:r>
          </w:p>
        </w:tc>
        <w:tc>
          <w:tcPr>
            <w:tcW w:w="626" w:type="pct"/>
            <w:vAlign w:val="center"/>
          </w:tcPr>
          <w:p w14:paraId="5B0F35A4">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635" w:type="pct"/>
            <w:vAlign w:val="center"/>
          </w:tcPr>
          <w:p w14:paraId="6B6BFBCB">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568" w:type="pct"/>
            <w:vAlign w:val="center"/>
          </w:tcPr>
          <w:p w14:paraId="15FC1AC7">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w:t>
            </w:r>
          </w:p>
        </w:tc>
        <w:tc>
          <w:tcPr>
            <w:tcW w:w="568" w:type="pct"/>
            <w:vAlign w:val="center"/>
          </w:tcPr>
          <w:p w14:paraId="5290BEDC">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661" w:type="pct"/>
            <w:vAlign w:val="center"/>
          </w:tcPr>
          <w:p w14:paraId="33ED3F95">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w:t>
            </w:r>
          </w:p>
        </w:tc>
        <w:tc>
          <w:tcPr>
            <w:tcW w:w="544" w:type="pct"/>
            <w:vAlign w:val="center"/>
          </w:tcPr>
          <w:p w14:paraId="3F7D8484">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pacing w:val="-6"/>
                <w:sz w:val="21"/>
                <w:szCs w:val="21"/>
              </w:rPr>
              <w:t>≤0.5</w:t>
            </w:r>
          </w:p>
        </w:tc>
      </w:tr>
      <w:tr w14:paraId="4E652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pct"/>
            <w:gridSpan w:val="2"/>
            <w:vAlign w:val="center"/>
          </w:tcPr>
          <w:p w14:paraId="5FFB4CB4">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监测点位</w:t>
            </w:r>
          </w:p>
        </w:tc>
        <w:tc>
          <w:tcPr>
            <w:tcW w:w="670" w:type="pct"/>
            <w:vAlign w:val="center"/>
          </w:tcPr>
          <w:p w14:paraId="530F0AF2">
            <w:pPr>
              <w:adjustRightInd w:val="0"/>
              <w:snapToGrid w:val="0"/>
              <w:spacing w:line="240" w:lineRule="auto"/>
              <w:ind w:firstLine="0" w:firstLineChars="0"/>
              <w:jc w:val="center"/>
              <w:rPr>
                <w:rFonts w:hint="default" w:ascii="Times New Roman" w:hAnsi="Times New Roman" w:cs="Times New Roman"/>
                <w:color w:val="auto"/>
                <w:spacing w:val="-11"/>
                <w:sz w:val="21"/>
                <w:szCs w:val="21"/>
              </w:rPr>
            </w:pPr>
            <w:r>
              <w:rPr>
                <w:rFonts w:hint="default" w:ascii="Times New Roman" w:hAnsi="Times New Roman" w:cs="Times New Roman"/>
                <w:color w:val="auto"/>
                <w:spacing w:val="-11"/>
                <w:sz w:val="21"/>
                <w:szCs w:val="21"/>
              </w:rPr>
              <w:t>锌</w:t>
            </w:r>
          </w:p>
          <w:p w14:paraId="26B0705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pacing w:val="-11"/>
                <w:sz w:val="21"/>
                <w:szCs w:val="21"/>
              </w:rPr>
              <w:t>（mg/L）</w:t>
            </w:r>
          </w:p>
        </w:tc>
        <w:tc>
          <w:tcPr>
            <w:tcW w:w="626" w:type="pct"/>
            <w:vAlign w:val="center"/>
          </w:tcPr>
          <w:p w14:paraId="6DE0E5D5">
            <w:pPr>
              <w:widowControl/>
              <w:spacing w:line="240" w:lineRule="auto"/>
              <w:ind w:firstLine="0" w:firstLineChars="0"/>
              <w:jc w:val="center"/>
              <w:textAlignment w:val="center"/>
              <w:rPr>
                <w:rFonts w:hint="default" w:ascii="Times New Roman" w:hAnsi="Times New Roman" w:cs="Times New Roman"/>
                <w:color w:val="auto"/>
                <w:spacing w:val="-11"/>
                <w:sz w:val="21"/>
                <w:szCs w:val="21"/>
              </w:rPr>
            </w:pPr>
            <w:r>
              <w:rPr>
                <w:rFonts w:hint="default" w:ascii="Times New Roman" w:hAnsi="Times New Roman" w:cs="Times New Roman"/>
                <w:color w:val="auto"/>
                <w:spacing w:val="-11"/>
                <w:sz w:val="21"/>
                <w:szCs w:val="21"/>
              </w:rPr>
              <w:t>氟化物</w:t>
            </w:r>
          </w:p>
          <w:p w14:paraId="2A1EFED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pacing w:val="-11"/>
                <w:sz w:val="21"/>
                <w:szCs w:val="21"/>
              </w:rPr>
              <w:t>（mg/L）</w:t>
            </w:r>
          </w:p>
        </w:tc>
        <w:tc>
          <w:tcPr>
            <w:tcW w:w="635" w:type="pct"/>
            <w:vAlign w:val="center"/>
          </w:tcPr>
          <w:p w14:paraId="306DA47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汞</w:t>
            </w:r>
            <w:r>
              <w:rPr>
                <w:rFonts w:hint="default" w:ascii="Times New Roman" w:hAnsi="Times New Roman" w:cs="Times New Roman"/>
                <w:color w:val="auto"/>
                <w:spacing w:val="-6"/>
                <w:sz w:val="21"/>
                <w:szCs w:val="21"/>
              </w:rPr>
              <w:t>（mg/L）</w:t>
            </w:r>
          </w:p>
        </w:tc>
        <w:tc>
          <w:tcPr>
            <w:tcW w:w="568" w:type="pct"/>
            <w:vAlign w:val="center"/>
          </w:tcPr>
          <w:p w14:paraId="0627B7C8">
            <w:pPr>
              <w:widowControl/>
              <w:spacing w:line="240" w:lineRule="auto"/>
              <w:ind w:firstLine="0" w:firstLineChars="0"/>
              <w:jc w:val="center"/>
              <w:textAlignment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硫化物</w:t>
            </w:r>
          </w:p>
          <w:p w14:paraId="7BCD2295">
            <w:pPr>
              <w:widowControl/>
              <w:spacing w:line="240" w:lineRule="auto"/>
              <w:ind w:firstLine="0" w:firstLineChars="0"/>
              <w:jc w:val="center"/>
              <w:textAlignment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（mg/L）</w:t>
            </w:r>
          </w:p>
        </w:tc>
        <w:tc>
          <w:tcPr>
            <w:tcW w:w="568" w:type="pct"/>
            <w:vAlign w:val="center"/>
          </w:tcPr>
          <w:p w14:paraId="65EF3D32">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铬（六价）</w:t>
            </w:r>
            <w:r>
              <w:rPr>
                <w:rFonts w:hint="default" w:ascii="Times New Roman" w:hAnsi="Times New Roman" w:cs="Times New Roman"/>
                <w:color w:val="auto"/>
                <w:spacing w:val="-6"/>
                <w:sz w:val="21"/>
                <w:szCs w:val="21"/>
              </w:rPr>
              <w:t>（mg/L）</w:t>
            </w:r>
          </w:p>
        </w:tc>
        <w:tc>
          <w:tcPr>
            <w:tcW w:w="661" w:type="pct"/>
            <w:vAlign w:val="center"/>
          </w:tcPr>
          <w:p w14:paraId="7D6F2959">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pacing w:val="-6"/>
                <w:sz w:val="21"/>
                <w:szCs w:val="21"/>
              </w:rPr>
              <w:t>氰化物（mg/L）</w:t>
            </w:r>
          </w:p>
        </w:tc>
        <w:tc>
          <w:tcPr>
            <w:tcW w:w="544" w:type="pct"/>
            <w:vAlign w:val="center"/>
          </w:tcPr>
          <w:p w14:paraId="71B27415">
            <w:pPr>
              <w:adjustRightInd w:val="0"/>
              <w:snapToGrid w:val="0"/>
              <w:spacing w:line="240" w:lineRule="auto"/>
              <w:ind w:firstLine="0" w:firstLineChars="0"/>
              <w:jc w:val="center"/>
              <w:rPr>
                <w:rFonts w:hint="default" w:ascii="Times New Roman" w:hAnsi="Times New Roman" w:cs="Times New Roman"/>
                <w:color w:val="auto"/>
                <w:sz w:val="21"/>
                <w:szCs w:val="21"/>
              </w:rPr>
            </w:pPr>
          </w:p>
        </w:tc>
      </w:tr>
      <w:tr w14:paraId="24AFB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 w:type="pct"/>
            <w:vMerge w:val="restart"/>
            <w:vAlign w:val="center"/>
          </w:tcPr>
          <w:p w14:paraId="13F79B88">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W3</w:t>
            </w:r>
          </w:p>
        </w:tc>
        <w:tc>
          <w:tcPr>
            <w:tcW w:w="444" w:type="pct"/>
            <w:vAlign w:val="center"/>
          </w:tcPr>
          <w:p w14:paraId="55DF08BA">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监测值</w:t>
            </w:r>
          </w:p>
        </w:tc>
        <w:tc>
          <w:tcPr>
            <w:tcW w:w="670" w:type="pct"/>
            <w:vAlign w:val="center"/>
          </w:tcPr>
          <w:p w14:paraId="3E6A4646">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z w:val="21"/>
                <w:szCs w:val="21"/>
              </w:rPr>
              <w:t>0.009L</w:t>
            </w:r>
          </w:p>
        </w:tc>
        <w:tc>
          <w:tcPr>
            <w:tcW w:w="626" w:type="pct"/>
            <w:vAlign w:val="center"/>
          </w:tcPr>
          <w:p w14:paraId="426FC0C4">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17"/>
                <w:sz w:val="21"/>
                <w:szCs w:val="21"/>
              </w:rPr>
              <w:t>0.47~0.51</w:t>
            </w:r>
          </w:p>
        </w:tc>
        <w:tc>
          <w:tcPr>
            <w:tcW w:w="635" w:type="pct"/>
            <w:vAlign w:val="center"/>
          </w:tcPr>
          <w:p w14:paraId="6C1C1613">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4×10</w:t>
            </w:r>
            <w:r>
              <w:rPr>
                <w:rFonts w:hint="default" w:ascii="Times New Roman" w:hAnsi="Times New Roman" w:cs="Times New Roman"/>
                <w:color w:val="auto"/>
                <w:spacing w:val="-6"/>
                <w:sz w:val="21"/>
                <w:szCs w:val="21"/>
                <w:vertAlign w:val="superscript"/>
              </w:rPr>
              <w:t>-5</w:t>
            </w:r>
            <w:r>
              <w:rPr>
                <w:rFonts w:hint="default" w:ascii="Times New Roman" w:hAnsi="Times New Roman" w:cs="Times New Roman"/>
                <w:color w:val="auto"/>
                <w:spacing w:val="-6"/>
                <w:sz w:val="21"/>
                <w:szCs w:val="21"/>
              </w:rPr>
              <w:t>L</w:t>
            </w:r>
          </w:p>
        </w:tc>
        <w:tc>
          <w:tcPr>
            <w:tcW w:w="568" w:type="pct"/>
            <w:vAlign w:val="center"/>
          </w:tcPr>
          <w:p w14:paraId="39E6D4F0">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0.01</w:t>
            </w:r>
          </w:p>
        </w:tc>
        <w:tc>
          <w:tcPr>
            <w:tcW w:w="568" w:type="pct"/>
            <w:vAlign w:val="center"/>
          </w:tcPr>
          <w:p w14:paraId="3257596E">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0.004L</w:t>
            </w:r>
          </w:p>
        </w:tc>
        <w:tc>
          <w:tcPr>
            <w:tcW w:w="661" w:type="pct"/>
            <w:vAlign w:val="center"/>
          </w:tcPr>
          <w:p w14:paraId="6B15E42F">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0.001L</w:t>
            </w:r>
          </w:p>
        </w:tc>
        <w:tc>
          <w:tcPr>
            <w:tcW w:w="544" w:type="pct"/>
            <w:vAlign w:val="center"/>
          </w:tcPr>
          <w:p w14:paraId="5F0D5897">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p>
        </w:tc>
      </w:tr>
      <w:tr w14:paraId="5F00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 w:type="pct"/>
            <w:vMerge w:val="continue"/>
            <w:vAlign w:val="center"/>
          </w:tcPr>
          <w:p w14:paraId="0C641324">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p>
        </w:tc>
        <w:tc>
          <w:tcPr>
            <w:tcW w:w="444" w:type="pct"/>
            <w:vAlign w:val="center"/>
          </w:tcPr>
          <w:p w14:paraId="580D597A">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Si值</w:t>
            </w:r>
          </w:p>
        </w:tc>
        <w:tc>
          <w:tcPr>
            <w:tcW w:w="670" w:type="pct"/>
            <w:vAlign w:val="center"/>
          </w:tcPr>
          <w:p w14:paraId="1FAE3227">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w:t>
            </w:r>
          </w:p>
        </w:tc>
        <w:tc>
          <w:tcPr>
            <w:tcW w:w="626" w:type="pct"/>
            <w:vAlign w:val="center"/>
          </w:tcPr>
          <w:p w14:paraId="33E6EC9D">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0.31~0.34</w:t>
            </w:r>
          </w:p>
        </w:tc>
        <w:tc>
          <w:tcPr>
            <w:tcW w:w="635" w:type="pct"/>
            <w:vAlign w:val="center"/>
          </w:tcPr>
          <w:p w14:paraId="12581B3D">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w:t>
            </w:r>
          </w:p>
        </w:tc>
        <w:tc>
          <w:tcPr>
            <w:tcW w:w="568" w:type="pct"/>
            <w:vAlign w:val="center"/>
          </w:tcPr>
          <w:p w14:paraId="5FB2C2DC">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0.02</w:t>
            </w:r>
          </w:p>
        </w:tc>
        <w:tc>
          <w:tcPr>
            <w:tcW w:w="568" w:type="pct"/>
            <w:vAlign w:val="center"/>
          </w:tcPr>
          <w:p w14:paraId="74E33030">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w:t>
            </w:r>
          </w:p>
        </w:tc>
        <w:tc>
          <w:tcPr>
            <w:tcW w:w="661" w:type="pct"/>
            <w:vAlign w:val="center"/>
          </w:tcPr>
          <w:p w14:paraId="72657693">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kern w:val="2"/>
                <w:sz w:val="21"/>
                <w:szCs w:val="21"/>
              </w:rPr>
              <w:t>/</w:t>
            </w:r>
          </w:p>
        </w:tc>
        <w:tc>
          <w:tcPr>
            <w:tcW w:w="544" w:type="pct"/>
            <w:vAlign w:val="center"/>
          </w:tcPr>
          <w:p w14:paraId="77A88941">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p>
        </w:tc>
      </w:tr>
      <w:tr w14:paraId="5A04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 w:type="pct"/>
            <w:vMerge w:val="restart"/>
            <w:vAlign w:val="center"/>
          </w:tcPr>
          <w:p w14:paraId="70F16443">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W4</w:t>
            </w:r>
          </w:p>
        </w:tc>
        <w:tc>
          <w:tcPr>
            <w:tcW w:w="444" w:type="pct"/>
            <w:vAlign w:val="center"/>
          </w:tcPr>
          <w:p w14:paraId="2B868881">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监测值</w:t>
            </w:r>
          </w:p>
        </w:tc>
        <w:tc>
          <w:tcPr>
            <w:tcW w:w="670" w:type="pct"/>
            <w:vAlign w:val="center"/>
          </w:tcPr>
          <w:p w14:paraId="62130D70">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z w:val="21"/>
                <w:szCs w:val="21"/>
              </w:rPr>
              <w:t>0.009L</w:t>
            </w:r>
          </w:p>
        </w:tc>
        <w:tc>
          <w:tcPr>
            <w:tcW w:w="626" w:type="pct"/>
            <w:vAlign w:val="center"/>
          </w:tcPr>
          <w:p w14:paraId="2DFB31AE">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17"/>
                <w:sz w:val="21"/>
                <w:szCs w:val="21"/>
              </w:rPr>
              <w:t>0.54~0.58</w:t>
            </w:r>
          </w:p>
        </w:tc>
        <w:tc>
          <w:tcPr>
            <w:tcW w:w="635" w:type="pct"/>
            <w:vAlign w:val="center"/>
          </w:tcPr>
          <w:p w14:paraId="5B107DD7">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4×10</w:t>
            </w:r>
            <w:r>
              <w:rPr>
                <w:rFonts w:hint="default" w:ascii="Times New Roman" w:hAnsi="Times New Roman" w:cs="Times New Roman"/>
                <w:color w:val="auto"/>
                <w:spacing w:val="-6"/>
                <w:sz w:val="21"/>
                <w:szCs w:val="21"/>
                <w:vertAlign w:val="superscript"/>
              </w:rPr>
              <w:t>-5</w:t>
            </w:r>
            <w:r>
              <w:rPr>
                <w:rFonts w:hint="default" w:ascii="Times New Roman" w:hAnsi="Times New Roman" w:cs="Times New Roman"/>
                <w:color w:val="auto"/>
                <w:spacing w:val="-6"/>
                <w:sz w:val="21"/>
                <w:szCs w:val="21"/>
              </w:rPr>
              <w:t>L</w:t>
            </w:r>
          </w:p>
        </w:tc>
        <w:tc>
          <w:tcPr>
            <w:tcW w:w="568" w:type="pct"/>
            <w:vAlign w:val="center"/>
          </w:tcPr>
          <w:p w14:paraId="371C0879">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0.02</w:t>
            </w:r>
          </w:p>
        </w:tc>
        <w:tc>
          <w:tcPr>
            <w:tcW w:w="568" w:type="pct"/>
            <w:vAlign w:val="center"/>
          </w:tcPr>
          <w:p w14:paraId="36332F61">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0.004L</w:t>
            </w:r>
          </w:p>
        </w:tc>
        <w:tc>
          <w:tcPr>
            <w:tcW w:w="661" w:type="pct"/>
            <w:vAlign w:val="center"/>
          </w:tcPr>
          <w:p w14:paraId="60471FE6">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0.001L</w:t>
            </w:r>
          </w:p>
        </w:tc>
        <w:tc>
          <w:tcPr>
            <w:tcW w:w="544" w:type="pct"/>
            <w:vAlign w:val="center"/>
          </w:tcPr>
          <w:p w14:paraId="05767EA8">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p>
        </w:tc>
      </w:tr>
      <w:tr w14:paraId="732BD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 w:type="pct"/>
            <w:vMerge w:val="continue"/>
            <w:vAlign w:val="center"/>
          </w:tcPr>
          <w:p w14:paraId="07E8E212">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0.5</w:t>
            </w:r>
          </w:p>
        </w:tc>
        <w:tc>
          <w:tcPr>
            <w:tcW w:w="444" w:type="pct"/>
            <w:vAlign w:val="center"/>
          </w:tcPr>
          <w:p w14:paraId="5BD7A559">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Si值</w:t>
            </w:r>
          </w:p>
        </w:tc>
        <w:tc>
          <w:tcPr>
            <w:tcW w:w="670" w:type="pct"/>
            <w:vAlign w:val="center"/>
          </w:tcPr>
          <w:p w14:paraId="7BE7D87C">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w:t>
            </w:r>
          </w:p>
        </w:tc>
        <w:tc>
          <w:tcPr>
            <w:tcW w:w="626" w:type="pct"/>
            <w:vAlign w:val="center"/>
          </w:tcPr>
          <w:p w14:paraId="267D3BF6">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0.36~0.39</w:t>
            </w:r>
          </w:p>
        </w:tc>
        <w:tc>
          <w:tcPr>
            <w:tcW w:w="635" w:type="pct"/>
            <w:vAlign w:val="center"/>
          </w:tcPr>
          <w:p w14:paraId="084B411D">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w:t>
            </w:r>
          </w:p>
        </w:tc>
        <w:tc>
          <w:tcPr>
            <w:tcW w:w="568" w:type="pct"/>
            <w:vAlign w:val="center"/>
          </w:tcPr>
          <w:p w14:paraId="07FBC1F0">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0.04</w:t>
            </w:r>
          </w:p>
        </w:tc>
        <w:tc>
          <w:tcPr>
            <w:tcW w:w="568" w:type="pct"/>
            <w:vAlign w:val="center"/>
          </w:tcPr>
          <w:p w14:paraId="0F82EADA">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w:t>
            </w:r>
          </w:p>
        </w:tc>
        <w:tc>
          <w:tcPr>
            <w:tcW w:w="661" w:type="pct"/>
            <w:vAlign w:val="center"/>
          </w:tcPr>
          <w:p w14:paraId="53F2F6E4">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kern w:val="2"/>
                <w:sz w:val="21"/>
                <w:szCs w:val="21"/>
              </w:rPr>
              <w:t>/</w:t>
            </w:r>
          </w:p>
        </w:tc>
        <w:tc>
          <w:tcPr>
            <w:tcW w:w="544" w:type="pct"/>
            <w:vAlign w:val="center"/>
          </w:tcPr>
          <w:p w14:paraId="6444A46B">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p>
        </w:tc>
      </w:tr>
      <w:tr w14:paraId="3847D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pct"/>
            <w:gridSpan w:val="2"/>
            <w:vAlign w:val="center"/>
          </w:tcPr>
          <w:p w14:paraId="45F90899">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IV类标准值</w:t>
            </w:r>
          </w:p>
        </w:tc>
        <w:tc>
          <w:tcPr>
            <w:tcW w:w="670" w:type="pct"/>
            <w:vAlign w:val="center"/>
          </w:tcPr>
          <w:p w14:paraId="773AD0B2">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≤2.0</w:t>
            </w:r>
          </w:p>
        </w:tc>
        <w:tc>
          <w:tcPr>
            <w:tcW w:w="626" w:type="pct"/>
            <w:vAlign w:val="center"/>
          </w:tcPr>
          <w:p w14:paraId="4038B76D">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≤1.5</w:t>
            </w:r>
          </w:p>
        </w:tc>
        <w:tc>
          <w:tcPr>
            <w:tcW w:w="635" w:type="pct"/>
            <w:vAlign w:val="center"/>
          </w:tcPr>
          <w:p w14:paraId="5ACE2BC7">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≤0.001</w:t>
            </w:r>
          </w:p>
        </w:tc>
        <w:tc>
          <w:tcPr>
            <w:tcW w:w="568" w:type="pct"/>
            <w:vAlign w:val="center"/>
          </w:tcPr>
          <w:p w14:paraId="5DD38FCD">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≤0.5</w:t>
            </w:r>
          </w:p>
        </w:tc>
        <w:tc>
          <w:tcPr>
            <w:tcW w:w="568" w:type="pct"/>
            <w:vAlign w:val="center"/>
          </w:tcPr>
          <w:p w14:paraId="32D99959">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≤0.1</w:t>
            </w:r>
          </w:p>
        </w:tc>
        <w:tc>
          <w:tcPr>
            <w:tcW w:w="661" w:type="pct"/>
            <w:vAlign w:val="center"/>
          </w:tcPr>
          <w:p w14:paraId="361B5B50">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≤0.2</w:t>
            </w:r>
          </w:p>
        </w:tc>
        <w:tc>
          <w:tcPr>
            <w:tcW w:w="544" w:type="pct"/>
            <w:vAlign w:val="center"/>
          </w:tcPr>
          <w:p w14:paraId="436C30DA">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p>
        </w:tc>
      </w:tr>
      <w:tr w14:paraId="7DDF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pct"/>
            <w:gridSpan w:val="2"/>
            <w:vAlign w:val="center"/>
          </w:tcPr>
          <w:p w14:paraId="4B605C7E">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监测点位</w:t>
            </w:r>
          </w:p>
        </w:tc>
        <w:tc>
          <w:tcPr>
            <w:tcW w:w="670" w:type="pct"/>
            <w:vAlign w:val="center"/>
          </w:tcPr>
          <w:p w14:paraId="0BA109BB">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阴离子表面活性剂（mg/L）</w:t>
            </w:r>
          </w:p>
        </w:tc>
        <w:tc>
          <w:tcPr>
            <w:tcW w:w="626" w:type="pct"/>
            <w:vAlign w:val="center"/>
          </w:tcPr>
          <w:p w14:paraId="44D5A482">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铅（mg/L）</w:t>
            </w:r>
          </w:p>
        </w:tc>
        <w:tc>
          <w:tcPr>
            <w:tcW w:w="635" w:type="pct"/>
            <w:vAlign w:val="center"/>
          </w:tcPr>
          <w:p w14:paraId="2B8FD125">
            <w:pPr>
              <w:widowControl/>
              <w:spacing w:line="240" w:lineRule="auto"/>
              <w:ind w:firstLine="0" w:firstLineChars="0"/>
              <w:jc w:val="center"/>
              <w:textAlignment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粪大肠菌群（MPN/L）</w:t>
            </w:r>
          </w:p>
        </w:tc>
        <w:tc>
          <w:tcPr>
            <w:tcW w:w="568" w:type="pct"/>
            <w:vAlign w:val="center"/>
          </w:tcPr>
          <w:p w14:paraId="2D100ABB">
            <w:pPr>
              <w:adjustRightInd w:val="0"/>
              <w:snapToGrid w:val="0"/>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总磷</w:t>
            </w:r>
          </w:p>
          <w:p w14:paraId="09175138">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z w:val="21"/>
                <w:szCs w:val="21"/>
              </w:rPr>
              <w:t>（mg/L）</w:t>
            </w:r>
          </w:p>
        </w:tc>
        <w:tc>
          <w:tcPr>
            <w:tcW w:w="568" w:type="pct"/>
            <w:vAlign w:val="center"/>
          </w:tcPr>
          <w:p w14:paraId="1D5CDE75">
            <w:pPr>
              <w:adjustRightInd w:val="0"/>
              <w:snapToGrid w:val="0"/>
              <w:spacing w:line="240" w:lineRule="auto"/>
              <w:ind w:firstLine="0" w:firstLineChars="0"/>
              <w:jc w:val="center"/>
              <w:rPr>
                <w:rFonts w:hint="default" w:ascii="Times New Roman" w:hAnsi="Times New Roman" w:cs="Times New Roman"/>
                <w:color w:val="auto"/>
                <w:spacing w:val="-11"/>
                <w:sz w:val="21"/>
                <w:szCs w:val="21"/>
              </w:rPr>
            </w:pPr>
            <w:r>
              <w:rPr>
                <w:rFonts w:hint="default" w:ascii="Times New Roman" w:hAnsi="Times New Roman" w:cs="Times New Roman"/>
                <w:color w:val="auto"/>
                <w:spacing w:val="-11"/>
                <w:sz w:val="21"/>
                <w:szCs w:val="21"/>
              </w:rPr>
              <w:t>铜</w:t>
            </w:r>
          </w:p>
          <w:p w14:paraId="57ABCD90">
            <w:pPr>
              <w:topLinePunct/>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11"/>
                <w:sz w:val="21"/>
                <w:szCs w:val="21"/>
              </w:rPr>
              <w:t>（mg/L）</w:t>
            </w:r>
          </w:p>
        </w:tc>
        <w:tc>
          <w:tcPr>
            <w:tcW w:w="661" w:type="pct"/>
            <w:vAlign w:val="center"/>
          </w:tcPr>
          <w:p w14:paraId="0AE3C69E">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挥发酚（mg/L）</w:t>
            </w:r>
          </w:p>
        </w:tc>
        <w:tc>
          <w:tcPr>
            <w:tcW w:w="544" w:type="pct"/>
            <w:vAlign w:val="center"/>
          </w:tcPr>
          <w:p w14:paraId="08B77C4A">
            <w:pPr>
              <w:widowControl/>
              <w:spacing w:line="240" w:lineRule="auto"/>
              <w:ind w:firstLine="0" w:firstLineChars="0"/>
              <w:jc w:val="center"/>
              <w:textAlignment w:val="center"/>
              <w:rPr>
                <w:rFonts w:hint="default" w:ascii="Times New Roman" w:hAnsi="Times New Roman" w:cs="Times New Roman"/>
                <w:color w:val="auto"/>
                <w:spacing w:val="-6"/>
                <w:kern w:val="2"/>
                <w:sz w:val="21"/>
                <w:szCs w:val="21"/>
              </w:rPr>
            </w:pPr>
          </w:p>
        </w:tc>
      </w:tr>
      <w:tr w14:paraId="787C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 w:type="pct"/>
            <w:vMerge w:val="restart"/>
            <w:vAlign w:val="center"/>
          </w:tcPr>
          <w:p w14:paraId="412373D3">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W3</w:t>
            </w:r>
          </w:p>
        </w:tc>
        <w:tc>
          <w:tcPr>
            <w:tcW w:w="444" w:type="pct"/>
            <w:vAlign w:val="center"/>
          </w:tcPr>
          <w:p w14:paraId="10D30B0C">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监测值</w:t>
            </w:r>
          </w:p>
        </w:tc>
        <w:tc>
          <w:tcPr>
            <w:tcW w:w="670" w:type="pct"/>
            <w:vAlign w:val="center"/>
          </w:tcPr>
          <w:p w14:paraId="7A1AADD9">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0.051~0.062</w:t>
            </w:r>
          </w:p>
        </w:tc>
        <w:tc>
          <w:tcPr>
            <w:tcW w:w="626" w:type="pct"/>
            <w:vAlign w:val="center"/>
          </w:tcPr>
          <w:p w14:paraId="221C0AF9">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9×10</w:t>
            </w:r>
            <w:r>
              <w:rPr>
                <w:rFonts w:hint="default" w:ascii="Times New Roman" w:hAnsi="Times New Roman" w:cs="Times New Roman"/>
                <w:color w:val="auto"/>
                <w:spacing w:val="-6"/>
                <w:sz w:val="21"/>
                <w:szCs w:val="21"/>
                <w:vertAlign w:val="superscript"/>
              </w:rPr>
              <w:t>-5</w:t>
            </w:r>
            <w:r>
              <w:rPr>
                <w:rFonts w:hint="default" w:ascii="Times New Roman" w:hAnsi="Times New Roman" w:cs="Times New Roman"/>
                <w:color w:val="auto"/>
                <w:spacing w:val="-6"/>
                <w:sz w:val="21"/>
                <w:szCs w:val="21"/>
              </w:rPr>
              <w:t>L~</w:t>
            </w:r>
            <w:r>
              <w:rPr>
                <w:rFonts w:hint="default" w:ascii="Times New Roman" w:hAnsi="Times New Roman" w:cs="Times New Roman"/>
                <w:color w:val="auto"/>
                <w:spacing w:val="-6"/>
                <w:kern w:val="2"/>
                <w:sz w:val="21"/>
                <w:szCs w:val="21"/>
              </w:rPr>
              <w:t>1.1</w:t>
            </w:r>
            <w:r>
              <w:rPr>
                <w:rFonts w:hint="default" w:ascii="Times New Roman" w:hAnsi="Times New Roman" w:cs="Times New Roman"/>
                <w:color w:val="auto"/>
                <w:spacing w:val="-6"/>
                <w:sz w:val="21"/>
                <w:szCs w:val="21"/>
              </w:rPr>
              <w:t>4×10</w:t>
            </w:r>
            <w:r>
              <w:rPr>
                <w:rFonts w:hint="default" w:ascii="Times New Roman" w:hAnsi="Times New Roman" w:cs="Times New Roman"/>
                <w:color w:val="auto"/>
                <w:spacing w:val="-6"/>
                <w:sz w:val="21"/>
                <w:szCs w:val="21"/>
                <w:vertAlign w:val="superscript"/>
              </w:rPr>
              <w:t>-4</w:t>
            </w:r>
          </w:p>
        </w:tc>
        <w:tc>
          <w:tcPr>
            <w:tcW w:w="635" w:type="pct"/>
            <w:vAlign w:val="center"/>
          </w:tcPr>
          <w:p w14:paraId="2A05ADB4">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6400~7900</w:t>
            </w:r>
          </w:p>
        </w:tc>
        <w:tc>
          <w:tcPr>
            <w:tcW w:w="568" w:type="pct"/>
            <w:vAlign w:val="center"/>
          </w:tcPr>
          <w:p w14:paraId="3A41F564">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z w:val="21"/>
                <w:szCs w:val="21"/>
              </w:rPr>
              <w:t>0.22~0.23</w:t>
            </w:r>
          </w:p>
        </w:tc>
        <w:tc>
          <w:tcPr>
            <w:tcW w:w="568" w:type="pct"/>
            <w:vAlign w:val="center"/>
          </w:tcPr>
          <w:p w14:paraId="6A91A0A3">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17"/>
                <w:sz w:val="21"/>
                <w:szCs w:val="21"/>
              </w:rPr>
              <w:t>0.04L</w:t>
            </w:r>
          </w:p>
        </w:tc>
        <w:tc>
          <w:tcPr>
            <w:tcW w:w="661" w:type="pct"/>
            <w:vAlign w:val="center"/>
          </w:tcPr>
          <w:p w14:paraId="3B2323AC">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0.0003L</w:t>
            </w:r>
          </w:p>
        </w:tc>
        <w:tc>
          <w:tcPr>
            <w:tcW w:w="544" w:type="pct"/>
            <w:vAlign w:val="center"/>
          </w:tcPr>
          <w:p w14:paraId="18C548BF">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p>
        </w:tc>
      </w:tr>
      <w:tr w14:paraId="1224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 w:type="pct"/>
            <w:vMerge w:val="continue"/>
            <w:vAlign w:val="center"/>
          </w:tcPr>
          <w:p w14:paraId="45910E8C">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p>
        </w:tc>
        <w:tc>
          <w:tcPr>
            <w:tcW w:w="444" w:type="pct"/>
            <w:vAlign w:val="center"/>
          </w:tcPr>
          <w:p w14:paraId="424D30F8">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Si值</w:t>
            </w:r>
          </w:p>
        </w:tc>
        <w:tc>
          <w:tcPr>
            <w:tcW w:w="670" w:type="pct"/>
            <w:vAlign w:val="center"/>
          </w:tcPr>
          <w:p w14:paraId="4BE019CE">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0.17~0.21</w:t>
            </w:r>
          </w:p>
        </w:tc>
        <w:tc>
          <w:tcPr>
            <w:tcW w:w="626" w:type="pct"/>
            <w:vAlign w:val="center"/>
          </w:tcPr>
          <w:p w14:paraId="601F0903">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kern w:val="2"/>
                <w:sz w:val="21"/>
                <w:szCs w:val="21"/>
              </w:rPr>
              <w:t>/</w:t>
            </w:r>
          </w:p>
        </w:tc>
        <w:tc>
          <w:tcPr>
            <w:tcW w:w="635" w:type="pct"/>
            <w:vAlign w:val="center"/>
          </w:tcPr>
          <w:p w14:paraId="4183A455">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kern w:val="2"/>
                <w:sz w:val="21"/>
                <w:szCs w:val="21"/>
              </w:rPr>
              <w:t>0.32~0.40</w:t>
            </w:r>
          </w:p>
        </w:tc>
        <w:tc>
          <w:tcPr>
            <w:tcW w:w="568" w:type="pct"/>
            <w:vAlign w:val="center"/>
          </w:tcPr>
          <w:p w14:paraId="0C812A19">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z w:val="21"/>
                <w:szCs w:val="21"/>
              </w:rPr>
              <w:t>0.73 ~ 0.77</w:t>
            </w:r>
          </w:p>
        </w:tc>
        <w:tc>
          <w:tcPr>
            <w:tcW w:w="568" w:type="pct"/>
            <w:vAlign w:val="center"/>
          </w:tcPr>
          <w:p w14:paraId="456C13B0">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z w:val="21"/>
                <w:szCs w:val="21"/>
              </w:rPr>
              <w:t>/</w:t>
            </w:r>
          </w:p>
        </w:tc>
        <w:tc>
          <w:tcPr>
            <w:tcW w:w="661" w:type="pct"/>
            <w:vAlign w:val="center"/>
          </w:tcPr>
          <w:p w14:paraId="48B76E2A">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kern w:val="2"/>
                <w:sz w:val="21"/>
                <w:szCs w:val="21"/>
              </w:rPr>
              <w:t>/</w:t>
            </w:r>
          </w:p>
        </w:tc>
        <w:tc>
          <w:tcPr>
            <w:tcW w:w="544" w:type="pct"/>
            <w:vAlign w:val="center"/>
          </w:tcPr>
          <w:p w14:paraId="391CDD05">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p>
        </w:tc>
      </w:tr>
      <w:tr w14:paraId="5F5A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 w:type="pct"/>
            <w:vMerge w:val="restart"/>
            <w:vAlign w:val="center"/>
          </w:tcPr>
          <w:p w14:paraId="4E61AF92">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W4</w:t>
            </w:r>
          </w:p>
        </w:tc>
        <w:tc>
          <w:tcPr>
            <w:tcW w:w="444" w:type="pct"/>
            <w:vAlign w:val="center"/>
          </w:tcPr>
          <w:p w14:paraId="0852138E">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监测值</w:t>
            </w:r>
          </w:p>
        </w:tc>
        <w:tc>
          <w:tcPr>
            <w:tcW w:w="670" w:type="pct"/>
            <w:vAlign w:val="center"/>
          </w:tcPr>
          <w:p w14:paraId="69A50707">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0.062~0.070</w:t>
            </w:r>
          </w:p>
        </w:tc>
        <w:tc>
          <w:tcPr>
            <w:tcW w:w="626" w:type="pct"/>
            <w:vAlign w:val="center"/>
          </w:tcPr>
          <w:p w14:paraId="1B3FC0C7">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9×10</w:t>
            </w:r>
            <w:r>
              <w:rPr>
                <w:rFonts w:hint="default" w:ascii="Times New Roman" w:hAnsi="Times New Roman" w:cs="Times New Roman"/>
                <w:color w:val="auto"/>
                <w:spacing w:val="-6"/>
                <w:sz w:val="21"/>
                <w:szCs w:val="21"/>
                <w:vertAlign w:val="superscript"/>
              </w:rPr>
              <w:t>-5</w:t>
            </w:r>
            <w:r>
              <w:rPr>
                <w:rFonts w:hint="default" w:ascii="Times New Roman" w:hAnsi="Times New Roman" w:cs="Times New Roman"/>
                <w:color w:val="auto"/>
                <w:spacing w:val="-6"/>
                <w:sz w:val="21"/>
                <w:szCs w:val="21"/>
              </w:rPr>
              <w:t>L</w:t>
            </w:r>
          </w:p>
        </w:tc>
        <w:tc>
          <w:tcPr>
            <w:tcW w:w="635" w:type="pct"/>
            <w:vAlign w:val="center"/>
          </w:tcPr>
          <w:p w14:paraId="174282B3">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17"/>
                <w:sz w:val="21"/>
                <w:szCs w:val="21"/>
              </w:rPr>
              <w:t>5200~5900</w:t>
            </w:r>
          </w:p>
        </w:tc>
        <w:tc>
          <w:tcPr>
            <w:tcW w:w="568" w:type="pct"/>
            <w:vAlign w:val="center"/>
          </w:tcPr>
          <w:p w14:paraId="55889EE7">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z w:val="21"/>
                <w:szCs w:val="21"/>
              </w:rPr>
              <w:t>0.21~0.24</w:t>
            </w:r>
          </w:p>
        </w:tc>
        <w:tc>
          <w:tcPr>
            <w:tcW w:w="568" w:type="pct"/>
            <w:vAlign w:val="center"/>
          </w:tcPr>
          <w:p w14:paraId="1C8EEFB3">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17"/>
                <w:sz w:val="21"/>
                <w:szCs w:val="21"/>
              </w:rPr>
              <w:t>0.04L</w:t>
            </w:r>
          </w:p>
        </w:tc>
        <w:tc>
          <w:tcPr>
            <w:tcW w:w="661" w:type="pct"/>
            <w:vAlign w:val="center"/>
          </w:tcPr>
          <w:p w14:paraId="0A3DFCEB">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0.0003L</w:t>
            </w:r>
          </w:p>
        </w:tc>
        <w:tc>
          <w:tcPr>
            <w:tcW w:w="544" w:type="pct"/>
            <w:vAlign w:val="center"/>
          </w:tcPr>
          <w:p w14:paraId="66D90C77">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p>
        </w:tc>
      </w:tr>
      <w:tr w14:paraId="59DD2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 w:type="pct"/>
            <w:vMerge w:val="continue"/>
            <w:vAlign w:val="center"/>
          </w:tcPr>
          <w:p w14:paraId="62E42EFB">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p>
        </w:tc>
        <w:tc>
          <w:tcPr>
            <w:tcW w:w="444" w:type="pct"/>
            <w:vAlign w:val="center"/>
          </w:tcPr>
          <w:p w14:paraId="27A05788">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Si值</w:t>
            </w:r>
          </w:p>
        </w:tc>
        <w:tc>
          <w:tcPr>
            <w:tcW w:w="670" w:type="pct"/>
            <w:vAlign w:val="center"/>
          </w:tcPr>
          <w:p w14:paraId="1F9B76C6">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0.21~0.23</w:t>
            </w:r>
          </w:p>
        </w:tc>
        <w:tc>
          <w:tcPr>
            <w:tcW w:w="626" w:type="pct"/>
            <w:vAlign w:val="center"/>
          </w:tcPr>
          <w:p w14:paraId="2DB753E2">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kern w:val="2"/>
                <w:sz w:val="21"/>
                <w:szCs w:val="21"/>
              </w:rPr>
              <w:t>/</w:t>
            </w:r>
          </w:p>
        </w:tc>
        <w:tc>
          <w:tcPr>
            <w:tcW w:w="635" w:type="pct"/>
            <w:vAlign w:val="center"/>
          </w:tcPr>
          <w:p w14:paraId="6AF0F782">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kern w:val="2"/>
                <w:sz w:val="21"/>
                <w:szCs w:val="21"/>
              </w:rPr>
              <w:t>0.26~0.30</w:t>
            </w:r>
          </w:p>
        </w:tc>
        <w:tc>
          <w:tcPr>
            <w:tcW w:w="568" w:type="pct"/>
            <w:vAlign w:val="center"/>
          </w:tcPr>
          <w:p w14:paraId="595746DB">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z w:val="21"/>
                <w:szCs w:val="21"/>
              </w:rPr>
              <w:t>0.70 ~ 0.80</w:t>
            </w:r>
          </w:p>
        </w:tc>
        <w:tc>
          <w:tcPr>
            <w:tcW w:w="568" w:type="pct"/>
            <w:vAlign w:val="center"/>
          </w:tcPr>
          <w:p w14:paraId="2605EFBA">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sz w:val="21"/>
                <w:szCs w:val="21"/>
              </w:rPr>
              <w:t>/</w:t>
            </w:r>
          </w:p>
        </w:tc>
        <w:tc>
          <w:tcPr>
            <w:tcW w:w="661" w:type="pct"/>
            <w:vAlign w:val="center"/>
          </w:tcPr>
          <w:p w14:paraId="43BC0179">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r>
              <w:rPr>
                <w:rFonts w:hint="default" w:ascii="Times New Roman" w:hAnsi="Times New Roman" w:cs="Times New Roman"/>
                <w:color w:val="auto"/>
                <w:spacing w:val="-6"/>
                <w:kern w:val="2"/>
                <w:sz w:val="21"/>
                <w:szCs w:val="21"/>
              </w:rPr>
              <w:t>/</w:t>
            </w:r>
          </w:p>
        </w:tc>
        <w:tc>
          <w:tcPr>
            <w:tcW w:w="544" w:type="pct"/>
            <w:vAlign w:val="center"/>
          </w:tcPr>
          <w:p w14:paraId="1929F8DA">
            <w:pPr>
              <w:adjustRightInd w:val="0"/>
              <w:snapToGrid w:val="0"/>
              <w:spacing w:line="240" w:lineRule="auto"/>
              <w:ind w:firstLine="0" w:firstLineChars="0"/>
              <w:jc w:val="center"/>
              <w:rPr>
                <w:rFonts w:hint="default" w:ascii="Times New Roman" w:hAnsi="Times New Roman" w:cs="Times New Roman"/>
                <w:color w:val="auto"/>
                <w:spacing w:val="-6"/>
                <w:kern w:val="2"/>
                <w:sz w:val="21"/>
                <w:szCs w:val="21"/>
              </w:rPr>
            </w:pPr>
          </w:p>
        </w:tc>
      </w:tr>
      <w:tr w14:paraId="2ED74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pct"/>
            <w:gridSpan w:val="2"/>
            <w:vAlign w:val="center"/>
          </w:tcPr>
          <w:p w14:paraId="259B3006">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IV类标准值</w:t>
            </w:r>
          </w:p>
        </w:tc>
        <w:tc>
          <w:tcPr>
            <w:tcW w:w="670" w:type="pct"/>
            <w:vAlign w:val="center"/>
          </w:tcPr>
          <w:p w14:paraId="0C3844A7">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≤0.3</w:t>
            </w:r>
          </w:p>
        </w:tc>
        <w:tc>
          <w:tcPr>
            <w:tcW w:w="626" w:type="pct"/>
            <w:vAlign w:val="center"/>
          </w:tcPr>
          <w:p w14:paraId="79CB76AD">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≤0.05</w:t>
            </w:r>
          </w:p>
        </w:tc>
        <w:tc>
          <w:tcPr>
            <w:tcW w:w="635" w:type="pct"/>
            <w:vAlign w:val="center"/>
          </w:tcPr>
          <w:p w14:paraId="79ED2B56">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≤20000</w:t>
            </w:r>
          </w:p>
        </w:tc>
        <w:tc>
          <w:tcPr>
            <w:tcW w:w="568" w:type="pct"/>
            <w:vAlign w:val="center"/>
          </w:tcPr>
          <w:p w14:paraId="35F7DC1D">
            <w:pPr>
              <w:adjustRightInd w:val="0"/>
              <w:snapToGrid w:val="0"/>
              <w:spacing w:line="240" w:lineRule="auto"/>
              <w:ind w:firstLine="0" w:firstLineChars="0"/>
              <w:jc w:val="center"/>
              <w:rPr>
                <w:rFonts w:hint="default" w:ascii="Times New Roman" w:hAnsi="Times New Roman" w:cs="Times New Roman"/>
                <w:b/>
                <w:bCs/>
                <w:color w:val="auto"/>
                <w:spacing w:val="-6"/>
                <w:sz w:val="21"/>
                <w:szCs w:val="21"/>
              </w:rPr>
            </w:pPr>
            <w:r>
              <w:rPr>
                <w:rFonts w:hint="default" w:ascii="Times New Roman" w:hAnsi="Times New Roman" w:cs="Times New Roman"/>
                <w:color w:val="auto"/>
                <w:sz w:val="21"/>
                <w:szCs w:val="21"/>
              </w:rPr>
              <w:t>≤0.3</w:t>
            </w:r>
          </w:p>
        </w:tc>
        <w:tc>
          <w:tcPr>
            <w:tcW w:w="568" w:type="pct"/>
            <w:vAlign w:val="center"/>
          </w:tcPr>
          <w:p w14:paraId="5BD4B1C4">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≤1.0</w:t>
            </w:r>
          </w:p>
        </w:tc>
        <w:tc>
          <w:tcPr>
            <w:tcW w:w="661" w:type="pct"/>
            <w:vAlign w:val="center"/>
          </w:tcPr>
          <w:p w14:paraId="0ECFA40B">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r>
              <w:rPr>
                <w:rFonts w:hint="default" w:ascii="Times New Roman" w:hAnsi="Times New Roman" w:cs="Times New Roman"/>
                <w:color w:val="auto"/>
                <w:spacing w:val="-6"/>
                <w:sz w:val="21"/>
                <w:szCs w:val="21"/>
              </w:rPr>
              <w:t>≤0.01</w:t>
            </w:r>
          </w:p>
        </w:tc>
        <w:tc>
          <w:tcPr>
            <w:tcW w:w="544" w:type="pct"/>
            <w:vAlign w:val="center"/>
          </w:tcPr>
          <w:p w14:paraId="00CB1149">
            <w:pPr>
              <w:adjustRightInd w:val="0"/>
              <w:snapToGrid w:val="0"/>
              <w:spacing w:line="240" w:lineRule="auto"/>
              <w:ind w:firstLine="0" w:firstLineChars="0"/>
              <w:jc w:val="center"/>
              <w:rPr>
                <w:rFonts w:hint="default" w:ascii="Times New Roman" w:hAnsi="Times New Roman" w:cs="Times New Roman"/>
                <w:color w:val="auto"/>
                <w:spacing w:val="-6"/>
                <w:sz w:val="21"/>
                <w:szCs w:val="21"/>
              </w:rPr>
            </w:pPr>
          </w:p>
        </w:tc>
      </w:tr>
    </w:tbl>
    <w:p w14:paraId="02535003">
      <w:pPr>
        <w:ind w:firstLine="520"/>
        <w:rPr>
          <w:rFonts w:hint="default" w:ascii="Times New Roman" w:hAnsi="Times New Roman" w:cs="Times New Roman"/>
          <w:color w:val="auto"/>
          <w:szCs w:val="21"/>
        </w:rPr>
      </w:pPr>
      <w:r>
        <w:rPr>
          <w:rFonts w:hint="default" w:ascii="Times New Roman" w:hAnsi="Times New Roman" w:cs="Times New Roman"/>
          <w:color w:val="auto"/>
          <w:kern w:val="2"/>
          <w:sz w:val="26"/>
          <w:szCs w:val="26"/>
        </w:rPr>
        <w:t>现状监测结果显示，大溪河</w:t>
      </w:r>
      <w:r>
        <w:rPr>
          <w:rFonts w:hint="default" w:ascii="Times New Roman" w:hAnsi="Times New Roman" w:cs="Times New Roman"/>
          <w:color w:val="auto"/>
          <w:sz w:val="26"/>
          <w:szCs w:val="26"/>
        </w:rPr>
        <w:t>地表水监测点各监测因子能达到《地表水环境质量标准》（GB3838-2002）IV类水域水质标准要求。</w:t>
      </w:r>
    </w:p>
    <w:p w14:paraId="0B872D30">
      <w:pPr>
        <w:pStyle w:val="258"/>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eastAsia="宋体" w:cs="Times New Roman"/>
          <w:color w:val="auto"/>
        </w:rPr>
        <w:t>1.</w:t>
      </w:r>
      <w:r>
        <w:rPr>
          <w:rFonts w:hint="default" w:ascii="Times New Roman" w:hAnsi="Times New Roman" w:cs="Times New Roman"/>
          <w:color w:val="auto"/>
        </w:rPr>
        <w:t xml:space="preserve">3 </w:t>
      </w:r>
      <w:r>
        <w:rPr>
          <w:rFonts w:hint="default" w:ascii="Times New Roman" w:hAnsi="Times New Roman" w:eastAsia="宋体" w:cs="Times New Roman"/>
          <w:color w:val="auto"/>
        </w:rPr>
        <w:t>声环境质量现状及评价</w:t>
      </w:r>
    </w:p>
    <w:p w14:paraId="2067875B">
      <w:pPr>
        <w:ind w:firstLine="480"/>
        <w:rPr>
          <w:rFonts w:hint="default" w:ascii="Times New Roman" w:hAnsi="Times New Roman" w:cs="Times New Roman"/>
          <w:color w:val="auto"/>
        </w:rPr>
      </w:pPr>
      <w:r>
        <w:rPr>
          <w:rFonts w:hint="default" w:ascii="Times New Roman" w:hAnsi="Times New Roman" w:cs="Times New Roman"/>
          <w:color w:val="auto"/>
        </w:rPr>
        <w:t>根据《重庆市中心城区声环境功能区划分方案（2023年）》中的相关规定可知，本项目所在区域现状执行3类声环境功能区要求。经核实调查，本项目位于工业园区中部位置区域，周边50m无声环境敏感目标，根据《建设项目环境影响报告表编制指南》（污染影响类），可不开展声环境质量现状监测调查。</w:t>
      </w:r>
    </w:p>
    <w:p w14:paraId="5C0D36A5">
      <w:pPr>
        <w:pStyle w:val="258"/>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eastAsia="宋体" w:cs="Times New Roman"/>
          <w:color w:val="auto"/>
        </w:rPr>
        <w:t>1.</w:t>
      </w:r>
      <w:r>
        <w:rPr>
          <w:rFonts w:hint="default" w:ascii="Times New Roman" w:hAnsi="Times New Roman" w:cs="Times New Roman"/>
          <w:color w:val="auto"/>
        </w:rPr>
        <w:t>4</w:t>
      </w:r>
      <w:r>
        <w:rPr>
          <w:rFonts w:hint="default" w:ascii="Times New Roman" w:hAnsi="Times New Roman" w:cs="Times New Roman" w:eastAsiaTheme="minorEastAsia"/>
          <w:color w:val="auto"/>
        </w:rPr>
        <w:t xml:space="preserve"> </w:t>
      </w:r>
      <w:r>
        <w:rPr>
          <w:rFonts w:hint="default" w:ascii="Times New Roman" w:hAnsi="Times New Roman" w:eastAsia="宋体" w:cs="Times New Roman"/>
          <w:color w:val="auto"/>
        </w:rPr>
        <w:t>地下水和土壤环境质量现状</w:t>
      </w:r>
    </w:p>
    <w:p w14:paraId="019555B1">
      <w:pPr>
        <w:ind w:firstLine="480"/>
        <w:rPr>
          <w:rFonts w:hint="default" w:ascii="Times New Roman" w:hAnsi="Times New Roman" w:cs="Times New Roman"/>
          <w:color w:val="auto"/>
        </w:rPr>
      </w:pPr>
      <w:r>
        <w:rPr>
          <w:rFonts w:hint="default" w:ascii="Times New Roman" w:hAnsi="Times New Roman" w:cs="Times New Roman"/>
          <w:color w:val="auto"/>
        </w:rPr>
        <w:t>根据《建设项目环境影响报告表编制指南》（污染影响类），原则上不开展地下水和土壤环境质量现状调查。本项目也不存在明显的地下水和土壤污染途径。</w:t>
      </w:r>
    </w:p>
    <w:p w14:paraId="6B727C7B">
      <w:pPr>
        <w:pStyle w:val="3"/>
        <w:rPr>
          <w:rFonts w:hint="default" w:ascii="Times New Roman" w:hAnsi="Times New Roman" w:cs="Times New Roman"/>
          <w:color w:val="auto"/>
        </w:rPr>
        <w:sectPr>
          <w:headerReference r:id="rId16" w:type="default"/>
          <w:pgSz w:w="11907" w:h="16840"/>
          <w:pgMar w:top="1440" w:right="1797" w:bottom="1440" w:left="1797" w:header="851" w:footer="992" w:gutter="0"/>
          <w:cols w:space="720" w:num="1"/>
          <w:docGrid w:type="lines" w:linePitch="312" w:charSpace="0"/>
        </w:sectPr>
      </w:pPr>
    </w:p>
    <w:p w14:paraId="4DAE023E">
      <w:pPr>
        <w:pStyle w:val="3"/>
        <w:rPr>
          <w:rFonts w:hint="default" w:ascii="Times New Roman" w:hAnsi="Times New Roman" w:cs="Times New Roman"/>
          <w:color w:val="auto"/>
        </w:rPr>
      </w:pPr>
      <w:r>
        <w:rPr>
          <w:rFonts w:hint="default" w:ascii="Times New Roman" w:hAnsi="Times New Roman" w:cs="Times New Roman"/>
          <w:color w:val="auto"/>
        </w:rPr>
        <w:t>3.2环境保护目标</w:t>
      </w:r>
    </w:p>
    <w:p w14:paraId="07446561">
      <w:pPr>
        <w:ind w:firstLine="480"/>
        <w:rPr>
          <w:rFonts w:hint="default" w:ascii="Times New Roman" w:hAnsi="Times New Roman" w:cs="Times New Roman"/>
          <w:color w:val="auto"/>
        </w:rPr>
      </w:pPr>
      <w:r>
        <w:rPr>
          <w:rFonts w:hint="default" w:ascii="Times New Roman" w:hAnsi="Times New Roman" w:cs="Times New Roman"/>
          <w:color w:val="auto"/>
        </w:rPr>
        <w:t>（1）大气环境和声环境</w:t>
      </w:r>
    </w:p>
    <w:p w14:paraId="3CEE7C24">
      <w:pPr>
        <w:ind w:firstLine="480"/>
        <w:rPr>
          <w:rFonts w:hint="default" w:ascii="Times New Roman" w:hAnsi="Times New Roman" w:cs="Times New Roman"/>
          <w:color w:val="auto"/>
        </w:rPr>
      </w:pPr>
      <w:r>
        <w:rPr>
          <w:rFonts w:hint="default" w:ascii="Times New Roman" w:hAnsi="Times New Roman" w:cs="Times New Roman"/>
          <w:color w:val="auto"/>
        </w:rPr>
        <w:t>本项目厂界500m范围内无自然保护区、风景名胜区。</w:t>
      </w:r>
    </w:p>
    <w:p w14:paraId="0E7D4C18">
      <w:pPr>
        <w:ind w:firstLine="480"/>
        <w:rPr>
          <w:rFonts w:hint="default" w:ascii="Times New Roman" w:hAnsi="Times New Roman" w:cs="Times New Roman"/>
          <w:color w:val="auto"/>
        </w:rPr>
      </w:pPr>
      <w:r>
        <w:rPr>
          <w:rFonts w:hint="default" w:ascii="Times New Roman" w:hAnsi="Times New Roman" w:cs="Times New Roman"/>
          <w:color w:val="auto"/>
        </w:rPr>
        <w:t>厂界50m范围内无声环境保护目标；厂界500m范围内大气环境保护目标见表3.2-1。</w:t>
      </w:r>
    </w:p>
    <w:p w14:paraId="60BD7DC2">
      <w:pPr>
        <w:pStyle w:val="93"/>
        <w:rPr>
          <w:rFonts w:hint="default" w:ascii="Times New Roman" w:hAnsi="Times New Roman" w:cs="Times New Roman"/>
          <w:color w:val="auto"/>
        </w:rPr>
      </w:pPr>
      <w:r>
        <w:rPr>
          <w:rFonts w:hint="default" w:ascii="Times New Roman" w:hAnsi="Times New Roman" w:cs="Times New Roman"/>
          <w:color w:val="auto"/>
        </w:rPr>
        <w:t>表3.2-1    项目周边大气环境保护目标分布调查一览表</w:t>
      </w:r>
    </w:p>
    <w:tbl>
      <w:tblPr>
        <w:tblStyle w:val="44"/>
        <w:tblW w:w="47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958"/>
        <w:gridCol w:w="957"/>
        <w:gridCol w:w="798"/>
        <w:gridCol w:w="958"/>
        <w:gridCol w:w="3033"/>
      </w:tblGrid>
      <w:tr w14:paraId="7546C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jc w:val="center"/>
        </w:trPr>
        <w:tc>
          <w:tcPr>
            <w:tcW w:w="1399" w:type="dxa"/>
            <w:vAlign w:val="center"/>
          </w:tcPr>
          <w:p w14:paraId="180FF494">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名称</w:t>
            </w:r>
          </w:p>
        </w:tc>
        <w:tc>
          <w:tcPr>
            <w:tcW w:w="958" w:type="dxa"/>
            <w:vAlign w:val="center"/>
          </w:tcPr>
          <w:p w14:paraId="62816AE8">
            <w:pPr>
              <w:pStyle w:val="1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环境要素</w:t>
            </w:r>
          </w:p>
        </w:tc>
        <w:tc>
          <w:tcPr>
            <w:tcW w:w="957" w:type="dxa"/>
            <w:vAlign w:val="center"/>
          </w:tcPr>
          <w:p w14:paraId="5DE6607A">
            <w:pPr>
              <w:pStyle w:val="1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环境功能区划</w:t>
            </w:r>
          </w:p>
        </w:tc>
        <w:tc>
          <w:tcPr>
            <w:tcW w:w="798" w:type="dxa"/>
            <w:vAlign w:val="center"/>
          </w:tcPr>
          <w:p w14:paraId="524A6C00">
            <w:pPr>
              <w:pStyle w:val="1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方位</w:t>
            </w:r>
          </w:p>
        </w:tc>
        <w:tc>
          <w:tcPr>
            <w:tcW w:w="958" w:type="dxa"/>
            <w:vAlign w:val="center"/>
          </w:tcPr>
          <w:p w14:paraId="1D6F8185">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与生产车间最近距离</w:t>
            </w:r>
          </w:p>
        </w:tc>
        <w:tc>
          <w:tcPr>
            <w:tcW w:w="3033" w:type="dxa"/>
            <w:vAlign w:val="center"/>
          </w:tcPr>
          <w:p w14:paraId="405C62BD">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环评阶段敏感特征</w:t>
            </w:r>
          </w:p>
        </w:tc>
      </w:tr>
      <w:tr w14:paraId="6195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99" w:type="dxa"/>
            <w:vAlign w:val="center"/>
          </w:tcPr>
          <w:p w14:paraId="4D422526">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1#散居住户</w:t>
            </w:r>
          </w:p>
        </w:tc>
        <w:tc>
          <w:tcPr>
            <w:tcW w:w="958" w:type="dxa"/>
            <w:vAlign w:val="center"/>
          </w:tcPr>
          <w:p w14:paraId="5CC4CD7E">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环境空气</w:t>
            </w:r>
          </w:p>
        </w:tc>
        <w:tc>
          <w:tcPr>
            <w:tcW w:w="957" w:type="dxa"/>
            <w:vAlign w:val="center"/>
          </w:tcPr>
          <w:p w14:paraId="7683BF0E">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二类</w:t>
            </w:r>
          </w:p>
        </w:tc>
        <w:tc>
          <w:tcPr>
            <w:tcW w:w="798" w:type="dxa"/>
            <w:vAlign w:val="center"/>
          </w:tcPr>
          <w:p w14:paraId="1E45F013">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南</w:t>
            </w:r>
          </w:p>
        </w:tc>
        <w:tc>
          <w:tcPr>
            <w:tcW w:w="958" w:type="dxa"/>
            <w:vAlign w:val="center"/>
          </w:tcPr>
          <w:p w14:paraId="684979F3">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484m</w:t>
            </w:r>
          </w:p>
        </w:tc>
        <w:tc>
          <w:tcPr>
            <w:tcW w:w="3033" w:type="dxa"/>
            <w:vAlign w:val="center"/>
          </w:tcPr>
          <w:p w14:paraId="1FCC9A77">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散居住户2户约6人</w:t>
            </w:r>
          </w:p>
        </w:tc>
      </w:tr>
      <w:tr w14:paraId="5DF8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99" w:type="dxa"/>
            <w:vAlign w:val="center"/>
          </w:tcPr>
          <w:p w14:paraId="532DE048">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2#散居住户</w:t>
            </w:r>
          </w:p>
        </w:tc>
        <w:tc>
          <w:tcPr>
            <w:tcW w:w="958" w:type="dxa"/>
            <w:vAlign w:val="center"/>
          </w:tcPr>
          <w:p w14:paraId="35AEB4AE">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环境空气</w:t>
            </w:r>
          </w:p>
        </w:tc>
        <w:tc>
          <w:tcPr>
            <w:tcW w:w="957" w:type="dxa"/>
            <w:vAlign w:val="center"/>
          </w:tcPr>
          <w:p w14:paraId="438ABB94">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二类</w:t>
            </w:r>
          </w:p>
        </w:tc>
        <w:tc>
          <w:tcPr>
            <w:tcW w:w="798" w:type="dxa"/>
            <w:vAlign w:val="center"/>
          </w:tcPr>
          <w:p w14:paraId="345F198A">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西北</w:t>
            </w:r>
          </w:p>
        </w:tc>
        <w:tc>
          <w:tcPr>
            <w:tcW w:w="958" w:type="dxa"/>
            <w:vAlign w:val="center"/>
          </w:tcPr>
          <w:p w14:paraId="42DF27F1">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488m</w:t>
            </w:r>
          </w:p>
        </w:tc>
        <w:tc>
          <w:tcPr>
            <w:tcW w:w="3033" w:type="dxa"/>
            <w:vAlign w:val="center"/>
          </w:tcPr>
          <w:p w14:paraId="1AB0C910">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散居住户1户约3人</w:t>
            </w:r>
          </w:p>
        </w:tc>
      </w:tr>
    </w:tbl>
    <w:p w14:paraId="216B1122">
      <w:pPr>
        <w:ind w:firstLine="480"/>
        <w:rPr>
          <w:rFonts w:hint="default" w:ascii="Times New Roman" w:hAnsi="Times New Roman" w:cs="Times New Roman"/>
          <w:color w:val="auto"/>
        </w:rPr>
      </w:pPr>
      <w:r>
        <w:rPr>
          <w:rFonts w:hint="default" w:ascii="Times New Roman" w:hAnsi="Times New Roman" w:cs="Times New Roman"/>
          <w:color w:val="auto"/>
        </w:rPr>
        <w:t>（2）地下水环境</w:t>
      </w:r>
    </w:p>
    <w:p w14:paraId="40C4605C">
      <w:pPr>
        <w:ind w:firstLine="480"/>
        <w:rPr>
          <w:rFonts w:hint="default" w:ascii="Times New Roman" w:hAnsi="Times New Roman" w:cs="Times New Roman"/>
          <w:color w:val="auto"/>
        </w:rPr>
      </w:pPr>
      <w:r>
        <w:rPr>
          <w:rFonts w:hint="default" w:ascii="Times New Roman" w:hAnsi="Times New Roman" w:cs="Times New Roman"/>
          <w:color w:val="auto"/>
        </w:rPr>
        <w:t>本项目厂界外500米范围内无地下水集中式饮用水水源和热水、矿泉水、温泉等特殊地下水资源。</w:t>
      </w:r>
    </w:p>
    <w:p w14:paraId="146EEED6">
      <w:pPr>
        <w:ind w:firstLine="480"/>
        <w:rPr>
          <w:rFonts w:hint="default" w:ascii="Times New Roman" w:hAnsi="Times New Roman" w:cs="Times New Roman"/>
          <w:color w:val="auto"/>
        </w:rPr>
      </w:pPr>
      <w:r>
        <w:rPr>
          <w:rFonts w:hint="default" w:ascii="Times New Roman" w:hAnsi="Times New Roman" w:cs="Times New Roman"/>
          <w:color w:val="auto"/>
        </w:rPr>
        <w:t>（3）生态环境</w:t>
      </w:r>
    </w:p>
    <w:p w14:paraId="7EE7A307">
      <w:pPr>
        <w:ind w:firstLine="480"/>
        <w:rPr>
          <w:rFonts w:hint="default" w:ascii="Times New Roman" w:hAnsi="Times New Roman" w:cs="Times New Roman"/>
          <w:color w:val="auto"/>
        </w:rPr>
      </w:pPr>
      <w:r>
        <w:rPr>
          <w:rFonts w:hint="default" w:ascii="Times New Roman" w:hAnsi="Times New Roman" w:cs="Times New Roman"/>
          <w:color w:val="auto"/>
        </w:rPr>
        <w:t>项目位于产业园区内，且不新增用地，无生态环境保护目标。</w:t>
      </w:r>
    </w:p>
    <w:p w14:paraId="0E2B81CB">
      <w:pPr>
        <w:ind w:firstLine="480"/>
        <w:rPr>
          <w:rFonts w:hint="default" w:ascii="Times New Roman" w:hAnsi="Times New Roman" w:cs="Times New Roman"/>
          <w:color w:val="auto"/>
        </w:rPr>
      </w:pPr>
    </w:p>
    <w:p w14:paraId="485D566C">
      <w:pPr>
        <w:ind w:firstLine="480"/>
        <w:rPr>
          <w:rFonts w:hint="default" w:ascii="Times New Roman" w:hAnsi="Times New Roman" w:cs="Times New Roman"/>
          <w:color w:val="auto"/>
        </w:rPr>
      </w:pPr>
    </w:p>
    <w:p w14:paraId="4B474989">
      <w:pPr>
        <w:ind w:firstLine="480"/>
        <w:rPr>
          <w:rFonts w:hint="default" w:ascii="Times New Roman" w:hAnsi="Times New Roman" w:cs="Times New Roman"/>
          <w:color w:val="auto"/>
        </w:rPr>
        <w:sectPr>
          <w:headerReference r:id="rId17" w:type="default"/>
          <w:pgSz w:w="11907" w:h="16840"/>
          <w:pgMar w:top="1440" w:right="1797" w:bottom="1440" w:left="1797" w:header="851" w:footer="992" w:gutter="0"/>
          <w:cols w:space="720" w:num="1"/>
          <w:docGrid w:type="lines" w:linePitch="312" w:charSpace="0"/>
        </w:sectPr>
      </w:pPr>
    </w:p>
    <w:p w14:paraId="7A2B7EA7">
      <w:pPr>
        <w:pStyle w:val="3"/>
        <w:rPr>
          <w:rFonts w:hint="default" w:ascii="Times New Roman" w:hAnsi="Times New Roman" w:cs="Times New Roman"/>
          <w:color w:val="auto"/>
        </w:rPr>
      </w:pPr>
      <w:r>
        <w:rPr>
          <w:rFonts w:hint="default" w:ascii="Times New Roman" w:hAnsi="Times New Roman" w:cs="Times New Roman"/>
          <w:color w:val="auto"/>
        </w:rPr>
        <w:t>3.3 污染物排放控制标准</w:t>
      </w:r>
    </w:p>
    <w:p w14:paraId="51C7FB7A">
      <w:pPr>
        <w:pStyle w:val="258"/>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eastAsia="宋体" w:cs="Times New Roman"/>
          <w:color w:val="auto"/>
        </w:rPr>
        <w:t>3.1</w:t>
      </w:r>
      <w:r>
        <w:rPr>
          <w:rFonts w:hint="default" w:ascii="Times New Roman" w:hAnsi="Times New Roman" w:cs="Times New Roman"/>
          <w:color w:val="auto"/>
        </w:rPr>
        <w:t xml:space="preserve"> </w:t>
      </w:r>
      <w:r>
        <w:rPr>
          <w:rFonts w:hint="default" w:ascii="Times New Roman" w:hAnsi="Times New Roman" w:eastAsia="宋体" w:cs="Times New Roman"/>
          <w:color w:val="auto"/>
        </w:rPr>
        <w:t>废气</w:t>
      </w:r>
    </w:p>
    <w:p w14:paraId="7ECEB25E">
      <w:pPr>
        <w:ind w:firstLine="480"/>
        <w:rPr>
          <w:rFonts w:hint="default" w:ascii="Times New Roman" w:hAnsi="Times New Roman" w:cs="Times New Roman"/>
          <w:color w:val="auto"/>
        </w:rPr>
      </w:pPr>
      <w:r>
        <w:rPr>
          <w:rFonts w:hint="default" w:ascii="Times New Roman" w:hAnsi="Times New Roman" w:cs="Times New Roman"/>
          <w:color w:val="auto"/>
        </w:rPr>
        <w:t>本项目施工期废气排放执行重庆市地方标准《大气污染物综合排放标准》（DB50/418-2016）中主城区标准，具体标准值见表3.3.1-1。</w:t>
      </w:r>
    </w:p>
    <w:p w14:paraId="6BD4DEDA">
      <w:pPr>
        <w:pStyle w:val="93"/>
        <w:rPr>
          <w:rFonts w:hint="default" w:ascii="Times New Roman" w:hAnsi="Times New Roman" w:cs="Times New Roman"/>
          <w:color w:val="auto"/>
          <w:vertAlign w:val="superscript"/>
        </w:rPr>
      </w:pPr>
      <w:r>
        <w:rPr>
          <w:rFonts w:hint="default" w:ascii="Times New Roman" w:hAnsi="Times New Roman" w:cs="Times New Roman"/>
          <w:color w:val="auto"/>
        </w:rPr>
        <w:t>表3.3.1-1  大气污染物综合排放标准  单位：mg/m</w:t>
      </w:r>
      <w:r>
        <w:rPr>
          <w:rFonts w:hint="default" w:ascii="Times New Roman" w:hAnsi="Times New Roman" w:cs="Times New Roman"/>
          <w:color w:val="auto"/>
          <w:vertAlign w:val="superscript"/>
        </w:rPr>
        <w:t>3</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867"/>
        <w:gridCol w:w="2919"/>
        <w:gridCol w:w="3743"/>
      </w:tblGrid>
      <w:tr w14:paraId="57DCA5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1095" w:type="pct"/>
            <w:tcBorders>
              <w:top w:val="single" w:color="auto" w:sz="4" w:space="0"/>
            </w:tcBorders>
            <w:vAlign w:val="center"/>
          </w:tcPr>
          <w:p w14:paraId="5F8AD79D">
            <w:pPr>
              <w:pStyle w:val="22"/>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污染物项目</w:t>
            </w:r>
          </w:p>
        </w:tc>
        <w:tc>
          <w:tcPr>
            <w:tcW w:w="1711" w:type="pct"/>
            <w:tcBorders>
              <w:top w:val="single" w:color="auto" w:sz="4" w:space="0"/>
            </w:tcBorders>
            <w:vAlign w:val="center"/>
          </w:tcPr>
          <w:p w14:paraId="5C6BE995">
            <w:pPr>
              <w:pStyle w:val="22"/>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最高允许排放浓度（mg/m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w:t>
            </w:r>
          </w:p>
        </w:tc>
        <w:tc>
          <w:tcPr>
            <w:tcW w:w="2194" w:type="pct"/>
            <w:tcBorders>
              <w:top w:val="single" w:color="auto" w:sz="4" w:space="0"/>
            </w:tcBorders>
            <w:vAlign w:val="center"/>
          </w:tcPr>
          <w:p w14:paraId="1714C497">
            <w:pPr>
              <w:pStyle w:val="22"/>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无组织排放监控点浓度限值（mg/m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w:t>
            </w:r>
          </w:p>
        </w:tc>
      </w:tr>
      <w:tr w14:paraId="6C8A24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1095" w:type="pct"/>
            <w:tcBorders>
              <w:bottom w:val="single" w:color="auto" w:sz="4" w:space="0"/>
            </w:tcBorders>
            <w:vAlign w:val="center"/>
          </w:tcPr>
          <w:p w14:paraId="5F80630A">
            <w:pPr>
              <w:pStyle w:val="22"/>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其他颗粒物</w:t>
            </w:r>
          </w:p>
        </w:tc>
        <w:tc>
          <w:tcPr>
            <w:tcW w:w="1711" w:type="pct"/>
            <w:tcBorders>
              <w:bottom w:val="single" w:color="auto" w:sz="4" w:space="0"/>
            </w:tcBorders>
            <w:vAlign w:val="center"/>
          </w:tcPr>
          <w:p w14:paraId="5058EB9A">
            <w:pPr>
              <w:pStyle w:val="22"/>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50（主城区）</w:t>
            </w:r>
          </w:p>
        </w:tc>
        <w:tc>
          <w:tcPr>
            <w:tcW w:w="2194" w:type="pct"/>
            <w:tcBorders>
              <w:bottom w:val="single" w:color="auto" w:sz="4" w:space="0"/>
            </w:tcBorders>
            <w:vAlign w:val="center"/>
          </w:tcPr>
          <w:p w14:paraId="4BC05B54">
            <w:pPr>
              <w:pStyle w:val="22"/>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1.0</w:t>
            </w:r>
          </w:p>
        </w:tc>
      </w:tr>
    </w:tbl>
    <w:p w14:paraId="5AC688FE">
      <w:pPr>
        <w:ind w:firstLine="480"/>
        <w:rPr>
          <w:rFonts w:hint="default" w:ascii="Times New Roman" w:hAnsi="Times New Roman" w:cs="Times New Roman"/>
          <w:color w:val="auto"/>
        </w:rPr>
      </w:pPr>
      <w:r>
        <w:rPr>
          <w:rFonts w:hint="default" w:ascii="Times New Roman" w:hAnsi="Times New Roman" w:cs="Times New Roman"/>
          <w:color w:val="auto"/>
          <w:szCs w:val="21"/>
        </w:rPr>
        <w:t>项目位于重庆市九龙坡区，属于执行大气特别排放限值的区域。</w:t>
      </w:r>
      <w:r>
        <w:rPr>
          <w:rFonts w:hint="default" w:ascii="Times New Roman" w:hAnsi="Times New Roman" w:cs="Times New Roman"/>
          <w:color w:val="auto"/>
        </w:rPr>
        <w:t>本项目营运期主要涉及挤出造粒有机废气（均以非甲烷总烃计）和颗粒物。根据《合成树脂工业污染物排放标准》（GB31572-2015（含2024年修改单）），塑料制品工业企业或生产设施的有组织大气污染物排放限值根据其涉及到的合成树脂种类，执行表5的标准限值(单位产品非甲烷总烃排放量除外)；无组织排放控制要求按GB37822执行。此外臭气浓度执行《恶臭污染物排放标准》（GB14554-1993）中相关标准。</w:t>
      </w:r>
    </w:p>
    <w:p w14:paraId="69F274F0">
      <w:pPr>
        <w:ind w:firstLine="480"/>
        <w:rPr>
          <w:rFonts w:hint="default" w:ascii="Times New Roman" w:hAnsi="Times New Roman" w:cs="Times New Roman"/>
          <w:color w:val="auto"/>
        </w:rPr>
      </w:pPr>
      <w:r>
        <w:rPr>
          <w:rFonts w:hint="default" w:ascii="Times New Roman" w:hAnsi="Times New Roman" w:cs="Times New Roman"/>
          <w:color w:val="auto"/>
        </w:rPr>
        <w:t>综上所述，本项目营运期废气排放执行标准见表3.3.1-2~4。</w:t>
      </w:r>
    </w:p>
    <w:p w14:paraId="49B99B4D">
      <w:pPr>
        <w:pStyle w:val="93"/>
        <w:rPr>
          <w:rFonts w:hint="default" w:ascii="Times New Roman" w:hAnsi="Times New Roman" w:cs="Times New Roman"/>
          <w:color w:val="auto"/>
        </w:rPr>
      </w:pPr>
      <w:r>
        <w:rPr>
          <w:rFonts w:hint="default" w:ascii="Times New Roman" w:hAnsi="Times New Roman" w:cs="Times New Roman"/>
          <w:color w:val="auto"/>
        </w:rPr>
        <w:t>表3.3.1-2   合成树脂工业污染物排放标准</w:t>
      </w:r>
    </w:p>
    <w:tbl>
      <w:tblPr>
        <w:tblStyle w:val="45"/>
        <w:tblW w:w="48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1392"/>
        <w:gridCol w:w="1213"/>
        <w:gridCol w:w="2095"/>
        <w:gridCol w:w="1375"/>
        <w:gridCol w:w="1531"/>
      </w:tblGrid>
      <w:tr w14:paraId="4CBAC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vAlign w:val="center"/>
          </w:tcPr>
          <w:p w14:paraId="5EF4B35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序号</w:t>
            </w:r>
          </w:p>
        </w:tc>
        <w:tc>
          <w:tcPr>
            <w:tcW w:w="841" w:type="pct"/>
            <w:vAlign w:val="center"/>
          </w:tcPr>
          <w:p w14:paraId="6842924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污染物</w:t>
            </w:r>
          </w:p>
        </w:tc>
        <w:tc>
          <w:tcPr>
            <w:tcW w:w="733" w:type="pct"/>
            <w:vAlign w:val="center"/>
          </w:tcPr>
          <w:p w14:paraId="6A0EC6B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排放限值</w:t>
            </w:r>
            <w:r>
              <w:rPr>
                <w:rFonts w:hint="default" w:ascii="Times New Roman" w:hAnsi="Times New Roman" w:cs="Times New Roman"/>
                <w:color w:val="auto"/>
                <w:spacing w:val="2"/>
                <w:kern w:val="2"/>
                <w:sz w:val="21"/>
                <w:szCs w:val="21"/>
              </w:rPr>
              <w:t>（mg/m</w:t>
            </w:r>
            <w:r>
              <w:rPr>
                <w:rFonts w:hint="default" w:ascii="Times New Roman" w:hAnsi="Times New Roman" w:cs="Times New Roman"/>
                <w:color w:val="auto"/>
                <w:spacing w:val="2"/>
                <w:kern w:val="2"/>
                <w:sz w:val="21"/>
                <w:szCs w:val="21"/>
                <w:vertAlign w:val="superscript"/>
              </w:rPr>
              <w:t>3</w:t>
            </w:r>
            <w:r>
              <w:rPr>
                <w:rFonts w:hint="default" w:ascii="Times New Roman" w:hAnsi="Times New Roman" w:cs="Times New Roman"/>
                <w:color w:val="auto"/>
                <w:spacing w:val="2"/>
                <w:kern w:val="2"/>
                <w:sz w:val="21"/>
                <w:szCs w:val="21"/>
              </w:rPr>
              <w:t>）</w:t>
            </w:r>
          </w:p>
        </w:tc>
        <w:tc>
          <w:tcPr>
            <w:tcW w:w="1266" w:type="pct"/>
            <w:vAlign w:val="center"/>
          </w:tcPr>
          <w:p w14:paraId="663AAB7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适用的合成树脂类型</w:t>
            </w:r>
          </w:p>
        </w:tc>
        <w:tc>
          <w:tcPr>
            <w:tcW w:w="831" w:type="pct"/>
            <w:vAlign w:val="center"/>
          </w:tcPr>
          <w:p w14:paraId="6D2C330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污染物排放监控位置</w:t>
            </w:r>
          </w:p>
        </w:tc>
        <w:tc>
          <w:tcPr>
            <w:tcW w:w="925" w:type="pct"/>
            <w:vAlign w:val="center"/>
          </w:tcPr>
          <w:p w14:paraId="6CA33E0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企业边界大气污染物浓度限值</w:t>
            </w:r>
          </w:p>
        </w:tc>
      </w:tr>
      <w:tr w14:paraId="27FB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vAlign w:val="center"/>
          </w:tcPr>
          <w:p w14:paraId="1D340B8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841" w:type="pct"/>
            <w:vAlign w:val="center"/>
          </w:tcPr>
          <w:p w14:paraId="5E0D967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非甲烷总烃</w:t>
            </w:r>
          </w:p>
        </w:tc>
        <w:tc>
          <w:tcPr>
            <w:tcW w:w="733" w:type="pct"/>
            <w:vAlign w:val="center"/>
          </w:tcPr>
          <w:p w14:paraId="46108B2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60</w:t>
            </w:r>
          </w:p>
        </w:tc>
        <w:tc>
          <w:tcPr>
            <w:tcW w:w="1266" w:type="pct"/>
            <w:vMerge w:val="restart"/>
            <w:vAlign w:val="center"/>
          </w:tcPr>
          <w:p w14:paraId="0A1D9ED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所有合成树脂</w:t>
            </w:r>
          </w:p>
        </w:tc>
        <w:tc>
          <w:tcPr>
            <w:tcW w:w="831" w:type="pct"/>
            <w:vMerge w:val="restart"/>
            <w:vAlign w:val="center"/>
          </w:tcPr>
          <w:p w14:paraId="0958843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车间或生产设施排气筒</w:t>
            </w:r>
          </w:p>
        </w:tc>
        <w:tc>
          <w:tcPr>
            <w:tcW w:w="925" w:type="pct"/>
            <w:vAlign w:val="center"/>
          </w:tcPr>
          <w:p w14:paraId="537CF8B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4.0</w:t>
            </w:r>
          </w:p>
        </w:tc>
      </w:tr>
      <w:tr w14:paraId="6EB6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shd w:val="clear" w:color="auto" w:fill="auto"/>
            <w:vAlign w:val="center"/>
          </w:tcPr>
          <w:p w14:paraId="2B6BE16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w:t>
            </w:r>
          </w:p>
        </w:tc>
        <w:tc>
          <w:tcPr>
            <w:tcW w:w="841" w:type="pct"/>
            <w:shd w:val="clear" w:color="auto" w:fill="auto"/>
            <w:vAlign w:val="center"/>
          </w:tcPr>
          <w:p w14:paraId="6AB080A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颗粒物</w:t>
            </w:r>
          </w:p>
        </w:tc>
        <w:tc>
          <w:tcPr>
            <w:tcW w:w="733" w:type="pct"/>
            <w:shd w:val="clear" w:color="auto" w:fill="auto"/>
            <w:vAlign w:val="center"/>
          </w:tcPr>
          <w:p w14:paraId="4B5E516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20</w:t>
            </w:r>
          </w:p>
        </w:tc>
        <w:tc>
          <w:tcPr>
            <w:tcW w:w="1266" w:type="pct"/>
            <w:vMerge w:val="continue"/>
            <w:vAlign w:val="center"/>
          </w:tcPr>
          <w:p w14:paraId="45DDD245">
            <w:pPr>
              <w:spacing w:line="240" w:lineRule="auto"/>
              <w:ind w:firstLine="0" w:firstLineChars="0"/>
              <w:jc w:val="center"/>
              <w:rPr>
                <w:rFonts w:hint="default" w:ascii="Times New Roman" w:hAnsi="Times New Roman" w:cs="Times New Roman"/>
                <w:color w:val="auto"/>
                <w:kern w:val="2"/>
                <w:sz w:val="21"/>
                <w:szCs w:val="21"/>
              </w:rPr>
            </w:pPr>
          </w:p>
        </w:tc>
        <w:tc>
          <w:tcPr>
            <w:tcW w:w="831" w:type="pct"/>
            <w:vMerge w:val="continue"/>
            <w:vAlign w:val="center"/>
          </w:tcPr>
          <w:p w14:paraId="32068454">
            <w:pPr>
              <w:spacing w:line="240" w:lineRule="auto"/>
              <w:ind w:firstLine="0" w:firstLineChars="0"/>
              <w:jc w:val="center"/>
              <w:rPr>
                <w:rFonts w:hint="default" w:ascii="Times New Roman" w:hAnsi="Times New Roman" w:cs="Times New Roman"/>
                <w:color w:val="auto"/>
                <w:kern w:val="2"/>
                <w:sz w:val="21"/>
                <w:szCs w:val="21"/>
              </w:rPr>
            </w:pPr>
          </w:p>
        </w:tc>
        <w:tc>
          <w:tcPr>
            <w:tcW w:w="925" w:type="pct"/>
            <w:vAlign w:val="center"/>
          </w:tcPr>
          <w:p w14:paraId="0F4FDB1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1.0</w:t>
            </w:r>
          </w:p>
        </w:tc>
      </w:tr>
      <w:tr w14:paraId="3F02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shd w:val="clear" w:color="auto" w:fill="auto"/>
            <w:vAlign w:val="center"/>
          </w:tcPr>
          <w:p w14:paraId="64B49F6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w:t>
            </w:r>
          </w:p>
        </w:tc>
        <w:tc>
          <w:tcPr>
            <w:tcW w:w="841" w:type="pct"/>
            <w:vAlign w:val="center"/>
          </w:tcPr>
          <w:p w14:paraId="6DADA4AE">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酚类</w:t>
            </w:r>
          </w:p>
        </w:tc>
        <w:tc>
          <w:tcPr>
            <w:tcW w:w="733" w:type="pct"/>
            <w:vAlign w:val="center"/>
          </w:tcPr>
          <w:p w14:paraId="62FEBACE">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15</w:t>
            </w:r>
          </w:p>
        </w:tc>
        <w:tc>
          <w:tcPr>
            <w:tcW w:w="1266" w:type="pct"/>
            <w:vAlign w:val="center"/>
          </w:tcPr>
          <w:p w14:paraId="1873604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聚碳酸酯树脂</w:t>
            </w:r>
          </w:p>
        </w:tc>
        <w:tc>
          <w:tcPr>
            <w:tcW w:w="831" w:type="pct"/>
            <w:vMerge w:val="continue"/>
            <w:vAlign w:val="center"/>
          </w:tcPr>
          <w:p w14:paraId="1483C393">
            <w:pPr>
              <w:spacing w:line="240" w:lineRule="auto"/>
              <w:ind w:firstLine="0" w:firstLineChars="0"/>
              <w:jc w:val="center"/>
              <w:rPr>
                <w:rFonts w:hint="default" w:ascii="Times New Roman" w:hAnsi="Times New Roman" w:cs="Times New Roman"/>
                <w:color w:val="auto"/>
                <w:kern w:val="2"/>
                <w:sz w:val="21"/>
                <w:szCs w:val="21"/>
              </w:rPr>
            </w:pPr>
          </w:p>
        </w:tc>
        <w:tc>
          <w:tcPr>
            <w:tcW w:w="925" w:type="pct"/>
            <w:vAlign w:val="center"/>
          </w:tcPr>
          <w:p w14:paraId="60F60603">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5CA5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shd w:val="clear" w:color="auto" w:fill="auto"/>
            <w:vAlign w:val="center"/>
          </w:tcPr>
          <w:p w14:paraId="1968933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w:t>
            </w:r>
          </w:p>
        </w:tc>
        <w:tc>
          <w:tcPr>
            <w:tcW w:w="841" w:type="pct"/>
            <w:vAlign w:val="center"/>
          </w:tcPr>
          <w:p w14:paraId="50917E89">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丙烯腈</w:t>
            </w:r>
          </w:p>
        </w:tc>
        <w:tc>
          <w:tcPr>
            <w:tcW w:w="733" w:type="pct"/>
            <w:vAlign w:val="center"/>
          </w:tcPr>
          <w:p w14:paraId="1F236B17">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0.5</w:t>
            </w:r>
          </w:p>
        </w:tc>
        <w:tc>
          <w:tcPr>
            <w:tcW w:w="1266" w:type="pct"/>
            <w:vMerge w:val="restart"/>
            <w:vAlign w:val="center"/>
          </w:tcPr>
          <w:p w14:paraId="7E9552B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ABS树脂</w:t>
            </w:r>
          </w:p>
        </w:tc>
        <w:tc>
          <w:tcPr>
            <w:tcW w:w="831" w:type="pct"/>
            <w:vMerge w:val="continue"/>
            <w:vAlign w:val="center"/>
          </w:tcPr>
          <w:p w14:paraId="79FB14A1">
            <w:pPr>
              <w:spacing w:line="240" w:lineRule="auto"/>
              <w:ind w:firstLine="0" w:firstLineChars="0"/>
              <w:jc w:val="center"/>
              <w:rPr>
                <w:rFonts w:hint="default" w:ascii="Times New Roman" w:hAnsi="Times New Roman" w:cs="Times New Roman"/>
                <w:color w:val="auto"/>
                <w:kern w:val="2"/>
                <w:sz w:val="21"/>
                <w:szCs w:val="21"/>
              </w:rPr>
            </w:pPr>
          </w:p>
        </w:tc>
        <w:tc>
          <w:tcPr>
            <w:tcW w:w="925" w:type="pct"/>
            <w:vAlign w:val="center"/>
          </w:tcPr>
          <w:p w14:paraId="1A488038">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1C36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shd w:val="clear" w:color="auto" w:fill="auto"/>
            <w:vAlign w:val="center"/>
          </w:tcPr>
          <w:p w14:paraId="1F92284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w:t>
            </w:r>
          </w:p>
        </w:tc>
        <w:tc>
          <w:tcPr>
            <w:tcW w:w="841" w:type="pct"/>
            <w:vAlign w:val="center"/>
          </w:tcPr>
          <w:p w14:paraId="47549F85">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苯乙烯</w:t>
            </w:r>
          </w:p>
        </w:tc>
        <w:tc>
          <w:tcPr>
            <w:tcW w:w="733" w:type="pct"/>
            <w:vAlign w:val="center"/>
          </w:tcPr>
          <w:p w14:paraId="441C0E18">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20</w:t>
            </w:r>
          </w:p>
        </w:tc>
        <w:tc>
          <w:tcPr>
            <w:tcW w:w="1266" w:type="pct"/>
            <w:vMerge w:val="continue"/>
            <w:vAlign w:val="center"/>
          </w:tcPr>
          <w:p w14:paraId="31322063">
            <w:pPr>
              <w:spacing w:line="240" w:lineRule="auto"/>
              <w:ind w:firstLine="0" w:firstLineChars="0"/>
              <w:jc w:val="center"/>
              <w:rPr>
                <w:rFonts w:hint="default" w:ascii="Times New Roman" w:hAnsi="Times New Roman" w:cs="Times New Roman"/>
                <w:color w:val="auto"/>
                <w:kern w:val="2"/>
                <w:sz w:val="21"/>
                <w:szCs w:val="21"/>
              </w:rPr>
            </w:pPr>
          </w:p>
        </w:tc>
        <w:tc>
          <w:tcPr>
            <w:tcW w:w="831" w:type="pct"/>
            <w:vMerge w:val="continue"/>
            <w:vAlign w:val="center"/>
          </w:tcPr>
          <w:p w14:paraId="76A9763A">
            <w:pPr>
              <w:spacing w:line="240" w:lineRule="auto"/>
              <w:ind w:firstLine="0" w:firstLineChars="0"/>
              <w:jc w:val="center"/>
              <w:rPr>
                <w:rFonts w:hint="default" w:ascii="Times New Roman" w:hAnsi="Times New Roman" w:cs="Times New Roman"/>
                <w:color w:val="auto"/>
                <w:kern w:val="2"/>
                <w:sz w:val="21"/>
                <w:szCs w:val="21"/>
              </w:rPr>
            </w:pPr>
          </w:p>
        </w:tc>
        <w:tc>
          <w:tcPr>
            <w:tcW w:w="925" w:type="pct"/>
            <w:vAlign w:val="center"/>
          </w:tcPr>
          <w:p w14:paraId="047E6172">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282E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shd w:val="clear" w:color="auto" w:fill="auto"/>
            <w:vAlign w:val="center"/>
          </w:tcPr>
          <w:p w14:paraId="4EFCA66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6</w:t>
            </w:r>
          </w:p>
        </w:tc>
        <w:tc>
          <w:tcPr>
            <w:tcW w:w="841" w:type="pct"/>
            <w:vAlign w:val="center"/>
          </w:tcPr>
          <w:p w14:paraId="276A68EE">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乙苯</w:t>
            </w:r>
          </w:p>
        </w:tc>
        <w:tc>
          <w:tcPr>
            <w:tcW w:w="733" w:type="pct"/>
            <w:vAlign w:val="center"/>
          </w:tcPr>
          <w:p w14:paraId="51FA70F9">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50</w:t>
            </w:r>
          </w:p>
        </w:tc>
        <w:tc>
          <w:tcPr>
            <w:tcW w:w="1266" w:type="pct"/>
            <w:vMerge w:val="continue"/>
            <w:vAlign w:val="center"/>
          </w:tcPr>
          <w:p w14:paraId="0D8B85FD">
            <w:pPr>
              <w:spacing w:line="240" w:lineRule="auto"/>
              <w:ind w:firstLine="0" w:firstLineChars="0"/>
              <w:jc w:val="center"/>
              <w:rPr>
                <w:rFonts w:hint="default" w:ascii="Times New Roman" w:hAnsi="Times New Roman" w:cs="Times New Roman"/>
                <w:color w:val="auto"/>
                <w:kern w:val="2"/>
                <w:sz w:val="21"/>
                <w:szCs w:val="21"/>
              </w:rPr>
            </w:pPr>
          </w:p>
        </w:tc>
        <w:tc>
          <w:tcPr>
            <w:tcW w:w="831" w:type="pct"/>
            <w:vMerge w:val="continue"/>
            <w:vAlign w:val="center"/>
          </w:tcPr>
          <w:p w14:paraId="7839285F">
            <w:pPr>
              <w:spacing w:line="240" w:lineRule="auto"/>
              <w:ind w:firstLine="0" w:firstLineChars="0"/>
              <w:jc w:val="center"/>
              <w:rPr>
                <w:rFonts w:hint="default" w:ascii="Times New Roman" w:hAnsi="Times New Roman" w:cs="Times New Roman"/>
                <w:color w:val="auto"/>
                <w:kern w:val="2"/>
                <w:sz w:val="21"/>
                <w:szCs w:val="21"/>
              </w:rPr>
            </w:pPr>
          </w:p>
        </w:tc>
        <w:tc>
          <w:tcPr>
            <w:tcW w:w="925" w:type="pct"/>
            <w:vAlign w:val="center"/>
          </w:tcPr>
          <w:p w14:paraId="53D98E08">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24C5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shd w:val="clear" w:color="auto" w:fill="auto"/>
            <w:vAlign w:val="center"/>
          </w:tcPr>
          <w:p w14:paraId="38845D0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7</w:t>
            </w:r>
          </w:p>
        </w:tc>
        <w:tc>
          <w:tcPr>
            <w:tcW w:w="841" w:type="pct"/>
            <w:vAlign w:val="center"/>
          </w:tcPr>
          <w:p w14:paraId="4639353A">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甲苯</w:t>
            </w:r>
          </w:p>
        </w:tc>
        <w:tc>
          <w:tcPr>
            <w:tcW w:w="733" w:type="pct"/>
            <w:vAlign w:val="center"/>
          </w:tcPr>
          <w:p w14:paraId="2B13B7B4">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8</w:t>
            </w:r>
          </w:p>
        </w:tc>
        <w:tc>
          <w:tcPr>
            <w:tcW w:w="1266" w:type="pct"/>
            <w:vMerge w:val="continue"/>
            <w:vAlign w:val="center"/>
          </w:tcPr>
          <w:p w14:paraId="1C48A9FD">
            <w:pPr>
              <w:spacing w:line="240" w:lineRule="auto"/>
              <w:ind w:firstLine="0" w:firstLineChars="0"/>
              <w:jc w:val="center"/>
              <w:rPr>
                <w:rFonts w:hint="default" w:ascii="Times New Roman" w:hAnsi="Times New Roman" w:cs="Times New Roman"/>
                <w:color w:val="auto"/>
                <w:kern w:val="2"/>
                <w:sz w:val="21"/>
                <w:szCs w:val="21"/>
              </w:rPr>
            </w:pPr>
          </w:p>
        </w:tc>
        <w:tc>
          <w:tcPr>
            <w:tcW w:w="831" w:type="pct"/>
            <w:vMerge w:val="continue"/>
            <w:vAlign w:val="center"/>
          </w:tcPr>
          <w:p w14:paraId="7EC6C389">
            <w:pPr>
              <w:spacing w:line="240" w:lineRule="auto"/>
              <w:ind w:firstLine="0" w:firstLineChars="0"/>
              <w:jc w:val="center"/>
              <w:rPr>
                <w:rFonts w:hint="default" w:ascii="Times New Roman" w:hAnsi="Times New Roman" w:cs="Times New Roman"/>
                <w:color w:val="auto"/>
                <w:kern w:val="2"/>
                <w:sz w:val="21"/>
                <w:szCs w:val="21"/>
              </w:rPr>
            </w:pPr>
          </w:p>
        </w:tc>
        <w:tc>
          <w:tcPr>
            <w:tcW w:w="925" w:type="pct"/>
            <w:vAlign w:val="center"/>
          </w:tcPr>
          <w:p w14:paraId="2D7204E0">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0.8</w:t>
            </w:r>
          </w:p>
        </w:tc>
      </w:tr>
      <w:tr w14:paraId="68A0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shd w:val="clear" w:color="auto" w:fill="auto"/>
            <w:vAlign w:val="center"/>
          </w:tcPr>
          <w:p w14:paraId="6D7EDAE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8</w:t>
            </w:r>
          </w:p>
        </w:tc>
        <w:tc>
          <w:tcPr>
            <w:tcW w:w="841" w:type="pct"/>
            <w:vAlign w:val="center"/>
          </w:tcPr>
          <w:p w14:paraId="2F5895FA">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1,3-丁二烯</w:t>
            </w:r>
          </w:p>
        </w:tc>
        <w:tc>
          <w:tcPr>
            <w:tcW w:w="733" w:type="pct"/>
            <w:vAlign w:val="center"/>
          </w:tcPr>
          <w:p w14:paraId="3B3760BE">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1266" w:type="pct"/>
            <w:vMerge w:val="continue"/>
            <w:vAlign w:val="center"/>
          </w:tcPr>
          <w:p w14:paraId="547060F5">
            <w:pPr>
              <w:spacing w:line="240" w:lineRule="auto"/>
              <w:ind w:firstLine="0" w:firstLineChars="0"/>
              <w:jc w:val="center"/>
              <w:rPr>
                <w:rFonts w:hint="default" w:ascii="Times New Roman" w:hAnsi="Times New Roman" w:cs="Times New Roman"/>
                <w:color w:val="auto"/>
                <w:kern w:val="2"/>
                <w:sz w:val="21"/>
                <w:szCs w:val="21"/>
              </w:rPr>
            </w:pPr>
          </w:p>
        </w:tc>
        <w:tc>
          <w:tcPr>
            <w:tcW w:w="831" w:type="pct"/>
            <w:vMerge w:val="continue"/>
            <w:vAlign w:val="center"/>
          </w:tcPr>
          <w:p w14:paraId="2866F1EB">
            <w:pPr>
              <w:spacing w:line="240" w:lineRule="auto"/>
              <w:ind w:firstLine="0" w:firstLineChars="0"/>
              <w:jc w:val="center"/>
              <w:rPr>
                <w:rFonts w:hint="default" w:ascii="Times New Roman" w:hAnsi="Times New Roman" w:cs="Times New Roman"/>
                <w:color w:val="auto"/>
                <w:kern w:val="2"/>
                <w:sz w:val="21"/>
                <w:szCs w:val="21"/>
              </w:rPr>
            </w:pPr>
          </w:p>
        </w:tc>
        <w:tc>
          <w:tcPr>
            <w:tcW w:w="925" w:type="pct"/>
            <w:vAlign w:val="center"/>
          </w:tcPr>
          <w:p w14:paraId="7308ECE4">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335F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shd w:val="clear" w:color="auto" w:fill="auto"/>
            <w:vAlign w:val="center"/>
          </w:tcPr>
          <w:p w14:paraId="2B22E68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w:t>
            </w:r>
          </w:p>
        </w:tc>
        <w:tc>
          <w:tcPr>
            <w:tcW w:w="841" w:type="pct"/>
            <w:vAlign w:val="center"/>
          </w:tcPr>
          <w:p w14:paraId="7919F32A">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氨</w:t>
            </w:r>
          </w:p>
        </w:tc>
        <w:tc>
          <w:tcPr>
            <w:tcW w:w="733" w:type="pct"/>
            <w:vAlign w:val="center"/>
          </w:tcPr>
          <w:p w14:paraId="0528E1F9">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20</w:t>
            </w:r>
          </w:p>
        </w:tc>
        <w:tc>
          <w:tcPr>
            <w:tcW w:w="1266" w:type="pct"/>
            <w:vAlign w:val="center"/>
          </w:tcPr>
          <w:p w14:paraId="4BFD2CE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聚酰胺</w:t>
            </w:r>
          </w:p>
        </w:tc>
        <w:tc>
          <w:tcPr>
            <w:tcW w:w="831" w:type="pct"/>
            <w:vMerge w:val="continue"/>
            <w:vAlign w:val="center"/>
          </w:tcPr>
          <w:p w14:paraId="08BC289A">
            <w:pPr>
              <w:spacing w:line="240" w:lineRule="auto"/>
              <w:ind w:firstLine="0" w:firstLineChars="0"/>
              <w:jc w:val="center"/>
              <w:rPr>
                <w:rFonts w:hint="default" w:ascii="Times New Roman" w:hAnsi="Times New Roman" w:cs="Times New Roman"/>
                <w:color w:val="auto"/>
                <w:kern w:val="2"/>
                <w:sz w:val="21"/>
                <w:szCs w:val="21"/>
              </w:rPr>
            </w:pPr>
          </w:p>
        </w:tc>
        <w:tc>
          <w:tcPr>
            <w:tcW w:w="925" w:type="pct"/>
            <w:vAlign w:val="center"/>
          </w:tcPr>
          <w:p w14:paraId="286C1315">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bl>
    <w:p w14:paraId="2B6BC5C4">
      <w:pPr>
        <w:pStyle w:val="93"/>
        <w:rPr>
          <w:rFonts w:hint="default" w:ascii="Times New Roman" w:hAnsi="Times New Roman" w:cs="Times New Roman"/>
          <w:color w:val="auto"/>
        </w:rPr>
      </w:pPr>
      <w:r>
        <w:rPr>
          <w:rFonts w:hint="default" w:ascii="Times New Roman" w:hAnsi="Times New Roman" w:cs="Times New Roman"/>
          <w:color w:val="auto"/>
        </w:rPr>
        <w:t>表3.3.1-3   厂区内VOCs无组织排放限值</w:t>
      </w:r>
    </w:p>
    <w:tbl>
      <w:tblPr>
        <w:tblStyle w:val="44"/>
        <w:tblW w:w="4735" w:type="pct"/>
        <w:jc w:val="center"/>
        <w:tblLayout w:type="autofit"/>
        <w:tblCellMar>
          <w:top w:w="0" w:type="dxa"/>
          <w:left w:w="108" w:type="dxa"/>
          <w:bottom w:w="0" w:type="dxa"/>
          <w:right w:w="108" w:type="dxa"/>
        </w:tblCellMar>
      </w:tblPr>
      <w:tblGrid>
        <w:gridCol w:w="1613"/>
        <w:gridCol w:w="1020"/>
        <w:gridCol w:w="1104"/>
        <w:gridCol w:w="2724"/>
        <w:gridCol w:w="1616"/>
      </w:tblGrid>
      <w:tr w14:paraId="71E89BA0">
        <w:trPr>
          <w:trHeight w:val="90" w:hRule="atLeast"/>
          <w:jc w:val="center"/>
        </w:trPr>
        <w:tc>
          <w:tcPr>
            <w:tcW w:w="16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4E55A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污染物项目</w:t>
            </w:r>
          </w:p>
        </w:tc>
        <w:tc>
          <w:tcPr>
            <w:tcW w:w="10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BF08B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排放限值</w:t>
            </w:r>
          </w:p>
        </w:tc>
        <w:tc>
          <w:tcPr>
            <w:tcW w:w="1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4FF02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特别排放限值</w:t>
            </w:r>
          </w:p>
        </w:tc>
        <w:tc>
          <w:tcPr>
            <w:tcW w:w="272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83BE2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限值含义</w:t>
            </w:r>
          </w:p>
        </w:tc>
        <w:tc>
          <w:tcPr>
            <w:tcW w:w="16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24651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无组织排放监控位置</w:t>
            </w:r>
          </w:p>
        </w:tc>
      </w:tr>
      <w:tr w14:paraId="1A71D7D6">
        <w:tblPrEx>
          <w:tblCellMar>
            <w:top w:w="0" w:type="dxa"/>
            <w:left w:w="108" w:type="dxa"/>
            <w:bottom w:w="0" w:type="dxa"/>
            <w:right w:w="108" w:type="dxa"/>
          </w:tblCellMar>
        </w:tblPrEx>
        <w:trPr>
          <w:trHeight w:val="90" w:hRule="atLeast"/>
          <w:jc w:val="center"/>
        </w:trPr>
        <w:tc>
          <w:tcPr>
            <w:tcW w:w="1613" w:type="dxa"/>
            <w:vMerge w:val="restart"/>
            <w:tcBorders>
              <w:top w:val="nil"/>
              <w:left w:val="single" w:color="000000" w:sz="8" w:space="0"/>
              <w:bottom w:val="single" w:color="000000" w:sz="8" w:space="0"/>
              <w:right w:val="single" w:color="000000" w:sz="8" w:space="0"/>
            </w:tcBorders>
            <w:shd w:val="clear" w:color="auto" w:fill="auto"/>
            <w:vAlign w:val="center"/>
          </w:tcPr>
          <w:p w14:paraId="1D46B97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NMHC</w:t>
            </w:r>
          </w:p>
        </w:tc>
        <w:tc>
          <w:tcPr>
            <w:tcW w:w="1020" w:type="dxa"/>
            <w:tcBorders>
              <w:top w:val="nil"/>
              <w:left w:val="single" w:color="000000" w:sz="8" w:space="0"/>
              <w:bottom w:val="single" w:color="000000" w:sz="8" w:space="0"/>
              <w:right w:val="single" w:color="000000" w:sz="8" w:space="0"/>
            </w:tcBorders>
            <w:shd w:val="clear" w:color="auto" w:fill="auto"/>
            <w:vAlign w:val="center"/>
          </w:tcPr>
          <w:p w14:paraId="3CE611D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1104" w:type="dxa"/>
            <w:tcBorders>
              <w:top w:val="nil"/>
              <w:left w:val="single" w:color="000000" w:sz="8" w:space="0"/>
              <w:bottom w:val="single" w:color="000000" w:sz="8" w:space="0"/>
              <w:right w:val="single" w:color="000000" w:sz="8" w:space="0"/>
            </w:tcBorders>
            <w:shd w:val="clear" w:color="auto" w:fill="auto"/>
            <w:vAlign w:val="center"/>
          </w:tcPr>
          <w:p w14:paraId="7E59BE3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2724" w:type="dxa"/>
            <w:tcBorders>
              <w:top w:val="nil"/>
              <w:left w:val="single" w:color="000000" w:sz="8" w:space="0"/>
              <w:bottom w:val="single" w:color="000000" w:sz="8" w:space="0"/>
              <w:right w:val="single" w:color="000000" w:sz="8" w:space="0"/>
            </w:tcBorders>
            <w:shd w:val="clear" w:color="auto" w:fill="auto"/>
            <w:vAlign w:val="center"/>
          </w:tcPr>
          <w:p w14:paraId="1CBC2BE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监控点处1h平均浓度值</w:t>
            </w:r>
          </w:p>
        </w:tc>
        <w:tc>
          <w:tcPr>
            <w:tcW w:w="1616" w:type="dxa"/>
            <w:vMerge w:val="restart"/>
            <w:tcBorders>
              <w:top w:val="nil"/>
              <w:left w:val="single" w:color="000000" w:sz="8" w:space="0"/>
              <w:right w:val="single" w:color="000000" w:sz="8" w:space="0"/>
            </w:tcBorders>
            <w:shd w:val="clear" w:color="auto" w:fill="auto"/>
            <w:vAlign w:val="center"/>
          </w:tcPr>
          <w:p w14:paraId="566B7ED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在厂房外设置监控点</w:t>
            </w:r>
          </w:p>
        </w:tc>
      </w:tr>
      <w:tr w14:paraId="1891385F">
        <w:tblPrEx>
          <w:tblCellMar>
            <w:top w:w="0" w:type="dxa"/>
            <w:left w:w="108" w:type="dxa"/>
            <w:bottom w:w="0" w:type="dxa"/>
            <w:right w:w="108" w:type="dxa"/>
          </w:tblCellMar>
        </w:tblPrEx>
        <w:trPr>
          <w:trHeight w:val="90" w:hRule="atLeast"/>
          <w:jc w:val="center"/>
        </w:trPr>
        <w:tc>
          <w:tcPr>
            <w:tcW w:w="1613" w:type="dxa"/>
            <w:vMerge w:val="continue"/>
            <w:tcBorders>
              <w:top w:val="nil"/>
              <w:left w:val="single" w:color="000000" w:sz="8" w:space="0"/>
              <w:bottom w:val="single" w:color="000000" w:sz="8" w:space="0"/>
              <w:right w:val="single" w:color="000000" w:sz="8" w:space="0"/>
            </w:tcBorders>
            <w:shd w:val="clear" w:color="auto" w:fill="auto"/>
            <w:vAlign w:val="center"/>
          </w:tcPr>
          <w:p w14:paraId="7FF72D5D">
            <w:pPr>
              <w:widowControl/>
              <w:spacing w:line="240" w:lineRule="auto"/>
              <w:ind w:firstLine="0" w:firstLineChars="0"/>
              <w:jc w:val="center"/>
              <w:textAlignment w:val="center"/>
              <w:rPr>
                <w:rFonts w:hint="default" w:ascii="Times New Roman" w:hAnsi="Times New Roman" w:cs="Times New Roman"/>
                <w:color w:val="auto"/>
                <w:sz w:val="21"/>
                <w:szCs w:val="21"/>
              </w:rPr>
            </w:pPr>
          </w:p>
        </w:tc>
        <w:tc>
          <w:tcPr>
            <w:tcW w:w="1020" w:type="dxa"/>
            <w:tcBorders>
              <w:top w:val="nil"/>
              <w:left w:val="single" w:color="000000" w:sz="8" w:space="0"/>
              <w:bottom w:val="single" w:color="000000" w:sz="8" w:space="0"/>
              <w:right w:val="single" w:color="000000" w:sz="8" w:space="0"/>
            </w:tcBorders>
            <w:shd w:val="clear" w:color="auto" w:fill="auto"/>
            <w:vAlign w:val="center"/>
          </w:tcPr>
          <w:p w14:paraId="3C867A3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30</w:t>
            </w:r>
          </w:p>
        </w:tc>
        <w:tc>
          <w:tcPr>
            <w:tcW w:w="1104" w:type="dxa"/>
            <w:tcBorders>
              <w:top w:val="nil"/>
              <w:left w:val="single" w:color="000000" w:sz="8" w:space="0"/>
              <w:bottom w:val="single" w:color="000000" w:sz="8" w:space="0"/>
              <w:right w:val="single" w:color="000000" w:sz="8" w:space="0"/>
            </w:tcBorders>
            <w:shd w:val="clear" w:color="auto" w:fill="auto"/>
            <w:vAlign w:val="center"/>
          </w:tcPr>
          <w:p w14:paraId="756A3A4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20</w:t>
            </w:r>
          </w:p>
        </w:tc>
        <w:tc>
          <w:tcPr>
            <w:tcW w:w="2724" w:type="dxa"/>
            <w:tcBorders>
              <w:top w:val="nil"/>
              <w:left w:val="single" w:color="000000" w:sz="8" w:space="0"/>
              <w:bottom w:val="single" w:color="000000" w:sz="8" w:space="0"/>
              <w:right w:val="single" w:color="000000" w:sz="8" w:space="0"/>
            </w:tcBorders>
            <w:shd w:val="clear" w:color="auto" w:fill="auto"/>
            <w:vAlign w:val="center"/>
          </w:tcPr>
          <w:p w14:paraId="5039CA8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监控点处任意一次浓度值</w:t>
            </w:r>
          </w:p>
        </w:tc>
        <w:tc>
          <w:tcPr>
            <w:tcW w:w="1616" w:type="dxa"/>
            <w:vMerge w:val="continue"/>
            <w:tcBorders>
              <w:left w:val="single" w:color="000000" w:sz="8" w:space="0"/>
              <w:bottom w:val="single" w:color="000000" w:sz="8" w:space="0"/>
              <w:right w:val="single" w:color="000000" w:sz="8" w:space="0"/>
            </w:tcBorders>
            <w:shd w:val="clear" w:color="auto" w:fill="auto"/>
            <w:noWrap/>
            <w:vAlign w:val="center"/>
          </w:tcPr>
          <w:p w14:paraId="59822BA8">
            <w:pPr>
              <w:widowControl/>
              <w:spacing w:line="240" w:lineRule="auto"/>
              <w:ind w:firstLine="0" w:firstLineChars="0"/>
              <w:jc w:val="center"/>
              <w:textAlignment w:val="center"/>
              <w:rPr>
                <w:rFonts w:hint="default" w:ascii="Times New Roman" w:hAnsi="Times New Roman" w:cs="Times New Roman"/>
                <w:color w:val="auto"/>
                <w:sz w:val="22"/>
                <w:szCs w:val="22"/>
              </w:rPr>
            </w:pPr>
          </w:p>
        </w:tc>
      </w:tr>
    </w:tbl>
    <w:p w14:paraId="1CCC7783">
      <w:pPr>
        <w:ind w:firstLine="480"/>
        <w:rPr>
          <w:rFonts w:hint="default" w:ascii="Times New Roman" w:hAnsi="Times New Roman" w:cs="Times New Roman"/>
          <w:color w:val="auto"/>
        </w:rPr>
      </w:pPr>
    </w:p>
    <w:p w14:paraId="2552A2FC">
      <w:pPr>
        <w:pStyle w:val="93"/>
        <w:rPr>
          <w:rFonts w:hint="default" w:ascii="Times New Roman" w:hAnsi="Times New Roman" w:cs="Times New Roman"/>
          <w:color w:val="auto"/>
        </w:rPr>
      </w:pPr>
      <w:r>
        <w:rPr>
          <w:rFonts w:hint="default" w:ascii="Times New Roman" w:hAnsi="Times New Roman" w:cs="Times New Roman"/>
          <w:color w:val="auto"/>
        </w:rPr>
        <w:t>表3.3.1-4   恶臭污染物排放标准</w:t>
      </w:r>
    </w:p>
    <w:tbl>
      <w:tblPr>
        <w:tblStyle w:val="45"/>
        <w:tblW w:w="48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1392"/>
        <w:gridCol w:w="1213"/>
        <w:gridCol w:w="1405"/>
        <w:gridCol w:w="1380"/>
        <w:gridCol w:w="2216"/>
      </w:tblGrid>
      <w:tr w14:paraId="136FB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vAlign w:val="center"/>
          </w:tcPr>
          <w:p w14:paraId="78560D5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序号</w:t>
            </w:r>
          </w:p>
        </w:tc>
        <w:tc>
          <w:tcPr>
            <w:tcW w:w="841" w:type="pct"/>
            <w:vAlign w:val="center"/>
          </w:tcPr>
          <w:p w14:paraId="3035BDF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污染物</w:t>
            </w:r>
          </w:p>
        </w:tc>
        <w:tc>
          <w:tcPr>
            <w:tcW w:w="733" w:type="pct"/>
            <w:vAlign w:val="center"/>
          </w:tcPr>
          <w:p w14:paraId="0DE4D0C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排放限值</w:t>
            </w:r>
          </w:p>
        </w:tc>
        <w:tc>
          <w:tcPr>
            <w:tcW w:w="849" w:type="pct"/>
            <w:vAlign w:val="center"/>
          </w:tcPr>
          <w:p w14:paraId="2E4FF89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排气筒高度</w:t>
            </w:r>
          </w:p>
        </w:tc>
        <w:tc>
          <w:tcPr>
            <w:tcW w:w="834" w:type="pct"/>
            <w:vAlign w:val="center"/>
          </w:tcPr>
          <w:p w14:paraId="16F11DC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污染物排放监控位置</w:t>
            </w:r>
          </w:p>
        </w:tc>
        <w:tc>
          <w:tcPr>
            <w:tcW w:w="1339" w:type="pct"/>
            <w:vAlign w:val="center"/>
          </w:tcPr>
          <w:p w14:paraId="3679A8B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企业厂界大气污染物浓度限值</w:t>
            </w:r>
          </w:p>
        </w:tc>
      </w:tr>
      <w:tr w14:paraId="29F4D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vAlign w:val="center"/>
          </w:tcPr>
          <w:p w14:paraId="03C7BEC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841" w:type="pct"/>
            <w:vAlign w:val="center"/>
          </w:tcPr>
          <w:p w14:paraId="0ADDC0A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臭气浓度</w:t>
            </w:r>
          </w:p>
        </w:tc>
        <w:tc>
          <w:tcPr>
            <w:tcW w:w="733" w:type="pct"/>
            <w:vAlign w:val="center"/>
          </w:tcPr>
          <w:p w14:paraId="0B63E26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6000</w:t>
            </w:r>
            <w:r>
              <w:rPr>
                <w:rFonts w:hint="default" w:ascii="Times New Roman" w:hAnsi="Times New Roman" w:cs="Times New Roman"/>
                <w:color w:val="auto"/>
                <w:spacing w:val="2"/>
                <w:kern w:val="2"/>
                <w:sz w:val="21"/>
                <w:szCs w:val="21"/>
              </w:rPr>
              <w:t>（无量纲）</w:t>
            </w:r>
          </w:p>
        </w:tc>
        <w:tc>
          <w:tcPr>
            <w:tcW w:w="849" w:type="pct"/>
            <w:vAlign w:val="center"/>
          </w:tcPr>
          <w:p w14:paraId="126BC20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25m</w:t>
            </w:r>
          </w:p>
        </w:tc>
        <w:tc>
          <w:tcPr>
            <w:tcW w:w="834" w:type="pct"/>
            <w:vAlign w:val="center"/>
          </w:tcPr>
          <w:p w14:paraId="13899E2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排气筒</w:t>
            </w:r>
          </w:p>
        </w:tc>
        <w:tc>
          <w:tcPr>
            <w:tcW w:w="1339" w:type="pct"/>
            <w:vAlign w:val="center"/>
          </w:tcPr>
          <w:p w14:paraId="067E8A3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20</w:t>
            </w:r>
            <w:r>
              <w:rPr>
                <w:rFonts w:hint="default" w:ascii="Times New Roman" w:hAnsi="Times New Roman" w:cs="Times New Roman"/>
                <w:color w:val="auto"/>
                <w:spacing w:val="2"/>
                <w:kern w:val="2"/>
                <w:sz w:val="21"/>
                <w:szCs w:val="21"/>
              </w:rPr>
              <w:t>（无量纲）</w:t>
            </w:r>
          </w:p>
        </w:tc>
      </w:tr>
      <w:tr w14:paraId="09025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vAlign w:val="center"/>
          </w:tcPr>
          <w:p w14:paraId="561D4C5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w:t>
            </w:r>
          </w:p>
        </w:tc>
        <w:tc>
          <w:tcPr>
            <w:tcW w:w="841" w:type="pct"/>
            <w:vAlign w:val="center"/>
          </w:tcPr>
          <w:p w14:paraId="620C388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苯乙烯</w:t>
            </w:r>
          </w:p>
        </w:tc>
        <w:tc>
          <w:tcPr>
            <w:tcW w:w="733" w:type="pct"/>
            <w:vAlign w:val="center"/>
          </w:tcPr>
          <w:p w14:paraId="7EA578D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849" w:type="pct"/>
            <w:vAlign w:val="center"/>
          </w:tcPr>
          <w:p w14:paraId="5FA1216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834" w:type="pct"/>
            <w:vAlign w:val="center"/>
          </w:tcPr>
          <w:p w14:paraId="559AF57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339" w:type="pct"/>
            <w:vAlign w:val="center"/>
          </w:tcPr>
          <w:p w14:paraId="3DBB00F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5.0mg/m</w:t>
            </w:r>
            <w:r>
              <w:rPr>
                <w:rFonts w:hint="default" w:ascii="Times New Roman" w:hAnsi="Times New Roman" w:cs="Times New Roman"/>
                <w:color w:val="auto"/>
                <w:kern w:val="2"/>
                <w:sz w:val="21"/>
                <w:szCs w:val="21"/>
                <w:vertAlign w:val="superscript"/>
              </w:rPr>
              <w:t>3</w:t>
            </w:r>
          </w:p>
        </w:tc>
      </w:tr>
      <w:tr w14:paraId="74BC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vAlign w:val="center"/>
          </w:tcPr>
          <w:p w14:paraId="186E792B">
            <w:pPr>
              <w:spacing w:line="240" w:lineRule="auto"/>
              <w:ind w:firstLine="0" w:firstLineChars="0"/>
              <w:jc w:val="center"/>
              <w:rPr>
                <w:rFonts w:hint="eastAsia"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3</w:t>
            </w:r>
          </w:p>
        </w:tc>
        <w:tc>
          <w:tcPr>
            <w:tcW w:w="841" w:type="pct"/>
            <w:vAlign w:val="center"/>
          </w:tcPr>
          <w:p w14:paraId="7B9CB1ED">
            <w:pPr>
              <w:spacing w:line="240" w:lineRule="auto"/>
              <w:ind w:firstLine="0" w:firstLineChars="0"/>
              <w:jc w:val="center"/>
              <w:rPr>
                <w:rFonts w:hint="eastAsia"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氨</w:t>
            </w:r>
          </w:p>
        </w:tc>
        <w:tc>
          <w:tcPr>
            <w:tcW w:w="733" w:type="pct"/>
            <w:vAlign w:val="center"/>
          </w:tcPr>
          <w:p w14:paraId="242F6192">
            <w:pPr>
              <w:spacing w:line="240" w:lineRule="auto"/>
              <w:ind w:firstLine="0" w:firstLineChars="0"/>
              <w:jc w:val="center"/>
              <w:rPr>
                <w:rFonts w:hint="default" w:ascii="Times New Roman" w:hAnsi="Times New Roman" w:cs="Times New Roman"/>
                <w:color w:val="auto"/>
                <w:kern w:val="2"/>
                <w:sz w:val="21"/>
                <w:szCs w:val="21"/>
              </w:rPr>
            </w:pPr>
            <w:r>
              <w:rPr>
                <w:rFonts w:hint="eastAsia" w:cs="Times New Roman"/>
                <w:color w:val="auto"/>
                <w:kern w:val="2"/>
                <w:sz w:val="21"/>
                <w:szCs w:val="21"/>
                <w:lang w:val="en-US" w:eastAsia="zh-CN"/>
              </w:rPr>
              <w:t>/</w:t>
            </w:r>
          </w:p>
        </w:tc>
        <w:tc>
          <w:tcPr>
            <w:tcW w:w="849" w:type="pct"/>
            <w:vAlign w:val="center"/>
          </w:tcPr>
          <w:p w14:paraId="60B3089E">
            <w:pPr>
              <w:spacing w:line="240" w:lineRule="auto"/>
              <w:ind w:firstLine="0" w:firstLineChars="0"/>
              <w:jc w:val="center"/>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w:t>
            </w:r>
          </w:p>
        </w:tc>
        <w:tc>
          <w:tcPr>
            <w:tcW w:w="834" w:type="pct"/>
            <w:vAlign w:val="center"/>
          </w:tcPr>
          <w:p w14:paraId="53B770BB">
            <w:pPr>
              <w:spacing w:line="240" w:lineRule="auto"/>
              <w:ind w:firstLine="0" w:firstLineChars="0"/>
              <w:jc w:val="center"/>
              <w:rPr>
                <w:rFonts w:hint="eastAsia" w:ascii="Times New Roman" w:hAnsi="Times New Roman" w:eastAsia="宋体" w:cs="Times New Roman"/>
                <w:color w:val="auto"/>
                <w:kern w:val="2"/>
                <w:sz w:val="21"/>
                <w:szCs w:val="21"/>
                <w:lang w:eastAsia="zh-CN"/>
              </w:rPr>
            </w:pPr>
            <w:r>
              <w:rPr>
                <w:rFonts w:hint="eastAsia" w:cs="Times New Roman"/>
                <w:color w:val="auto"/>
                <w:kern w:val="2"/>
                <w:sz w:val="21"/>
                <w:szCs w:val="21"/>
                <w:lang w:val="en-US" w:eastAsia="zh-CN"/>
              </w:rPr>
              <w:t>/</w:t>
            </w:r>
          </w:p>
        </w:tc>
        <w:tc>
          <w:tcPr>
            <w:tcW w:w="1339" w:type="pct"/>
            <w:vAlign w:val="center"/>
          </w:tcPr>
          <w:p w14:paraId="28113FA1">
            <w:pPr>
              <w:spacing w:line="240" w:lineRule="auto"/>
              <w:ind w:firstLine="0" w:firstLineChars="0"/>
              <w:jc w:val="center"/>
              <w:rPr>
                <w:rFonts w:hint="default" w:ascii="Times New Roman" w:hAnsi="Times New Roman" w:cs="Times New Roman"/>
                <w:color w:val="auto"/>
                <w:kern w:val="2"/>
                <w:sz w:val="21"/>
                <w:szCs w:val="21"/>
              </w:rPr>
            </w:pPr>
            <w:r>
              <w:rPr>
                <w:rFonts w:hint="eastAsia" w:cs="Times New Roman"/>
                <w:color w:val="auto"/>
                <w:kern w:val="2"/>
                <w:sz w:val="21"/>
                <w:szCs w:val="21"/>
                <w:lang w:val="en-US" w:eastAsia="zh-CN"/>
              </w:rPr>
              <w:t>1.5</w:t>
            </w:r>
            <w:r>
              <w:rPr>
                <w:rFonts w:hint="default" w:ascii="Times New Roman" w:hAnsi="Times New Roman" w:cs="Times New Roman"/>
                <w:color w:val="auto"/>
                <w:kern w:val="2"/>
                <w:sz w:val="21"/>
                <w:szCs w:val="21"/>
              </w:rPr>
              <w:t>mg/m</w:t>
            </w:r>
            <w:r>
              <w:rPr>
                <w:rFonts w:hint="default" w:ascii="Times New Roman" w:hAnsi="Times New Roman" w:cs="Times New Roman"/>
                <w:color w:val="auto"/>
                <w:kern w:val="2"/>
                <w:sz w:val="21"/>
                <w:szCs w:val="21"/>
                <w:vertAlign w:val="superscript"/>
              </w:rPr>
              <w:t>3</w:t>
            </w:r>
          </w:p>
        </w:tc>
      </w:tr>
    </w:tbl>
    <w:p w14:paraId="35641611">
      <w:pPr>
        <w:ind w:firstLine="480"/>
        <w:rPr>
          <w:rFonts w:hint="default" w:ascii="Times New Roman" w:hAnsi="Times New Roman" w:cs="Times New Roman"/>
          <w:color w:val="auto"/>
        </w:rPr>
      </w:pPr>
    </w:p>
    <w:p w14:paraId="089DA7C2">
      <w:pPr>
        <w:pStyle w:val="258"/>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eastAsia="宋体" w:cs="Times New Roman"/>
          <w:color w:val="auto"/>
        </w:rPr>
        <w:t>3.2 废水</w:t>
      </w:r>
    </w:p>
    <w:p w14:paraId="692FD44B">
      <w:pPr>
        <w:ind w:firstLine="480"/>
        <w:rPr>
          <w:rFonts w:hint="default" w:ascii="Times New Roman" w:hAnsi="Times New Roman" w:cs="Times New Roman"/>
          <w:color w:val="auto"/>
        </w:rPr>
      </w:pPr>
      <w:r>
        <w:rPr>
          <w:rFonts w:hint="default" w:ascii="Times New Roman" w:hAnsi="Times New Roman" w:cs="Times New Roman"/>
          <w:color w:val="auto"/>
        </w:rPr>
        <w:t>本项目生产废水为间接排放，需达到《合成树脂工业污染物排放标准》（GB31572-2015（含2024年修改单））表2间接排放标准后和生活污水全部进入</w:t>
      </w:r>
      <w:r>
        <w:rPr>
          <w:rFonts w:hint="default" w:ascii="Times New Roman" w:hAnsi="Times New Roman" w:cs="Times New Roman"/>
          <w:color w:val="auto"/>
          <w:kern w:val="2"/>
          <w:szCs w:val="24"/>
        </w:rPr>
        <w:t>中铁二局集团物资有限公司重庆分公司</w:t>
      </w:r>
      <w:r>
        <w:rPr>
          <w:rFonts w:hint="default" w:ascii="Times New Roman" w:hAnsi="Times New Roman" w:cs="Times New Roman"/>
          <w:color w:val="auto"/>
        </w:rPr>
        <w:t>已建生化池处理达《污水综合排放标准》（GB8978-1996）三级标准（其中NH</w:t>
      </w:r>
      <w:r>
        <w:rPr>
          <w:rFonts w:hint="default" w:ascii="Times New Roman" w:hAnsi="Times New Roman" w:cs="Times New Roman"/>
          <w:color w:val="auto"/>
          <w:vertAlign w:val="subscript"/>
        </w:rPr>
        <w:t>3</w:t>
      </w:r>
      <w:r>
        <w:rPr>
          <w:rFonts w:hint="default" w:ascii="Times New Roman" w:hAnsi="Times New Roman" w:cs="Times New Roman"/>
          <w:color w:val="auto"/>
        </w:rPr>
        <w:t>-N执行《污水排入城镇下水道水质标准》（GB/T31962-2015）B等级标准），</w:t>
      </w:r>
      <w:r>
        <w:rPr>
          <w:rFonts w:hint="default" w:ascii="Times New Roman" w:hAnsi="Times New Roman" w:cs="Times New Roman"/>
          <w:color w:val="auto"/>
          <w:lang w:val="en-GB"/>
        </w:rPr>
        <w:t>排入</w:t>
      </w:r>
      <w:r>
        <w:rPr>
          <w:rFonts w:hint="default" w:ascii="Times New Roman" w:hAnsi="Times New Roman" w:cs="Times New Roman"/>
          <w:color w:val="auto"/>
        </w:rPr>
        <w:t>陶家工业污水处理厂</w:t>
      </w:r>
      <w:r>
        <w:rPr>
          <w:rFonts w:hint="default" w:ascii="Times New Roman" w:hAnsi="Times New Roman" w:cs="Times New Roman"/>
          <w:color w:val="auto"/>
          <w:lang w:val="en-GB"/>
        </w:rPr>
        <w:t>，进一步处理</w:t>
      </w:r>
      <w:r>
        <w:rPr>
          <w:rFonts w:hint="default" w:ascii="Times New Roman" w:hAnsi="Times New Roman" w:cs="Times New Roman"/>
          <w:color w:val="auto"/>
        </w:rPr>
        <w:t>达《城镇污水处理厂污染物排放标准》（GB18918-2002）一级A标，其中COD、NH</w:t>
      </w:r>
      <w:r>
        <w:rPr>
          <w:rFonts w:hint="default" w:ascii="Times New Roman" w:hAnsi="Times New Roman" w:cs="Times New Roman"/>
          <w:color w:val="auto"/>
          <w:vertAlign w:val="subscript"/>
        </w:rPr>
        <w:t>3</w:t>
      </w:r>
      <w:r>
        <w:rPr>
          <w:rFonts w:hint="default" w:ascii="Times New Roman" w:hAnsi="Times New Roman" w:cs="Times New Roman"/>
          <w:color w:val="auto"/>
        </w:rPr>
        <w:t>-N、TP等主要指标达《地表水环境质量标准》（GB3838-2002）Ⅳ类标准后，排入杨柳曲河，再汇入大溪河。具体标准见下表：</w:t>
      </w:r>
    </w:p>
    <w:p w14:paraId="08EBDE99">
      <w:pPr>
        <w:pStyle w:val="93"/>
        <w:rPr>
          <w:rFonts w:hint="default" w:ascii="Times New Roman" w:hAnsi="Times New Roman" w:cs="Times New Roman"/>
          <w:color w:val="auto"/>
        </w:rPr>
      </w:pPr>
      <w:r>
        <w:rPr>
          <w:rFonts w:hint="default" w:ascii="Times New Roman" w:hAnsi="Times New Roman" w:cs="Times New Roman"/>
          <w:color w:val="auto"/>
        </w:rPr>
        <w:t>表3.3.2-1    水污染物排放标准限值     单位：mg/L(pH除外)</w:t>
      </w:r>
    </w:p>
    <w:tbl>
      <w:tblPr>
        <w:tblStyle w:val="44"/>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
      <w:tblGrid>
        <w:gridCol w:w="368"/>
        <w:gridCol w:w="788"/>
        <w:gridCol w:w="1913"/>
        <w:gridCol w:w="1704"/>
        <w:gridCol w:w="2024"/>
        <w:gridCol w:w="1567"/>
      </w:tblGrid>
      <w:tr w14:paraId="6A3A2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10" w:hRule="atLeast"/>
          <w:jc w:val="center"/>
        </w:trPr>
        <w:tc>
          <w:tcPr>
            <w:tcW w:w="368" w:type="dxa"/>
            <w:vAlign w:val="center"/>
          </w:tcPr>
          <w:p w14:paraId="613101F3">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序号</w:t>
            </w:r>
          </w:p>
        </w:tc>
        <w:tc>
          <w:tcPr>
            <w:tcW w:w="788" w:type="dxa"/>
            <w:vAlign w:val="center"/>
          </w:tcPr>
          <w:p w14:paraId="6821ECC9">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污染物</w:t>
            </w:r>
          </w:p>
        </w:tc>
        <w:tc>
          <w:tcPr>
            <w:tcW w:w="1913" w:type="dxa"/>
            <w:vAlign w:val="center"/>
          </w:tcPr>
          <w:p w14:paraId="24400DF5">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《合成树脂工业污染物排放标准》（GB31572-2015（含2024年修改单））间接排放标准</w:t>
            </w:r>
          </w:p>
        </w:tc>
        <w:tc>
          <w:tcPr>
            <w:tcW w:w="1704" w:type="dxa"/>
            <w:vAlign w:val="center"/>
          </w:tcPr>
          <w:p w14:paraId="5D1AF258">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《污水综合排放标准》（GB8978-1996）三级标准</w:t>
            </w:r>
          </w:p>
        </w:tc>
        <w:tc>
          <w:tcPr>
            <w:tcW w:w="2024" w:type="dxa"/>
            <w:vAlign w:val="center"/>
          </w:tcPr>
          <w:p w14:paraId="2F091733">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《城镇污水处理厂污染物排放标准》（GB18918-2002）及修改单中一级A标准</w:t>
            </w:r>
          </w:p>
        </w:tc>
        <w:tc>
          <w:tcPr>
            <w:tcW w:w="1567" w:type="dxa"/>
            <w:vAlign w:val="center"/>
          </w:tcPr>
          <w:p w14:paraId="4CB264E1">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《地表水环境质量标准》（GB3838-2002）Ⅳ类</w:t>
            </w:r>
          </w:p>
        </w:tc>
      </w:tr>
      <w:tr w14:paraId="17E58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10" w:hRule="atLeast"/>
          <w:jc w:val="center"/>
        </w:trPr>
        <w:tc>
          <w:tcPr>
            <w:tcW w:w="368" w:type="dxa"/>
            <w:vAlign w:val="center"/>
          </w:tcPr>
          <w:p w14:paraId="4CC45C22">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788" w:type="dxa"/>
            <w:vAlign w:val="center"/>
          </w:tcPr>
          <w:p w14:paraId="4AE14CAD">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pH</w:t>
            </w:r>
          </w:p>
        </w:tc>
        <w:tc>
          <w:tcPr>
            <w:tcW w:w="1913" w:type="dxa"/>
            <w:vAlign w:val="center"/>
          </w:tcPr>
          <w:p w14:paraId="25CA1E73">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704" w:type="dxa"/>
            <w:vAlign w:val="center"/>
          </w:tcPr>
          <w:p w14:paraId="345F306D">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6~9</w:t>
            </w:r>
          </w:p>
        </w:tc>
        <w:tc>
          <w:tcPr>
            <w:tcW w:w="2024" w:type="dxa"/>
            <w:vAlign w:val="center"/>
          </w:tcPr>
          <w:p w14:paraId="69D78032">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6~9</w:t>
            </w:r>
          </w:p>
        </w:tc>
        <w:tc>
          <w:tcPr>
            <w:tcW w:w="1567" w:type="dxa"/>
            <w:vAlign w:val="center"/>
          </w:tcPr>
          <w:p w14:paraId="434A612E">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375D4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10" w:hRule="atLeast"/>
          <w:jc w:val="center"/>
        </w:trPr>
        <w:tc>
          <w:tcPr>
            <w:tcW w:w="368" w:type="dxa"/>
            <w:vAlign w:val="center"/>
          </w:tcPr>
          <w:p w14:paraId="4AC14ED7">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w:t>
            </w:r>
          </w:p>
        </w:tc>
        <w:tc>
          <w:tcPr>
            <w:tcW w:w="788" w:type="dxa"/>
            <w:vAlign w:val="center"/>
          </w:tcPr>
          <w:p w14:paraId="07820B1C">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COD</w:t>
            </w:r>
          </w:p>
        </w:tc>
        <w:tc>
          <w:tcPr>
            <w:tcW w:w="1913" w:type="dxa"/>
            <w:vAlign w:val="center"/>
          </w:tcPr>
          <w:p w14:paraId="23ADAA2B">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704" w:type="dxa"/>
            <w:vAlign w:val="center"/>
          </w:tcPr>
          <w:p w14:paraId="4E83C60A">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500</w:t>
            </w:r>
          </w:p>
        </w:tc>
        <w:tc>
          <w:tcPr>
            <w:tcW w:w="2024" w:type="dxa"/>
            <w:vAlign w:val="center"/>
          </w:tcPr>
          <w:p w14:paraId="7225CFF6">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50</w:t>
            </w:r>
          </w:p>
        </w:tc>
        <w:tc>
          <w:tcPr>
            <w:tcW w:w="1567" w:type="dxa"/>
            <w:vAlign w:val="center"/>
          </w:tcPr>
          <w:p w14:paraId="53F77C3B">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30</w:t>
            </w:r>
          </w:p>
        </w:tc>
      </w:tr>
      <w:tr w14:paraId="1AA15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10" w:hRule="atLeast"/>
          <w:jc w:val="center"/>
        </w:trPr>
        <w:tc>
          <w:tcPr>
            <w:tcW w:w="368" w:type="dxa"/>
            <w:vAlign w:val="center"/>
          </w:tcPr>
          <w:p w14:paraId="4B5D82C0">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w:t>
            </w:r>
          </w:p>
        </w:tc>
        <w:tc>
          <w:tcPr>
            <w:tcW w:w="788" w:type="dxa"/>
            <w:vAlign w:val="center"/>
          </w:tcPr>
          <w:p w14:paraId="0529BED0">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石油类</w:t>
            </w:r>
          </w:p>
        </w:tc>
        <w:tc>
          <w:tcPr>
            <w:tcW w:w="1913" w:type="dxa"/>
            <w:vAlign w:val="center"/>
          </w:tcPr>
          <w:p w14:paraId="33A12A8A">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704" w:type="dxa"/>
            <w:vAlign w:val="center"/>
          </w:tcPr>
          <w:p w14:paraId="5F5FB4FC">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30</w:t>
            </w:r>
          </w:p>
        </w:tc>
        <w:tc>
          <w:tcPr>
            <w:tcW w:w="2024" w:type="dxa"/>
            <w:vAlign w:val="center"/>
          </w:tcPr>
          <w:p w14:paraId="3312CD98">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1567" w:type="dxa"/>
            <w:vAlign w:val="center"/>
          </w:tcPr>
          <w:p w14:paraId="6069C211">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0C1D6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10" w:hRule="atLeast"/>
          <w:jc w:val="center"/>
        </w:trPr>
        <w:tc>
          <w:tcPr>
            <w:tcW w:w="368" w:type="dxa"/>
            <w:vAlign w:val="center"/>
          </w:tcPr>
          <w:p w14:paraId="3580948A">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w:t>
            </w:r>
          </w:p>
        </w:tc>
        <w:tc>
          <w:tcPr>
            <w:tcW w:w="788" w:type="dxa"/>
            <w:vAlign w:val="center"/>
          </w:tcPr>
          <w:p w14:paraId="7A57075B">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阴离子表面活性剂</w:t>
            </w:r>
          </w:p>
        </w:tc>
        <w:tc>
          <w:tcPr>
            <w:tcW w:w="1913" w:type="dxa"/>
            <w:vAlign w:val="center"/>
          </w:tcPr>
          <w:p w14:paraId="73BFA21F">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704" w:type="dxa"/>
            <w:vAlign w:val="center"/>
          </w:tcPr>
          <w:p w14:paraId="374B954E">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20</w:t>
            </w:r>
          </w:p>
        </w:tc>
        <w:tc>
          <w:tcPr>
            <w:tcW w:w="2024" w:type="dxa"/>
            <w:vAlign w:val="center"/>
          </w:tcPr>
          <w:p w14:paraId="0D298822">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0.5</w:t>
            </w:r>
          </w:p>
        </w:tc>
        <w:tc>
          <w:tcPr>
            <w:tcW w:w="1567" w:type="dxa"/>
            <w:vAlign w:val="center"/>
          </w:tcPr>
          <w:p w14:paraId="33DC7808">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340ED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10" w:hRule="atLeast"/>
          <w:jc w:val="center"/>
        </w:trPr>
        <w:tc>
          <w:tcPr>
            <w:tcW w:w="368" w:type="dxa"/>
            <w:vAlign w:val="center"/>
          </w:tcPr>
          <w:p w14:paraId="20F819F1">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w:t>
            </w:r>
          </w:p>
        </w:tc>
        <w:tc>
          <w:tcPr>
            <w:tcW w:w="788" w:type="dxa"/>
            <w:vAlign w:val="center"/>
          </w:tcPr>
          <w:p w14:paraId="699DC1FB">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BOD</w:t>
            </w:r>
            <w:r>
              <w:rPr>
                <w:rFonts w:hint="default" w:ascii="Times New Roman" w:hAnsi="Times New Roman" w:cs="Times New Roman"/>
                <w:color w:val="auto"/>
                <w:kern w:val="2"/>
                <w:sz w:val="21"/>
                <w:szCs w:val="21"/>
                <w:vertAlign w:val="subscript"/>
              </w:rPr>
              <w:t>5</w:t>
            </w:r>
          </w:p>
        </w:tc>
        <w:tc>
          <w:tcPr>
            <w:tcW w:w="1913" w:type="dxa"/>
            <w:vAlign w:val="center"/>
          </w:tcPr>
          <w:p w14:paraId="1274811F">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704" w:type="dxa"/>
            <w:vAlign w:val="center"/>
          </w:tcPr>
          <w:p w14:paraId="24309EB5">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300</w:t>
            </w:r>
          </w:p>
        </w:tc>
        <w:tc>
          <w:tcPr>
            <w:tcW w:w="2024" w:type="dxa"/>
            <w:vAlign w:val="center"/>
          </w:tcPr>
          <w:p w14:paraId="4514CDF1">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10</w:t>
            </w:r>
          </w:p>
        </w:tc>
        <w:tc>
          <w:tcPr>
            <w:tcW w:w="1567" w:type="dxa"/>
            <w:vAlign w:val="center"/>
          </w:tcPr>
          <w:p w14:paraId="2B1E2543">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3E820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10" w:hRule="atLeast"/>
          <w:jc w:val="center"/>
        </w:trPr>
        <w:tc>
          <w:tcPr>
            <w:tcW w:w="368" w:type="dxa"/>
            <w:vAlign w:val="center"/>
          </w:tcPr>
          <w:p w14:paraId="3BCA2372">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6</w:t>
            </w:r>
          </w:p>
        </w:tc>
        <w:tc>
          <w:tcPr>
            <w:tcW w:w="788" w:type="dxa"/>
            <w:vAlign w:val="center"/>
          </w:tcPr>
          <w:p w14:paraId="2FBC76E0">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SS</w:t>
            </w:r>
          </w:p>
        </w:tc>
        <w:tc>
          <w:tcPr>
            <w:tcW w:w="1913" w:type="dxa"/>
            <w:vAlign w:val="center"/>
          </w:tcPr>
          <w:p w14:paraId="486F79BC">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704" w:type="dxa"/>
            <w:vAlign w:val="center"/>
          </w:tcPr>
          <w:p w14:paraId="345007DD">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400</w:t>
            </w:r>
          </w:p>
        </w:tc>
        <w:tc>
          <w:tcPr>
            <w:tcW w:w="2024" w:type="dxa"/>
            <w:vAlign w:val="center"/>
          </w:tcPr>
          <w:p w14:paraId="33CE2263">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10</w:t>
            </w:r>
          </w:p>
        </w:tc>
        <w:tc>
          <w:tcPr>
            <w:tcW w:w="1567" w:type="dxa"/>
            <w:vAlign w:val="center"/>
          </w:tcPr>
          <w:p w14:paraId="2955C59B">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5A7D9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10" w:hRule="atLeast"/>
          <w:jc w:val="center"/>
        </w:trPr>
        <w:tc>
          <w:tcPr>
            <w:tcW w:w="368" w:type="dxa"/>
            <w:vAlign w:val="center"/>
          </w:tcPr>
          <w:p w14:paraId="69D8E904">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7</w:t>
            </w:r>
          </w:p>
        </w:tc>
        <w:tc>
          <w:tcPr>
            <w:tcW w:w="788" w:type="dxa"/>
            <w:vAlign w:val="center"/>
          </w:tcPr>
          <w:p w14:paraId="1E73CB5A">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氨氮</w:t>
            </w:r>
          </w:p>
        </w:tc>
        <w:tc>
          <w:tcPr>
            <w:tcW w:w="1913" w:type="dxa"/>
            <w:vAlign w:val="center"/>
          </w:tcPr>
          <w:p w14:paraId="4E5560C1">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704" w:type="dxa"/>
            <w:vAlign w:val="center"/>
          </w:tcPr>
          <w:p w14:paraId="1A34F7E2">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45</w:t>
            </w:r>
          </w:p>
        </w:tc>
        <w:tc>
          <w:tcPr>
            <w:tcW w:w="2024" w:type="dxa"/>
            <w:vAlign w:val="center"/>
          </w:tcPr>
          <w:p w14:paraId="5C0C56FE">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w:t>
            </w:r>
          </w:p>
        </w:tc>
        <w:tc>
          <w:tcPr>
            <w:tcW w:w="1567" w:type="dxa"/>
            <w:vAlign w:val="center"/>
          </w:tcPr>
          <w:p w14:paraId="00C1AB12">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1.5</w:t>
            </w:r>
          </w:p>
        </w:tc>
      </w:tr>
      <w:tr w14:paraId="01741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10" w:hRule="atLeast"/>
          <w:jc w:val="center"/>
        </w:trPr>
        <w:tc>
          <w:tcPr>
            <w:tcW w:w="368" w:type="dxa"/>
            <w:vAlign w:val="center"/>
          </w:tcPr>
          <w:p w14:paraId="71027DCB">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8</w:t>
            </w:r>
          </w:p>
        </w:tc>
        <w:tc>
          <w:tcPr>
            <w:tcW w:w="788" w:type="dxa"/>
            <w:vAlign w:val="center"/>
          </w:tcPr>
          <w:p w14:paraId="08C62EAD">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苯乙烯</w:t>
            </w:r>
          </w:p>
        </w:tc>
        <w:tc>
          <w:tcPr>
            <w:tcW w:w="1913" w:type="dxa"/>
            <w:vAlign w:val="center"/>
          </w:tcPr>
          <w:p w14:paraId="1E5A7733">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0.2</w:t>
            </w:r>
          </w:p>
        </w:tc>
        <w:tc>
          <w:tcPr>
            <w:tcW w:w="1704" w:type="dxa"/>
            <w:vAlign w:val="center"/>
          </w:tcPr>
          <w:p w14:paraId="1EDAF82B">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2024" w:type="dxa"/>
            <w:vAlign w:val="center"/>
          </w:tcPr>
          <w:p w14:paraId="790C08F3">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567" w:type="dxa"/>
            <w:vAlign w:val="center"/>
          </w:tcPr>
          <w:p w14:paraId="2D9BA8A8">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2490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10" w:hRule="atLeast"/>
          <w:jc w:val="center"/>
        </w:trPr>
        <w:tc>
          <w:tcPr>
            <w:tcW w:w="368" w:type="dxa"/>
            <w:vAlign w:val="center"/>
          </w:tcPr>
          <w:p w14:paraId="3DB0697F">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w:t>
            </w:r>
          </w:p>
        </w:tc>
        <w:tc>
          <w:tcPr>
            <w:tcW w:w="788" w:type="dxa"/>
            <w:vAlign w:val="center"/>
          </w:tcPr>
          <w:p w14:paraId="3C67A2BC">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丙烯腈</w:t>
            </w:r>
          </w:p>
        </w:tc>
        <w:tc>
          <w:tcPr>
            <w:tcW w:w="1913" w:type="dxa"/>
            <w:vAlign w:val="center"/>
          </w:tcPr>
          <w:p w14:paraId="43FA7B83">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2.0</w:t>
            </w:r>
          </w:p>
        </w:tc>
        <w:tc>
          <w:tcPr>
            <w:tcW w:w="1704" w:type="dxa"/>
            <w:vAlign w:val="center"/>
          </w:tcPr>
          <w:p w14:paraId="28DE068E">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2024" w:type="dxa"/>
            <w:vAlign w:val="center"/>
          </w:tcPr>
          <w:p w14:paraId="41707549">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567" w:type="dxa"/>
            <w:vAlign w:val="center"/>
          </w:tcPr>
          <w:p w14:paraId="2FCF5EBE">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54B86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10" w:hRule="atLeast"/>
          <w:jc w:val="center"/>
        </w:trPr>
        <w:tc>
          <w:tcPr>
            <w:tcW w:w="368" w:type="dxa"/>
            <w:vAlign w:val="center"/>
          </w:tcPr>
          <w:p w14:paraId="64B593FE">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10</w:t>
            </w:r>
          </w:p>
        </w:tc>
        <w:tc>
          <w:tcPr>
            <w:tcW w:w="788" w:type="dxa"/>
            <w:vAlign w:val="center"/>
          </w:tcPr>
          <w:p w14:paraId="5E50CE64">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甲苯</w:t>
            </w:r>
          </w:p>
        </w:tc>
        <w:tc>
          <w:tcPr>
            <w:tcW w:w="1913" w:type="dxa"/>
            <w:vAlign w:val="center"/>
          </w:tcPr>
          <w:p w14:paraId="3F8341CD">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0.1</w:t>
            </w:r>
          </w:p>
        </w:tc>
        <w:tc>
          <w:tcPr>
            <w:tcW w:w="1704" w:type="dxa"/>
            <w:vAlign w:val="center"/>
          </w:tcPr>
          <w:p w14:paraId="04A47204">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2024" w:type="dxa"/>
            <w:vAlign w:val="center"/>
          </w:tcPr>
          <w:p w14:paraId="4466EC27">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567" w:type="dxa"/>
            <w:vAlign w:val="center"/>
          </w:tcPr>
          <w:p w14:paraId="6F24AA82">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7B16B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11" w:hRule="atLeast"/>
          <w:jc w:val="center"/>
        </w:trPr>
        <w:tc>
          <w:tcPr>
            <w:tcW w:w="368" w:type="dxa"/>
            <w:vAlign w:val="center"/>
          </w:tcPr>
          <w:p w14:paraId="1FFAD580">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11</w:t>
            </w:r>
          </w:p>
        </w:tc>
        <w:tc>
          <w:tcPr>
            <w:tcW w:w="788" w:type="dxa"/>
            <w:vAlign w:val="center"/>
          </w:tcPr>
          <w:p w14:paraId="14F49307">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乙苯</w:t>
            </w:r>
          </w:p>
        </w:tc>
        <w:tc>
          <w:tcPr>
            <w:tcW w:w="1913" w:type="dxa"/>
            <w:vAlign w:val="center"/>
          </w:tcPr>
          <w:p w14:paraId="2352E43F">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0.4</w:t>
            </w:r>
          </w:p>
        </w:tc>
        <w:tc>
          <w:tcPr>
            <w:tcW w:w="1704" w:type="dxa"/>
            <w:vAlign w:val="center"/>
          </w:tcPr>
          <w:p w14:paraId="25CC0CB2">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2024" w:type="dxa"/>
            <w:vAlign w:val="center"/>
          </w:tcPr>
          <w:p w14:paraId="03827FA8">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567" w:type="dxa"/>
            <w:vAlign w:val="center"/>
          </w:tcPr>
          <w:p w14:paraId="047E6E57">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16B65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10" w:hRule="atLeast"/>
          <w:jc w:val="center"/>
        </w:trPr>
        <w:tc>
          <w:tcPr>
            <w:tcW w:w="368" w:type="dxa"/>
            <w:vAlign w:val="center"/>
          </w:tcPr>
          <w:p w14:paraId="21C704C8">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12</w:t>
            </w:r>
          </w:p>
        </w:tc>
        <w:tc>
          <w:tcPr>
            <w:tcW w:w="788" w:type="dxa"/>
            <w:vAlign w:val="center"/>
          </w:tcPr>
          <w:p w14:paraId="6A68EE76">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双酚A</w:t>
            </w:r>
          </w:p>
        </w:tc>
        <w:tc>
          <w:tcPr>
            <w:tcW w:w="1913" w:type="dxa"/>
            <w:vAlign w:val="center"/>
          </w:tcPr>
          <w:p w14:paraId="22E5030A">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0.1</w:t>
            </w:r>
          </w:p>
        </w:tc>
        <w:tc>
          <w:tcPr>
            <w:tcW w:w="1704" w:type="dxa"/>
            <w:vAlign w:val="center"/>
          </w:tcPr>
          <w:p w14:paraId="72C4D85F">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2024" w:type="dxa"/>
            <w:vAlign w:val="center"/>
          </w:tcPr>
          <w:p w14:paraId="69F9DBC1">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567" w:type="dxa"/>
            <w:vAlign w:val="center"/>
          </w:tcPr>
          <w:p w14:paraId="160B2C62">
            <w:pPr>
              <w:pStyle w:val="91"/>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bl>
    <w:p w14:paraId="041501E0">
      <w:pPr>
        <w:pStyle w:val="258"/>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eastAsia="宋体" w:cs="Times New Roman"/>
          <w:color w:val="auto"/>
        </w:rPr>
        <w:t>3.3</w:t>
      </w:r>
      <w:r>
        <w:rPr>
          <w:rFonts w:hint="default" w:ascii="Times New Roman" w:hAnsi="Times New Roman" w:cs="Times New Roman"/>
          <w:color w:val="auto"/>
        </w:rPr>
        <w:t xml:space="preserve"> </w:t>
      </w:r>
      <w:r>
        <w:rPr>
          <w:rFonts w:hint="default" w:ascii="Times New Roman" w:hAnsi="Times New Roman" w:eastAsia="宋体" w:cs="Times New Roman"/>
          <w:color w:val="auto"/>
        </w:rPr>
        <w:t>噪声</w:t>
      </w:r>
    </w:p>
    <w:p w14:paraId="315D3668">
      <w:pPr>
        <w:ind w:firstLine="480"/>
        <w:rPr>
          <w:rFonts w:hint="default" w:ascii="Times New Roman" w:hAnsi="Times New Roman" w:cs="Times New Roman"/>
          <w:color w:val="auto"/>
        </w:rPr>
      </w:pPr>
      <w:r>
        <w:rPr>
          <w:rFonts w:hint="default" w:ascii="Times New Roman" w:hAnsi="Times New Roman" w:cs="Times New Roman"/>
          <w:color w:val="auto"/>
        </w:rPr>
        <w:t>施工期噪声执行《建筑施工噪声排放标准》（GB12523-2025），标准值见表3.3.3-1。运营期噪声执行《工业企业厂界环境噪声排放标准》(GB12348-2008)中3类区标准，标准值见表3.3.3-2。</w:t>
      </w:r>
    </w:p>
    <w:p w14:paraId="56C58FDC">
      <w:pPr>
        <w:pStyle w:val="93"/>
        <w:rPr>
          <w:rFonts w:hint="default" w:ascii="Times New Roman" w:hAnsi="Times New Roman" w:cs="Times New Roman"/>
          <w:color w:val="auto"/>
        </w:rPr>
      </w:pPr>
      <w:r>
        <w:rPr>
          <w:rFonts w:hint="default" w:ascii="Times New Roman" w:hAnsi="Times New Roman" w:cs="Times New Roman"/>
          <w:color w:val="auto"/>
        </w:rPr>
        <w:t>表3.3.3-1  建筑施工噪声排放限值   单位：dB(A)</w:t>
      </w:r>
    </w:p>
    <w:tbl>
      <w:tblPr>
        <w:tblStyle w:val="44"/>
        <w:tblW w:w="48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7"/>
        <w:gridCol w:w="4146"/>
      </w:tblGrid>
      <w:tr w14:paraId="0AFF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pct"/>
            <w:vAlign w:val="center"/>
          </w:tcPr>
          <w:p w14:paraId="50B97A69">
            <w:pPr>
              <w:pStyle w:val="22"/>
              <w:adjustRightInd w:val="0"/>
              <w:spacing w:line="240" w:lineRule="auto"/>
              <w:ind w:firstLine="0" w:firstLineChars="0"/>
              <w:jc w:val="center"/>
              <w:rPr>
                <w:rFonts w:hint="default" w:ascii="Times New Roman" w:hAnsi="Times New Roman" w:cs="Times New Roman"/>
                <w:b/>
                <w:bCs/>
                <w:color w:val="auto"/>
                <w:kern w:val="2"/>
                <w:sz w:val="21"/>
                <w:szCs w:val="21"/>
              </w:rPr>
            </w:pPr>
            <w:r>
              <w:rPr>
                <w:rFonts w:hint="default" w:ascii="Times New Roman" w:hAnsi="Times New Roman" w:cs="Times New Roman"/>
                <w:b/>
                <w:bCs/>
                <w:color w:val="auto"/>
                <w:kern w:val="2"/>
                <w:sz w:val="21"/>
                <w:szCs w:val="21"/>
              </w:rPr>
              <w:t>昼间</w:t>
            </w:r>
          </w:p>
        </w:tc>
        <w:tc>
          <w:tcPr>
            <w:tcW w:w="2506" w:type="pct"/>
            <w:vAlign w:val="center"/>
          </w:tcPr>
          <w:p w14:paraId="4412B6F1">
            <w:pPr>
              <w:pStyle w:val="22"/>
              <w:adjustRightInd w:val="0"/>
              <w:spacing w:line="240" w:lineRule="auto"/>
              <w:ind w:firstLine="0" w:firstLineChars="0"/>
              <w:jc w:val="center"/>
              <w:rPr>
                <w:rFonts w:hint="default" w:ascii="Times New Roman" w:hAnsi="Times New Roman" w:cs="Times New Roman"/>
                <w:b/>
                <w:bCs/>
                <w:color w:val="auto"/>
                <w:kern w:val="2"/>
                <w:sz w:val="21"/>
                <w:szCs w:val="21"/>
              </w:rPr>
            </w:pPr>
            <w:r>
              <w:rPr>
                <w:rFonts w:hint="default" w:ascii="Times New Roman" w:hAnsi="Times New Roman" w:cs="Times New Roman"/>
                <w:b/>
                <w:bCs/>
                <w:color w:val="auto"/>
                <w:kern w:val="2"/>
                <w:sz w:val="21"/>
                <w:szCs w:val="21"/>
              </w:rPr>
              <w:t>夜间</w:t>
            </w:r>
          </w:p>
        </w:tc>
      </w:tr>
      <w:tr w14:paraId="157E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pct"/>
            <w:vAlign w:val="center"/>
          </w:tcPr>
          <w:p w14:paraId="314CDCE8">
            <w:pPr>
              <w:pStyle w:val="22"/>
              <w:adjustRightIn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70</w:t>
            </w:r>
          </w:p>
        </w:tc>
        <w:tc>
          <w:tcPr>
            <w:tcW w:w="2506" w:type="pct"/>
            <w:vAlign w:val="center"/>
          </w:tcPr>
          <w:p w14:paraId="7DBF282A">
            <w:pPr>
              <w:pStyle w:val="22"/>
              <w:adjustRightIn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55</w:t>
            </w:r>
          </w:p>
        </w:tc>
      </w:tr>
    </w:tbl>
    <w:p w14:paraId="7BA4517D">
      <w:pPr>
        <w:pStyle w:val="93"/>
        <w:rPr>
          <w:rFonts w:hint="default" w:ascii="Times New Roman" w:hAnsi="Times New Roman" w:cs="Times New Roman"/>
          <w:color w:val="auto"/>
        </w:rPr>
      </w:pPr>
      <w:r>
        <w:rPr>
          <w:rFonts w:hint="default" w:ascii="Times New Roman" w:hAnsi="Times New Roman" w:cs="Times New Roman"/>
          <w:color w:val="auto"/>
        </w:rPr>
        <w:t>表3.3.3-2   工业企业厂界环境噪声排放标准     单位：dB(A)</w:t>
      </w:r>
    </w:p>
    <w:tbl>
      <w:tblPr>
        <w:tblStyle w:val="44"/>
        <w:tblW w:w="48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2"/>
        <w:gridCol w:w="2275"/>
        <w:gridCol w:w="2008"/>
        <w:gridCol w:w="2008"/>
      </w:tblGrid>
      <w:tr w14:paraId="4D29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197" w:type="pct"/>
            <w:vAlign w:val="center"/>
          </w:tcPr>
          <w:p w14:paraId="5A2B6B25">
            <w:pPr>
              <w:pStyle w:val="22"/>
              <w:adjustRightInd w:val="0"/>
              <w:spacing w:line="240" w:lineRule="auto"/>
              <w:ind w:firstLine="0" w:firstLineChars="0"/>
              <w:jc w:val="center"/>
              <w:rPr>
                <w:rFonts w:hint="default" w:ascii="Times New Roman" w:hAnsi="Times New Roman" w:cs="Times New Roman"/>
                <w:b/>
                <w:bCs/>
                <w:color w:val="auto"/>
                <w:kern w:val="2"/>
                <w:sz w:val="21"/>
                <w:szCs w:val="21"/>
              </w:rPr>
            </w:pPr>
            <w:r>
              <w:rPr>
                <w:rFonts w:hint="default" w:ascii="Times New Roman" w:hAnsi="Times New Roman" w:cs="Times New Roman"/>
                <w:b/>
                <w:bCs/>
                <w:color w:val="auto"/>
                <w:kern w:val="2"/>
                <w:sz w:val="21"/>
                <w:szCs w:val="21"/>
              </w:rPr>
              <w:t>类别</w:t>
            </w:r>
          </w:p>
        </w:tc>
        <w:tc>
          <w:tcPr>
            <w:tcW w:w="1374" w:type="pct"/>
            <w:vAlign w:val="center"/>
          </w:tcPr>
          <w:p w14:paraId="141964ED">
            <w:pPr>
              <w:pStyle w:val="22"/>
              <w:adjustRightInd w:val="0"/>
              <w:spacing w:line="240" w:lineRule="auto"/>
              <w:ind w:firstLine="0" w:firstLineChars="0"/>
              <w:jc w:val="center"/>
              <w:rPr>
                <w:rFonts w:hint="default" w:ascii="Times New Roman" w:hAnsi="Times New Roman" w:cs="Times New Roman"/>
                <w:b/>
                <w:bCs/>
                <w:color w:val="auto"/>
                <w:kern w:val="2"/>
                <w:sz w:val="21"/>
                <w:szCs w:val="21"/>
              </w:rPr>
            </w:pPr>
            <w:r>
              <w:rPr>
                <w:rFonts w:hint="default" w:ascii="Times New Roman" w:hAnsi="Times New Roman" w:cs="Times New Roman"/>
                <w:b/>
                <w:bCs/>
                <w:color w:val="auto"/>
                <w:kern w:val="2"/>
                <w:sz w:val="21"/>
                <w:szCs w:val="21"/>
              </w:rPr>
              <w:t>昼间</w:t>
            </w:r>
          </w:p>
        </w:tc>
        <w:tc>
          <w:tcPr>
            <w:tcW w:w="1213" w:type="pct"/>
            <w:vAlign w:val="center"/>
          </w:tcPr>
          <w:p w14:paraId="1E1A80BD">
            <w:pPr>
              <w:pStyle w:val="22"/>
              <w:adjustRightInd w:val="0"/>
              <w:spacing w:line="240" w:lineRule="auto"/>
              <w:ind w:firstLine="0" w:firstLineChars="0"/>
              <w:jc w:val="center"/>
              <w:rPr>
                <w:rFonts w:hint="default" w:ascii="Times New Roman" w:hAnsi="Times New Roman" w:cs="Times New Roman"/>
                <w:b/>
                <w:bCs/>
                <w:color w:val="auto"/>
                <w:kern w:val="2"/>
                <w:sz w:val="21"/>
                <w:szCs w:val="21"/>
              </w:rPr>
            </w:pPr>
            <w:r>
              <w:rPr>
                <w:rFonts w:hint="default" w:ascii="Times New Roman" w:hAnsi="Times New Roman" w:cs="Times New Roman"/>
                <w:b/>
                <w:bCs/>
                <w:color w:val="auto"/>
                <w:kern w:val="2"/>
                <w:sz w:val="21"/>
                <w:szCs w:val="21"/>
              </w:rPr>
              <w:t>夜间</w:t>
            </w:r>
          </w:p>
        </w:tc>
        <w:tc>
          <w:tcPr>
            <w:tcW w:w="1213" w:type="pct"/>
          </w:tcPr>
          <w:p w14:paraId="412EB772">
            <w:pPr>
              <w:pStyle w:val="22"/>
              <w:adjustRightInd w:val="0"/>
              <w:spacing w:line="240" w:lineRule="auto"/>
              <w:ind w:firstLine="0" w:firstLineChars="0"/>
              <w:jc w:val="center"/>
              <w:rPr>
                <w:rFonts w:hint="default" w:ascii="Times New Roman" w:hAnsi="Times New Roman" w:cs="Times New Roman"/>
                <w:b/>
                <w:bCs/>
                <w:color w:val="auto"/>
                <w:kern w:val="2"/>
                <w:sz w:val="21"/>
                <w:szCs w:val="21"/>
              </w:rPr>
            </w:pPr>
            <w:r>
              <w:rPr>
                <w:rFonts w:hint="default" w:ascii="Times New Roman" w:hAnsi="Times New Roman" w:cs="Times New Roman"/>
                <w:b/>
                <w:bCs/>
                <w:color w:val="auto"/>
                <w:kern w:val="2"/>
                <w:sz w:val="21"/>
                <w:szCs w:val="21"/>
              </w:rPr>
              <w:t>备注</w:t>
            </w:r>
          </w:p>
        </w:tc>
      </w:tr>
      <w:tr w14:paraId="18CB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197" w:type="pct"/>
            <w:vAlign w:val="center"/>
          </w:tcPr>
          <w:p w14:paraId="71E3E5BB">
            <w:pPr>
              <w:pStyle w:val="22"/>
              <w:adjustRightIn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3类</w:t>
            </w:r>
          </w:p>
        </w:tc>
        <w:tc>
          <w:tcPr>
            <w:tcW w:w="1374" w:type="pct"/>
            <w:vAlign w:val="center"/>
          </w:tcPr>
          <w:p w14:paraId="6FB29729">
            <w:pPr>
              <w:pStyle w:val="22"/>
              <w:adjustRightIn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65</w:t>
            </w:r>
          </w:p>
        </w:tc>
        <w:tc>
          <w:tcPr>
            <w:tcW w:w="1213" w:type="pct"/>
            <w:vAlign w:val="center"/>
          </w:tcPr>
          <w:p w14:paraId="326FF7C5">
            <w:pPr>
              <w:pStyle w:val="22"/>
              <w:adjustRightIn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55</w:t>
            </w:r>
          </w:p>
        </w:tc>
        <w:tc>
          <w:tcPr>
            <w:tcW w:w="1213" w:type="pct"/>
          </w:tcPr>
          <w:p w14:paraId="77B110B4">
            <w:pPr>
              <w:pStyle w:val="22"/>
              <w:adjustRightIn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厂界</w:t>
            </w:r>
          </w:p>
        </w:tc>
      </w:tr>
    </w:tbl>
    <w:p w14:paraId="0889A52A">
      <w:pPr>
        <w:pStyle w:val="258"/>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eastAsia="宋体" w:cs="Times New Roman"/>
          <w:color w:val="auto"/>
        </w:rPr>
        <w:t>3.4</w:t>
      </w:r>
      <w:r>
        <w:rPr>
          <w:rFonts w:hint="default" w:ascii="Times New Roman" w:hAnsi="Times New Roman" w:cs="Times New Roman"/>
          <w:color w:val="auto"/>
        </w:rPr>
        <w:t xml:space="preserve"> </w:t>
      </w:r>
      <w:r>
        <w:rPr>
          <w:rFonts w:hint="default" w:ascii="Times New Roman" w:hAnsi="Times New Roman" w:eastAsia="宋体" w:cs="Times New Roman"/>
          <w:color w:val="auto"/>
        </w:rPr>
        <w:t>固体废物</w:t>
      </w:r>
    </w:p>
    <w:p w14:paraId="36A1B34F">
      <w:pPr>
        <w:ind w:firstLine="480"/>
        <w:rPr>
          <w:rFonts w:hint="default" w:ascii="Times New Roman" w:hAnsi="Times New Roman" w:cs="Times New Roman"/>
          <w:color w:val="auto"/>
        </w:rPr>
      </w:pPr>
      <w:r>
        <w:rPr>
          <w:rFonts w:hint="default" w:ascii="Times New Roman" w:hAnsi="Times New Roman" w:cs="Times New Roman"/>
          <w:color w:val="auto"/>
        </w:rPr>
        <w:t>本项目危险废物执行《危险废物贮存污染控制标准》（GB18597-2023）。</w:t>
      </w:r>
    </w:p>
    <w:p w14:paraId="637ADF38">
      <w:pPr>
        <w:ind w:firstLine="480"/>
        <w:rPr>
          <w:rFonts w:hint="default" w:ascii="Times New Roman" w:hAnsi="Times New Roman" w:cs="Times New Roman"/>
          <w:color w:val="auto"/>
        </w:rPr>
      </w:pPr>
      <w:r>
        <w:rPr>
          <w:rFonts w:hint="default" w:ascii="Times New Roman" w:hAnsi="Times New Roman" w:cs="Times New Roman"/>
          <w:color w:val="auto"/>
        </w:rPr>
        <w:t>根据《一般工业固体废物贮存和填埋污染控制标准》（GB18599-2020），采用库房、包装工具（罐、桶、包装袋等）贮存一般工业固体废物过程的污染控制，不适用本标准，其贮存过程应满足相应防渗漏、防雨淋、防扬尘等环境保护要求。</w:t>
      </w:r>
    </w:p>
    <w:p w14:paraId="4B63E2AD">
      <w:pPr>
        <w:pStyle w:val="3"/>
        <w:rPr>
          <w:rFonts w:hint="default" w:ascii="Times New Roman" w:hAnsi="Times New Roman" w:cs="Times New Roman"/>
          <w:color w:val="auto"/>
        </w:rPr>
        <w:sectPr>
          <w:headerReference r:id="rId18" w:type="default"/>
          <w:pgSz w:w="11907" w:h="16840"/>
          <w:pgMar w:top="1440" w:right="1797" w:bottom="1440" w:left="1797" w:header="851" w:footer="992" w:gutter="0"/>
          <w:cols w:space="720" w:num="1"/>
          <w:docGrid w:type="lines" w:linePitch="312" w:charSpace="0"/>
        </w:sectPr>
      </w:pPr>
    </w:p>
    <w:p w14:paraId="5AAF99CB">
      <w:pPr>
        <w:pStyle w:val="3"/>
        <w:rPr>
          <w:rFonts w:hint="default" w:ascii="Times New Roman" w:hAnsi="Times New Roman" w:cs="Times New Roman"/>
          <w:color w:val="auto"/>
        </w:rPr>
      </w:pPr>
      <w:r>
        <w:rPr>
          <w:rFonts w:hint="default" w:ascii="Times New Roman" w:hAnsi="Times New Roman" w:cs="Times New Roman"/>
          <w:color w:val="auto"/>
        </w:rPr>
        <w:t>3.4 总量控制指标</w:t>
      </w:r>
    </w:p>
    <w:p w14:paraId="1639D6F0">
      <w:pPr>
        <w:ind w:firstLine="480"/>
        <w:rPr>
          <w:rFonts w:hint="default" w:ascii="Times New Roman" w:hAnsi="Times New Roman" w:cs="Times New Roman"/>
          <w:color w:val="auto"/>
        </w:rPr>
      </w:pPr>
      <w:r>
        <w:rPr>
          <w:rFonts w:hint="default" w:ascii="Times New Roman" w:hAnsi="Times New Roman" w:cs="Times New Roman"/>
          <w:color w:val="auto"/>
        </w:rPr>
        <w:t>全厂排污总量见下表。</w:t>
      </w:r>
    </w:p>
    <w:p w14:paraId="2D72DF98">
      <w:pPr>
        <w:pStyle w:val="93"/>
        <w:rPr>
          <w:rFonts w:hint="default" w:ascii="Times New Roman" w:hAnsi="Times New Roman" w:cs="Times New Roman"/>
          <w:color w:val="auto"/>
        </w:rPr>
      </w:pPr>
      <w:r>
        <w:rPr>
          <w:rFonts w:hint="default" w:ascii="Times New Roman" w:hAnsi="Times New Roman" w:cs="Times New Roman"/>
          <w:color w:val="auto"/>
        </w:rPr>
        <w:t>表3.4.1-1    全厂污染物排放总量</w:t>
      </w:r>
    </w:p>
    <w:tbl>
      <w:tblPr>
        <w:tblStyle w:val="44"/>
        <w:tblW w:w="49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62"/>
        <w:gridCol w:w="3132"/>
        <w:gridCol w:w="3708"/>
      </w:tblGrid>
      <w:tr w14:paraId="7135AC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362" w:type="dxa"/>
            <w:tcBorders>
              <w:tl2br w:val="single" w:color="auto" w:sz="4" w:space="0"/>
            </w:tcBorders>
            <w:tcMar>
              <w:left w:w="28" w:type="dxa"/>
              <w:right w:w="28" w:type="dxa"/>
            </w:tcMar>
            <w:vAlign w:val="center"/>
          </w:tcPr>
          <w:p w14:paraId="5D0D2E01">
            <w:pPr>
              <w:adjustRightInd w:val="0"/>
              <w:snapToGrid w:val="0"/>
              <w:spacing w:line="240" w:lineRule="auto"/>
              <w:ind w:firstLine="0" w:firstLineChars="0"/>
              <w:jc w:val="right"/>
              <w:rPr>
                <w:rFonts w:hint="default" w:ascii="Times New Roman" w:hAnsi="Times New Roman" w:cs="Times New Roman"/>
                <w:snapToGrid w:val="0"/>
                <w:color w:val="auto"/>
                <w:spacing w:val="-6"/>
                <w:kern w:val="21"/>
                <w:sz w:val="21"/>
                <w:szCs w:val="21"/>
              </w:rPr>
            </w:pPr>
            <w:r>
              <w:rPr>
                <w:rFonts w:hint="default" w:ascii="Times New Roman" w:hAnsi="Times New Roman" w:cs="Times New Roman"/>
                <w:snapToGrid w:val="0"/>
                <w:color w:val="auto"/>
                <w:spacing w:val="-6"/>
                <w:kern w:val="21"/>
                <w:sz w:val="21"/>
                <w:szCs w:val="21"/>
              </w:rPr>
              <w:t>项目</w:t>
            </w:r>
          </w:p>
          <w:p w14:paraId="2E2F74BD">
            <w:pPr>
              <w:adjustRightInd w:val="0"/>
              <w:snapToGrid w:val="0"/>
              <w:spacing w:line="240" w:lineRule="auto"/>
              <w:ind w:firstLine="0" w:firstLineChars="0"/>
              <w:jc w:val="left"/>
              <w:rPr>
                <w:rFonts w:hint="default" w:ascii="Times New Roman" w:hAnsi="Times New Roman" w:cs="Times New Roman"/>
                <w:snapToGrid w:val="0"/>
                <w:color w:val="auto"/>
                <w:spacing w:val="-6"/>
                <w:kern w:val="21"/>
                <w:sz w:val="21"/>
                <w:szCs w:val="21"/>
              </w:rPr>
            </w:pPr>
            <w:r>
              <w:rPr>
                <w:rFonts w:hint="default" w:ascii="Times New Roman" w:hAnsi="Times New Roman" w:cs="Times New Roman"/>
                <w:snapToGrid w:val="0"/>
                <w:color w:val="auto"/>
                <w:spacing w:val="-6"/>
                <w:kern w:val="21"/>
                <w:sz w:val="21"/>
                <w:szCs w:val="21"/>
              </w:rPr>
              <w:t>分类</w:t>
            </w:r>
          </w:p>
        </w:tc>
        <w:tc>
          <w:tcPr>
            <w:tcW w:w="3132" w:type="dxa"/>
            <w:tcMar>
              <w:left w:w="28" w:type="dxa"/>
              <w:right w:w="28" w:type="dxa"/>
            </w:tcMar>
            <w:vAlign w:val="center"/>
          </w:tcPr>
          <w:p w14:paraId="08DA9274">
            <w:pPr>
              <w:adjustRightInd w:val="0"/>
              <w:snapToGrid w:val="0"/>
              <w:spacing w:line="240" w:lineRule="auto"/>
              <w:ind w:firstLine="0" w:firstLineChars="0"/>
              <w:jc w:val="center"/>
              <w:rPr>
                <w:rFonts w:hint="default" w:ascii="Times New Roman" w:hAnsi="Times New Roman" w:cs="Times New Roman"/>
                <w:snapToGrid w:val="0"/>
                <w:color w:val="auto"/>
                <w:spacing w:val="-6"/>
                <w:kern w:val="21"/>
                <w:sz w:val="21"/>
                <w:szCs w:val="21"/>
              </w:rPr>
            </w:pPr>
            <w:r>
              <w:rPr>
                <w:rFonts w:hint="default" w:ascii="Times New Roman" w:hAnsi="Times New Roman" w:cs="Times New Roman"/>
                <w:snapToGrid w:val="0"/>
                <w:color w:val="auto"/>
                <w:spacing w:val="-6"/>
                <w:kern w:val="21"/>
                <w:sz w:val="21"/>
                <w:szCs w:val="21"/>
              </w:rPr>
              <w:t>污染物名称</w:t>
            </w:r>
          </w:p>
        </w:tc>
        <w:tc>
          <w:tcPr>
            <w:tcW w:w="3708" w:type="dxa"/>
            <w:tcMar>
              <w:left w:w="28" w:type="dxa"/>
              <w:right w:w="28" w:type="dxa"/>
            </w:tcMar>
            <w:vAlign w:val="center"/>
          </w:tcPr>
          <w:p w14:paraId="0631EE90">
            <w:pPr>
              <w:adjustRightInd w:val="0"/>
              <w:snapToGrid w:val="0"/>
              <w:spacing w:line="240" w:lineRule="auto"/>
              <w:ind w:firstLine="0" w:firstLineChars="0"/>
              <w:jc w:val="center"/>
              <w:rPr>
                <w:rFonts w:hint="default" w:ascii="Times New Roman" w:hAnsi="Times New Roman" w:cs="Times New Roman"/>
                <w:snapToGrid w:val="0"/>
                <w:color w:val="auto"/>
                <w:spacing w:val="-6"/>
                <w:kern w:val="21"/>
                <w:sz w:val="21"/>
                <w:szCs w:val="21"/>
              </w:rPr>
            </w:pPr>
            <w:r>
              <w:rPr>
                <w:rFonts w:hint="default" w:ascii="Times New Roman" w:hAnsi="Times New Roman" w:cs="Times New Roman"/>
                <w:snapToGrid w:val="0"/>
                <w:color w:val="auto"/>
                <w:spacing w:val="-6"/>
                <w:kern w:val="21"/>
                <w:sz w:val="21"/>
                <w:szCs w:val="21"/>
              </w:rPr>
              <w:t>本项目排放量（固体废物产生量）</w:t>
            </w:r>
          </w:p>
          <w:p w14:paraId="5083425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t/a</w:t>
            </w:r>
          </w:p>
        </w:tc>
      </w:tr>
      <w:tr w14:paraId="4945FE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restart"/>
            <w:vAlign w:val="center"/>
          </w:tcPr>
          <w:p w14:paraId="7D0C376B">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废气</w:t>
            </w:r>
          </w:p>
        </w:tc>
        <w:tc>
          <w:tcPr>
            <w:tcW w:w="3132" w:type="dxa"/>
            <w:vAlign w:val="center"/>
          </w:tcPr>
          <w:p w14:paraId="40B4C1E9">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非甲烷总烃</w:t>
            </w:r>
          </w:p>
        </w:tc>
        <w:tc>
          <w:tcPr>
            <w:tcW w:w="3708" w:type="dxa"/>
            <w:vAlign w:val="center"/>
          </w:tcPr>
          <w:p w14:paraId="1FB0622D">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spacing w:val="-16"/>
                <w:kern w:val="21"/>
                <w:sz w:val="21"/>
                <w:szCs w:val="21"/>
                <w:lang w:val="en-US" w:eastAsia="zh-CN"/>
              </w:rPr>
              <w:t>1.98747</w:t>
            </w:r>
          </w:p>
        </w:tc>
      </w:tr>
      <w:tr w14:paraId="2217AB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continue"/>
            <w:vAlign w:val="center"/>
          </w:tcPr>
          <w:p w14:paraId="5ED737E5">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3132" w:type="dxa"/>
            <w:vAlign w:val="center"/>
          </w:tcPr>
          <w:p w14:paraId="508D851B">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酚类</w:t>
            </w:r>
          </w:p>
        </w:tc>
        <w:tc>
          <w:tcPr>
            <w:tcW w:w="3708" w:type="dxa"/>
            <w:vAlign w:val="center"/>
          </w:tcPr>
          <w:p w14:paraId="49A204C2">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spacing w:val="-16"/>
                <w:kern w:val="21"/>
                <w:sz w:val="21"/>
                <w:szCs w:val="21"/>
                <w:lang w:val="en-US" w:eastAsia="zh-CN"/>
              </w:rPr>
              <w:t>0.0018</w:t>
            </w:r>
          </w:p>
        </w:tc>
      </w:tr>
      <w:tr w14:paraId="36DC0B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continue"/>
            <w:vAlign w:val="center"/>
          </w:tcPr>
          <w:p w14:paraId="5A5CBEC8">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3132" w:type="dxa"/>
            <w:vAlign w:val="center"/>
          </w:tcPr>
          <w:p w14:paraId="34FB0857">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丙烯腈</w:t>
            </w:r>
          </w:p>
        </w:tc>
        <w:tc>
          <w:tcPr>
            <w:tcW w:w="3708" w:type="dxa"/>
            <w:vAlign w:val="center"/>
          </w:tcPr>
          <w:p w14:paraId="31D30744">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spacing w:val="-16"/>
                <w:kern w:val="21"/>
                <w:sz w:val="21"/>
                <w:szCs w:val="21"/>
                <w:lang w:val="en-US" w:eastAsia="zh-CN"/>
              </w:rPr>
              <w:t>0.00067</w:t>
            </w:r>
          </w:p>
        </w:tc>
      </w:tr>
      <w:tr w14:paraId="432946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continue"/>
            <w:vAlign w:val="center"/>
          </w:tcPr>
          <w:p w14:paraId="4761545B">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3132" w:type="dxa"/>
            <w:vAlign w:val="center"/>
          </w:tcPr>
          <w:p w14:paraId="0C0B361A">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苯乙烯</w:t>
            </w:r>
          </w:p>
        </w:tc>
        <w:tc>
          <w:tcPr>
            <w:tcW w:w="3708" w:type="dxa"/>
            <w:vAlign w:val="center"/>
          </w:tcPr>
          <w:p w14:paraId="4CD0DA17">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spacing w:val="-16"/>
                <w:kern w:val="21"/>
                <w:sz w:val="21"/>
                <w:szCs w:val="21"/>
                <w:lang w:val="en-US" w:eastAsia="zh-CN"/>
              </w:rPr>
              <w:t>0.00169</w:t>
            </w:r>
          </w:p>
        </w:tc>
      </w:tr>
      <w:tr w14:paraId="5F34BA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continue"/>
            <w:vAlign w:val="center"/>
          </w:tcPr>
          <w:p w14:paraId="1604CB67">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3132" w:type="dxa"/>
            <w:vAlign w:val="center"/>
          </w:tcPr>
          <w:p w14:paraId="75BEB41A">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乙苯</w:t>
            </w:r>
          </w:p>
        </w:tc>
        <w:tc>
          <w:tcPr>
            <w:tcW w:w="3708" w:type="dxa"/>
            <w:vAlign w:val="center"/>
          </w:tcPr>
          <w:p w14:paraId="2E03115F">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spacing w:val="-16"/>
                <w:kern w:val="21"/>
                <w:sz w:val="21"/>
                <w:szCs w:val="21"/>
                <w:lang w:val="en-US" w:eastAsia="zh-CN"/>
              </w:rPr>
              <w:t>0.00100</w:t>
            </w:r>
          </w:p>
        </w:tc>
      </w:tr>
      <w:tr w14:paraId="08BB08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continue"/>
            <w:vAlign w:val="center"/>
          </w:tcPr>
          <w:p w14:paraId="0F0D9B4E">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3132" w:type="dxa"/>
            <w:vAlign w:val="center"/>
          </w:tcPr>
          <w:p w14:paraId="6F469904">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甲苯</w:t>
            </w:r>
          </w:p>
        </w:tc>
        <w:tc>
          <w:tcPr>
            <w:tcW w:w="3708" w:type="dxa"/>
            <w:vAlign w:val="center"/>
          </w:tcPr>
          <w:p w14:paraId="402E15CF">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spacing w:val="-16"/>
                <w:kern w:val="21"/>
                <w:sz w:val="21"/>
                <w:szCs w:val="21"/>
                <w:lang w:val="en-US" w:eastAsia="zh-CN"/>
              </w:rPr>
              <w:t>0.000022</w:t>
            </w:r>
          </w:p>
        </w:tc>
      </w:tr>
      <w:tr w14:paraId="5F0C13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continue"/>
            <w:vAlign w:val="center"/>
          </w:tcPr>
          <w:p w14:paraId="59D80EFF">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3132" w:type="dxa"/>
            <w:vAlign w:val="center"/>
          </w:tcPr>
          <w:p w14:paraId="6B0C3346">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1,3-丁二烯</w:t>
            </w:r>
          </w:p>
        </w:tc>
        <w:tc>
          <w:tcPr>
            <w:tcW w:w="3708" w:type="dxa"/>
            <w:vAlign w:val="center"/>
          </w:tcPr>
          <w:p w14:paraId="5C4FEB4D">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spacing w:val="-16"/>
                <w:kern w:val="21"/>
                <w:sz w:val="21"/>
                <w:szCs w:val="21"/>
                <w:lang w:val="en-US" w:eastAsia="zh-CN"/>
              </w:rPr>
              <w:t>0.000096</w:t>
            </w:r>
          </w:p>
        </w:tc>
      </w:tr>
      <w:tr w14:paraId="4C69F4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continue"/>
            <w:vAlign w:val="center"/>
          </w:tcPr>
          <w:p w14:paraId="45C18E94">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3132" w:type="dxa"/>
            <w:vAlign w:val="center"/>
          </w:tcPr>
          <w:p w14:paraId="337A3A38">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颗粒物</w:t>
            </w:r>
          </w:p>
        </w:tc>
        <w:tc>
          <w:tcPr>
            <w:tcW w:w="3708" w:type="dxa"/>
            <w:shd w:val="clear" w:color="auto" w:fill="auto"/>
            <w:vAlign w:val="center"/>
          </w:tcPr>
          <w:p w14:paraId="469E32E8">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0.000952</w:t>
            </w:r>
          </w:p>
        </w:tc>
      </w:tr>
      <w:tr w14:paraId="1F087E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restart"/>
            <w:vAlign w:val="center"/>
          </w:tcPr>
          <w:p w14:paraId="6DFF8051">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废水</w:t>
            </w:r>
          </w:p>
        </w:tc>
        <w:tc>
          <w:tcPr>
            <w:tcW w:w="3132" w:type="dxa"/>
            <w:vAlign w:val="center"/>
          </w:tcPr>
          <w:p w14:paraId="48948C20">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COD</w:t>
            </w:r>
          </w:p>
        </w:tc>
        <w:tc>
          <w:tcPr>
            <w:tcW w:w="3708" w:type="dxa"/>
            <w:vAlign w:val="center"/>
          </w:tcPr>
          <w:p w14:paraId="0873F1FE">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0.030</w:t>
            </w:r>
          </w:p>
        </w:tc>
      </w:tr>
      <w:tr w14:paraId="366387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continue"/>
            <w:vAlign w:val="center"/>
          </w:tcPr>
          <w:p w14:paraId="6392DE57">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3132" w:type="dxa"/>
            <w:vAlign w:val="center"/>
          </w:tcPr>
          <w:p w14:paraId="59F0A664">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BOD</w:t>
            </w:r>
            <w:r>
              <w:rPr>
                <w:rFonts w:hint="default" w:ascii="Times New Roman" w:hAnsi="Times New Roman" w:cs="Times New Roman"/>
                <w:snapToGrid w:val="0"/>
                <w:color w:val="auto"/>
                <w:kern w:val="21"/>
                <w:sz w:val="21"/>
                <w:szCs w:val="21"/>
                <w:vertAlign w:val="subscript"/>
              </w:rPr>
              <w:t>5</w:t>
            </w:r>
          </w:p>
        </w:tc>
        <w:tc>
          <w:tcPr>
            <w:tcW w:w="3708" w:type="dxa"/>
            <w:vAlign w:val="center"/>
          </w:tcPr>
          <w:p w14:paraId="03FFCD7F">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0.002</w:t>
            </w:r>
          </w:p>
        </w:tc>
      </w:tr>
      <w:tr w14:paraId="1E6478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continue"/>
            <w:vAlign w:val="center"/>
          </w:tcPr>
          <w:p w14:paraId="30DDACE8">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3132" w:type="dxa"/>
            <w:vAlign w:val="center"/>
          </w:tcPr>
          <w:p w14:paraId="66644850">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SS</w:t>
            </w:r>
          </w:p>
        </w:tc>
        <w:tc>
          <w:tcPr>
            <w:tcW w:w="3708" w:type="dxa"/>
            <w:vAlign w:val="center"/>
          </w:tcPr>
          <w:p w14:paraId="43AC72FD">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0.003</w:t>
            </w:r>
          </w:p>
        </w:tc>
      </w:tr>
      <w:tr w14:paraId="6C50E1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continue"/>
            <w:vAlign w:val="center"/>
          </w:tcPr>
          <w:p w14:paraId="0E343A82">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3132" w:type="dxa"/>
            <w:vAlign w:val="center"/>
          </w:tcPr>
          <w:p w14:paraId="3B2F74E8">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氨氮</w:t>
            </w:r>
          </w:p>
        </w:tc>
        <w:tc>
          <w:tcPr>
            <w:tcW w:w="3708" w:type="dxa"/>
            <w:vAlign w:val="center"/>
          </w:tcPr>
          <w:p w14:paraId="5631F744">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0.0003</w:t>
            </w:r>
          </w:p>
        </w:tc>
      </w:tr>
      <w:tr w14:paraId="658562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restart"/>
            <w:vAlign w:val="center"/>
          </w:tcPr>
          <w:p w14:paraId="188E118F">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一般工业固体废物</w:t>
            </w:r>
          </w:p>
        </w:tc>
        <w:tc>
          <w:tcPr>
            <w:tcW w:w="3132" w:type="dxa"/>
            <w:vAlign w:val="center"/>
          </w:tcPr>
          <w:p w14:paraId="393F132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废塑料</w:t>
            </w:r>
          </w:p>
        </w:tc>
        <w:tc>
          <w:tcPr>
            <w:tcW w:w="3708" w:type="dxa"/>
            <w:vAlign w:val="center"/>
          </w:tcPr>
          <w:p w14:paraId="1129D1B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2.5</w:t>
            </w:r>
          </w:p>
        </w:tc>
      </w:tr>
      <w:tr w14:paraId="5B7E08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continue"/>
            <w:vAlign w:val="center"/>
          </w:tcPr>
          <w:p w14:paraId="65E0D5E9">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3132" w:type="dxa"/>
            <w:vAlign w:val="center"/>
          </w:tcPr>
          <w:p w14:paraId="5B4439E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塑料清膛料</w:t>
            </w:r>
          </w:p>
        </w:tc>
        <w:tc>
          <w:tcPr>
            <w:tcW w:w="3708" w:type="dxa"/>
            <w:vAlign w:val="center"/>
          </w:tcPr>
          <w:p w14:paraId="75A8A32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w:t>
            </w:r>
          </w:p>
        </w:tc>
      </w:tr>
      <w:tr w14:paraId="49AF23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continue"/>
            <w:vAlign w:val="center"/>
          </w:tcPr>
          <w:p w14:paraId="744B6724">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3132" w:type="dxa"/>
            <w:vAlign w:val="center"/>
          </w:tcPr>
          <w:p w14:paraId="0CD369A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废包装材料</w:t>
            </w:r>
          </w:p>
        </w:tc>
        <w:tc>
          <w:tcPr>
            <w:tcW w:w="3708" w:type="dxa"/>
            <w:vAlign w:val="center"/>
          </w:tcPr>
          <w:p w14:paraId="7C6D565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w:t>
            </w:r>
          </w:p>
        </w:tc>
      </w:tr>
      <w:tr w14:paraId="69470A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continue"/>
            <w:vAlign w:val="center"/>
          </w:tcPr>
          <w:p w14:paraId="57F9E294">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3132" w:type="dxa"/>
            <w:vAlign w:val="center"/>
          </w:tcPr>
          <w:p w14:paraId="6637831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布袋粉尘</w:t>
            </w:r>
          </w:p>
        </w:tc>
        <w:tc>
          <w:tcPr>
            <w:tcW w:w="3708" w:type="dxa"/>
            <w:vAlign w:val="center"/>
          </w:tcPr>
          <w:p w14:paraId="1B6A9AA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0.018</w:t>
            </w:r>
          </w:p>
        </w:tc>
      </w:tr>
      <w:tr w14:paraId="31879D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restart"/>
            <w:vAlign w:val="center"/>
          </w:tcPr>
          <w:p w14:paraId="7FC8EBD7">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危险废物</w:t>
            </w:r>
          </w:p>
        </w:tc>
        <w:tc>
          <w:tcPr>
            <w:tcW w:w="3132" w:type="dxa"/>
            <w:vAlign w:val="center"/>
          </w:tcPr>
          <w:p w14:paraId="36C9009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废润滑油</w:t>
            </w:r>
          </w:p>
        </w:tc>
        <w:tc>
          <w:tcPr>
            <w:tcW w:w="3708" w:type="dxa"/>
            <w:vAlign w:val="center"/>
          </w:tcPr>
          <w:p w14:paraId="4CB25CC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0.35</w:t>
            </w:r>
          </w:p>
        </w:tc>
      </w:tr>
      <w:tr w14:paraId="35304B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continue"/>
            <w:vAlign w:val="center"/>
          </w:tcPr>
          <w:p w14:paraId="19318D82">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3132" w:type="dxa"/>
            <w:vAlign w:val="center"/>
          </w:tcPr>
          <w:p w14:paraId="23E83A9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废油桶</w:t>
            </w:r>
          </w:p>
        </w:tc>
        <w:tc>
          <w:tcPr>
            <w:tcW w:w="3708" w:type="dxa"/>
            <w:vAlign w:val="center"/>
          </w:tcPr>
          <w:p w14:paraId="7B0D035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0.06</w:t>
            </w:r>
          </w:p>
        </w:tc>
      </w:tr>
      <w:tr w14:paraId="55F3B0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continue"/>
            <w:vAlign w:val="center"/>
          </w:tcPr>
          <w:p w14:paraId="67A88F06">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3132" w:type="dxa"/>
            <w:vAlign w:val="center"/>
          </w:tcPr>
          <w:p w14:paraId="05538D2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废含油抹布/劳保用品</w:t>
            </w:r>
          </w:p>
        </w:tc>
        <w:tc>
          <w:tcPr>
            <w:tcW w:w="3708" w:type="dxa"/>
            <w:vAlign w:val="center"/>
          </w:tcPr>
          <w:p w14:paraId="198E2AA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0.2</w:t>
            </w:r>
          </w:p>
        </w:tc>
      </w:tr>
      <w:tr w14:paraId="7DDA4B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continue"/>
            <w:vAlign w:val="center"/>
          </w:tcPr>
          <w:p w14:paraId="3BEACD5E">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3132" w:type="dxa"/>
            <w:vAlign w:val="center"/>
          </w:tcPr>
          <w:p w14:paraId="7E807E7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废活性炭</w:t>
            </w:r>
          </w:p>
        </w:tc>
        <w:tc>
          <w:tcPr>
            <w:tcW w:w="3708" w:type="dxa"/>
            <w:vAlign w:val="center"/>
          </w:tcPr>
          <w:p w14:paraId="2DB25EDB">
            <w:pPr>
              <w:spacing w:line="240" w:lineRule="auto"/>
              <w:ind w:firstLine="0" w:firstLineChars="0"/>
              <w:jc w:val="center"/>
              <w:rPr>
                <w:rFonts w:hint="eastAsia" w:ascii="Times New Roman" w:hAnsi="Times New Roman" w:eastAsia="宋体" w:cs="Times New Roman"/>
                <w:color w:val="auto"/>
                <w:kern w:val="2"/>
                <w:sz w:val="21"/>
                <w:szCs w:val="21"/>
                <w:lang w:eastAsia="zh-CN"/>
              </w:rPr>
            </w:pPr>
            <w:r>
              <w:rPr>
                <w:rFonts w:hint="eastAsia" w:cs="Times New Roman"/>
                <w:color w:val="auto"/>
                <w:kern w:val="2"/>
                <w:sz w:val="21"/>
                <w:szCs w:val="21"/>
                <w:lang w:eastAsia="zh-CN"/>
              </w:rPr>
              <w:t>54.4</w:t>
            </w:r>
          </w:p>
        </w:tc>
      </w:tr>
      <w:tr w14:paraId="46C268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362" w:type="dxa"/>
            <w:vMerge w:val="continue"/>
            <w:vAlign w:val="center"/>
          </w:tcPr>
          <w:p w14:paraId="69BB64CF">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3132" w:type="dxa"/>
            <w:vAlign w:val="center"/>
          </w:tcPr>
          <w:p w14:paraId="53A533D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空压机油水混合物</w:t>
            </w:r>
          </w:p>
        </w:tc>
        <w:tc>
          <w:tcPr>
            <w:tcW w:w="3708" w:type="dxa"/>
            <w:vAlign w:val="center"/>
          </w:tcPr>
          <w:p w14:paraId="3F444D2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0.45</w:t>
            </w:r>
          </w:p>
        </w:tc>
      </w:tr>
    </w:tbl>
    <w:p w14:paraId="370EB49A">
      <w:pPr>
        <w:adjustRightInd w:val="0"/>
        <w:snapToGrid w:val="0"/>
        <w:ind w:firstLine="480"/>
        <w:rPr>
          <w:rFonts w:hint="default" w:ascii="Times New Roman" w:hAnsi="Times New Roman" w:cs="Times New Roman"/>
          <w:color w:val="auto"/>
        </w:rPr>
      </w:pPr>
      <w:r>
        <w:rPr>
          <w:rFonts w:hint="default" w:ascii="Times New Roman" w:hAnsi="Times New Roman" w:cs="Times New Roman"/>
          <w:color w:val="auto"/>
        </w:rPr>
        <w:t>项目全厂总量指标COD、NH</w:t>
      </w:r>
      <w:r>
        <w:rPr>
          <w:rFonts w:hint="default" w:ascii="Times New Roman" w:hAnsi="Times New Roman" w:cs="Times New Roman"/>
          <w:color w:val="auto"/>
          <w:vertAlign w:val="subscript"/>
        </w:rPr>
        <w:t>3</w:t>
      </w:r>
      <w:r>
        <w:rPr>
          <w:rFonts w:hint="default" w:ascii="Times New Roman" w:hAnsi="Times New Roman" w:cs="Times New Roman"/>
          <w:color w:val="auto"/>
        </w:rPr>
        <w:t>-N和非甲烷总烃分别为0.03t/a、0.0003t/a、1.</w:t>
      </w:r>
      <w:r>
        <w:rPr>
          <w:rFonts w:hint="eastAsia" w:cs="Times New Roman"/>
          <w:color w:val="auto"/>
          <w:lang w:val="en-US" w:eastAsia="zh-CN"/>
        </w:rPr>
        <w:t>98747</w:t>
      </w:r>
      <w:r>
        <w:rPr>
          <w:rFonts w:hint="default" w:ascii="Times New Roman" w:hAnsi="Times New Roman" w:cs="Times New Roman"/>
          <w:color w:val="auto"/>
        </w:rPr>
        <w:t>t/a。</w:t>
      </w:r>
    </w:p>
    <w:p w14:paraId="17335B45">
      <w:pPr>
        <w:pStyle w:val="16"/>
        <w:ind w:firstLine="480"/>
        <w:rPr>
          <w:rFonts w:hint="default" w:ascii="Times New Roman" w:hAnsi="Times New Roman" w:cs="Times New Roman"/>
          <w:color w:val="auto"/>
        </w:rPr>
      </w:pPr>
      <w:r>
        <w:rPr>
          <w:rFonts w:hint="default" w:ascii="Times New Roman" w:hAnsi="Times New Roman" w:cs="Times New Roman"/>
          <w:color w:val="auto"/>
          <w:lang w:val="en-US" w:eastAsia="zh-CN"/>
        </w:rPr>
        <w:t>本项目业主经与西部(重庆)科学城九龙新城园区管理委员会</w:t>
      </w:r>
      <w:r>
        <w:rPr>
          <w:rFonts w:hint="eastAsia" w:cs="Times New Roman"/>
          <w:color w:val="auto"/>
          <w:lang w:val="en-US" w:eastAsia="zh-CN"/>
        </w:rPr>
        <w:t>、重庆市九龙坡区生态环境局</w:t>
      </w:r>
      <w:r>
        <w:rPr>
          <w:rFonts w:hint="default" w:ascii="Times New Roman" w:hAnsi="Times New Roman" w:cs="Times New Roman"/>
          <w:color w:val="auto"/>
          <w:lang w:val="en-US" w:eastAsia="zh-CN"/>
        </w:rPr>
        <w:t>沟通，园区非甲烷总烃总量满足本项目排污，</w:t>
      </w:r>
      <w:r>
        <w:rPr>
          <w:rFonts w:hint="default" w:ascii="Times New Roman" w:hAnsi="Times New Roman" w:cs="Times New Roman"/>
          <w:color w:val="auto"/>
        </w:rPr>
        <w:t>待项目批复后由企业向</w:t>
      </w:r>
      <w:r>
        <w:rPr>
          <w:rFonts w:hint="default" w:ascii="Times New Roman" w:hAnsi="Times New Roman" w:cs="Times New Roman"/>
          <w:color w:val="auto"/>
          <w:lang w:val="en-US" w:eastAsia="zh-CN"/>
        </w:rPr>
        <w:t>西部(重庆)科学城九龙新城园区管理委员会</w:t>
      </w:r>
      <w:r>
        <w:rPr>
          <w:rFonts w:hint="default" w:ascii="Times New Roman" w:hAnsi="Times New Roman" w:cs="Times New Roman"/>
          <w:color w:val="auto"/>
        </w:rPr>
        <w:t>申请</w:t>
      </w:r>
      <w:r>
        <w:rPr>
          <w:rFonts w:hint="default" w:ascii="Times New Roman" w:hAnsi="Times New Roman" w:cs="Times New Roman"/>
          <w:color w:val="auto"/>
          <w:lang w:val="en-US" w:eastAsia="zh-CN"/>
        </w:rPr>
        <w:t>总量</w:t>
      </w:r>
      <w:r>
        <w:rPr>
          <w:rFonts w:hint="default" w:ascii="Times New Roman" w:hAnsi="Times New Roman" w:cs="Times New Roman"/>
          <w:color w:val="auto"/>
        </w:rPr>
        <w:t>。</w:t>
      </w:r>
    </w:p>
    <w:p w14:paraId="0C12E53F">
      <w:pPr>
        <w:adjustRightInd w:val="0"/>
        <w:snapToGrid w:val="0"/>
        <w:ind w:firstLine="480"/>
        <w:rPr>
          <w:rFonts w:hint="default" w:ascii="Times New Roman" w:hAnsi="Times New Roman" w:eastAsia="宋体" w:cs="Times New Roman"/>
          <w:color w:val="auto"/>
          <w:lang w:val="en-US" w:eastAsia="zh-CN"/>
        </w:rPr>
      </w:pPr>
    </w:p>
    <w:p w14:paraId="78E3B946">
      <w:pPr>
        <w:adjustRightInd w:val="0"/>
        <w:snapToGrid w:val="0"/>
        <w:ind w:firstLine="480"/>
        <w:rPr>
          <w:rFonts w:hint="default" w:ascii="Times New Roman" w:hAnsi="Times New Roman" w:cs="Times New Roman"/>
          <w:color w:val="auto"/>
        </w:rPr>
      </w:pPr>
    </w:p>
    <w:p w14:paraId="6DA59882">
      <w:pPr>
        <w:adjustRightInd w:val="0"/>
        <w:snapToGrid w:val="0"/>
        <w:ind w:firstLine="480"/>
        <w:rPr>
          <w:rFonts w:hint="default" w:ascii="Times New Roman" w:hAnsi="Times New Roman" w:cs="Times New Roman"/>
          <w:color w:val="auto"/>
        </w:rPr>
      </w:pPr>
    </w:p>
    <w:p w14:paraId="4948CD43">
      <w:pPr>
        <w:adjustRightInd w:val="0"/>
        <w:snapToGrid w:val="0"/>
        <w:ind w:firstLine="480"/>
        <w:rPr>
          <w:rFonts w:hint="default" w:ascii="Times New Roman" w:hAnsi="Times New Roman" w:cs="Times New Roman"/>
          <w:color w:val="auto"/>
        </w:rPr>
        <w:sectPr>
          <w:headerReference r:id="rId19" w:type="default"/>
          <w:pgSz w:w="11907" w:h="16840"/>
          <w:pgMar w:top="1440" w:right="1797" w:bottom="1440" w:left="1797" w:header="851" w:footer="992" w:gutter="0"/>
          <w:cols w:space="720" w:num="1"/>
          <w:docGrid w:type="lines" w:linePitch="312" w:charSpace="0"/>
        </w:sectPr>
      </w:pPr>
    </w:p>
    <w:p w14:paraId="1E43C0C4">
      <w:pPr>
        <w:pStyle w:val="3"/>
        <w:rPr>
          <w:rFonts w:hint="default" w:ascii="Times New Roman" w:hAnsi="Times New Roman" w:cs="Times New Roman"/>
          <w:color w:val="auto"/>
        </w:rPr>
      </w:pPr>
      <w:r>
        <w:rPr>
          <w:rFonts w:hint="default" w:ascii="Times New Roman" w:hAnsi="Times New Roman" w:cs="Times New Roman"/>
          <w:color w:val="auto"/>
        </w:rPr>
        <w:t>4.1施工期环境影响和保护措施</w:t>
      </w:r>
    </w:p>
    <w:p w14:paraId="63E37F7D">
      <w:pPr>
        <w:ind w:firstLine="480"/>
        <w:rPr>
          <w:rFonts w:hint="default" w:ascii="Times New Roman" w:hAnsi="Times New Roman" w:cs="Times New Roman"/>
          <w:color w:val="auto"/>
        </w:rPr>
      </w:pPr>
      <w:r>
        <w:rPr>
          <w:rFonts w:hint="default" w:ascii="Times New Roman" w:hAnsi="Times New Roman" w:cs="Times New Roman"/>
          <w:color w:val="auto"/>
        </w:rPr>
        <w:t>本项目租赁</w:t>
      </w:r>
      <w:r>
        <w:rPr>
          <w:rFonts w:hint="default" w:ascii="Times New Roman" w:hAnsi="Times New Roman" w:cs="Times New Roman"/>
          <w:color w:val="auto"/>
          <w:kern w:val="2"/>
          <w:szCs w:val="24"/>
        </w:rPr>
        <w:t>中铁二局集团物资有限公司重庆分公司已建3号楼1号仓间、2号仓间</w:t>
      </w:r>
      <w:r>
        <w:rPr>
          <w:rFonts w:hint="default" w:ascii="Times New Roman" w:hAnsi="Times New Roman" w:cs="Times New Roman"/>
          <w:color w:val="auto"/>
        </w:rPr>
        <w:t>生产，厂房及其配套水、电等辅助设施均已齐备并能正常使用，施工期主要是进行厂房内部装修以及设备的安装调试；因此施工期环境影响较小，施工期环境保护措施只做简单分析。</w:t>
      </w:r>
    </w:p>
    <w:p w14:paraId="71A9EE9E">
      <w:pPr>
        <w:ind w:firstLine="480"/>
        <w:rPr>
          <w:rFonts w:hint="default" w:ascii="Times New Roman" w:hAnsi="Times New Roman" w:cs="Times New Roman"/>
          <w:color w:val="auto"/>
        </w:rPr>
      </w:pPr>
      <w:r>
        <w:rPr>
          <w:rFonts w:hint="default" w:ascii="Times New Roman" w:hAnsi="Times New Roman" w:cs="Times New Roman"/>
          <w:color w:val="auto"/>
        </w:rPr>
        <w:t>（1）施工扬尘：内部装修以及设备的安装产生少量施工粉尘、焊接烟尘，粉尘、烟尘产生量少，项目施工期短且在已建厂房内封闭施工；随着施工的结束而结束，对项目周边保护目标影响小。</w:t>
      </w:r>
    </w:p>
    <w:p w14:paraId="7247A6B2">
      <w:pPr>
        <w:ind w:firstLine="480"/>
        <w:rPr>
          <w:rFonts w:hint="default" w:ascii="Times New Roman" w:hAnsi="Times New Roman" w:cs="Times New Roman"/>
          <w:color w:val="auto"/>
        </w:rPr>
      </w:pPr>
      <w:r>
        <w:rPr>
          <w:rFonts w:hint="default" w:ascii="Times New Roman" w:hAnsi="Times New Roman" w:cs="Times New Roman"/>
          <w:color w:val="auto"/>
        </w:rPr>
        <w:t>（2）废水：施工人员产生少量生活污水依托已建生化池处理后，进入圣华曦厂区生化池进行处理达标后排放。</w:t>
      </w:r>
    </w:p>
    <w:p w14:paraId="16EF94CA">
      <w:pPr>
        <w:ind w:firstLine="480"/>
        <w:rPr>
          <w:rFonts w:hint="default" w:ascii="Times New Roman" w:hAnsi="Times New Roman" w:cs="Times New Roman"/>
          <w:color w:val="auto"/>
        </w:rPr>
      </w:pPr>
      <w:r>
        <w:rPr>
          <w:rFonts w:hint="default" w:ascii="Times New Roman" w:hAnsi="Times New Roman" w:cs="Times New Roman"/>
          <w:color w:val="auto"/>
        </w:rPr>
        <w:t>（3）噪声：主要为设备安装噪声，本项目施工时间短，且位于工业园区内，噪声影响随着施工期的结束而消失。</w:t>
      </w:r>
    </w:p>
    <w:p w14:paraId="3A46A1B5">
      <w:pPr>
        <w:ind w:firstLine="480"/>
        <w:rPr>
          <w:rFonts w:hint="default" w:ascii="Times New Roman" w:hAnsi="Times New Roman" w:cs="Times New Roman"/>
          <w:color w:val="auto"/>
        </w:rPr>
      </w:pPr>
      <w:r>
        <w:rPr>
          <w:rFonts w:hint="default" w:ascii="Times New Roman" w:hAnsi="Times New Roman" w:cs="Times New Roman"/>
          <w:color w:val="auto"/>
        </w:rPr>
        <w:t>（4）固体废物：主要源于施工人员产生的生活垃圾以及设备废包装等，生活垃圾经分类收集袋装后交园区环卫部门统一处置，废包装外卖物资回收单位，符合环保要求。</w:t>
      </w:r>
    </w:p>
    <w:p w14:paraId="244B6856">
      <w:pPr>
        <w:ind w:firstLine="480"/>
        <w:rPr>
          <w:rFonts w:hint="default" w:ascii="Times New Roman" w:hAnsi="Times New Roman" w:cs="Times New Roman"/>
          <w:color w:val="auto"/>
        </w:rPr>
      </w:pPr>
      <w:r>
        <w:rPr>
          <w:rFonts w:hint="default" w:ascii="Times New Roman" w:hAnsi="Times New Roman" w:cs="Times New Roman"/>
          <w:color w:val="auto"/>
        </w:rPr>
        <w:t>综上所述，本项目施工期环境保护措施较好，不会对周边产生较大影响。</w:t>
      </w:r>
    </w:p>
    <w:p w14:paraId="362DFB61">
      <w:pPr>
        <w:ind w:firstLine="480"/>
        <w:rPr>
          <w:rFonts w:hint="default" w:ascii="Times New Roman" w:hAnsi="Times New Roman" w:cs="Times New Roman"/>
          <w:color w:val="auto"/>
        </w:rPr>
        <w:sectPr>
          <w:headerReference r:id="rId20" w:type="default"/>
          <w:pgSz w:w="11907" w:h="16840"/>
          <w:pgMar w:top="1440" w:right="1797" w:bottom="1440" w:left="1797" w:header="851" w:footer="992" w:gutter="0"/>
          <w:cols w:space="720" w:num="1"/>
          <w:docGrid w:type="lines" w:linePitch="312" w:charSpace="0"/>
        </w:sectPr>
      </w:pPr>
    </w:p>
    <w:p w14:paraId="10C1B846">
      <w:pPr>
        <w:pStyle w:val="3"/>
        <w:rPr>
          <w:rFonts w:hint="default" w:ascii="Times New Roman" w:hAnsi="Times New Roman" w:cs="Times New Roman"/>
          <w:color w:val="auto"/>
        </w:rPr>
      </w:pPr>
      <w:r>
        <w:rPr>
          <w:rFonts w:hint="default" w:ascii="Times New Roman" w:hAnsi="Times New Roman" w:cs="Times New Roman"/>
          <w:color w:val="auto"/>
        </w:rPr>
        <w:t>4.2运营期环境影响和保护措施</w:t>
      </w:r>
    </w:p>
    <w:p w14:paraId="38B3AFC4">
      <w:pPr>
        <w:pStyle w:val="258"/>
        <w:rPr>
          <w:rFonts w:hint="default" w:ascii="Times New Roman" w:hAnsi="Times New Roman" w:cs="Times New Roman"/>
          <w:color w:val="auto"/>
        </w:rPr>
      </w:pPr>
      <w:r>
        <w:rPr>
          <w:rFonts w:hint="default" w:ascii="Times New Roman" w:hAnsi="Times New Roman" w:cs="Times New Roman"/>
          <w:color w:val="auto"/>
        </w:rPr>
        <w:t>4.2.1</w:t>
      </w:r>
      <w:r>
        <w:rPr>
          <w:rFonts w:hint="default" w:ascii="Times New Roman" w:hAnsi="Times New Roman" w:eastAsia="宋体" w:cs="Times New Roman"/>
          <w:color w:val="auto"/>
        </w:rPr>
        <w:t xml:space="preserve"> 废气</w:t>
      </w:r>
    </w:p>
    <w:p w14:paraId="48EA3F4C">
      <w:pPr>
        <w:ind w:firstLine="480"/>
        <w:rPr>
          <w:rFonts w:hint="default" w:ascii="Times New Roman" w:hAnsi="Times New Roman" w:cs="Times New Roman"/>
          <w:color w:val="auto"/>
        </w:rPr>
      </w:pPr>
      <w:r>
        <w:rPr>
          <w:rFonts w:hint="default" w:ascii="Times New Roman" w:hAnsi="Times New Roman" w:cs="Times New Roman"/>
          <w:color w:val="auto"/>
        </w:rPr>
        <w:t>（1）污染源强和影响分析</w:t>
      </w:r>
    </w:p>
    <w:p w14:paraId="66DF9BEE">
      <w:pPr>
        <w:ind w:firstLine="480"/>
        <w:rPr>
          <w:rFonts w:hint="default" w:ascii="Times New Roman" w:hAnsi="Times New Roman" w:eastAsia="宋体" w:cs="Times New Roman"/>
          <w:color w:val="auto"/>
          <w:lang w:val="en-US" w:eastAsia="zh-CN"/>
        </w:rPr>
      </w:pPr>
      <w:r>
        <w:rPr>
          <w:rFonts w:hint="default" w:ascii="Times New Roman" w:hAnsi="Times New Roman" w:cs="Times New Roman"/>
          <w:color w:val="auto"/>
        </w:rPr>
        <w:t>1）</w:t>
      </w:r>
      <w:r>
        <w:rPr>
          <w:rFonts w:hint="default" w:ascii="Times New Roman" w:hAnsi="Times New Roman" w:cs="Times New Roman"/>
          <w:color w:val="auto"/>
          <w:lang w:val="en-US" w:eastAsia="zh-CN"/>
        </w:rPr>
        <w:t>挤出和烘干工序</w:t>
      </w:r>
    </w:p>
    <w:p w14:paraId="6FA80C82">
      <w:pPr>
        <w:ind w:firstLine="480"/>
        <w:rPr>
          <w:rStyle w:val="94"/>
          <w:rFonts w:hint="default" w:ascii="Times New Roman" w:hAnsi="Times New Roman" w:eastAsia="宋体" w:cs="Times New Roman"/>
          <w:color w:val="auto"/>
          <w:lang w:val="en-US" w:eastAsia="zh-CN"/>
        </w:rPr>
      </w:pPr>
      <w:r>
        <w:rPr>
          <w:rStyle w:val="94"/>
          <w:rFonts w:hint="default" w:ascii="Times New Roman" w:hAnsi="Times New Roman" w:cs="Times New Roman"/>
          <w:color w:val="auto"/>
        </w:rPr>
        <w:t>根据《合成树脂工业污染物排放标准》（GB31572-2015（含2024年修改单））本项目使用塑料颗粒进行改性加工，废气主要是合成树脂原料在高温下受热产生的单体物质及混合、投料过程产生的颗粒物，本项目原料熔融温度及分解温度见下表4.2.1-1所示。由于本项目原料熔融温度均低于分解温度，因此本评价</w:t>
      </w:r>
      <w:r>
        <w:rPr>
          <w:rStyle w:val="94"/>
          <w:rFonts w:hint="default" w:ascii="Times New Roman" w:hAnsi="Times New Roman" w:cs="Times New Roman"/>
          <w:b/>
          <w:bCs/>
          <w:color w:val="auto"/>
        </w:rPr>
        <w:t>不考虑原料分解产生的污染物</w:t>
      </w:r>
      <w:r>
        <w:rPr>
          <w:rStyle w:val="94"/>
          <w:rFonts w:hint="default" w:ascii="Times New Roman" w:hAnsi="Times New Roman" w:cs="Times New Roman"/>
          <w:color w:val="auto"/>
        </w:rPr>
        <w:t>。</w:t>
      </w:r>
      <w:r>
        <w:rPr>
          <w:rStyle w:val="94"/>
          <w:rFonts w:hint="default" w:ascii="Times New Roman" w:hAnsi="Times New Roman" w:cs="Times New Roman"/>
          <w:color w:val="auto"/>
          <w:lang w:val="en-US" w:eastAsia="zh-CN"/>
        </w:rPr>
        <w:t>原材料中所用的色母均与挤出载体为同一种物质，因此在计算特征污染物时，色母视为载体。</w:t>
      </w:r>
    </w:p>
    <w:p w14:paraId="278E01A0">
      <w:pPr>
        <w:pStyle w:val="93"/>
        <w:rPr>
          <w:rFonts w:hint="default" w:ascii="Times New Roman" w:hAnsi="Times New Roman" w:cs="Times New Roman"/>
          <w:color w:val="auto"/>
        </w:rPr>
      </w:pPr>
      <w:r>
        <w:rPr>
          <w:rFonts w:hint="default" w:ascii="Times New Roman" w:hAnsi="Times New Roman" w:cs="Times New Roman"/>
          <w:color w:val="auto"/>
        </w:rPr>
        <w:t>表4.2.1-1   原料</w:t>
      </w:r>
      <w:r>
        <w:rPr>
          <w:rStyle w:val="94"/>
          <w:rFonts w:hint="default" w:ascii="Times New Roman" w:hAnsi="Times New Roman" w:cs="Times New Roman"/>
          <w:color w:val="auto"/>
        </w:rPr>
        <w:t>熔融</w:t>
      </w:r>
      <w:r>
        <w:rPr>
          <w:rFonts w:hint="default" w:ascii="Times New Roman" w:hAnsi="Times New Roman" w:cs="Times New Roman"/>
          <w:color w:val="auto"/>
        </w:rPr>
        <w:t>温度、分解温度及可能产生的污染物一览表</w:t>
      </w:r>
    </w:p>
    <w:tbl>
      <w:tblPr>
        <w:tblStyle w:val="45"/>
        <w:tblW w:w="45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9"/>
        <w:gridCol w:w="1498"/>
        <w:gridCol w:w="1196"/>
        <w:gridCol w:w="2694"/>
      </w:tblGrid>
      <w:tr w14:paraId="7D02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330" w:type="dxa"/>
            <w:vAlign w:val="center"/>
          </w:tcPr>
          <w:p w14:paraId="4E732E3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原料类型</w:t>
            </w:r>
          </w:p>
        </w:tc>
        <w:tc>
          <w:tcPr>
            <w:tcW w:w="1498" w:type="dxa"/>
            <w:vAlign w:val="center"/>
          </w:tcPr>
          <w:p w14:paraId="4A3CF06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熔融温度/℃</w:t>
            </w:r>
          </w:p>
        </w:tc>
        <w:tc>
          <w:tcPr>
            <w:tcW w:w="1196" w:type="dxa"/>
            <w:vAlign w:val="center"/>
          </w:tcPr>
          <w:p w14:paraId="36AB1D8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分解温度/℃</w:t>
            </w:r>
          </w:p>
        </w:tc>
        <w:tc>
          <w:tcPr>
            <w:tcW w:w="2694" w:type="dxa"/>
            <w:vAlign w:val="center"/>
          </w:tcPr>
          <w:p w14:paraId="14A047F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残留单体污染物</w:t>
            </w:r>
          </w:p>
        </w:tc>
      </w:tr>
      <w:tr w14:paraId="6AD7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2330" w:type="dxa"/>
            <w:vAlign w:val="center"/>
          </w:tcPr>
          <w:p w14:paraId="73CFA46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PP树脂（聚丙烯）</w:t>
            </w:r>
          </w:p>
        </w:tc>
        <w:tc>
          <w:tcPr>
            <w:tcW w:w="1498" w:type="dxa"/>
            <w:vAlign w:val="center"/>
          </w:tcPr>
          <w:p w14:paraId="5B499D8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155~165</w:t>
            </w:r>
          </w:p>
        </w:tc>
        <w:tc>
          <w:tcPr>
            <w:tcW w:w="1196" w:type="dxa"/>
            <w:vAlign w:val="center"/>
          </w:tcPr>
          <w:p w14:paraId="32FEE8B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370</w:t>
            </w:r>
          </w:p>
        </w:tc>
        <w:tc>
          <w:tcPr>
            <w:tcW w:w="2694" w:type="dxa"/>
            <w:vAlign w:val="center"/>
          </w:tcPr>
          <w:p w14:paraId="22A2679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非甲烷总烃</w:t>
            </w:r>
          </w:p>
        </w:tc>
      </w:tr>
      <w:tr w14:paraId="15D6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330" w:type="dxa"/>
            <w:vAlign w:val="center"/>
          </w:tcPr>
          <w:p w14:paraId="5616CFA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POE树脂（聚烯烃弹性体）</w:t>
            </w:r>
          </w:p>
        </w:tc>
        <w:tc>
          <w:tcPr>
            <w:tcW w:w="1498" w:type="dxa"/>
            <w:vAlign w:val="center"/>
          </w:tcPr>
          <w:p w14:paraId="500409D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60～120</w:t>
            </w:r>
          </w:p>
        </w:tc>
        <w:tc>
          <w:tcPr>
            <w:tcW w:w="1196" w:type="dxa"/>
            <w:vAlign w:val="center"/>
          </w:tcPr>
          <w:p w14:paraId="65DDA7F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370</w:t>
            </w:r>
          </w:p>
        </w:tc>
        <w:tc>
          <w:tcPr>
            <w:tcW w:w="2694" w:type="dxa"/>
            <w:vAlign w:val="center"/>
          </w:tcPr>
          <w:p w14:paraId="6656DDA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非甲烷总烃</w:t>
            </w:r>
          </w:p>
        </w:tc>
      </w:tr>
      <w:tr w14:paraId="021C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2330" w:type="dxa"/>
            <w:vAlign w:val="center"/>
          </w:tcPr>
          <w:p w14:paraId="24EE9E6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PA6（尼龙，聚酰胺）</w:t>
            </w:r>
          </w:p>
        </w:tc>
        <w:tc>
          <w:tcPr>
            <w:tcW w:w="1498" w:type="dxa"/>
            <w:vAlign w:val="center"/>
          </w:tcPr>
          <w:p w14:paraId="2F20ACA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210~260</w:t>
            </w:r>
          </w:p>
        </w:tc>
        <w:tc>
          <w:tcPr>
            <w:tcW w:w="1196" w:type="dxa"/>
            <w:vAlign w:val="center"/>
          </w:tcPr>
          <w:p w14:paraId="0A08BBC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350</w:t>
            </w:r>
          </w:p>
        </w:tc>
        <w:tc>
          <w:tcPr>
            <w:tcW w:w="2694" w:type="dxa"/>
            <w:vAlign w:val="center"/>
          </w:tcPr>
          <w:p w14:paraId="12013CF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shd w:val="clear" w:color="auto" w:fill="FFFFFF"/>
              </w:rPr>
              <w:t>非甲烷总烃</w:t>
            </w:r>
          </w:p>
        </w:tc>
      </w:tr>
      <w:tr w14:paraId="5DB0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2330" w:type="dxa"/>
            <w:vAlign w:val="center"/>
          </w:tcPr>
          <w:p w14:paraId="0A74584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PC（聚碳酸酯）</w:t>
            </w:r>
          </w:p>
        </w:tc>
        <w:tc>
          <w:tcPr>
            <w:tcW w:w="1498" w:type="dxa"/>
            <w:vAlign w:val="center"/>
          </w:tcPr>
          <w:p w14:paraId="723575D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230~280</w:t>
            </w:r>
          </w:p>
        </w:tc>
        <w:tc>
          <w:tcPr>
            <w:tcW w:w="1196" w:type="dxa"/>
            <w:vAlign w:val="center"/>
          </w:tcPr>
          <w:p w14:paraId="66BCAE7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340</w:t>
            </w:r>
          </w:p>
        </w:tc>
        <w:tc>
          <w:tcPr>
            <w:tcW w:w="2694" w:type="dxa"/>
            <w:vAlign w:val="center"/>
          </w:tcPr>
          <w:p w14:paraId="5B61607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非甲烷总烃、酚类</w:t>
            </w:r>
          </w:p>
        </w:tc>
      </w:tr>
      <w:tr w14:paraId="7D0D6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330" w:type="dxa"/>
            <w:vAlign w:val="center"/>
          </w:tcPr>
          <w:p w14:paraId="2A17F4F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ABS（丙烯腈-丁二烯-苯乙烯共聚物）</w:t>
            </w:r>
          </w:p>
        </w:tc>
        <w:tc>
          <w:tcPr>
            <w:tcW w:w="1498" w:type="dxa"/>
            <w:vAlign w:val="center"/>
          </w:tcPr>
          <w:p w14:paraId="4343A5B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180~240</w:t>
            </w:r>
          </w:p>
        </w:tc>
        <w:tc>
          <w:tcPr>
            <w:tcW w:w="1196" w:type="dxa"/>
            <w:vAlign w:val="center"/>
          </w:tcPr>
          <w:p w14:paraId="5CED46D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250</w:t>
            </w:r>
          </w:p>
        </w:tc>
        <w:tc>
          <w:tcPr>
            <w:tcW w:w="2694" w:type="dxa"/>
            <w:vAlign w:val="center"/>
          </w:tcPr>
          <w:p w14:paraId="310C6F8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shd w:val="clear" w:color="auto" w:fill="FFFFFF"/>
              </w:rPr>
              <w:t>非甲烷总烃、苯乙烯、丙烯腈、乙苯、甲苯、1,3-丁二烯</w:t>
            </w:r>
          </w:p>
        </w:tc>
      </w:tr>
      <w:tr w14:paraId="0B6C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330" w:type="dxa"/>
            <w:vAlign w:val="center"/>
          </w:tcPr>
          <w:p w14:paraId="73DAEB4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PC/ABS增韧剂（甲基丙烯酸甲酯-丁二烯-苯乙烯）</w:t>
            </w:r>
          </w:p>
        </w:tc>
        <w:tc>
          <w:tcPr>
            <w:tcW w:w="1498" w:type="dxa"/>
            <w:vAlign w:val="center"/>
          </w:tcPr>
          <w:p w14:paraId="5636AB2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170~220</w:t>
            </w:r>
          </w:p>
        </w:tc>
        <w:tc>
          <w:tcPr>
            <w:tcW w:w="1196" w:type="dxa"/>
            <w:vAlign w:val="center"/>
          </w:tcPr>
          <w:p w14:paraId="6D60C4A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245</w:t>
            </w:r>
          </w:p>
        </w:tc>
        <w:tc>
          <w:tcPr>
            <w:tcW w:w="2694" w:type="dxa"/>
            <w:vAlign w:val="center"/>
          </w:tcPr>
          <w:p w14:paraId="640EB680">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非甲烷总烃、苯乙烯、乙苯、甲苯、丁二烯、1,3-丁二烯</w:t>
            </w:r>
          </w:p>
        </w:tc>
      </w:tr>
      <w:tr w14:paraId="760C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330" w:type="dxa"/>
            <w:vAlign w:val="center"/>
          </w:tcPr>
          <w:p w14:paraId="2CA2A50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高丁二烯接枝ABS</w:t>
            </w:r>
          </w:p>
        </w:tc>
        <w:tc>
          <w:tcPr>
            <w:tcW w:w="1498" w:type="dxa"/>
            <w:vAlign w:val="center"/>
          </w:tcPr>
          <w:p w14:paraId="343F91D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170~230</w:t>
            </w:r>
          </w:p>
        </w:tc>
        <w:tc>
          <w:tcPr>
            <w:tcW w:w="1196" w:type="dxa"/>
            <w:vAlign w:val="center"/>
          </w:tcPr>
          <w:p w14:paraId="6DB873B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240</w:t>
            </w:r>
          </w:p>
        </w:tc>
        <w:tc>
          <w:tcPr>
            <w:tcW w:w="2694" w:type="dxa"/>
            <w:vAlign w:val="center"/>
          </w:tcPr>
          <w:p w14:paraId="29EB1403">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非甲烷总烃、苯乙烯、丙烯腈、乙苯、甲苯</w:t>
            </w:r>
          </w:p>
        </w:tc>
      </w:tr>
      <w:tr w14:paraId="507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2330" w:type="dxa"/>
            <w:vAlign w:val="center"/>
          </w:tcPr>
          <w:p w14:paraId="15784C8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X-CM714树脂共聚物</w:t>
            </w:r>
          </w:p>
        </w:tc>
        <w:tc>
          <w:tcPr>
            <w:tcW w:w="1498" w:type="dxa"/>
            <w:vAlign w:val="center"/>
          </w:tcPr>
          <w:p w14:paraId="00A61A0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180~220</w:t>
            </w:r>
          </w:p>
        </w:tc>
        <w:tc>
          <w:tcPr>
            <w:tcW w:w="1196" w:type="dxa"/>
            <w:vAlign w:val="center"/>
          </w:tcPr>
          <w:p w14:paraId="796233F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300</w:t>
            </w:r>
          </w:p>
        </w:tc>
        <w:tc>
          <w:tcPr>
            <w:tcW w:w="2694" w:type="dxa"/>
            <w:vAlign w:val="center"/>
          </w:tcPr>
          <w:p w14:paraId="6BAF1CF5">
            <w:pPr>
              <w:spacing w:line="240" w:lineRule="auto"/>
              <w:ind w:firstLine="0" w:firstLineChars="0"/>
              <w:jc w:val="center"/>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非甲烷总烃</w:t>
            </w:r>
          </w:p>
        </w:tc>
      </w:tr>
    </w:tbl>
    <w:p w14:paraId="0C753135">
      <w:pPr>
        <w:ind w:firstLine="482"/>
        <w:rPr>
          <w:rFonts w:hint="default" w:ascii="Times New Roman" w:hAnsi="Times New Roman" w:cs="Times New Roman"/>
          <w:color w:val="auto"/>
        </w:rPr>
      </w:pPr>
      <w:r>
        <w:rPr>
          <w:rStyle w:val="94"/>
          <w:rFonts w:hint="default" w:ascii="Times New Roman" w:hAnsi="Times New Roman" w:cs="Times New Roman"/>
          <w:b/>
          <w:bCs/>
          <w:color w:val="auto"/>
        </w:rPr>
        <w:t>非甲烷总烃产污系数：</w:t>
      </w:r>
      <w:r>
        <w:rPr>
          <w:rStyle w:val="94"/>
          <w:rFonts w:hint="default" w:ascii="Times New Roman" w:hAnsi="Times New Roman" w:cs="Times New Roman"/>
          <w:color w:val="auto"/>
        </w:rPr>
        <w:t>本项目树脂改性非化学改性，属于物理改性，其生产加工和注塑工艺基本一致，</w:t>
      </w:r>
      <w:r>
        <w:rPr>
          <w:rStyle w:val="94"/>
          <w:rFonts w:hint="eastAsia" w:cs="Times New Roman"/>
          <w:color w:val="auto"/>
          <w:lang w:val="en-US" w:eastAsia="zh-CN"/>
        </w:rPr>
        <w:t>均在树脂熔融状态下进行加工，</w:t>
      </w:r>
      <w:r>
        <w:rPr>
          <w:rStyle w:val="94"/>
          <w:rFonts w:hint="default" w:ascii="Times New Roman" w:hAnsi="Times New Roman" w:cs="Times New Roman"/>
          <w:color w:val="auto"/>
        </w:rPr>
        <w:t>因此原料中非甲烷总烃产污系数参照《工业源产排污核算方法和系数手册》“292.塑</w:t>
      </w:r>
      <w:r>
        <w:rPr>
          <w:rFonts w:hint="default" w:ascii="Times New Roman" w:hAnsi="Times New Roman" w:cs="Times New Roman"/>
          <w:color w:val="auto"/>
        </w:rPr>
        <w:t>料制品行业系数手册”中日用塑料品，非甲烷总烃的产污系数取值2.7kg/t产品。</w:t>
      </w:r>
    </w:p>
    <w:p w14:paraId="4CB16F22">
      <w:pPr>
        <w:ind w:firstLine="482"/>
        <w:rPr>
          <w:rFonts w:hint="default" w:ascii="Times New Roman" w:hAnsi="Times New Roman" w:cs="Times New Roman"/>
          <w:b/>
          <w:bCs/>
          <w:color w:val="auto"/>
        </w:rPr>
      </w:pPr>
      <w:r>
        <w:rPr>
          <w:rFonts w:hint="default" w:ascii="Times New Roman" w:hAnsi="Times New Roman" w:cs="Times New Roman"/>
          <w:b/>
          <w:bCs/>
          <w:color w:val="auto"/>
        </w:rPr>
        <w:t>其他残留单体产污系数：</w:t>
      </w:r>
    </w:p>
    <w:p w14:paraId="2C803F0B">
      <w:pPr>
        <w:ind w:firstLine="482"/>
        <w:rPr>
          <w:rFonts w:hint="default" w:ascii="Times New Roman" w:hAnsi="Times New Roman" w:cs="Times New Roman"/>
          <w:b/>
          <w:bCs/>
          <w:color w:val="auto"/>
        </w:rPr>
      </w:pPr>
      <w:r>
        <w:rPr>
          <w:rFonts w:hint="default" w:ascii="Times New Roman" w:hAnsi="Times New Roman" w:cs="Times New Roman"/>
          <w:b/>
          <w:bCs/>
          <w:color w:val="auto"/>
        </w:rPr>
        <w:t>A、PP树脂（聚丙烯）：</w:t>
      </w:r>
      <w:r>
        <w:rPr>
          <w:rFonts w:hint="default" w:ascii="Times New Roman" w:hAnsi="Times New Roman" w:cs="Times New Roman"/>
          <w:color w:val="auto"/>
        </w:rPr>
        <w:t>根据《合成树脂工业污染物排放标准》（GB31572-2015（含2024年修改单）），排放标准中未有聚丙烯树脂加工的除非甲烷总烃外的特征污染物，因此不考虑。因此，该物质的评价因子仅考虑非甲烷总烃。</w:t>
      </w:r>
    </w:p>
    <w:p w14:paraId="426FF168">
      <w:pPr>
        <w:ind w:firstLine="482"/>
        <w:rPr>
          <w:rFonts w:hint="default" w:ascii="Times New Roman" w:hAnsi="Times New Roman" w:cs="Times New Roman"/>
          <w:color w:val="auto"/>
        </w:rPr>
      </w:pPr>
      <w:r>
        <w:rPr>
          <w:rFonts w:hint="default" w:ascii="Times New Roman" w:hAnsi="Times New Roman" w:cs="Times New Roman"/>
          <w:b/>
          <w:bCs/>
          <w:color w:val="auto"/>
        </w:rPr>
        <w:t>B、POE树脂（聚烯烃弹性体）：</w:t>
      </w:r>
      <w:r>
        <w:rPr>
          <w:rFonts w:hint="default" w:ascii="Times New Roman" w:hAnsi="Times New Roman" w:cs="Times New Roman"/>
          <w:color w:val="auto"/>
        </w:rPr>
        <w:t>根据《合成树脂工业污染物排放标准》（GB31572-2015（含2024年修改单）），排放标准中未有聚烯烃树脂加工的除非甲烷总烃外的特征污染物，因此不考虑。因此，该物质的评价因子仅考虑非甲烷总烃。</w:t>
      </w:r>
    </w:p>
    <w:p w14:paraId="6DBCFCF4">
      <w:pPr>
        <w:ind w:firstLine="482"/>
        <w:rPr>
          <w:rFonts w:hint="default" w:ascii="Times New Roman" w:hAnsi="Times New Roman" w:cs="Times New Roman"/>
          <w:color w:val="auto"/>
        </w:rPr>
      </w:pPr>
      <w:r>
        <w:rPr>
          <w:rFonts w:hint="default" w:ascii="Times New Roman" w:hAnsi="Times New Roman" w:cs="Times New Roman"/>
          <w:b/>
          <w:bCs/>
          <w:color w:val="auto"/>
        </w:rPr>
        <w:t>C、PA6（尼龙，聚酰胺）：</w:t>
      </w:r>
      <w:r>
        <w:rPr>
          <w:rFonts w:hint="default" w:ascii="Times New Roman" w:hAnsi="Times New Roman" w:cs="Times New Roman"/>
          <w:color w:val="auto"/>
        </w:rPr>
        <w:t>聚酰胺树脂属于‌缩聚型合成树脂‌，通过二元酸与二元胺的缩聚反应，或内酰胺的开环聚合反应生成，生产过程不涉及氨单体。根据《聚酰胺热氧化降解机理》（《高分子学报》2000 No.2 P.136-141，见附件8），尼龙6样品在200℃氧化时所收集的气相挥发产物的GC-MS分析结果，尼龙6在热氧化降解过程中产生了很多挥发产物，包括一系列环状产物，其中尤以己内酰胺量为最大，其次是γ-戊内酯及甲酰胺，乙酸及吡啶，见表4.2.1-2。</w:t>
      </w:r>
    </w:p>
    <w:p w14:paraId="7CCF0700">
      <w:pPr>
        <w:pStyle w:val="93"/>
        <w:rPr>
          <w:rFonts w:hint="default" w:ascii="Times New Roman" w:hAnsi="Times New Roman" w:cs="Times New Roman"/>
          <w:color w:val="auto"/>
        </w:rPr>
      </w:pPr>
      <w:r>
        <w:rPr>
          <w:rFonts w:hint="default" w:ascii="Times New Roman" w:hAnsi="Times New Roman" w:cs="Times New Roman"/>
          <w:color w:val="auto"/>
        </w:rPr>
        <w:t>表4.2.1-2    PA6热氧分解产物一览表</w:t>
      </w:r>
    </w:p>
    <w:tbl>
      <w:tblPr>
        <w:tblStyle w:val="44"/>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8"/>
        <w:gridCol w:w="2626"/>
        <w:gridCol w:w="1019"/>
        <w:gridCol w:w="3535"/>
      </w:tblGrid>
      <w:tr w14:paraId="37048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2DE7DB8B">
            <w:pPr>
              <w:widowControl/>
              <w:spacing w:line="240" w:lineRule="auto"/>
              <w:ind w:firstLine="0" w:firstLineChars="0"/>
              <w:jc w:val="center"/>
              <w:textAlignment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bidi="ar"/>
              </w:rPr>
              <w:t>PK编号</w:t>
            </w:r>
          </w:p>
        </w:tc>
        <w:tc>
          <w:tcPr>
            <w:tcW w:w="0" w:type="auto"/>
            <w:shd w:val="clear" w:color="auto" w:fill="auto"/>
            <w:vAlign w:val="center"/>
          </w:tcPr>
          <w:p w14:paraId="069C097B">
            <w:pPr>
              <w:widowControl/>
              <w:spacing w:line="240" w:lineRule="auto"/>
              <w:ind w:firstLine="0" w:firstLineChars="0"/>
              <w:jc w:val="center"/>
              <w:textAlignment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bidi="ar"/>
              </w:rPr>
              <w:t>检测到的物质</w:t>
            </w:r>
          </w:p>
        </w:tc>
        <w:tc>
          <w:tcPr>
            <w:tcW w:w="0" w:type="auto"/>
            <w:shd w:val="clear" w:color="auto" w:fill="auto"/>
            <w:vAlign w:val="center"/>
          </w:tcPr>
          <w:p w14:paraId="1C913BFB">
            <w:pPr>
              <w:widowControl/>
              <w:spacing w:line="240" w:lineRule="auto"/>
              <w:ind w:firstLine="0" w:firstLineChars="0"/>
              <w:jc w:val="center"/>
              <w:textAlignment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bidi="ar"/>
              </w:rPr>
              <w:t>分子量</w:t>
            </w:r>
          </w:p>
        </w:tc>
        <w:tc>
          <w:tcPr>
            <w:tcW w:w="0" w:type="auto"/>
            <w:shd w:val="clear" w:color="auto" w:fill="auto"/>
            <w:vAlign w:val="center"/>
          </w:tcPr>
          <w:p w14:paraId="1F62E4C9">
            <w:pPr>
              <w:widowControl/>
              <w:spacing w:line="240" w:lineRule="auto"/>
              <w:ind w:firstLine="0" w:firstLineChars="0"/>
              <w:jc w:val="center"/>
              <w:textAlignment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bidi="ar"/>
              </w:rPr>
              <w:t>总含量百分比名称（含量）</w:t>
            </w:r>
          </w:p>
        </w:tc>
      </w:tr>
      <w:tr w14:paraId="1C03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7199F0A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PK1</w:t>
            </w:r>
          </w:p>
        </w:tc>
        <w:tc>
          <w:tcPr>
            <w:tcW w:w="0" w:type="auto"/>
            <w:shd w:val="clear" w:color="auto" w:fill="auto"/>
            <w:vAlign w:val="center"/>
          </w:tcPr>
          <w:p w14:paraId="43BF9CA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未知物质</w:t>
            </w:r>
          </w:p>
        </w:tc>
        <w:tc>
          <w:tcPr>
            <w:tcW w:w="0" w:type="auto"/>
            <w:shd w:val="clear" w:color="auto" w:fill="auto"/>
            <w:vAlign w:val="center"/>
          </w:tcPr>
          <w:p w14:paraId="3579C8B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w:t>
            </w:r>
          </w:p>
        </w:tc>
        <w:tc>
          <w:tcPr>
            <w:tcW w:w="0" w:type="auto"/>
            <w:shd w:val="clear" w:color="auto" w:fill="auto"/>
            <w:vAlign w:val="center"/>
          </w:tcPr>
          <w:p w14:paraId="3E98788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14.12%</w:t>
            </w:r>
          </w:p>
        </w:tc>
      </w:tr>
      <w:tr w14:paraId="797F6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1CF0A97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PK2</w:t>
            </w:r>
          </w:p>
        </w:tc>
        <w:tc>
          <w:tcPr>
            <w:tcW w:w="0" w:type="auto"/>
            <w:shd w:val="clear" w:color="auto" w:fill="auto"/>
            <w:vAlign w:val="center"/>
          </w:tcPr>
          <w:p w14:paraId="69F8879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吡啶</w:t>
            </w:r>
          </w:p>
        </w:tc>
        <w:tc>
          <w:tcPr>
            <w:tcW w:w="0" w:type="auto"/>
            <w:shd w:val="clear" w:color="auto" w:fill="auto"/>
            <w:vAlign w:val="center"/>
          </w:tcPr>
          <w:p w14:paraId="499567D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79</w:t>
            </w:r>
          </w:p>
        </w:tc>
        <w:tc>
          <w:tcPr>
            <w:tcW w:w="0" w:type="auto"/>
            <w:shd w:val="clear" w:color="auto" w:fill="auto"/>
            <w:vAlign w:val="center"/>
          </w:tcPr>
          <w:p w14:paraId="5C2D82D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5.45%</w:t>
            </w:r>
          </w:p>
        </w:tc>
      </w:tr>
      <w:tr w14:paraId="4748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26E01B0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PK3</w:t>
            </w:r>
          </w:p>
        </w:tc>
        <w:tc>
          <w:tcPr>
            <w:tcW w:w="0" w:type="auto"/>
            <w:shd w:val="clear" w:color="auto" w:fill="auto"/>
            <w:vAlign w:val="center"/>
          </w:tcPr>
          <w:p w14:paraId="6FF6BB3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乙酸</w:t>
            </w:r>
          </w:p>
        </w:tc>
        <w:tc>
          <w:tcPr>
            <w:tcW w:w="0" w:type="auto"/>
            <w:shd w:val="clear" w:color="auto" w:fill="auto"/>
            <w:vAlign w:val="center"/>
          </w:tcPr>
          <w:p w14:paraId="47B4F5E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60</w:t>
            </w:r>
          </w:p>
        </w:tc>
        <w:tc>
          <w:tcPr>
            <w:tcW w:w="0" w:type="auto"/>
            <w:shd w:val="clear" w:color="auto" w:fill="auto"/>
            <w:vAlign w:val="center"/>
          </w:tcPr>
          <w:p w14:paraId="1C141FB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16.59%</w:t>
            </w:r>
          </w:p>
        </w:tc>
      </w:tr>
      <w:tr w14:paraId="00D5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3AEC0C7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PK4</w:t>
            </w:r>
          </w:p>
        </w:tc>
        <w:tc>
          <w:tcPr>
            <w:tcW w:w="0" w:type="auto"/>
            <w:shd w:val="clear" w:color="auto" w:fill="auto"/>
            <w:vAlign w:val="center"/>
          </w:tcPr>
          <w:p w14:paraId="41E36D7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环戊酮</w:t>
            </w:r>
          </w:p>
        </w:tc>
        <w:tc>
          <w:tcPr>
            <w:tcW w:w="0" w:type="auto"/>
            <w:shd w:val="clear" w:color="auto" w:fill="auto"/>
            <w:vAlign w:val="center"/>
          </w:tcPr>
          <w:p w14:paraId="2931B8A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84</w:t>
            </w:r>
          </w:p>
        </w:tc>
        <w:tc>
          <w:tcPr>
            <w:tcW w:w="0" w:type="auto"/>
            <w:shd w:val="clear" w:color="auto" w:fill="auto"/>
            <w:vAlign w:val="center"/>
          </w:tcPr>
          <w:p w14:paraId="6056753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3.17%</w:t>
            </w:r>
          </w:p>
        </w:tc>
      </w:tr>
      <w:tr w14:paraId="365A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2D1CD70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PK5</w:t>
            </w:r>
          </w:p>
        </w:tc>
        <w:tc>
          <w:tcPr>
            <w:tcW w:w="0" w:type="auto"/>
            <w:shd w:val="clear" w:color="auto" w:fill="auto"/>
            <w:vAlign w:val="center"/>
          </w:tcPr>
          <w:p w14:paraId="1752F0A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甲酰胺</w:t>
            </w:r>
          </w:p>
        </w:tc>
        <w:tc>
          <w:tcPr>
            <w:tcW w:w="0" w:type="auto"/>
            <w:shd w:val="clear" w:color="auto" w:fill="auto"/>
            <w:vAlign w:val="center"/>
          </w:tcPr>
          <w:p w14:paraId="7DC6FEA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45</w:t>
            </w:r>
          </w:p>
        </w:tc>
        <w:tc>
          <w:tcPr>
            <w:tcW w:w="0" w:type="auto"/>
            <w:shd w:val="clear" w:color="auto" w:fill="auto"/>
            <w:vAlign w:val="center"/>
          </w:tcPr>
          <w:p w14:paraId="7750C12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6.32%</w:t>
            </w:r>
          </w:p>
        </w:tc>
      </w:tr>
      <w:tr w14:paraId="2DBD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2A09522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PK6</w:t>
            </w:r>
          </w:p>
        </w:tc>
        <w:tc>
          <w:tcPr>
            <w:tcW w:w="0" w:type="auto"/>
            <w:shd w:val="clear" w:color="auto" w:fill="auto"/>
            <w:vAlign w:val="center"/>
          </w:tcPr>
          <w:p w14:paraId="25DE744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甲酰胺</w:t>
            </w:r>
          </w:p>
        </w:tc>
        <w:tc>
          <w:tcPr>
            <w:tcW w:w="0" w:type="auto"/>
            <w:shd w:val="clear" w:color="auto" w:fill="auto"/>
            <w:vAlign w:val="center"/>
          </w:tcPr>
          <w:p w14:paraId="48F13D9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45</w:t>
            </w:r>
          </w:p>
        </w:tc>
        <w:tc>
          <w:tcPr>
            <w:tcW w:w="0" w:type="auto"/>
            <w:shd w:val="clear" w:color="auto" w:fill="auto"/>
            <w:vAlign w:val="center"/>
          </w:tcPr>
          <w:p w14:paraId="1D41481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4.95%</w:t>
            </w:r>
          </w:p>
        </w:tc>
      </w:tr>
      <w:tr w14:paraId="2835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1517549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PK7</w:t>
            </w:r>
          </w:p>
        </w:tc>
        <w:tc>
          <w:tcPr>
            <w:tcW w:w="0" w:type="auto"/>
            <w:shd w:val="clear" w:color="auto" w:fill="auto"/>
            <w:vAlign w:val="center"/>
          </w:tcPr>
          <w:p w14:paraId="4B27349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丁内酯</w:t>
            </w:r>
          </w:p>
        </w:tc>
        <w:tc>
          <w:tcPr>
            <w:tcW w:w="0" w:type="auto"/>
            <w:shd w:val="clear" w:color="auto" w:fill="auto"/>
            <w:vAlign w:val="center"/>
          </w:tcPr>
          <w:p w14:paraId="13C2EAA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86</w:t>
            </w:r>
          </w:p>
        </w:tc>
        <w:tc>
          <w:tcPr>
            <w:tcW w:w="0" w:type="auto"/>
            <w:shd w:val="clear" w:color="auto" w:fill="auto"/>
            <w:vAlign w:val="center"/>
          </w:tcPr>
          <w:p w14:paraId="67D4A1D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3.57%</w:t>
            </w:r>
          </w:p>
        </w:tc>
      </w:tr>
      <w:tr w14:paraId="52C51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37586BA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PK8</w:t>
            </w:r>
          </w:p>
        </w:tc>
        <w:tc>
          <w:tcPr>
            <w:tcW w:w="0" w:type="auto"/>
            <w:shd w:val="clear" w:color="auto" w:fill="auto"/>
            <w:vAlign w:val="center"/>
          </w:tcPr>
          <w:p w14:paraId="5780B74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8-缬草内酯</w:t>
            </w:r>
          </w:p>
        </w:tc>
        <w:tc>
          <w:tcPr>
            <w:tcW w:w="0" w:type="auto"/>
            <w:shd w:val="clear" w:color="auto" w:fill="auto"/>
            <w:vAlign w:val="center"/>
          </w:tcPr>
          <w:p w14:paraId="7A9E53D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100</w:t>
            </w:r>
          </w:p>
        </w:tc>
        <w:tc>
          <w:tcPr>
            <w:tcW w:w="0" w:type="auto"/>
            <w:shd w:val="clear" w:color="auto" w:fill="auto"/>
            <w:vAlign w:val="center"/>
          </w:tcPr>
          <w:p w14:paraId="06178C1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38.73%</w:t>
            </w:r>
          </w:p>
        </w:tc>
      </w:tr>
      <w:tr w14:paraId="65EAC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33D03B4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PK9</w:t>
            </w:r>
          </w:p>
        </w:tc>
        <w:tc>
          <w:tcPr>
            <w:tcW w:w="0" w:type="auto"/>
            <w:shd w:val="clear" w:color="auto" w:fill="auto"/>
            <w:vAlign w:val="center"/>
          </w:tcPr>
          <w:p w14:paraId="03E7F79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N-甲基-3-吡咯烷-2-酮</w:t>
            </w:r>
          </w:p>
        </w:tc>
        <w:tc>
          <w:tcPr>
            <w:tcW w:w="0" w:type="auto"/>
            <w:shd w:val="clear" w:color="auto" w:fill="auto"/>
            <w:vAlign w:val="center"/>
          </w:tcPr>
          <w:p w14:paraId="3CBD1A7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97</w:t>
            </w:r>
          </w:p>
        </w:tc>
        <w:tc>
          <w:tcPr>
            <w:tcW w:w="0" w:type="auto"/>
            <w:shd w:val="clear" w:color="auto" w:fill="auto"/>
            <w:vAlign w:val="center"/>
          </w:tcPr>
          <w:p w14:paraId="657B218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4.95%</w:t>
            </w:r>
          </w:p>
        </w:tc>
      </w:tr>
      <w:tr w14:paraId="3AC2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668A2EE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PK10</w:t>
            </w:r>
          </w:p>
        </w:tc>
        <w:tc>
          <w:tcPr>
            <w:tcW w:w="0" w:type="auto"/>
            <w:shd w:val="clear" w:color="auto" w:fill="auto"/>
            <w:vAlign w:val="center"/>
          </w:tcPr>
          <w:p w14:paraId="23DACC6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戊二酰亚胺</w:t>
            </w:r>
          </w:p>
        </w:tc>
        <w:tc>
          <w:tcPr>
            <w:tcW w:w="0" w:type="auto"/>
            <w:shd w:val="clear" w:color="auto" w:fill="auto"/>
            <w:vAlign w:val="center"/>
          </w:tcPr>
          <w:p w14:paraId="68B3320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113</w:t>
            </w:r>
          </w:p>
        </w:tc>
        <w:tc>
          <w:tcPr>
            <w:tcW w:w="0" w:type="auto"/>
            <w:shd w:val="clear" w:color="auto" w:fill="auto"/>
            <w:vAlign w:val="center"/>
          </w:tcPr>
          <w:p w14:paraId="2AB6938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2.15%</w:t>
            </w:r>
          </w:p>
        </w:tc>
      </w:tr>
      <w:tr w14:paraId="3655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74410DE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PKa</w:t>
            </w:r>
          </w:p>
        </w:tc>
        <w:tc>
          <w:tcPr>
            <w:tcW w:w="0" w:type="auto"/>
            <w:shd w:val="clear" w:color="auto" w:fill="auto"/>
            <w:vAlign w:val="center"/>
          </w:tcPr>
          <w:p w14:paraId="51AE8D3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2-乙烯基吡咯烷酮</w:t>
            </w:r>
          </w:p>
        </w:tc>
        <w:tc>
          <w:tcPr>
            <w:tcW w:w="0" w:type="auto"/>
            <w:shd w:val="clear" w:color="auto" w:fill="auto"/>
            <w:vAlign w:val="center"/>
          </w:tcPr>
          <w:p w14:paraId="628FD37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111</w:t>
            </w:r>
          </w:p>
        </w:tc>
        <w:tc>
          <w:tcPr>
            <w:tcW w:w="0" w:type="auto"/>
            <w:shd w:val="clear" w:color="auto" w:fill="auto"/>
            <w:vAlign w:val="center"/>
          </w:tcPr>
          <w:p w14:paraId="33CEB46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-（无定量数据）</w:t>
            </w:r>
          </w:p>
        </w:tc>
      </w:tr>
      <w:tr w14:paraId="060B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1CCE412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PKb</w:t>
            </w:r>
          </w:p>
        </w:tc>
        <w:tc>
          <w:tcPr>
            <w:tcW w:w="0" w:type="auto"/>
            <w:shd w:val="clear" w:color="auto" w:fill="auto"/>
            <w:vAlign w:val="center"/>
          </w:tcPr>
          <w:p w14:paraId="361AC90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琥珀酰亚胺</w:t>
            </w:r>
          </w:p>
        </w:tc>
        <w:tc>
          <w:tcPr>
            <w:tcW w:w="0" w:type="auto"/>
            <w:shd w:val="clear" w:color="auto" w:fill="auto"/>
            <w:vAlign w:val="center"/>
          </w:tcPr>
          <w:p w14:paraId="07FE9C5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99</w:t>
            </w:r>
          </w:p>
        </w:tc>
        <w:tc>
          <w:tcPr>
            <w:tcW w:w="0" w:type="auto"/>
            <w:shd w:val="clear" w:color="auto" w:fill="auto"/>
            <w:vAlign w:val="center"/>
          </w:tcPr>
          <w:p w14:paraId="0293A1F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-（无定量数据）</w:t>
            </w:r>
          </w:p>
        </w:tc>
      </w:tr>
      <w:tr w14:paraId="005C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7448FB8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PKc</w:t>
            </w:r>
          </w:p>
        </w:tc>
        <w:tc>
          <w:tcPr>
            <w:tcW w:w="0" w:type="auto"/>
            <w:shd w:val="clear" w:color="auto" w:fill="auto"/>
            <w:vAlign w:val="center"/>
          </w:tcPr>
          <w:p w14:paraId="54D1CCB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己内酰胺</w:t>
            </w:r>
          </w:p>
        </w:tc>
        <w:tc>
          <w:tcPr>
            <w:tcW w:w="0" w:type="auto"/>
            <w:shd w:val="clear" w:color="auto" w:fill="auto"/>
            <w:vAlign w:val="center"/>
          </w:tcPr>
          <w:p w14:paraId="3035784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113</w:t>
            </w:r>
          </w:p>
        </w:tc>
        <w:tc>
          <w:tcPr>
            <w:tcW w:w="0" w:type="auto"/>
            <w:shd w:val="clear" w:color="auto" w:fill="auto"/>
            <w:vAlign w:val="center"/>
          </w:tcPr>
          <w:p w14:paraId="7688916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最丰富（定性判定含量最高）</w:t>
            </w:r>
          </w:p>
        </w:tc>
      </w:tr>
    </w:tbl>
    <w:p w14:paraId="11FA005E">
      <w:pPr>
        <w:ind w:firstLine="480"/>
        <w:rPr>
          <w:rFonts w:hint="default" w:ascii="Times New Roman" w:hAnsi="Times New Roman" w:cs="Times New Roman"/>
          <w:color w:val="auto"/>
        </w:rPr>
      </w:pPr>
      <w:r>
        <w:rPr>
          <w:rFonts w:hint="default" w:ascii="Times New Roman" w:hAnsi="Times New Roman" w:cs="Times New Roman"/>
          <w:color w:val="auto"/>
        </w:rPr>
        <w:t>另外根据《不同分子结构聚酰胺热分解机理研究》（《分析测试学报》第43卷第9期2024年9月，见附件9），300℃时，PA6在氩气环境下几乎无物质产生。当热裂解温度为500℃时，PA6的主要裂解产物有3种，己内酰胺、氨基乙酸杂质、1，8-二氮杂环十四烷-2，9-二酮，占比合计为100%。</w:t>
      </w:r>
    </w:p>
    <w:p w14:paraId="21715C9B">
      <w:pPr>
        <w:ind w:firstLine="480"/>
        <w:rPr>
          <w:rFonts w:hint="default" w:ascii="Times New Roman" w:hAnsi="Times New Roman" w:cs="Times New Roman"/>
          <w:color w:val="auto"/>
        </w:rPr>
      </w:pPr>
      <w:r>
        <w:rPr>
          <w:rFonts w:hint="default" w:ascii="Times New Roman" w:hAnsi="Times New Roman" w:cs="Times New Roman"/>
          <w:color w:val="auto"/>
        </w:rPr>
        <w:t>因此，PA6的评价因子仅考虑非甲烷总烃，不考虑氨等单体。</w:t>
      </w:r>
    </w:p>
    <w:p w14:paraId="337B9988">
      <w:pPr>
        <w:ind w:firstLine="482"/>
        <w:rPr>
          <w:rFonts w:hint="default" w:ascii="Times New Roman" w:hAnsi="Times New Roman" w:cs="Times New Roman"/>
          <w:color w:val="auto"/>
        </w:rPr>
      </w:pPr>
      <w:r>
        <w:rPr>
          <w:rFonts w:hint="default" w:ascii="Times New Roman" w:hAnsi="Times New Roman" w:cs="Times New Roman"/>
          <w:b/>
          <w:bCs/>
          <w:color w:val="auto"/>
        </w:rPr>
        <w:t>D、PC（聚碳酸酯）：</w:t>
      </w:r>
      <w:r>
        <w:rPr>
          <w:rFonts w:hint="default" w:ascii="Times New Roman" w:hAnsi="Times New Roman" w:cs="Times New Roman"/>
          <w:color w:val="auto"/>
        </w:rPr>
        <w:t>根据《聚碳酸酯树脂》（HG/T 2503-2022）、《食品包装材料聚碳酸酯中双酚A残留量的测定》（中国卫生检验杂志2009年4月第19第4期）及查询相关资料，本项目</w:t>
      </w:r>
      <w:r>
        <w:rPr>
          <w:rStyle w:val="94"/>
          <w:rFonts w:hint="default" w:ascii="Times New Roman" w:hAnsi="Times New Roman" w:cs="Times New Roman"/>
          <w:color w:val="auto"/>
        </w:rPr>
        <w:t>聚碳酸酯（PC）未达分解温度，</w:t>
      </w:r>
      <w:r>
        <w:rPr>
          <w:rFonts w:hint="default" w:ascii="Times New Roman" w:hAnsi="Times New Roman" w:cs="Times New Roman"/>
          <w:color w:val="auto"/>
        </w:rPr>
        <w:t>因此污染源强仅计算酚类和非甲烷总烃。酚类参考文献《聚碳酸酯树脂中微量酚的测定》（李韶钰 杭州塑料化工一厂；310011）中实验结果，PC塑料中酚类含量73.67mg/kg。</w:t>
      </w:r>
    </w:p>
    <w:p w14:paraId="57218E9F">
      <w:pPr>
        <w:ind w:firstLine="480"/>
        <w:rPr>
          <w:rFonts w:hint="default" w:ascii="Times New Roman" w:hAnsi="Times New Roman" w:cs="Times New Roman"/>
          <w:color w:val="auto"/>
        </w:rPr>
      </w:pPr>
      <w:r>
        <w:rPr>
          <w:rFonts w:hint="default" w:ascii="Times New Roman" w:hAnsi="Times New Roman" w:cs="Times New Roman"/>
          <w:color w:val="auto"/>
        </w:rPr>
        <w:t>根据业主原料采购合同，本项目所用PC（聚碳酸酯）来自国产盛通聚源，见附件3购销合同和附件7聚碳酸酯MSDS。该公司生产PC（聚碳酸酯）均采用</w:t>
      </w:r>
      <w:r>
        <w:rPr>
          <w:rFonts w:hint="default" w:ascii="Times New Roman" w:hAnsi="Times New Roman" w:cs="Times New Roman"/>
          <w:color w:val="auto"/>
          <w:szCs w:val="24"/>
        </w:rPr>
        <w:t>熔融酯交换法（非光气）。根据</w:t>
      </w:r>
      <w:r>
        <w:rPr>
          <w:rFonts w:hint="default" w:ascii="Times New Roman" w:hAnsi="Times New Roman" w:cs="Times New Roman"/>
          <w:color w:val="auto"/>
        </w:rPr>
        <w:t>盛通聚源公司网页介绍（</w:t>
      </w:r>
      <w:r>
        <w:rPr>
          <w:rFonts w:hint="default" w:ascii="Times New Roman" w:hAnsi="Times New Roman" w:cs="Times New Roman"/>
          <w:color w:val="auto"/>
          <w:szCs w:val="24"/>
        </w:rPr>
        <w:t>http://www.stjywin.com/about/1079.html</w:t>
      </w:r>
      <w:r>
        <w:rPr>
          <w:rFonts w:hint="default" w:ascii="Times New Roman" w:hAnsi="Times New Roman" w:cs="Times New Roman"/>
          <w:color w:val="auto"/>
        </w:rPr>
        <w:t>），该公司于2017年投资19.5亿元建设一期13万吨/年聚碳酸酯项目，2019年11月一次试车成功，是国内第一大非光气法单体生产装置。非光气熔融酯交换法以‌碳酸二甲酯（DMC）和苯酚‌反应制得‌碳酸二苯酯（DPC）‌，再与‌双酚A（BPA）‌进行酯交换-缩聚反应，全程‌不涉及氯苯、光气或含氯溶剂‌。因此PC（聚碳酸酯）残留单体不考虑二氯甲烷、氯苯。</w:t>
      </w:r>
    </w:p>
    <w:p w14:paraId="5054E09E">
      <w:pPr>
        <w:ind w:firstLine="482"/>
        <w:rPr>
          <w:rFonts w:hint="default" w:ascii="Times New Roman" w:hAnsi="Times New Roman" w:cs="Times New Roman"/>
          <w:color w:val="auto"/>
        </w:rPr>
      </w:pPr>
      <w:r>
        <w:rPr>
          <w:rFonts w:hint="default" w:ascii="Times New Roman" w:hAnsi="Times New Roman" w:cs="Times New Roman"/>
          <w:b/>
          <w:bCs/>
          <w:color w:val="auto"/>
        </w:rPr>
        <w:t>E、ABS（丙烯腈-丁二烯-苯乙烯共聚物）：</w:t>
      </w:r>
      <w:r>
        <w:rPr>
          <w:rFonts w:hint="default" w:ascii="Times New Roman" w:hAnsi="Times New Roman" w:cs="Times New Roman"/>
          <w:color w:val="auto"/>
        </w:rPr>
        <w:t>根据《丙烯腈-丁二烯-苯乙烯塑料残留单体含量的研究》（炼油与化工，第27卷，李丽），丙烯腈含量约为10.63mg/kg、苯乙烯含量为25.55mg/kg、乙苯含量为15.3mg/kg。甲苯参照《气相色谱 质谱法分析聚苯乙烯加热分解产物》（中国卫生检验杂志，2009年）中产污系数取值3.42×10</w:t>
      </w:r>
      <w:r>
        <w:rPr>
          <w:rFonts w:hint="default" w:ascii="Times New Roman" w:hAnsi="Times New Roman" w:cs="Times New Roman"/>
          <w:color w:val="auto"/>
          <w:vertAlign w:val="superscript"/>
        </w:rPr>
        <w:t>-8</w:t>
      </w:r>
      <w:r>
        <w:rPr>
          <w:rFonts w:hint="default" w:ascii="Times New Roman" w:hAnsi="Times New Roman" w:cs="Times New Roman"/>
          <w:color w:val="auto"/>
        </w:rPr>
        <w:t>t/t-原料。参考文献《PS和ABS制品中1,3-丁二烯残留量的测定》（陈旭明，刘贵深，侯晓东国家食品软包装产品及设备质量监督检验中心（广东））中实验结果，ABS树脂中1,3-丁二烯单体含量1.53mg/kg。</w:t>
      </w:r>
    </w:p>
    <w:p w14:paraId="0AF830AD">
      <w:pPr>
        <w:ind w:firstLine="482"/>
        <w:rPr>
          <w:rFonts w:hint="default" w:ascii="Times New Roman" w:hAnsi="Times New Roman" w:cs="Times New Roman"/>
          <w:color w:val="auto"/>
        </w:rPr>
      </w:pPr>
      <w:r>
        <w:rPr>
          <w:rFonts w:hint="default" w:ascii="Times New Roman" w:hAnsi="Times New Roman" w:cs="Times New Roman"/>
          <w:b/>
          <w:bCs/>
          <w:color w:val="auto"/>
        </w:rPr>
        <w:t>F、PC/ABS增韧剂（甲基丙烯酸甲酯-丁二烯-苯乙烯）：</w:t>
      </w:r>
      <w:r>
        <w:rPr>
          <w:rFonts w:hint="default" w:ascii="Times New Roman" w:hAnsi="Times New Roman" w:cs="Times New Roman"/>
          <w:color w:val="auto"/>
        </w:rPr>
        <w:t>根据《合成树脂工业污染物排放标准》（GB31572-2015（含2024年修改单）），排放标准中未有甲基丙烯酸甲酯-丁二烯-苯乙烯树脂加工的除非甲烷总烃外的特征污染物。但参考ABS（丙烯腈-丁二烯-苯乙烯共聚物），因此考虑非甲烷总烃、苯乙烯、乙苯、甲苯的产生。苯乙烯含量为25.55mg/kg，乙苯含量为15.3mg/kg，甲苯产污系数取值3.42×10</w:t>
      </w:r>
      <w:r>
        <w:rPr>
          <w:rFonts w:hint="default" w:ascii="Times New Roman" w:hAnsi="Times New Roman" w:cs="Times New Roman"/>
          <w:color w:val="auto"/>
          <w:vertAlign w:val="superscript"/>
        </w:rPr>
        <w:t>-8</w:t>
      </w:r>
      <w:r>
        <w:rPr>
          <w:rFonts w:hint="default" w:ascii="Times New Roman" w:hAnsi="Times New Roman" w:cs="Times New Roman"/>
          <w:color w:val="auto"/>
        </w:rPr>
        <w:t>t/t-原料，1,3-丁二烯单体含量1.53mg/kg。</w:t>
      </w:r>
    </w:p>
    <w:p w14:paraId="273A2625">
      <w:pPr>
        <w:ind w:firstLine="482"/>
        <w:rPr>
          <w:rFonts w:hint="default" w:ascii="Times New Roman" w:hAnsi="Times New Roman" w:cs="Times New Roman"/>
          <w:color w:val="auto"/>
        </w:rPr>
      </w:pPr>
      <w:r>
        <w:rPr>
          <w:rFonts w:hint="default" w:ascii="Times New Roman" w:hAnsi="Times New Roman" w:cs="Times New Roman"/>
          <w:b/>
          <w:bCs/>
          <w:color w:val="auto"/>
        </w:rPr>
        <w:t>G、高丁二烯接枝ABS：</w:t>
      </w:r>
      <w:r>
        <w:rPr>
          <w:rFonts w:hint="default" w:ascii="Times New Roman" w:hAnsi="Times New Roman" w:cs="Times New Roman"/>
          <w:color w:val="auto"/>
        </w:rPr>
        <w:t>高丁二烯接枝ABS（常称ABS高胶粉/PB‑g‑SAN），是丁二烯含量55%–70%的核壳型接枝共聚物（普通ABS丁二烯约10%–25%）。参考ABS，苯乙烯、丙烯腈、乙苯、甲苯、1,3-丁二烯单体含量取值分别为25.55mg/kg、10.63mg/kg、15.3mg/kg、3.42×10</w:t>
      </w:r>
      <w:r>
        <w:rPr>
          <w:rFonts w:hint="default" w:ascii="Times New Roman" w:hAnsi="Times New Roman" w:cs="Times New Roman"/>
          <w:color w:val="auto"/>
          <w:vertAlign w:val="superscript"/>
        </w:rPr>
        <w:t>-8</w:t>
      </w:r>
      <w:r>
        <w:rPr>
          <w:rFonts w:hint="default" w:ascii="Times New Roman" w:hAnsi="Times New Roman" w:cs="Times New Roman"/>
          <w:color w:val="auto"/>
        </w:rPr>
        <w:t>t/t-原料、1.53mg/kg。</w:t>
      </w:r>
    </w:p>
    <w:p w14:paraId="1F2ABAC4">
      <w:pPr>
        <w:ind w:firstLine="482"/>
        <w:rPr>
          <w:rFonts w:hint="default" w:ascii="Times New Roman" w:hAnsi="Times New Roman" w:cs="Times New Roman"/>
          <w:color w:val="auto"/>
        </w:rPr>
      </w:pPr>
      <w:r>
        <w:rPr>
          <w:rFonts w:hint="default" w:ascii="Times New Roman" w:hAnsi="Times New Roman" w:cs="Times New Roman"/>
          <w:b/>
          <w:bCs/>
          <w:color w:val="auto"/>
        </w:rPr>
        <w:t>H、X-CM714树脂共聚物：</w:t>
      </w:r>
      <w:r>
        <w:rPr>
          <w:rFonts w:hint="default" w:ascii="Times New Roman" w:hAnsi="Times New Roman" w:cs="Times New Roman"/>
          <w:color w:val="auto"/>
        </w:rPr>
        <w:t>根据《合成树脂工业污染物排放标准》（GB31572-2015（含2024年修改单）），排放标准中未有X-CM714树脂共聚物树脂加工的除非甲烷总烃外的特征污染物，因此不考虑。因此，该物质的评价因子仅考虑非甲烷总烃。</w:t>
      </w:r>
    </w:p>
    <w:p w14:paraId="53A30768">
      <w:pPr>
        <w:ind w:firstLine="480"/>
        <w:rPr>
          <w:rFonts w:hint="default" w:ascii="Times New Roman" w:hAnsi="Times New Roman" w:cs="Times New Roman"/>
          <w:color w:val="auto"/>
        </w:rPr>
      </w:pPr>
      <w:r>
        <w:rPr>
          <w:rFonts w:hint="default" w:ascii="Times New Roman" w:hAnsi="Times New Roman" w:cs="Times New Roman"/>
          <w:color w:val="auto"/>
        </w:rPr>
        <w:t>本项目挤出</w:t>
      </w:r>
      <w:r>
        <w:rPr>
          <w:rFonts w:hint="default" w:ascii="Times New Roman" w:hAnsi="Times New Roman" w:cs="Times New Roman"/>
          <w:color w:val="auto"/>
          <w:lang w:val="en-US" w:eastAsia="zh-CN"/>
        </w:rPr>
        <w:t>和烘干</w:t>
      </w:r>
      <w:r>
        <w:rPr>
          <w:rFonts w:hint="default" w:ascii="Times New Roman" w:hAnsi="Times New Roman" w:cs="Times New Roman"/>
          <w:color w:val="auto"/>
        </w:rPr>
        <w:t>产生的有机废气见表4.2.1-3。</w:t>
      </w:r>
    </w:p>
    <w:p w14:paraId="64036532">
      <w:pPr>
        <w:pStyle w:val="93"/>
        <w:rPr>
          <w:rFonts w:hint="default" w:ascii="Times New Roman" w:hAnsi="Times New Roman" w:cs="Times New Roman"/>
          <w:color w:val="auto"/>
        </w:rPr>
      </w:pPr>
      <w:r>
        <w:rPr>
          <w:rFonts w:hint="default" w:ascii="Times New Roman" w:hAnsi="Times New Roman" w:cs="Times New Roman"/>
          <w:color w:val="auto"/>
        </w:rPr>
        <w:t>表4.2.1-3    有机废气产生一览表</w:t>
      </w:r>
    </w:p>
    <w:tbl>
      <w:tblPr>
        <w:tblStyle w:val="44"/>
        <w:tblW w:w="4899" w:type="pct"/>
        <w:jc w:val="center"/>
        <w:tblLayout w:type="autofit"/>
        <w:tblCellMar>
          <w:top w:w="0" w:type="dxa"/>
          <w:left w:w="108" w:type="dxa"/>
          <w:bottom w:w="0" w:type="dxa"/>
          <w:right w:w="108" w:type="dxa"/>
        </w:tblCellMar>
      </w:tblPr>
      <w:tblGrid>
        <w:gridCol w:w="1388"/>
        <w:gridCol w:w="1389"/>
        <w:gridCol w:w="918"/>
        <w:gridCol w:w="1433"/>
        <w:gridCol w:w="2225"/>
        <w:gridCol w:w="1004"/>
      </w:tblGrid>
      <w:tr w14:paraId="2C0E95B2">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09595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名称</w:t>
            </w:r>
          </w:p>
        </w:tc>
        <w:tc>
          <w:tcPr>
            <w:tcW w:w="13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431D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产品/原料t/a</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A5CF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污染物种类</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0B0B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产污系数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36DDB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产生量</w:t>
            </w:r>
          </w:p>
        </w:tc>
      </w:tr>
      <w:tr w14:paraId="5996CA9C">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91F33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改性PP</w:t>
            </w: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D716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产品</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FD9A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3200</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3D9E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非甲烷总烃</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1C96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2.7kg/t产品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3647C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8.64</w:t>
            </w:r>
          </w:p>
        </w:tc>
      </w:tr>
      <w:tr w14:paraId="012FF688">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7BED9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改性PA</w:t>
            </w: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DB3B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产品</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4CF1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300</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319E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非甲烷总烃</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1B8B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2.7kg/t产品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35117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0.81</w:t>
            </w:r>
          </w:p>
        </w:tc>
      </w:tr>
      <w:tr w14:paraId="19C2C462">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0D4B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改性PC/ABS</w:t>
            </w: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642A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产品</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26BD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200</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28B1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非甲烷总烃</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A70F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2.7kg/t产品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69215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0.54</w:t>
            </w:r>
          </w:p>
        </w:tc>
      </w:tr>
      <w:tr w14:paraId="3B5B7DD6">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4EBDD">
            <w:pPr>
              <w:widowControl/>
              <w:spacing w:line="240" w:lineRule="auto"/>
              <w:ind w:firstLine="0" w:firstLineChars="0"/>
              <w:jc w:val="center"/>
              <w:rPr>
                <w:rFonts w:hint="default" w:ascii="Times New Roman" w:hAnsi="Times New Roman" w:cs="Times New Roman"/>
                <w:color w:val="auto"/>
                <w:sz w:val="21"/>
                <w:szCs w:val="21"/>
              </w:rPr>
            </w:pP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D79F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PC树脂</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2493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140</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6BDA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酚类</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C2E0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73.67mg/kg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29CF1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0.01</w:t>
            </w:r>
          </w:p>
        </w:tc>
      </w:tr>
      <w:tr w14:paraId="2DB58B90">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D9C45">
            <w:pPr>
              <w:widowControl/>
              <w:spacing w:line="240" w:lineRule="auto"/>
              <w:ind w:firstLine="0" w:firstLineChars="0"/>
              <w:jc w:val="center"/>
              <w:rPr>
                <w:rFonts w:hint="default" w:ascii="Times New Roman" w:hAnsi="Times New Roman" w:cs="Times New Roman"/>
                <w:color w:val="auto"/>
                <w:sz w:val="21"/>
                <w:szCs w:val="21"/>
              </w:rPr>
            </w:pPr>
          </w:p>
        </w:tc>
        <w:tc>
          <w:tcPr>
            <w:tcW w:w="8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D3655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ABS树脂</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89575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50</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EE8C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丙烯腈</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E443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10.63mg/kg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95E66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0.00053</w:t>
            </w:r>
          </w:p>
        </w:tc>
      </w:tr>
      <w:tr w14:paraId="5702441F">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C60B1">
            <w:pPr>
              <w:widowControl/>
              <w:spacing w:line="240" w:lineRule="auto"/>
              <w:ind w:firstLine="0" w:firstLineChars="0"/>
              <w:jc w:val="center"/>
              <w:rPr>
                <w:rFonts w:hint="default" w:ascii="Times New Roman" w:hAnsi="Times New Roman" w:cs="Times New Roman"/>
                <w:color w:val="auto"/>
                <w:sz w:val="21"/>
                <w:szCs w:val="21"/>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00C06">
            <w:pPr>
              <w:widowControl/>
              <w:spacing w:line="240" w:lineRule="auto"/>
              <w:ind w:firstLine="0" w:firstLineChars="0"/>
              <w:jc w:val="center"/>
              <w:rPr>
                <w:rFonts w:hint="default" w:ascii="Times New Roman" w:hAnsi="Times New Roman" w:cs="Times New Roman"/>
                <w:color w:val="auto"/>
                <w:sz w:val="21"/>
                <w:szCs w:val="21"/>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6C9E8">
            <w:pPr>
              <w:widowControl/>
              <w:spacing w:line="240" w:lineRule="auto"/>
              <w:ind w:firstLine="0" w:firstLineChars="0"/>
              <w:jc w:val="center"/>
              <w:rPr>
                <w:rFonts w:hint="default" w:ascii="Times New Roman" w:hAnsi="Times New Roman" w:cs="Times New Roman"/>
                <w:color w:val="auto"/>
                <w:sz w:val="21"/>
                <w:szCs w:val="21"/>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7169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苯乙烯</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F66B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25.55mg/kg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80D29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0.0013</w:t>
            </w:r>
          </w:p>
        </w:tc>
      </w:tr>
      <w:tr w14:paraId="0294AA9E">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5A931">
            <w:pPr>
              <w:widowControl/>
              <w:spacing w:line="240" w:lineRule="auto"/>
              <w:ind w:firstLine="0" w:firstLineChars="0"/>
              <w:jc w:val="center"/>
              <w:rPr>
                <w:rFonts w:hint="default" w:ascii="Times New Roman" w:hAnsi="Times New Roman" w:cs="Times New Roman"/>
                <w:color w:val="auto"/>
                <w:sz w:val="21"/>
                <w:szCs w:val="21"/>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6B02E">
            <w:pPr>
              <w:widowControl/>
              <w:spacing w:line="240" w:lineRule="auto"/>
              <w:ind w:firstLine="0" w:firstLineChars="0"/>
              <w:jc w:val="center"/>
              <w:rPr>
                <w:rFonts w:hint="default" w:ascii="Times New Roman" w:hAnsi="Times New Roman" w:cs="Times New Roman"/>
                <w:color w:val="auto"/>
                <w:sz w:val="21"/>
                <w:szCs w:val="21"/>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9AE8C">
            <w:pPr>
              <w:widowControl/>
              <w:spacing w:line="240" w:lineRule="auto"/>
              <w:ind w:firstLine="0" w:firstLineChars="0"/>
              <w:jc w:val="center"/>
              <w:rPr>
                <w:rFonts w:hint="default" w:ascii="Times New Roman" w:hAnsi="Times New Roman" w:cs="Times New Roman"/>
                <w:color w:val="auto"/>
                <w:sz w:val="21"/>
                <w:szCs w:val="21"/>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5D85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乙苯</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C64A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15.3mg/kg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E2307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0.00077</w:t>
            </w:r>
          </w:p>
        </w:tc>
      </w:tr>
      <w:tr w14:paraId="7FE0BA05">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D34BF">
            <w:pPr>
              <w:widowControl/>
              <w:spacing w:line="240" w:lineRule="auto"/>
              <w:ind w:firstLine="0" w:firstLineChars="0"/>
              <w:jc w:val="center"/>
              <w:rPr>
                <w:rFonts w:hint="default" w:ascii="Times New Roman" w:hAnsi="Times New Roman" w:cs="Times New Roman"/>
                <w:color w:val="auto"/>
                <w:sz w:val="21"/>
                <w:szCs w:val="21"/>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528BA">
            <w:pPr>
              <w:widowControl/>
              <w:spacing w:line="240" w:lineRule="auto"/>
              <w:ind w:firstLine="0" w:firstLineChars="0"/>
              <w:jc w:val="center"/>
              <w:rPr>
                <w:rFonts w:hint="default" w:ascii="Times New Roman" w:hAnsi="Times New Roman" w:cs="Times New Roman"/>
                <w:color w:val="auto"/>
                <w:sz w:val="21"/>
                <w:szCs w:val="21"/>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AC36E">
            <w:pPr>
              <w:widowControl/>
              <w:spacing w:line="240" w:lineRule="auto"/>
              <w:ind w:firstLine="0" w:firstLineChars="0"/>
              <w:jc w:val="center"/>
              <w:rPr>
                <w:rFonts w:hint="default" w:ascii="Times New Roman" w:hAnsi="Times New Roman" w:cs="Times New Roman"/>
                <w:color w:val="auto"/>
                <w:sz w:val="21"/>
                <w:szCs w:val="21"/>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806A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甲苯</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2F86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3.42×10-8t/t原料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96303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0.000017</w:t>
            </w:r>
          </w:p>
        </w:tc>
      </w:tr>
      <w:tr w14:paraId="06A161EC">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06476">
            <w:pPr>
              <w:widowControl/>
              <w:spacing w:line="240" w:lineRule="auto"/>
              <w:ind w:firstLine="0" w:firstLineChars="0"/>
              <w:jc w:val="center"/>
              <w:rPr>
                <w:rFonts w:hint="default" w:ascii="Times New Roman" w:hAnsi="Times New Roman" w:cs="Times New Roman"/>
                <w:color w:val="auto"/>
                <w:sz w:val="21"/>
                <w:szCs w:val="21"/>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74BB0">
            <w:pPr>
              <w:widowControl/>
              <w:spacing w:line="240" w:lineRule="auto"/>
              <w:ind w:firstLine="0" w:firstLineChars="0"/>
              <w:jc w:val="center"/>
              <w:rPr>
                <w:rFonts w:hint="default" w:ascii="Times New Roman" w:hAnsi="Times New Roman" w:cs="Times New Roman"/>
                <w:color w:val="auto"/>
                <w:sz w:val="21"/>
                <w:szCs w:val="21"/>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1E26A">
            <w:pPr>
              <w:widowControl/>
              <w:spacing w:line="240" w:lineRule="auto"/>
              <w:ind w:firstLine="0" w:firstLineChars="0"/>
              <w:jc w:val="center"/>
              <w:rPr>
                <w:rFonts w:hint="default" w:ascii="Times New Roman" w:hAnsi="Times New Roman" w:cs="Times New Roman"/>
                <w:color w:val="auto"/>
                <w:sz w:val="21"/>
                <w:szCs w:val="21"/>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DFAC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1,3-丁二烯</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0573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1.53mg/kg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C18C5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0.000077</w:t>
            </w:r>
          </w:p>
        </w:tc>
      </w:tr>
      <w:tr w14:paraId="5366C788">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CD5C2">
            <w:pPr>
              <w:widowControl/>
              <w:spacing w:line="240" w:lineRule="auto"/>
              <w:ind w:firstLine="0" w:firstLineChars="0"/>
              <w:jc w:val="center"/>
              <w:rPr>
                <w:rFonts w:hint="default" w:ascii="Times New Roman" w:hAnsi="Times New Roman" w:cs="Times New Roman"/>
                <w:color w:val="auto"/>
                <w:sz w:val="21"/>
                <w:szCs w:val="21"/>
              </w:rPr>
            </w:pPr>
          </w:p>
        </w:tc>
        <w:tc>
          <w:tcPr>
            <w:tcW w:w="8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ED239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PC/ABS增韧剂</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42640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5A4F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苯乙烯</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720B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25.55mg/kg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3171D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0.0003</w:t>
            </w:r>
          </w:p>
        </w:tc>
      </w:tr>
      <w:tr w14:paraId="1ED9BEAF">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01FD9">
            <w:pPr>
              <w:widowControl/>
              <w:spacing w:line="240" w:lineRule="auto"/>
              <w:ind w:firstLine="0" w:firstLineChars="0"/>
              <w:jc w:val="center"/>
              <w:rPr>
                <w:rFonts w:hint="default" w:ascii="Times New Roman" w:hAnsi="Times New Roman" w:cs="Times New Roman"/>
                <w:color w:val="auto"/>
                <w:sz w:val="21"/>
                <w:szCs w:val="21"/>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F27E6">
            <w:pPr>
              <w:widowControl/>
              <w:spacing w:line="240" w:lineRule="auto"/>
              <w:ind w:firstLine="0" w:firstLineChars="0"/>
              <w:jc w:val="center"/>
              <w:rPr>
                <w:rFonts w:hint="default" w:ascii="Times New Roman" w:hAnsi="Times New Roman" w:cs="Times New Roman"/>
                <w:color w:val="auto"/>
                <w:sz w:val="21"/>
                <w:szCs w:val="21"/>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F8855">
            <w:pPr>
              <w:widowControl/>
              <w:spacing w:line="240" w:lineRule="auto"/>
              <w:ind w:firstLine="0" w:firstLineChars="0"/>
              <w:jc w:val="center"/>
              <w:rPr>
                <w:rFonts w:hint="default" w:ascii="Times New Roman" w:hAnsi="Times New Roman" w:cs="Times New Roman"/>
                <w:color w:val="auto"/>
                <w:sz w:val="21"/>
                <w:szCs w:val="21"/>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38FF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乙苯</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6588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15.3mg/kg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7237A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0.00015</w:t>
            </w:r>
          </w:p>
        </w:tc>
      </w:tr>
      <w:tr w14:paraId="07CC2B44">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134F3">
            <w:pPr>
              <w:widowControl/>
              <w:spacing w:line="240" w:lineRule="auto"/>
              <w:ind w:firstLine="0" w:firstLineChars="0"/>
              <w:jc w:val="center"/>
              <w:rPr>
                <w:rFonts w:hint="default" w:ascii="Times New Roman" w:hAnsi="Times New Roman" w:cs="Times New Roman"/>
                <w:color w:val="auto"/>
                <w:sz w:val="21"/>
                <w:szCs w:val="21"/>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B221D">
            <w:pPr>
              <w:widowControl/>
              <w:spacing w:line="240" w:lineRule="auto"/>
              <w:ind w:firstLine="0" w:firstLineChars="0"/>
              <w:jc w:val="center"/>
              <w:rPr>
                <w:rFonts w:hint="default" w:ascii="Times New Roman" w:hAnsi="Times New Roman" w:cs="Times New Roman"/>
                <w:color w:val="auto"/>
                <w:sz w:val="21"/>
                <w:szCs w:val="21"/>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4AF1C">
            <w:pPr>
              <w:widowControl/>
              <w:spacing w:line="240" w:lineRule="auto"/>
              <w:ind w:firstLine="0" w:firstLineChars="0"/>
              <w:jc w:val="center"/>
              <w:rPr>
                <w:rFonts w:hint="default" w:ascii="Times New Roman" w:hAnsi="Times New Roman" w:cs="Times New Roman"/>
                <w:color w:val="auto"/>
                <w:sz w:val="21"/>
                <w:szCs w:val="21"/>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5337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甲苯</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C0B7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3.42×10-8t/t原料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E995C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0.000003</w:t>
            </w:r>
          </w:p>
        </w:tc>
      </w:tr>
      <w:tr w14:paraId="41CA31AC">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ECF07">
            <w:pPr>
              <w:widowControl/>
              <w:spacing w:line="240" w:lineRule="auto"/>
              <w:ind w:firstLine="0" w:firstLineChars="0"/>
              <w:jc w:val="center"/>
              <w:rPr>
                <w:rFonts w:hint="default" w:ascii="Times New Roman" w:hAnsi="Times New Roman" w:cs="Times New Roman"/>
                <w:color w:val="auto"/>
                <w:sz w:val="21"/>
                <w:szCs w:val="21"/>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BCF9D">
            <w:pPr>
              <w:widowControl/>
              <w:spacing w:line="240" w:lineRule="auto"/>
              <w:ind w:firstLine="0" w:firstLineChars="0"/>
              <w:jc w:val="center"/>
              <w:rPr>
                <w:rFonts w:hint="default" w:ascii="Times New Roman" w:hAnsi="Times New Roman" w:cs="Times New Roman"/>
                <w:color w:val="auto"/>
                <w:sz w:val="21"/>
                <w:szCs w:val="21"/>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BED04">
            <w:pPr>
              <w:widowControl/>
              <w:spacing w:line="240" w:lineRule="auto"/>
              <w:ind w:firstLine="0" w:firstLineChars="0"/>
              <w:jc w:val="center"/>
              <w:rPr>
                <w:rFonts w:hint="default" w:ascii="Times New Roman" w:hAnsi="Times New Roman" w:cs="Times New Roman"/>
                <w:color w:val="auto"/>
                <w:sz w:val="21"/>
                <w:szCs w:val="21"/>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F8B0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1,3-丁二烯</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4BB1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1.53mg/kg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E4BCD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0.000015</w:t>
            </w:r>
          </w:p>
        </w:tc>
      </w:tr>
      <w:tr w14:paraId="44C8C6F3">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34A4E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改性ABS</w:t>
            </w: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6A93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产品</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424F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300</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77DB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非甲烷总烃</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0955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2.7kg/t产品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618C7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0.81</w:t>
            </w:r>
          </w:p>
        </w:tc>
      </w:tr>
      <w:tr w14:paraId="7F87ACD6">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D819C">
            <w:pPr>
              <w:widowControl/>
              <w:spacing w:line="240" w:lineRule="auto"/>
              <w:ind w:firstLine="0" w:firstLineChars="0"/>
              <w:jc w:val="center"/>
              <w:rPr>
                <w:rFonts w:hint="default" w:ascii="Times New Roman" w:hAnsi="Times New Roman" w:cs="Times New Roman"/>
                <w:color w:val="auto"/>
                <w:sz w:val="21"/>
                <w:szCs w:val="21"/>
              </w:rPr>
            </w:pPr>
          </w:p>
        </w:tc>
        <w:tc>
          <w:tcPr>
            <w:tcW w:w="8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0AFDA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ABS树脂、ABS增韧剂</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7AE5D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295</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5B95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丙烯腈</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6744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10.63mg/kg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FC818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0.0031</w:t>
            </w:r>
          </w:p>
        </w:tc>
      </w:tr>
      <w:tr w14:paraId="6F4BAEF7">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0DA4F">
            <w:pPr>
              <w:widowControl/>
              <w:spacing w:line="240" w:lineRule="auto"/>
              <w:ind w:firstLine="0" w:firstLineChars="0"/>
              <w:jc w:val="center"/>
              <w:rPr>
                <w:rFonts w:hint="default" w:ascii="Times New Roman" w:hAnsi="Times New Roman" w:cs="Times New Roman"/>
                <w:color w:val="auto"/>
                <w:sz w:val="21"/>
                <w:szCs w:val="21"/>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AAA84">
            <w:pPr>
              <w:widowControl/>
              <w:spacing w:line="240" w:lineRule="auto"/>
              <w:ind w:firstLine="0" w:firstLineChars="0"/>
              <w:jc w:val="center"/>
              <w:rPr>
                <w:rFonts w:hint="default" w:ascii="Times New Roman" w:hAnsi="Times New Roman" w:cs="Times New Roman"/>
                <w:color w:val="auto"/>
                <w:sz w:val="21"/>
                <w:szCs w:val="21"/>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9FD21">
            <w:pPr>
              <w:widowControl/>
              <w:spacing w:line="240" w:lineRule="auto"/>
              <w:ind w:firstLine="0" w:firstLineChars="0"/>
              <w:jc w:val="center"/>
              <w:rPr>
                <w:rFonts w:hint="default" w:ascii="Times New Roman" w:hAnsi="Times New Roman" w:cs="Times New Roman"/>
                <w:color w:val="auto"/>
                <w:sz w:val="21"/>
                <w:szCs w:val="21"/>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F5E9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苯乙烯</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9D6B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25.55mg/kg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2B20C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0.0075</w:t>
            </w:r>
          </w:p>
        </w:tc>
      </w:tr>
      <w:tr w14:paraId="03E6D6BF">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315C8">
            <w:pPr>
              <w:widowControl/>
              <w:spacing w:line="240" w:lineRule="auto"/>
              <w:ind w:firstLine="0" w:firstLineChars="0"/>
              <w:jc w:val="center"/>
              <w:rPr>
                <w:rFonts w:hint="default" w:ascii="Times New Roman" w:hAnsi="Times New Roman" w:cs="Times New Roman"/>
                <w:color w:val="auto"/>
                <w:sz w:val="21"/>
                <w:szCs w:val="21"/>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6523E">
            <w:pPr>
              <w:widowControl/>
              <w:spacing w:line="240" w:lineRule="auto"/>
              <w:ind w:firstLine="0" w:firstLineChars="0"/>
              <w:jc w:val="center"/>
              <w:rPr>
                <w:rFonts w:hint="default" w:ascii="Times New Roman" w:hAnsi="Times New Roman" w:cs="Times New Roman"/>
                <w:color w:val="auto"/>
                <w:sz w:val="21"/>
                <w:szCs w:val="21"/>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BB790">
            <w:pPr>
              <w:widowControl/>
              <w:spacing w:line="240" w:lineRule="auto"/>
              <w:ind w:firstLine="0" w:firstLineChars="0"/>
              <w:jc w:val="center"/>
              <w:rPr>
                <w:rFonts w:hint="default" w:ascii="Times New Roman" w:hAnsi="Times New Roman" w:cs="Times New Roman"/>
                <w:color w:val="auto"/>
                <w:sz w:val="21"/>
                <w:szCs w:val="21"/>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533A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乙苯</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A98D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15.3mg/kg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55E98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0.0045</w:t>
            </w:r>
          </w:p>
        </w:tc>
      </w:tr>
      <w:tr w14:paraId="27A2AE7D">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BD34F">
            <w:pPr>
              <w:widowControl/>
              <w:spacing w:line="240" w:lineRule="auto"/>
              <w:ind w:firstLine="0" w:firstLineChars="0"/>
              <w:jc w:val="center"/>
              <w:rPr>
                <w:rFonts w:hint="default" w:ascii="Times New Roman" w:hAnsi="Times New Roman" w:cs="Times New Roman"/>
                <w:color w:val="auto"/>
                <w:sz w:val="21"/>
                <w:szCs w:val="21"/>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A40B9">
            <w:pPr>
              <w:widowControl/>
              <w:spacing w:line="240" w:lineRule="auto"/>
              <w:ind w:firstLine="0" w:firstLineChars="0"/>
              <w:jc w:val="center"/>
              <w:rPr>
                <w:rFonts w:hint="default" w:ascii="Times New Roman" w:hAnsi="Times New Roman" w:cs="Times New Roman"/>
                <w:color w:val="auto"/>
                <w:sz w:val="21"/>
                <w:szCs w:val="21"/>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4D68B">
            <w:pPr>
              <w:widowControl/>
              <w:spacing w:line="240" w:lineRule="auto"/>
              <w:ind w:firstLine="0" w:firstLineChars="0"/>
              <w:jc w:val="center"/>
              <w:rPr>
                <w:rFonts w:hint="default" w:ascii="Times New Roman" w:hAnsi="Times New Roman" w:cs="Times New Roman"/>
                <w:color w:val="auto"/>
                <w:sz w:val="21"/>
                <w:szCs w:val="21"/>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65D5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甲苯</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A43C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3.42×10-8t/t原料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0F6E1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0.00010</w:t>
            </w:r>
          </w:p>
        </w:tc>
      </w:tr>
      <w:tr w14:paraId="006033BE">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9D0DA">
            <w:pPr>
              <w:widowControl/>
              <w:spacing w:line="240" w:lineRule="auto"/>
              <w:ind w:firstLine="0" w:firstLineChars="0"/>
              <w:jc w:val="center"/>
              <w:rPr>
                <w:rFonts w:hint="default" w:ascii="Times New Roman" w:hAnsi="Times New Roman" w:cs="Times New Roman"/>
                <w:color w:val="auto"/>
                <w:sz w:val="21"/>
                <w:szCs w:val="21"/>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3C2DA">
            <w:pPr>
              <w:widowControl/>
              <w:spacing w:line="240" w:lineRule="auto"/>
              <w:ind w:firstLine="0" w:firstLineChars="0"/>
              <w:jc w:val="center"/>
              <w:rPr>
                <w:rFonts w:hint="default" w:ascii="Times New Roman" w:hAnsi="Times New Roman" w:cs="Times New Roman"/>
                <w:color w:val="auto"/>
                <w:sz w:val="21"/>
                <w:szCs w:val="21"/>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8AB9B">
            <w:pPr>
              <w:widowControl/>
              <w:spacing w:line="240" w:lineRule="auto"/>
              <w:ind w:firstLine="0" w:firstLineChars="0"/>
              <w:jc w:val="center"/>
              <w:rPr>
                <w:rFonts w:hint="default" w:ascii="Times New Roman" w:hAnsi="Times New Roman" w:cs="Times New Roman"/>
                <w:color w:val="auto"/>
                <w:sz w:val="21"/>
                <w:szCs w:val="21"/>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5C22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1,3-丁二烯</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ED8F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1.53mg/kg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AB442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0.00045</w:t>
            </w:r>
          </w:p>
        </w:tc>
      </w:tr>
    </w:tbl>
    <w:p w14:paraId="65A5CF79">
      <w:pPr>
        <w:ind w:firstLine="480"/>
        <w:rPr>
          <w:rFonts w:hint="default" w:ascii="Times New Roman" w:hAnsi="Times New Roman" w:cs="Times New Roman"/>
          <w:color w:val="auto"/>
        </w:rPr>
      </w:pPr>
    </w:p>
    <w:p w14:paraId="4EE17356">
      <w:pPr>
        <w:ind w:firstLine="480"/>
        <w:rPr>
          <w:rFonts w:hint="default" w:ascii="Times New Roman" w:hAnsi="Times New Roman" w:cs="Times New Roman"/>
          <w:color w:val="auto"/>
        </w:rPr>
      </w:pPr>
      <w:r>
        <w:rPr>
          <w:rFonts w:hint="default" w:ascii="Times New Roman" w:hAnsi="Times New Roman" w:cs="Times New Roman"/>
          <w:color w:val="auto"/>
        </w:rPr>
        <w:t>双螺杆挤出机机筒上的真空排气口需外接真空泵并抽吸掉废气（对应螺杆的排气脱挥段），此外挤出机常压</w:t>
      </w:r>
      <w:r>
        <w:rPr>
          <w:rFonts w:hint="default" w:ascii="Times New Roman" w:hAnsi="Times New Roman" w:cs="Times New Roman"/>
          <w:color w:val="auto"/>
          <w:szCs w:val="24"/>
        </w:rPr>
        <w:t>排气口、模头挤出口、侧喂料口也会有有机废气产生。</w:t>
      </w:r>
      <w:r>
        <w:rPr>
          <w:rFonts w:hint="default" w:ascii="Times New Roman" w:hAnsi="Times New Roman" w:cs="Times New Roman"/>
          <w:color w:val="auto"/>
        </w:rPr>
        <w:t>挤出机真空排气孔真空抽吸废气量为400m</w:t>
      </w:r>
      <w:r>
        <w:rPr>
          <w:rFonts w:hint="default" w:ascii="Times New Roman" w:hAnsi="Times New Roman" w:cs="Times New Roman"/>
          <w:color w:val="auto"/>
          <w:vertAlign w:val="superscript"/>
        </w:rPr>
        <w:t>3</w:t>
      </w:r>
      <w:r>
        <w:rPr>
          <w:rFonts w:hint="default" w:ascii="Times New Roman" w:hAnsi="Times New Roman" w:cs="Times New Roman"/>
          <w:color w:val="auto"/>
        </w:rPr>
        <w:t>/h。在挤出机上方安装集气罩，覆盖挤出机和冷却水槽约1/3区域，6台挤出机分别设置6个集气罩，尺寸为1.8m×0.4m。此外本项目设置2套干燥机，分为A/B料仓，共4个料仓进行烘干。根据工程分析，烘干温度远低于物料熔融温度，主要为脱出少量水分，其产生的有机废气量虽少，但评价仍考虑对其进行收集处理，设置4个集气罩，尺寸为0.5m×0.5m。</w:t>
      </w:r>
    </w:p>
    <w:p w14:paraId="6A067656">
      <w:pPr>
        <w:ind w:firstLine="480"/>
        <w:rPr>
          <w:rFonts w:hint="default" w:ascii="Times New Roman" w:hAnsi="Times New Roman" w:cs="Times New Roman"/>
          <w:color w:val="auto"/>
        </w:rPr>
      </w:pPr>
      <w:r>
        <w:rPr>
          <w:rFonts w:hint="default" w:ascii="Times New Roman" w:hAnsi="Times New Roman" w:cs="Times New Roman"/>
          <w:color w:val="auto"/>
        </w:rPr>
        <w:t>集气罩抽风量按照《简明通风设计手册》上吸式排风罩公式进行计算：</w:t>
      </w:r>
    </w:p>
    <w:p w14:paraId="68546DF8">
      <w:pPr>
        <w:ind w:firstLine="480"/>
        <w:rPr>
          <w:rFonts w:hint="default" w:ascii="Times New Roman" w:hAnsi="Times New Roman" w:cs="Times New Roman"/>
          <w:color w:val="auto"/>
        </w:rPr>
      </w:pPr>
      <w:r>
        <w:rPr>
          <w:rFonts w:hint="default" w:ascii="Times New Roman" w:hAnsi="Times New Roman" w:cs="Times New Roman"/>
          <w:color w:val="auto"/>
        </w:rPr>
        <w:t>L=K×P×H×V</w:t>
      </w:r>
    </w:p>
    <w:p w14:paraId="2C11D05D">
      <w:pPr>
        <w:ind w:firstLine="480"/>
        <w:rPr>
          <w:rFonts w:hint="default" w:ascii="Times New Roman" w:hAnsi="Times New Roman" w:cs="Times New Roman"/>
          <w:color w:val="auto"/>
        </w:rPr>
      </w:pPr>
      <w:r>
        <w:rPr>
          <w:rFonts w:hint="default" w:ascii="Times New Roman" w:hAnsi="Times New Roman" w:cs="Times New Roman"/>
          <w:color w:val="auto"/>
        </w:rPr>
        <w:t>式中：L——排风量，m</w:t>
      </w:r>
      <w:r>
        <w:rPr>
          <w:rFonts w:hint="default" w:ascii="Times New Roman" w:hAnsi="Times New Roman" w:cs="Times New Roman"/>
          <w:color w:val="auto"/>
          <w:vertAlign w:val="superscript"/>
        </w:rPr>
        <w:t>3</w:t>
      </w:r>
      <w:r>
        <w:rPr>
          <w:rFonts w:hint="default" w:ascii="Times New Roman" w:hAnsi="Times New Roman" w:cs="Times New Roman"/>
          <w:color w:val="auto"/>
        </w:rPr>
        <w:t>/s。</w:t>
      </w:r>
    </w:p>
    <w:p w14:paraId="0BBA5BF3">
      <w:pPr>
        <w:ind w:firstLine="480"/>
        <w:rPr>
          <w:rFonts w:hint="default" w:ascii="Times New Roman" w:hAnsi="Times New Roman" w:cs="Times New Roman"/>
          <w:color w:val="auto"/>
        </w:rPr>
      </w:pPr>
      <w:r>
        <w:rPr>
          <w:rFonts w:hint="default" w:ascii="Times New Roman" w:hAnsi="Times New Roman" w:cs="Times New Roman"/>
          <w:color w:val="auto"/>
        </w:rPr>
        <w:t>P——排风罩敞开面周长，m；单台设备上方排风罩周长分别为4.4m、2m。</w:t>
      </w:r>
    </w:p>
    <w:p w14:paraId="7C49D737">
      <w:pPr>
        <w:ind w:firstLine="480"/>
        <w:rPr>
          <w:rFonts w:hint="default" w:ascii="Times New Roman" w:hAnsi="Times New Roman" w:cs="Times New Roman"/>
          <w:color w:val="auto"/>
        </w:rPr>
      </w:pPr>
      <w:r>
        <w:rPr>
          <w:rFonts w:hint="default" w:ascii="Times New Roman" w:hAnsi="Times New Roman" w:cs="Times New Roman"/>
          <w:color w:val="auto"/>
        </w:rPr>
        <w:t>H——罩口至有害物质边缘，m，取0.3m。</w:t>
      </w:r>
    </w:p>
    <w:p w14:paraId="4BCC6DC7">
      <w:pPr>
        <w:ind w:firstLine="480"/>
        <w:rPr>
          <w:rFonts w:hint="default" w:ascii="Times New Roman" w:hAnsi="Times New Roman" w:cs="Times New Roman"/>
          <w:color w:val="auto"/>
        </w:rPr>
      </w:pPr>
      <w:r>
        <w:rPr>
          <w:rFonts w:hint="default" w:ascii="Times New Roman" w:hAnsi="Times New Roman" w:cs="Times New Roman"/>
          <w:color w:val="auto"/>
        </w:rPr>
        <w:t>V——边缘控制点风速，m/s，取0.4m/s，保证微负压状态。</w:t>
      </w:r>
    </w:p>
    <w:p w14:paraId="0554CB91">
      <w:pPr>
        <w:ind w:firstLine="480"/>
        <w:rPr>
          <w:rFonts w:hint="default" w:ascii="Times New Roman" w:hAnsi="Times New Roman" w:cs="Times New Roman"/>
          <w:color w:val="auto"/>
        </w:rPr>
      </w:pPr>
      <w:r>
        <w:rPr>
          <w:rFonts w:hint="default" w:ascii="Times New Roman" w:hAnsi="Times New Roman" w:cs="Times New Roman"/>
          <w:color w:val="auto"/>
        </w:rPr>
        <w:t>K——不均匀的安全系数，取1.4。</w:t>
      </w:r>
    </w:p>
    <w:p w14:paraId="1A7F4799">
      <w:pPr>
        <w:ind w:firstLine="480"/>
        <w:rPr>
          <w:rFonts w:hint="default" w:ascii="Times New Roman" w:hAnsi="Times New Roman" w:cs="Times New Roman"/>
          <w:color w:val="auto"/>
        </w:rPr>
      </w:pPr>
      <w:r>
        <w:rPr>
          <w:rFonts w:hint="default" w:ascii="Times New Roman" w:hAnsi="Times New Roman" w:cs="Times New Roman"/>
          <w:color w:val="auto"/>
        </w:rPr>
        <w:t>计算得挤出机单个集气罩要求的风量为0.739m</w:t>
      </w:r>
      <w:r>
        <w:rPr>
          <w:rFonts w:hint="default" w:ascii="Times New Roman" w:hAnsi="Times New Roman" w:cs="Times New Roman"/>
          <w:color w:val="auto"/>
          <w:vertAlign w:val="superscript"/>
        </w:rPr>
        <w:t>3</w:t>
      </w:r>
      <w:r>
        <w:rPr>
          <w:rFonts w:hint="default" w:ascii="Times New Roman" w:hAnsi="Times New Roman" w:cs="Times New Roman"/>
          <w:color w:val="auto"/>
        </w:rPr>
        <w:t>/s，即2661m</w:t>
      </w:r>
      <w:r>
        <w:rPr>
          <w:rFonts w:hint="default" w:ascii="Times New Roman" w:hAnsi="Times New Roman" w:cs="Times New Roman"/>
          <w:color w:val="auto"/>
          <w:vertAlign w:val="superscript"/>
        </w:rPr>
        <w:t>3</w:t>
      </w:r>
      <w:r>
        <w:rPr>
          <w:rFonts w:hint="default" w:ascii="Times New Roman" w:hAnsi="Times New Roman" w:cs="Times New Roman"/>
          <w:color w:val="auto"/>
        </w:rPr>
        <w:t>/h，6个集气罩设计总风量约16000m</w:t>
      </w:r>
      <w:r>
        <w:rPr>
          <w:rFonts w:hint="default" w:ascii="Times New Roman" w:hAnsi="Times New Roman" w:cs="Times New Roman"/>
          <w:color w:val="auto"/>
          <w:vertAlign w:val="superscript"/>
        </w:rPr>
        <w:t>3</w:t>
      </w:r>
      <w:r>
        <w:rPr>
          <w:rFonts w:hint="default" w:ascii="Times New Roman" w:hAnsi="Times New Roman" w:cs="Times New Roman"/>
          <w:color w:val="auto"/>
        </w:rPr>
        <w:t>/h。</w:t>
      </w:r>
    </w:p>
    <w:p w14:paraId="1AB85AFF">
      <w:pPr>
        <w:ind w:firstLine="480"/>
        <w:rPr>
          <w:rFonts w:hint="default" w:ascii="Times New Roman" w:hAnsi="Times New Roman" w:cs="Times New Roman"/>
          <w:color w:val="auto"/>
        </w:rPr>
      </w:pPr>
      <w:r>
        <w:rPr>
          <w:rFonts w:hint="default" w:ascii="Times New Roman" w:hAnsi="Times New Roman" w:cs="Times New Roman"/>
          <w:color w:val="auto"/>
        </w:rPr>
        <w:t>计算得干燥机单个集气罩要求的风量为0.336m</w:t>
      </w:r>
      <w:r>
        <w:rPr>
          <w:rFonts w:hint="default" w:ascii="Times New Roman" w:hAnsi="Times New Roman" w:cs="Times New Roman"/>
          <w:color w:val="auto"/>
          <w:vertAlign w:val="superscript"/>
        </w:rPr>
        <w:t>3</w:t>
      </w:r>
      <w:r>
        <w:rPr>
          <w:rFonts w:hint="default" w:ascii="Times New Roman" w:hAnsi="Times New Roman" w:cs="Times New Roman"/>
          <w:color w:val="auto"/>
        </w:rPr>
        <w:t>/s，即1210m</w:t>
      </w:r>
      <w:r>
        <w:rPr>
          <w:rFonts w:hint="default" w:ascii="Times New Roman" w:hAnsi="Times New Roman" w:cs="Times New Roman"/>
          <w:color w:val="auto"/>
          <w:vertAlign w:val="superscript"/>
        </w:rPr>
        <w:t>3</w:t>
      </w:r>
      <w:r>
        <w:rPr>
          <w:rFonts w:hint="default" w:ascii="Times New Roman" w:hAnsi="Times New Roman" w:cs="Times New Roman"/>
          <w:color w:val="auto"/>
        </w:rPr>
        <w:t>/h，4个集气罩设计总风量约5000m</w:t>
      </w:r>
      <w:r>
        <w:rPr>
          <w:rFonts w:hint="default" w:ascii="Times New Roman" w:hAnsi="Times New Roman" w:cs="Times New Roman"/>
          <w:color w:val="auto"/>
          <w:vertAlign w:val="superscript"/>
        </w:rPr>
        <w:t>3</w:t>
      </w:r>
      <w:r>
        <w:rPr>
          <w:rFonts w:hint="default" w:ascii="Times New Roman" w:hAnsi="Times New Roman" w:cs="Times New Roman"/>
          <w:color w:val="auto"/>
        </w:rPr>
        <w:t>/h。</w:t>
      </w:r>
    </w:p>
    <w:p w14:paraId="4381ADBE">
      <w:pPr>
        <w:ind w:firstLine="480"/>
        <w:rPr>
          <w:rFonts w:hint="default" w:ascii="Times New Roman" w:hAnsi="Times New Roman" w:cs="Times New Roman"/>
          <w:color w:val="auto"/>
          <w:szCs w:val="24"/>
        </w:rPr>
      </w:pPr>
      <w:r>
        <w:rPr>
          <w:rFonts w:hint="default" w:ascii="Times New Roman" w:hAnsi="Times New Roman" w:cs="Times New Roman"/>
          <w:color w:val="auto"/>
        </w:rPr>
        <w:t>本项目</w:t>
      </w:r>
      <w:r>
        <w:rPr>
          <w:rStyle w:val="94"/>
          <w:rFonts w:hint="default" w:ascii="Times New Roman" w:hAnsi="Times New Roman" w:cs="Times New Roman"/>
          <w:color w:val="auto"/>
        </w:rPr>
        <w:t>10个集气罩，</w:t>
      </w:r>
      <w:r>
        <w:rPr>
          <w:rFonts w:hint="default" w:ascii="Times New Roman" w:hAnsi="Times New Roman" w:cs="Times New Roman"/>
          <w:color w:val="auto"/>
        </w:rPr>
        <w:t>废气收集率考虑80%，设计风量总计约为21000m</w:t>
      </w:r>
      <w:r>
        <w:rPr>
          <w:rFonts w:hint="default" w:ascii="Times New Roman" w:hAnsi="Times New Roman" w:cs="Times New Roman"/>
          <w:color w:val="auto"/>
          <w:vertAlign w:val="superscript"/>
        </w:rPr>
        <w:t>3</w:t>
      </w:r>
      <w:r>
        <w:rPr>
          <w:rFonts w:hint="default" w:ascii="Times New Roman" w:hAnsi="Times New Roman" w:cs="Times New Roman"/>
          <w:color w:val="auto"/>
        </w:rPr>
        <w:t>/h；真空抽吸废气量为400m</w:t>
      </w:r>
      <w:r>
        <w:rPr>
          <w:rFonts w:hint="default" w:ascii="Times New Roman" w:hAnsi="Times New Roman" w:cs="Times New Roman"/>
          <w:color w:val="auto"/>
          <w:vertAlign w:val="superscript"/>
        </w:rPr>
        <w:t>3</w:t>
      </w:r>
      <w:r>
        <w:rPr>
          <w:rFonts w:hint="default" w:ascii="Times New Roman" w:hAnsi="Times New Roman" w:cs="Times New Roman"/>
          <w:color w:val="auto"/>
        </w:rPr>
        <w:t>/h，收集率考虑100%，则总风量为21400m</w:t>
      </w:r>
      <w:r>
        <w:rPr>
          <w:rFonts w:hint="default" w:ascii="Times New Roman" w:hAnsi="Times New Roman" w:cs="Times New Roman"/>
          <w:color w:val="auto"/>
          <w:vertAlign w:val="superscript"/>
        </w:rPr>
        <w:t>3</w:t>
      </w:r>
      <w:r>
        <w:rPr>
          <w:rFonts w:hint="default" w:ascii="Times New Roman" w:hAnsi="Times New Roman" w:cs="Times New Roman"/>
          <w:color w:val="auto"/>
        </w:rPr>
        <w:t>/h。项目采用碘值不低于800mg/g的活性炭进行二级吸附，去除效率按8</w:t>
      </w:r>
      <w:r>
        <w:rPr>
          <w:rFonts w:hint="eastAsia" w:cs="Times New Roman"/>
          <w:color w:val="auto"/>
          <w:lang w:val="en-US" w:eastAsia="zh-CN"/>
        </w:rPr>
        <w:t>0</w:t>
      </w:r>
      <w:r>
        <w:rPr>
          <w:rFonts w:hint="default" w:ascii="Times New Roman" w:hAnsi="Times New Roman" w:cs="Times New Roman"/>
          <w:color w:val="auto"/>
        </w:rPr>
        <w:t>%考虑。废气处理后通过25m高1#排气筒排放。根据行业经验，本项目挤出过程污染物</w:t>
      </w:r>
      <w:r>
        <w:rPr>
          <w:rFonts w:hint="default" w:ascii="Times New Roman" w:hAnsi="Times New Roman" w:cs="Times New Roman"/>
          <w:color w:val="auto"/>
          <w:szCs w:val="24"/>
        </w:rPr>
        <w:t>真空脱挥抽出的废气占比按60%考虑。</w:t>
      </w:r>
    </w:p>
    <w:p w14:paraId="26CB85A4">
      <w:pPr>
        <w:ind w:firstLine="480"/>
        <w:rPr>
          <w:rFonts w:hint="default" w:ascii="Times New Roman" w:hAnsi="Times New Roman" w:cs="Times New Roman"/>
          <w:color w:val="auto"/>
          <w:szCs w:val="24"/>
        </w:rPr>
      </w:pPr>
      <w:r>
        <w:rPr>
          <w:rFonts w:hint="default" w:ascii="Times New Roman" w:hAnsi="Times New Roman" w:cs="Times New Roman"/>
          <w:color w:val="auto"/>
          <w:szCs w:val="24"/>
        </w:rPr>
        <w:t>本项目废气污染物收集情况见表4.2.1-4。</w:t>
      </w:r>
    </w:p>
    <w:p w14:paraId="5D2410C5">
      <w:pPr>
        <w:pStyle w:val="93"/>
        <w:rPr>
          <w:rFonts w:hint="default" w:ascii="Times New Roman" w:hAnsi="Times New Roman" w:cs="Times New Roman"/>
          <w:color w:val="auto"/>
          <w:szCs w:val="24"/>
        </w:rPr>
      </w:pPr>
      <w:r>
        <w:rPr>
          <w:rFonts w:hint="default" w:ascii="Times New Roman" w:hAnsi="Times New Roman" w:cs="Times New Roman"/>
          <w:color w:val="auto"/>
        </w:rPr>
        <w:t xml:space="preserve">表4.2.1-4     </w:t>
      </w:r>
      <w:r>
        <w:rPr>
          <w:rFonts w:hint="default" w:ascii="Times New Roman" w:hAnsi="Times New Roman" w:cs="Times New Roman"/>
          <w:color w:val="auto"/>
          <w:szCs w:val="24"/>
        </w:rPr>
        <w:t>废气污染物收集情况一览表  单位：</w:t>
      </w:r>
      <w:r>
        <w:rPr>
          <w:rFonts w:hint="default" w:ascii="Times New Roman" w:hAnsi="Times New Roman" w:cs="Times New Roman"/>
          <w:color w:val="auto"/>
          <w:sz w:val="21"/>
          <w:szCs w:val="21"/>
          <w:lang w:bidi="ar"/>
        </w:rPr>
        <w:t>t/a</w:t>
      </w:r>
    </w:p>
    <w:tbl>
      <w:tblPr>
        <w:tblStyle w:val="44"/>
        <w:tblW w:w="4899" w:type="pct"/>
        <w:jc w:val="center"/>
        <w:tblLayout w:type="fixed"/>
        <w:tblCellMar>
          <w:top w:w="0" w:type="dxa"/>
          <w:left w:w="108" w:type="dxa"/>
          <w:bottom w:w="0" w:type="dxa"/>
          <w:right w:w="108" w:type="dxa"/>
        </w:tblCellMar>
      </w:tblPr>
      <w:tblGrid>
        <w:gridCol w:w="601"/>
        <w:gridCol w:w="1288"/>
        <w:gridCol w:w="1261"/>
        <w:gridCol w:w="1341"/>
        <w:gridCol w:w="1261"/>
        <w:gridCol w:w="1236"/>
        <w:gridCol w:w="1369"/>
      </w:tblGrid>
      <w:tr w14:paraId="18873E41">
        <w:trPr>
          <w:trHeight w:val="300" w:hRule="atLeast"/>
          <w:jc w:val="center"/>
        </w:trPr>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129A2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名称</w:t>
            </w:r>
          </w:p>
        </w:tc>
        <w:tc>
          <w:tcPr>
            <w:tcW w:w="12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F7D1D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污染物种类</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CEAB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总产生量</w:t>
            </w:r>
          </w:p>
        </w:tc>
        <w:tc>
          <w:tcPr>
            <w:tcW w:w="260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4A9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真空抽吸</w:t>
            </w:r>
          </w:p>
        </w:tc>
        <w:tc>
          <w:tcPr>
            <w:tcW w:w="26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18EA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其他区域</w:t>
            </w:r>
          </w:p>
        </w:tc>
      </w:tr>
      <w:tr w14:paraId="11C54D3D">
        <w:tblPrEx>
          <w:tblCellMar>
            <w:top w:w="0" w:type="dxa"/>
            <w:left w:w="108" w:type="dxa"/>
            <w:bottom w:w="0" w:type="dxa"/>
            <w:right w:w="108" w:type="dxa"/>
          </w:tblCellMar>
        </w:tblPrEx>
        <w:trPr>
          <w:trHeight w:val="30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39AAE">
            <w:pPr>
              <w:widowControl/>
              <w:spacing w:line="240" w:lineRule="auto"/>
              <w:ind w:firstLine="0" w:firstLineChars="0"/>
              <w:jc w:val="center"/>
              <w:rPr>
                <w:rFonts w:hint="default" w:ascii="Times New Roman" w:hAnsi="Times New Roman" w:cs="Times New Roman"/>
                <w:color w:val="auto"/>
                <w:sz w:val="21"/>
                <w:szCs w:val="21"/>
              </w:rPr>
            </w:pPr>
          </w:p>
        </w:tc>
        <w:tc>
          <w:tcPr>
            <w:tcW w:w="1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F5AB3">
            <w:pPr>
              <w:widowControl/>
              <w:spacing w:line="240" w:lineRule="auto"/>
              <w:ind w:firstLine="0" w:firstLineChars="0"/>
              <w:jc w:val="center"/>
              <w:rPr>
                <w:rFonts w:hint="default" w:ascii="Times New Roman" w:hAnsi="Times New Roman" w:cs="Times New Roman"/>
                <w:color w:val="auto"/>
                <w:sz w:val="21"/>
                <w:szCs w:val="21"/>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0F76E">
            <w:pPr>
              <w:widowControl/>
              <w:spacing w:line="240" w:lineRule="auto"/>
              <w:ind w:firstLine="0" w:firstLineChars="0"/>
              <w:jc w:val="center"/>
              <w:rPr>
                <w:rFonts w:hint="default" w:ascii="Times New Roman" w:hAnsi="Times New Roman" w:cs="Times New Roman"/>
                <w:color w:val="auto"/>
                <w:sz w:val="21"/>
                <w:szCs w:val="21"/>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1749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产生量</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E127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100%收集</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CEB3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产生量</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A95E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80%收集</w:t>
            </w:r>
          </w:p>
        </w:tc>
      </w:tr>
      <w:tr w14:paraId="2B007818">
        <w:tblPrEx>
          <w:tblCellMar>
            <w:top w:w="0" w:type="dxa"/>
            <w:left w:w="108" w:type="dxa"/>
            <w:bottom w:w="0" w:type="dxa"/>
            <w:right w:w="108" w:type="dxa"/>
          </w:tblCellMar>
        </w:tblPrEx>
        <w:trPr>
          <w:trHeight w:val="525"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A499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改性PP</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CBC8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非甲烷总烃</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19E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8.64</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A36A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5.184</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6632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5.184</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D6B3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3.456</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D18D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2.7648</w:t>
            </w:r>
          </w:p>
        </w:tc>
      </w:tr>
      <w:tr w14:paraId="12DEC343">
        <w:tblPrEx>
          <w:tblCellMar>
            <w:top w:w="0" w:type="dxa"/>
            <w:left w:w="108" w:type="dxa"/>
            <w:bottom w:w="0" w:type="dxa"/>
            <w:right w:w="108" w:type="dxa"/>
          </w:tblCellMar>
        </w:tblPrEx>
        <w:trPr>
          <w:trHeight w:val="300"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A0B8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改性PA</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8834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非甲烷总烃</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320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0.81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A1F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0.486</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57DD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0.486</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1B1D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0.324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089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0.2592</w:t>
            </w:r>
          </w:p>
        </w:tc>
      </w:tr>
      <w:tr w14:paraId="3A9E96FC">
        <w:tblPrEx>
          <w:tblCellMar>
            <w:top w:w="0" w:type="dxa"/>
            <w:left w:w="108" w:type="dxa"/>
            <w:bottom w:w="0" w:type="dxa"/>
            <w:right w:w="108" w:type="dxa"/>
          </w:tblCellMar>
        </w:tblPrEx>
        <w:trPr>
          <w:trHeight w:val="315" w:hRule="atLeast"/>
          <w:jc w:val="center"/>
        </w:trPr>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E2176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改性PC/ABS</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6DC8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非甲烷总烃</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BB31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0.54</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ABC2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0.324</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49B5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0.324</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C3F8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0.216</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A8C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0.1728</w:t>
            </w:r>
          </w:p>
        </w:tc>
      </w:tr>
      <w:tr w14:paraId="5F9E7A85">
        <w:tblPrEx>
          <w:tblCellMar>
            <w:top w:w="0" w:type="dxa"/>
            <w:left w:w="108" w:type="dxa"/>
            <w:bottom w:w="0" w:type="dxa"/>
            <w:right w:w="108" w:type="dxa"/>
          </w:tblCellMar>
        </w:tblPrEx>
        <w:trPr>
          <w:trHeight w:val="30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9FA0F">
            <w:pPr>
              <w:widowControl/>
              <w:spacing w:line="240" w:lineRule="auto"/>
              <w:ind w:firstLine="0" w:firstLineChars="0"/>
              <w:jc w:val="center"/>
              <w:rPr>
                <w:rFonts w:hint="default" w:ascii="Times New Roman" w:hAnsi="Times New Roman" w:cs="Times New Roman"/>
                <w:color w:val="auto"/>
                <w:sz w:val="21"/>
                <w:szCs w:val="21"/>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6630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酚类</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0736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5275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0.006</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7056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0.006</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DAD1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2795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0.0032</w:t>
            </w:r>
          </w:p>
        </w:tc>
      </w:tr>
      <w:tr w14:paraId="054FBA5F">
        <w:tblPrEx>
          <w:tblCellMar>
            <w:top w:w="0" w:type="dxa"/>
            <w:left w:w="108" w:type="dxa"/>
            <w:bottom w:w="0" w:type="dxa"/>
            <w:right w:w="108" w:type="dxa"/>
          </w:tblCellMar>
        </w:tblPrEx>
        <w:trPr>
          <w:trHeight w:val="30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921B9">
            <w:pPr>
              <w:widowControl/>
              <w:spacing w:line="240" w:lineRule="auto"/>
              <w:ind w:firstLine="0" w:firstLineChars="0"/>
              <w:jc w:val="center"/>
              <w:rPr>
                <w:rFonts w:hint="default" w:ascii="Times New Roman" w:hAnsi="Times New Roman" w:cs="Times New Roman"/>
                <w:color w:val="auto"/>
                <w:sz w:val="21"/>
                <w:szCs w:val="21"/>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EAEB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丙烯腈</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8AC1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0.00053</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4609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0.000318</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C80F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0.000318</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9CB9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0.000212</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CABA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0.0001696</w:t>
            </w:r>
          </w:p>
        </w:tc>
      </w:tr>
      <w:tr w14:paraId="03C5D71B">
        <w:tblPrEx>
          <w:tblCellMar>
            <w:top w:w="0" w:type="dxa"/>
            <w:left w:w="108" w:type="dxa"/>
            <w:bottom w:w="0" w:type="dxa"/>
            <w:right w:w="108" w:type="dxa"/>
          </w:tblCellMar>
        </w:tblPrEx>
        <w:trPr>
          <w:trHeight w:val="30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C2956">
            <w:pPr>
              <w:widowControl/>
              <w:spacing w:line="240" w:lineRule="auto"/>
              <w:ind w:firstLine="0" w:firstLineChars="0"/>
              <w:jc w:val="center"/>
              <w:rPr>
                <w:rFonts w:hint="default" w:ascii="Times New Roman" w:hAnsi="Times New Roman" w:cs="Times New Roman"/>
                <w:color w:val="auto"/>
                <w:sz w:val="21"/>
                <w:szCs w:val="21"/>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EBD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苯乙烯</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3904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0.0016</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1C2F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0.00096</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1EB2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0.00096</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3EF6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0.00064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AB1F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0.000512</w:t>
            </w:r>
          </w:p>
        </w:tc>
      </w:tr>
      <w:tr w14:paraId="05E745B1">
        <w:tblPrEx>
          <w:tblCellMar>
            <w:top w:w="0" w:type="dxa"/>
            <w:left w:w="108" w:type="dxa"/>
            <w:bottom w:w="0" w:type="dxa"/>
            <w:right w:w="108" w:type="dxa"/>
          </w:tblCellMar>
        </w:tblPrEx>
        <w:trPr>
          <w:trHeight w:val="30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C81FF">
            <w:pPr>
              <w:widowControl/>
              <w:spacing w:line="240" w:lineRule="auto"/>
              <w:ind w:firstLine="0" w:firstLineChars="0"/>
              <w:jc w:val="center"/>
              <w:rPr>
                <w:rFonts w:hint="default" w:ascii="Times New Roman" w:hAnsi="Times New Roman" w:cs="Times New Roman"/>
                <w:color w:val="auto"/>
                <w:sz w:val="21"/>
                <w:szCs w:val="21"/>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9B18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乙苯</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3777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0.00092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1423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0.000552</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7835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0.000552</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C667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0.000368</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5C44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0.0002944</w:t>
            </w:r>
          </w:p>
        </w:tc>
      </w:tr>
      <w:tr w14:paraId="0E75F6B8">
        <w:tblPrEx>
          <w:tblCellMar>
            <w:top w:w="0" w:type="dxa"/>
            <w:left w:w="108" w:type="dxa"/>
            <w:bottom w:w="0" w:type="dxa"/>
            <w:right w:w="108" w:type="dxa"/>
          </w:tblCellMar>
        </w:tblPrEx>
        <w:trPr>
          <w:trHeight w:val="315"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D2E95">
            <w:pPr>
              <w:widowControl/>
              <w:spacing w:line="240" w:lineRule="auto"/>
              <w:ind w:firstLine="0" w:firstLineChars="0"/>
              <w:jc w:val="center"/>
              <w:rPr>
                <w:rFonts w:hint="default" w:ascii="Times New Roman" w:hAnsi="Times New Roman" w:cs="Times New Roman"/>
                <w:color w:val="auto"/>
                <w:sz w:val="21"/>
                <w:szCs w:val="21"/>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71FB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甲苯</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5145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2AAA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0.000012</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B3D5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0.000012</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0499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0.000008</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67C0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0.0000064</w:t>
            </w:r>
          </w:p>
        </w:tc>
      </w:tr>
      <w:tr w14:paraId="7731F2F1">
        <w:tblPrEx>
          <w:tblCellMar>
            <w:top w:w="0" w:type="dxa"/>
            <w:left w:w="108" w:type="dxa"/>
            <w:bottom w:w="0" w:type="dxa"/>
            <w:right w:w="108" w:type="dxa"/>
          </w:tblCellMar>
        </w:tblPrEx>
        <w:trPr>
          <w:trHeight w:val="30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7ACAC">
            <w:pPr>
              <w:widowControl/>
              <w:spacing w:line="240" w:lineRule="auto"/>
              <w:ind w:firstLine="0" w:firstLineChars="0"/>
              <w:jc w:val="center"/>
              <w:rPr>
                <w:rFonts w:hint="default" w:ascii="Times New Roman" w:hAnsi="Times New Roman" w:cs="Times New Roman"/>
                <w:color w:val="auto"/>
                <w:sz w:val="21"/>
                <w:szCs w:val="21"/>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ECD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1,3-丁二烯</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2CD4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0.000092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C2EB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0.0000552</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50E1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0.0000552</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D620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0.0000368</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CA22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0.00002944</w:t>
            </w:r>
          </w:p>
        </w:tc>
      </w:tr>
      <w:tr w14:paraId="2EACC130">
        <w:tblPrEx>
          <w:tblCellMar>
            <w:top w:w="0" w:type="dxa"/>
            <w:left w:w="108" w:type="dxa"/>
            <w:bottom w:w="0" w:type="dxa"/>
            <w:right w:w="108" w:type="dxa"/>
          </w:tblCellMar>
        </w:tblPrEx>
        <w:trPr>
          <w:trHeight w:val="300" w:hRule="atLeast"/>
          <w:jc w:val="center"/>
        </w:trPr>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984CA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改性ABS</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4C97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非甲烷总烃</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D73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0.81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FCDE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0.486</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02F1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0.486</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753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0.324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A763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0.2592</w:t>
            </w:r>
          </w:p>
        </w:tc>
      </w:tr>
      <w:tr w14:paraId="7E349592">
        <w:tblPrEx>
          <w:tblCellMar>
            <w:top w:w="0" w:type="dxa"/>
            <w:left w:w="108" w:type="dxa"/>
            <w:bottom w:w="0" w:type="dxa"/>
            <w:right w:w="108" w:type="dxa"/>
          </w:tblCellMar>
        </w:tblPrEx>
        <w:trPr>
          <w:trHeight w:val="30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A5890">
            <w:pPr>
              <w:widowControl/>
              <w:spacing w:line="240" w:lineRule="auto"/>
              <w:ind w:firstLine="0" w:firstLineChars="0"/>
              <w:jc w:val="center"/>
              <w:rPr>
                <w:rFonts w:hint="default" w:ascii="Times New Roman" w:hAnsi="Times New Roman" w:cs="Times New Roman"/>
                <w:color w:val="auto"/>
                <w:sz w:val="21"/>
                <w:szCs w:val="21"/>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B729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丙烯腈</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52CC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0.0031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7E5E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0.00186</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BC90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0.00186</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AF10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0.00124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C26A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0.000992</w:t>
            </w:r>
          </w:p>
        </w:tc>
      </w:tr>
      <w:tr w14:paraId="48A58E19">
        <w:tblPrEx>
          <w:tblCellMar>
            <w:top w:w="0" w:type="dxa"/>
            <w:left w:w="108" w:type="dxa"/>
            <w:bottom w:w="0" w:type="dxa"/>
            <w:right w:w="108" w:type="dxa"/>
          </w:tblCellMar>
        </w:tblPrEx>
        <w:trPr>
          <w:trHeight w:val="30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17382">
            <w:pPr>
              <w:widowControl/>
              <w:spacing w:line="240" w:lineRule="auto"/>
              <w:ind w:firstLine="0" w:firstLineChars="0"/>
              <w:jc w:val="center"/>
              <w:rPr>
                <w:rFonts w:hint="default" w:ascii="Times New Roman" w:hAnsi="Times New Roman" w:cs="Times New Roman"/>
                <w:color w:val="auto"/>
                <w:sz w:val="21"/>
                <w:szCs w:val="21"/>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62BE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苯乙烯</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2024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0.0075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2DB6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0.0045</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1129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0.0045</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4F40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0.003</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D361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0.0024</w:t>
            </w:r>
          </w:p>
        </w:tc>
      </w:tr>
      <w:tr w14:paraId="028790F1">
        <w:tblPrEx>
          <w:tblCellMar>
            <w:top w:w="0" w:type="dxa"/>
            <w:left w:w="108" w:type="dxa"/>
            <w:bottom w:w="0" w:type="dxa"/>
            <w:right w:w="108" w:type="dxa"/>
          </w:tblCellMar>
        </w:tblPrEx>
        <w:trPr>
          <w:trHeight w:val="30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352FE">
            <w:pPr>
              <w:widowControl/>
              <w:spacing w:line="240" w:lineRule="auto"/>
              <w:ind w:firstLine="0" w:firstLineChars="0"/>
              <w:jc w:val="center"/>
              <w:rPr>
                <w:rFonts w:hint="default" w:ascii="Times New Roman" w:hAnsi="Times New Roman" w:cs="Times New Roman"/>
                <w:color w:val="auto"/>
                <w:sz w:val="21"/>
                <w:szCs w:val="21"/>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6DA6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乙苯</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932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0.0045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71FB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0.0027</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F1E5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0.0027</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045A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0.0018</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E5C8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0.00144</w:t>
            </w:r>
          </w:p>
        </w:tc>
      </w:tr>
      <w:tr w14:paraId="0B219AFD">
        <w:tblPrEx>
          <w:tblCellMar>
            <w:top w:w="0" w:type="dxa"/>
            <w:left w:w="108" w:type="dxa"/>
            <w:bottom w:w="0" w:type="dxa"/>
            <w:right w:w="108" w:type="dxa"/>
          </w:tblCellMar>
        </w:tblPrEx>
        <w:trPr>
          <w:trHeight w:val="30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0BB9E">
            <w:pPr>
              <w:widowControl/>
              <w:spacing w:line="240" w:lineRule="auto"/>
              <w:ind w:firstLine="0" w:firstLineChars="0"/>
              <w:jc w:val="center"/>
              <w:rPr>
                <w:rFonts w:hint="default" w:ascii="Times New Roman" w:hAnsi="Times New Roman" w:cs="Times New Roman"/>
                <w:color w:val="auto"/>
                <w:sz w:val="21"/>
                <w:szCs w:val="21"/>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1B9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甲苯</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D03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0.0001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1E2E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0.00006</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9D94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0.00006</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DF0B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0.00004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626B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0.000032</w:t>
            </w:r>
          </w:p>
        </w:tc>
      </w:tr>
      <w:tr w14:paraId="7C83F635">
        <w:tblPrEx>
          <w:tblCellMar>
            <w:top w:w="0" w:type="dxa"/>
            <w:left w:w="108" w:type="dxa"/>
            <w:bottom w:w="0" w:type="dxa"/>
            <w:right w:w="108" w:type="dxa"/>
          </w:tblCellMar>
        </w:tblPrEx>
        <w:trPr>
          <w:trHeight w:val="300" w:hRule="atLeast"/>
          <w:jc w:val="center"/>
        </w:trPr>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54C54">
            <w:pPr>
              <w:widowControl/>
              <w:spacing w:line="240" w:lineRule="auto"/>
              <w:ind w:firstLine="0" w:firstLineChars="0"/>
              <w:jc w:val="center"/>
              <w:rPr>
                <w:rFonts w:hint="default" w:ascii="Times New Roman" w:hAnsi="Times New Roman" w:cs="Times New Roman"/>
                <w:color w:val="auto"/>
                <w:sz w:val="21"/>
                <w:szCs w:val="21"/>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A0BD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1,3-丁二烯</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C9D8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0.00045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5F4B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0.00027</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488F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0.00027</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0BD4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0.00018</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15C6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0.000144</w:t>
            </w:r>
          </w:p>
        </w:tc>
      </w:tr>
    </w:tbl>
    <w:p w14:paraId="19449844">
      <w:pPr>
        <w:ind w:firstLine="480"/>
        <w:rPr>
          <w:rFonts w:hint="default" w:ascii="Times New Roman" w:hAnsi="Times New Roman" w:cs="Times New Roman"/>
          <w:color w:val="auto"/>
        </w:rPr>
      </w:pPr>
    </w:p>
    <w:p w14:paraId="73C884D8">
      <w:pPr>
        <w:ind w:firstLine="480"/>
        <w:rPr>
          <w:rFonts w:hint="default" w:ascii="Times New Roman" w:hAnsi="Times New Roman" w:cs="Times New Roman"/>
          <w:color w:val="auto"/>
        </w:rPr>
      </w:pPr>
      <w:r>
        <w:rPr>
          <w:rFonts w:hint="default" w:ascii="Times New Roman" w:hAnsi="Times New Roman" w:cs="Times New Roman"/>
          <w:color w:val="auto"/>
        </w:rPr>
        <w:t>根据《合成树脂工业污染物排放标准》（GB31572-2015，含2024年修改单）附录B，单位产品非甲烷总烃排放量按下式计算：</w:t>
      </w:r>
    </w:p>
    <w:p w14:paraId="33CE28FE">
      <w:pPr>
        <w:ind w:firstLine="480"/>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1066800" cy="539115"/>
            <wp:effectExtent l="0" t="0" r="0" b="13335"/>
            <wp:docPr id="22" name="图片 22" descr="168448329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684483291956"/>
                    <pic:cNvPicPr>
                      <a:picLocks noChangeAspect="1"/>
                    </pic:cNvPicPr>
                  </pic:nvPicPr>
                  <pic:blipFill>
                    <a:blip r:embed="rId47"/>
                    <a:stretch>
                      <a:fillRect/>
                    </a:stretch>
                  </pic:blipFill>
                  <pic:spPr>
                    <a:xfrm>
                      <a:off x="0" y="0"/>
                      <a:ext cx="1066800" cy="539115"/>
                    </a:xfrm>
                    <a:prstGeom prst="rect">
                      <a:avLst/>
                    </a:prstGeom>
                  </pic:spPr>
                </pic:pic>
              </a:graphicData>
            </a:graphic>
          </wp:inline>
        </w:drawing>
      </w:r>
    </w:p>
    <w:p w14:paraId="50D6D3C1">
      <w:pPr>
        <w:ind w:firstLine="480"/>
        <w:rPr>
          <w:rFonts w:hint="default" w:ascii="Times New Roman" w:hAnsi="Times New Roman" w:cs="Times New Roman"/>
          <w:color w:val="auto"/>
        </w:rPr>
      </w:pPr>
      <w:r>
        <w:rPr>
          <w:rFonts w:hint="default" w:ascii="Times New Roman" w:hAnsi="Times New Roman" w:cs="Times New Roman"/>
          <w:color w:val="auto"/>
        </w:rPr>
        <w:t>式中：</w:t>
      </w:r>
    </w:p>
    <w:p w14:paraId="18BC2CAA">
      <w:pPr>
        <w:ind w:firstLine="480"/>
        <w:rPr>
          <w:rFonts w:hint="default" w:ascii="Times New Roman" w:hAnsi="Times New Roman" w:cs="Times New Roman"/>
          <w:color w:val="auto"/>
        </w:rPr>
      </w:pPr>
      <w:r>
        <w:rPr>
          <w:rFonts w:hint="default" w:ascii="Times New Roman" w:hAnsi="Times New Roman" w:cs="Times New Roman"/>
          <w:color w:val="auto"/>
        </w:rPr>
        <w:t>A——单位合成树脂产品非甲烷总烃排放量，kg/t产品；</w:t>
      </w:r>
    </w:p>
    <w:p w14:paraId="5A3B38F1">
      <w:pPr>
        <w:ind w:firstLine="480"/>
        <w:rPr>
          <w:rFonts w:hint="default" w:ascii="Times New Roman" w:hAnsi="Times New Roman" w:cs="Times New Roman"/>
          <w:color w:val="auto"/>
        </w:rPr>
      </w:pPr>
      <w:r>
        <w:rPr>
          <w:rFonts w:hint="default" w:ascii="Times New Roman" w:hAnsi="Times New Roman" w:cs="Times New Roman"/>
          <w:color w:val="auto"/>
        </w:rPr>
        <w:t>C</w:t>
      </w:r>
      <w:r>
        <w:rPr>
          <w:rFonts w:hint="default" w:ascii="Times New Roman" w:hAnsi="Times New Roman" w:cs="Times New Roman"/>
          <w:color w:val="auto"/>
          <w:vertAlign w:val="subscript"/>
        </w:rPr>
        <w:t>实</w:t>
      </w:r>
      <w:r>
        <w:rPr>
          <w:rFonts w:hint="default" w:ascii="Times New Roman" w:hAnsi="Times New Roman" w:cs="Times New Roman"/>
          <w:color w:val="auto"/>
        </w:rPr>
        <w:t>——排气筒中非甲烷总烃实测浓度，mg/m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p w14:paraId="5EE84B9E">
      <w:pPr>
        <w:ind w:firstLine="480"/>
        <w:rPr>
          <w:rFonts w:hint="default" w:ascii="Times New Roman" w:hAnsi="Times New Roman" w:cs="Times New Roman"/>
          <w:color w:val="auto"/>
        </w:rPr>
      </w:pPr>
      <w:r>
        <w:rPr>
          <w:rFonts w:hint="default" w:ascii="Times New Roman" w:hAnsi="Times New Roman" w:cs="Times New Roman"/>
          <w:color w:val="auto"/>
        </w:rPr>
        <w:t>Q——排气筒单位时间内排气量，m</w:t>
      </w:r>
      <w:r>
        <w:rPr>
          <w:rFonts w:hint="default" w:ascii="Times New Roman" w:hAnsi="Times New Roman" w:cs="Times New Roman"/>
          <w:color w:val="auto"/>
          <w:vertAlign w:val="superscript"/>
        </w:rPr>
        <w:t>3</w:t>
      </w:r>
      <w:r>
        <w:rPr>
          <w:rFonts w:hint="default" w:ascii="Times New Roman" w:hAnsi="Times New Roman" w:cs="Times New Roman"/>
          <w:color w:val="auto"/>
        </w:rPr>
        <w:t>/h；</w:t>
      </w:r>
    </w:p>
    <w:p w14:paraId="29735645">
      <w:pPr>
        <w:ind w:firstLine="480"/>
        <w:rPr>
          <w:rFonts w:hint="default" w:ascii="Times New Roman" w:hAnsi="Times New Roman" w:cs="Times New Roman"/>
          <w:color w:val="auto"/>
        </w:rPr>
      </w:pPr>
      <w:r>
        <w:rPr>
          <w:rFonts w:hint="default" w:ascii="Times New Roman" w:hAnsi="Times New Roman" w:cs="Times New Roman"/>
          <w:color w:val="auto"/>
        </w:rPr>
        <w:t>T</w:t>
      </w:r>
      <w:r>
        <w:rPr>
          <w:rFonts w:hint="default" w:ascii="Times New Roman" w:hAnsi="Times New Roman" w:cs="Times New Roman"/>
          <w:color w:val="auto"/>
          <w:vertAlign w:val="subscript"/>
        </w:rPr>
        <w:t>产</w:t>
      </w:r>
      <w:r>
        <w:rPr>
          <w:rFonts w:hint="default" w:ascii="Times New Roman" w:hAnsi="Times New Roman" w:cs="Times New Roman"/>
          <w:color w:val="auto"/>
        </w:rPr>
        <w:t>——单位时间内合成树脂的产量，t/h。</w:t>
      </w:r>
    </w:p>
    <w:p w14:paraId="6A2D9CFF">
      <w:pPr>
        <w:ind w:firstLine="480"/>
        <w:rPr>
          <w:rFonts w:hint="default" w:ascii="Times New Roman" w:hAnsi="Times New Roman" w:cs="Times New Roman"/>
          <w:color w:val="auto"/>
        </w:rPr>
      </w:pPr>
      <w:r>
        <w:rPr>
          <w:rFonts w:hint="default" w:ascii="Times New Roman" w:hAnsi="Times New Roman" w:cs="Times New Roman"/>
          <w:color w:val="auto"/>
        </w:rPr>
        <w:t>根据上述公式计算得出本项目单位产品非甲烷总烃排放量为0.552kg/t产品。</w:t>
      </w:r>
    </w:p>
    <w:p w14:paraId="1C9AD9A2">
      <w:pPr>
        <w:ind w:firstLine="480"/>
        <w:rPr>
          <w:rFonts w:hint="default" w:ascii="Times New Roman" w:hAnsi="Times New Roman" w:cs="Times New Roman"/>
          <w:color w:val="auto"/>
        </w:rPr>
      </w:pPr>
      <w:r>
        <w:rPr>
          <w:rFonts w:hint="default" w:ascii="Times New Roman" w:hAnsi="Times New Roman" w:cs="Times New Roman"/>
          <w:color w:val="auto"/>
        </w:rPr>
        <w:t>挤出过程中塑料颗粒熔化定型时有少量异味气体产生（以下统称“臭气”），通过车间通风排出车间，对环境影响较小。</w:t>
      </w:r>
    </w:p>
    <w:p w14:paraId="205233DF">
      <w:pPr>
        <w:ind w:firstLine="480"/>
        <w:rPr>
          <w:rFonts w:hint="default" w:ascii="Times New Roman" w:hAnsi="Times New Roman" w:cs="Times New Roman"/>
          <w:color w:val="auto"/>
        </w:rPr>
      </w:pPr>
      <w:r>
        <w:rPr>
          <w:rFonts w:hint="default" w:ascii="Times New Roman" w:hAnsi="Times New Roman" w:cs="Times New Roman"/>
          <w:color w:val="auto"/>
        </w:rPr>
        <w:t>3）投料混合粉尘</w:t>
      </w:r>
    </w:p>
    <w:p w14:paraId="7552BE95">
      <w:pPr>
        <w:ind w:firstLine="480"/>
        <w:rPr>
          <w:rFonts w:hint="default" w:ascii="Times New Roman" w:hAnsi="Times New Roman" w:cs="Times New Roman"/>
          <w:color w:val="auto"/>
        </w:rPr>
      </w:pPr>
      <w:r>
        <w:rPr>
          <w:rFonts w:hint="default" w:ascii="Times New Roman" w:hAnsi="Times New Roman" w:cs="Times New Roman"/>
          <w:color w:val="auto"/>
        </w:rPr>
        <w:t>根据《排污许可证申请与核发技术规范 橡胶和塑料制品工业》（HJ1122—2020），本项目属于塑料零件及其他塑料制品制造，废气中需要考虑颗粒物。</w:t>
      </w:r>
    </w:p>
    <w:p w14:paraId="61BF0AA2">
      <w:pPr>
        <w:ind w:firstLine="480"/>
        <w:rPr>
          <w:rFonts w:hint="default" w:ascii="Times New Roman" w:hAnsi="Times New Roman" w:cs="Times New Roman"/>
          <w:color w:val="auto"/>
        </w:rPr>
      </w:pPr>
      <w:r>
        <w:rPr>
          <w:rFonts w:hint="default" w:ascii="Times New Roman" w:hAnsi="Times New Roman" w:cs="Times New Roman"/>
          <w:color w:val="auto"/>
        </w:rPr>
        <w:t>根据《工业源产排污核算方法和系数手册》中“292塑料制品行业系数手册”中C2929塑料零件及其他塑料制品制造行业，树脂加工过程无颗粒物源强产生系数。在配料阶段，根据业主提供的原材料均为粒状料，单颗粒径≥5mm，且混合过程为封闭状态，因此本项目配料过程中不考虑树脂颗粒物产生。</w:t>
      </w:r>
    </w:p>
    <w:p w14:paraId="26132B43">
      <w:pPr>
        <w:ind w:firstLine="480"/>
        <w:rPr>
          <w:rFonts w:hint="default" w:ascii="Times New Roman" w:hAnsi="Times New Roman" w:cs="Times New Roman"/>
          <w:color w:val="auto"/>
        </w:rPr>
      </w:pPr>
      <w:r>
        <w:rPr>
          <w:rFonts w:hint="default" w:ascii="Times New Roman" w:hAnsi="Times New Roman" w:cs="Times New Roman"/>
          <w:color w:val="auto"/>
        </w:rPr>
        <w:t>本项目改性PP用的原材料滑石粉在投料、混合过程中会产生粉尘。投料参考《逸散性工业粉尘控制技术》中“粒料加工厂”产尘系数，投料粉尘系数为0.01kg/t（原料），项目滑石粉为640t/a，原料投料工序产生的粉尘量约0.0064t/a。</w:t>
      </w:r>
    </w:p>
    <w:p w14:paraId="1A43434A">
      <w:pPr>
        <w:ind w:firstLine="480"/>
        <w:rPr>
          <w:rFonts w:hint="default" w:ascii="Times New Roman" w:hAnsi="Times New Roman" w:cs="Times New Roman"/>
          <w:color w:val="auto"/>
        </w:rPr>
      </w:pPr>
      <w:r>
        <w:rPr>
          <w:rFonts w:hint="default" w:ascii="Times New Roman" w:hAnsi="Times New Roman" w:cs="Times New Roman"/>
          <w:color w:val="auto"/>
        </w:rPr>
        <w:t>滑石粉混合参考《逸散性工业粉尘控制技术》中“水泥厂”原料掺合产尘系数，混合粉尘系数为0.025kg/t（原料），项目滑石粉为640t/a，原料混合工序产生的粉尘量约0.016t/a。</w:t>
      </w:r>
    </w:p>
    <w:p w14:paraId="3F39E1CC">
      <w:pPr>
        <w:ind w:firstLine="480"/>
        <w:rPr>
          <w:rFonts w:hint="default" w:ascii="Times New Roman" w:hAnsi="Times New Roman" w:cs="Times New Roman"/>
          <w:color w:val="auto"/>
        </w:rPr>
      </w:pPr>
      <w:r>
        <w:rPr>
          <w:rFonts w:hint="default" w:ascii="Times New Roman" w:hAnsi="Times New Roman" w:cs="Times New Roman"/>
          <w:color w:val="auto"/>
        </w:rPr>
        <w:t>根据业主提供资料，投料加混合时间约占改性PP挤出时间1/5，则年工作时间约388h。</w:t>
      </w:r>
    </w:p>
    <w:p w14:paraId="6FA13949">
      <w:pPr>
        <w:ind w:firstLine="480"/>
        <w:rPr>
          <w:rFonts w:hint="default" w:ascii="Times New Roman" w:hAnsi="Times New Roman" w:cs="Times New Roman"/>
          <w:color w:val="auto"/>
        </w:rPr>
      </w:pPr>
      <w:r>
        <w:rPr>
          <w:rFonts w:hint="default" w:ascii="Times New Roman" w:hAnsi="Times New Roman" w:cs="Times New Roman"/>
          <w:color w:val="auto"/>
        </w:rPr>
        <w:t>本项目拟在拌料机顶部安装集气罩6个，尺寸为0.3m×0.3m。集气罩抽风量按照《简明通风设计手册》上吸式排风罩公式进行计算：</w:t>
      </w:r>
    </w:p>
    <w:p w14:paraId="05AD25D9">
      <w:pPr>
        <w:ind w:firstLine="480"/>
        <w:rPr>
          <w:rFonts w:hint="default" w:ascii="Times New Roman" w:hAnsi="Times New Roman" w:cs="Times New Roman"/>
          <w:color w:val="auto"/>
        </w:rPr>
      </w:pPr>
      <w:r>
        <w:rPr>
          <w:rFonts w:hint="default" w:ascii="Times New Roman" w:hAnsi="Times New Roman" w:cs="Times New Roman"/>
          <w:color w:val="auto"/>
        </w:rPr>
        <w:t>L=K×P×H×V</w:t>
      </w:r>
    </w:p>
    <w:p w14:paraId="4BA43F5D">
      <w:pPr>
        <w:ind w:firstLine="480"/>
        <w:rPr>
          <w:rFonts w:hint="default" w:ascii="Times New Roman" w:hAnsi="Times New Roman" w:cs="Times New Roman"/>
          <w:color w:val="auto"/>
        </w:rPr>
      </w:pPr>
      <w:r>
        <w:rPr>
          <w:rFonts w:hint="default" w:ascii="Times New Roman" w:hAnsi="Times New Roman" w:cs="Times New Roman"/>
          <w:color w:val="auto"/>
        </w:rPr>
        <w:t>式中：L——排风量，m</w:t>
      </w:r>
      <w:r>
        <w:rPr>
          <w:rFonts w:hint="default" w:ascii="Times New Roman" w:hAnsi="Times New Roman" w:cs="Times New Roman"/>
          <w:color w:val="auto"/>
          <w:vertAlign w:val="superscript"/>
        </w:rPr>
        <w:t>3</w:t>
      </w:r>
      <w:r>
        <w:rPr>
          <w:rFonts w:hint="default" w:ascii="Times New Roman" w:hAnsi="Times New Roman" w:cs="Times New Roman"/>
          <w:color w:val="auto"/>
        </w:rPr>
        <w:t>/s。</w:t>
      </w:r>
    </w:p>
    <w:p w14:paraId="552044D3">
      <w:pPr>
        <w:ind w:firstLine="480"/>
        <w:rPr>
          <w:rFonts w:hint="default" w:ascii="Times New Roman" w:hAnsi="Times New Roman" w:cs="Times New Roman"/>
          <w:color w:val="auto"/>
        </w:rPr>
      </w:pPr>
      <w:r>
        <w:rPr>
          <w:rFonts w:hint="default" w:ascii="Times New Roman" w:hAnsi="Times New Roman" w:cs="Times New Roman"/>
          <w:color w:val="auto"/>
        </w:rPr>
        <w:t>P——排风罩敞开面周长，m；单台设备上方排风罩周长约1.2m。</w:t>
      </w:r>
    </w:p>
    <w:p w14:paraId="19D36088">
      <w:pPr>
        <w:ind w:firstLine="480"/>
        <w:rPr>
          <w:rFonts w:hint="default" w:ascii="Times New Roman" w:hAnsi="Times New Roman" w:cs="Times New Roman"/>
          <w:color w:val="auto"/>
        </w:rPr>
      </w:pPr>
      <w:r>
        <w:rPr>
          <w:rFonts w:hint="default" w:ascii="Times New Roman" w:hAnsi="Times New Roman" w:cs="Times New Roman"/>
          <w:color w:val="auto"/>
        </w:rPr>
        <w:t>H——罩口至有害物质边缘，m，取0.2m。</w:t>
      </w:r>
    </w:p>
    <w:p w14:paraId="38B56D1D">
      <w:pPr>
        <w:ind w:firstLine="480"/>
        <w:rPr>
          <w:rFonts w:hint="default" w:ascii="Times New Roman" w:hAnsi="Times New Roman" w:cs="Times New Roman"/>
          <w:color w:val="auto"/>
        </w:rPr>
      </w:pPr>
      <w:r>
        <w:rPr>
          <w:rFonts w:hint="default" w:ascii="Times New Roman" w:hAnsi="Times New Roman" w:cs="Times New Roman"/>
          <w:color w:val="auto"/>
        </w:rPr>
        <w:t>V——边缘控制点风速，m/s，取0.3m/s，保证微负压状态。</w:t>
      </w:r>
    </w:p>
    <w:p w14:paraId="134B3D6F">
      <w:pPr>
        <w:ind w:firstLine="480"/>
        <w:rPr>
          <w:rFonts w:hint="default" w:ascii="Times New Roman" w:hAnsi="Times New Roman" w:cs="Times New Roman"/>
          <w:color w:val="auto"/>
        </w:rPr>
      </w:pPr>
      <w:r>
        <w:rPr>
          <w:rFonts w:hint="default" w:ascii="Times New Roman" w:hAnsi="Times New Roman" w:cs="Times New Roman"/>
          <w:color w:val="auto"/>
        </w:rPr>
        <w:t>K——不均匀的安全系数，取1.4。</w:t>
      </w:r>
    </w:p>
    <w:p w14:paraId="16FB5722">
      <w:pPr>
        <w:ind w:firstLine="480"/>
        <w:rPr>
          <w:rFonts w:hint="default" w:ascii="Times New Roman" w:hAnsi="Times New Roman" w:cs="Times New Roman"/>
          <w:color w:val="auto"/>
        </w:rPr>
      </w:pPr>
      <w:r>
        <w:rPr>
          <w:rFonts w:hint="default" w:ascii="Times New Roman" w:hAnsi="Times New Roman" w:cs="Times New Roman"/>
          <w:color w:val="auto"/>
        </w:rPr>
        <w:t>计算得单个集气罩要求的风量为0.1m</w:t>
      </w:r>
      <w:r>
        <w:rPr>
          <w:rFonts w:hint="default" w:ascii="Times New Roman" w:hAnsi="Times New Roman" w:cs="Times New Roman"/>
          <w:color w:val="auto"/>
          <w:vertAlign w:val="superscript"/>
        </w:rPr>
        <w:t>3</w:t>
      </w:r>
      <w:r>
        <w:rPr>
          <w:rFonts w:hint="default" w:ascii="Times New Roman" w:hAnsi="Times New Roman" w:cs="Times New Roman"/>
          <w:color w:val="auto"/>
        </w:rPr>
        <w:t>/s，即360m</w:t>
      </w:r>
      <w:r>
        <w:rPr>
          <w:rFonts w:hint="default" w:ascii="Times New Roman" w:hAnsi="Times New Roman" w:cs="Times New Roman"/>
          <w:color w:val="auto"/>
          <w:vertAlign w:val="superscript"/>
        </w:rPr>
        <w:t>3</w:t>
      </w:r>
      <w:r>
        <w:rPr>
          <w:rFonts w:hint="default" w:ascii="Times New Roman" w:hAnsi="Times New Roman" w:cs="Times New Roman"/>
          <w:color w:val="auto"/>
        </w:rPr>
        <w:t>/h。</w:t>
      </w:r>
    </w:p>
    <w:p w14:paraId="381B27A3">
      <w:pPr>
        <w:ind w:firstLine="480"/>
        <w:rPr>
          <w:rFonts w:hint="default" w:ascii="Times New Roman" w:hAnsi="Times New Roman" w:cs="Times New Roman"/>
          <w:color w:val="auto"/>
        </w:rPr>
      </w:pPr>
      <w:r>
        <w:rPr>
          <w:rFonts w:hint="default" w:ascii="Times New Roman" w:hAnsi="Times New Roman" w:cs="Times New Roman"/>
          <w:color w:val="auto"/>
        </w:rPr>
        <w:t>本项目</w:t>
      </w:r>
      <w:r>
        <w:rPr>
          <w:rStyle w:val="94"/>
          <w:rFonts w:hint="default" w:ascii="Times New Roman" w:hAnsi="Times New Roman" w:cs="Times New Roman"/>
          <w:color w:val="auto"/>
        </w:rPr>
        <w:t>6台设备，考虑余量，</w:t>
      </w:r>
      <w:r>
        <w:rPr>
          <w:rFonts w:hint="default" w:ascii="Times New Roman" w:hAnsi="Times New Roman" w:cs="Times New Roman"/>
          <w:color w:val="auto"/>
        </w:rPr>
        <w:t>设计风量总计约为2200m</w:t>
      </w:r>
      <w:r>
        <w:rPr>
          <w:rFonts w:hint="default" w:ascii="Times New Roman" w:hAnsi="Times New Roman" w:cs="Times New Roman"/>
          <w:color w:val="auto"/>
          <w:vertAlign w:val="superscript"/>
        </w:rPr>
        <w:t>3</w:t>
      </w:r>
      <w:r>
        <w:rPr>
          <w:rFonts w:hint="default" w:ascii="Times New Roman" w:hAnsi="Times New Roman" w:cs="Times New Roman"/>
          <w:color w:val="auto"/>
        </w:rPr>
        <w:t>/h、废气收集率考虑85%。粉尘采用布袋除尘器处理，去除效率按95%考虑。废气处理后通过25m高2#排气筒排放。</w:t>
      </w:r>
    </w:p>
    <w:p w14:paraId="5C141E3D">
      <w:pPr>
        <w:ind w:firstLine="480"/>
        <w:rPr>
          <w:rFonts w:hint="default" w:ascii="Times New Roman" w:hAnsi="Times New Roman" w:cs="Times New Roman"/>
          <w:color w:val="auto"/>
        </w:rPr>
      </w:pPr>
      <w:r>
        <w:rPr>
          <w:rFonts w:hint="default" w:ascii="Times New Roman" w:hAnsi="Times New Roman" w:cs="Times New Roman"/>
          <w:color w:val="auto"/>
        </w:rPr>
        <w:t>4）破碎粉尘</w:t>
      </w:r>
    </w:p>
    <w:p w14:paraId="21CAA28A">
      <w:pPr>
        <w:ind w:firstLine="480"/>
        <w:rPr>
          <w:rFonts w:hint="default" w:ascii="Times New Roman" w:hAnsi="Times New Roman" w:cs="Times New Roman"/>
          <w:color w:val="auto"/>
        </w:rPr>
      </w:pPr>
      <w:r>
        <w:rPr>
          <w:rFonts w:hint="default" w:ascii="Times New Roman" w:hAnsi="Times New Roman" w:cs="Times New Roman"/>
          <w:color w:val="auto"/>
        </w:rPr>
        <w:t>每次挤出机开机和配方调试时，在挤出机机头会产生清膛料。该料为原材料冷凝后材料，为单一材质、干净无污染、没老化，采用破碎机破碎至12~18mm，持续时间约10min。由于破碎后料尺寸较大，且干净无老化、污染，因此其产生的粉尘极少，且破碎机位于封闭破碎间内，设备基本密闭。因此粉尘产生量仅做定性分析。</w:t>
      </w:r>
    </w:p>
    <w:p w14:paraId="0E9FB6D3">
      <w:pPr>
        <w:ind w:firstLine="480"/>
        <w:rPr>
          <w:rFonts w:hint="default" w:ascii="Times New Roman" w:hAnsi="Times New Roman" w:cs="Times New Roman"/>
          <w:color w:val="auto"/>
        </w:rPr>
      </w:pPr>
      <w:r>
        <w:rPr>
          <w:rFonts w:hint="default" w:ascii="Times New Roman" w:hAnsi="Times New Roman" w:cs="Times New Roman"/>
          <w:color w:val="auto"/>
        </w:rPr>
        <w:t>5）检验检测废气</w:t>
      </w:r>
    </w:p>
    <w:p w14:paraId="7B3604D4">
      <w:pPr>
        <w:ind w:firstLine="480"/>
        <w:rPr>
          <w:rFonts w:hint="default" w:ascii="Times New Roman" w:hAnsi="Times New Roman" w:eastAsia="宋体" w:cs="Times New Roman"/>
          <w:color w:val="auto"/>
          <w:lang w:val="en-US" w:eastAsia="zh-CN"/>
        </w:rPr>
      </w:pPr>
      <w:r>
        <w:rPr>
          <w:rFonts w:hint="default" w:ascii="Times New Roman" w:hAnsi="Times New Roman" w:cs="Times New Roman"/>
          <w:color w:val="auto"/>
        </w:rPr>
        <w:t>本项目采用4台样板注塑机进行产品的检验检测，每次注塑机生产样品约0.4kg，检验过程产生有机废气、噪声，废气产生量极小，非甲烷总烃产生量约0.0017t/a。检测废气中其他特征污染物含量极小，因此不纳入计算。拟在注塑机上方设置4个集气罩进行收集处理。</w:t>
      </w:r>
      <w:r>
        <w:rPr>
          <w:rFonts w:hint="default" w:ascii="Times New Roman" w:hAnsi="Times New Roman" w:cs="Times New Roman"/>
          <w:color w:val="auto"/>
          <w:lang w:val="en-US" w:eastAsia="zh-CN"/>
        </w:rPr>
        <w:t>注塑时间约78h/a。</w:t>
      </w:r>
    </w:p>
    <w:p w14:paraId="55F4D828">
      <w:pPr>
        <w:ind w:firstLine="480"/>
        <w:rPr>
          <w:rFonts w:hint="default" w:ascii="Times New Roman" w:hAnsi="Times New Roman" w:cs="Times New Roman"/>
          <w:color w:val="auto"/>
        </w:rPr>
      </w:pPr>
      <w:r>
        <w:rPr>
          <w:rFonts w:hint="default" w:ascii="Times New Roman" w:hAnsi="Times New Roman" w:cs="Times New Roman"/>
          <w:color w:val="auto"/>
        </w:rPr>
        <w:t>设置4个集气罩，尺寸为0.5m×0.5m。</w:t>
      </w:r>
    </w:p>
    <w:p w14:paraId="4A08FF2B">
      <w:pPr>
        <w:ind w:firstLine="480"/>
        <w:rPr>
          <w:rFonts w:hint="default" w:ascii="Times New Roman" w:hAnsi="Times New Roman" w:cs="Times New Roman"/>
          <w:color w:val="auto"/>
        </w:rPr>
      </w:pPr>
      <w:r>
        <w:rPr>
          <w:rFonts w:hint="default" w:ascii="Times New Roman" w:hAnsi="Times New Roman" w:cs="Times New Roman"/>
          <w:color w:val="auto"/>
        </w:rPr>
        <w:t>集气罩抽风量按照《简明通风设计手册》上吸式排风罩公式进行计算：</w:t>
      </w:r>
    </w:p>
    <w:p w14:paraId="4CCD7917">
      <w:pPr>
        <w:ind w:firstLine="480"/>
        <w:rPr>
          <w:rFonts w:hint="default" w:ascii="Times New Roman" w:hAnsi="Times New Roman" w:cs="Times New Roman"/>
          <w:color w:val="auto"/>
        </w:rPr>
      </w:pPr>
      <w:r>
        <w:rPr>
          <w:rFonts w:hint="default" w:ascii="Times New Roman" w:hAnsi="Times New Roman" w:cs="Times New Roman"/>
          <w:color w:val="auto"/>
        </w:rPr>
        <w:t>L=K×P×H×V</w:t>
      </w:r>
    </w:p>
    <w:p w14:paraId="49CEC092">
      <w:pPr>
        <w:ind w:firstLine="480"/>
        <w:rPr>
          <w:rFonts w:hint="default" w:ascii="Times New Roman" w:hAnsi="Times New Roman" w:cs="Times New Roman"/>
          <w:color w:val="auto"/>
        </w:rPr>
      </w:pPr>
      <w:r>
        <w:rPr>
          <w:rFonts w:hint="default" w:ascii="Times New Roman" w:hAnsi="Times New Roman" w:cs="Times New Roman"/>
          <w:color w:val="auto"/>
        </w:rPr>
        <w:t>式中：L——排风量，m</w:t>
      </w:r>
      <w:r>
        <w:rPr>
          <w:rFonts w:hint="default" w:ascii="Times New Roman" w:hAnsi="Times New Roman" w:cs="Times New Roman"/>
          <w:color w:val="auto"/>
          <w:vertAlign w:val="superscript"/>
        </w:rPr>
        <w:t>3</w:t>
      </w:r>
      <w:r>
        <w:rPr>
          <w:rFonts w:hint="default" w:ascii="Times New Roman" w:hAnsi="Times New Roman" w:cs="Times New Roman"/>
          <w:color w:val="auto"/>
        </w:rPr>
        <w:t>/s。</w:t>
      </w:r>
    </w:p>
    <w:p w14:paraId="071EC2F9">
      <w:pPr>
        <w:ind w:firstLine="480"/>
        <w:rPr>
          <w:rFonts w:hint="default" w:ascii="Times New Roman" w:hAnsi="Times New Roman" w:cs="Times New Roman"/>
          <w:color w:val="auto"/>
        </w:rPr>
      </w:pPr>
      <w:r>
        <w:rPr>
          <w:rFonts w:hint="default" w:ascii="Times New Roman" w:hAnsi="Times New Roman" w:cs="Times New Roman"/>
          <w:color w:val="auto"/>
        </w:rPr>
        <w:t>P——排风罩敞开面周长，m；单台设备上方排风罩周长为2m。</w:t>
      </w:r>
    </w:p>
    <w:p w14:paraId="579225B4">
      <w:pPr>
        <w:ind w:firstLine="480"/>
        <w:rPr>
          <w:rFonts w:hint="default" w:ascii="Times New Roman" w:hAnsi="Times New Roman" w:cs="Times New Roman"/>
          <w:color w:val="auto"/>
        </w:rPr>
      </w:pPr>
      <w:r>
        <w:rPr>
          <w:rFonts w:hint="default" w:ascii="Times New Roman" w:hAnsi="Times New Roman" w:cs="Times New Roman"/>
          <w:color w:val="auto"/>
        </w:rPr>
        <w:t>H——罩口至有害物质边缘，m，取0.3m。</w:t>
      </w:r>
    </w:p>
    <w:p w14:paraId="5C9CCEBD">
      <w:pPr>
        <w:ind w:firstLine="480"/>
        <w:rPr>
          <w:rFonts w:hint="default" w:ascii="Times New Roman" w:hAnsi="Times New Roman" w:cs="Times New Roman"/>
          <w:color w:val="auto"/>
        </w:rPr>
      </w:pPr>
      <w:r>
        <w:rPr>
          <w:rFonts w:hint="default" w:ascii="Times New Roman" w:hAnsi="Times New Roman" w:cs="Times New Roman"/>
          <w:color w:val="auto"/>
        </w:rPr>
        <w:t>V——边缘控制点风速，m/s，取0.4m/s，保证微负压状态。</w:t>
      </w:r>
    </w:p>
    <w:p w14:paraId="71A8CEC7">
      <w:pPr>
        <w:ind w:firstLine="480"/>
        <w:rPr>
          <w:rFonts w:hint="default" w:ascii="Times New Roman" w:hAnsi="Times New Roman" w:cs="Times New Roman"/>
          <w:color w:val="auto"/>
        </w:rPr>
      </w:pPr>
      <w:r>
        <w:rPr>
          <w:rFonts w:hint="default" w:ascii="Times New Roman" w:hAnsi="Times New Roman" w:cs="Times New Roman"/>
          <w:color w:val="auto"/>
        </w:rPr>
        <w:t>K——不均匀的安全系数，取1.4。</w:t>
      </w:r>
    </w:p>
    <w:p w14:paraId="5169E7AF">
      <w:pPr>
        <w:ind w:firstLine="480"/>
        <w:rPr>
          <w:rFonts w:hint="default" w:ascii="Times New Roman" w:hAnsi="Times New Roman" w:cs="Times New Roman"/>
          <w:color w:val="auto"/>
        </w:rPr>
      </w:pPr>
      <w:r>
        <w:rPr>
          <w:rFonts w:hint="default" w:ascii="Times New Roman" w:hAnsi="Times New Roman" w:cs="Times New Roman"/>
          <w:color w:val="auto"/>
        </w:rPr>
        <w:t>计算得挤出机单个集气罩要求的风量为0.336m</w:t>
      </w:r>
      <w:r>
        <w:rPr>
          <w:rFonts w:hint="default" w:ascii="Times New Roman" w:hAnsi="Times New Roman" w:cs="Times New Roman"/>
          <w:color w:val="auto"/>
          <w:vertAlign w:val="superscript"/>
        </w:rPr>
        <w:t>3</w:t>
      </w:r>
      <w:r>
        <w:rPr>
          <w:rFonts w:hint="default" w:ascii="Times New Roman" w:hAnsi="Times New Roman" w:cs="Times New Roman"/>
          <w:color w:val="auto"/>
        </w:rPr>
        <w:t>/s，即1210m</w:t>
      </w:r>
      <w:r>
        <w:rPr>
          <w:rFonts w:hint="default" w:ascii="Times New Roman" w:hAnsi="Times New Roman" w:cs="Times New Roman"/>
          <w:color w:val="auto"/>
          <w:vertAlign w:val="superscript"/>
        </w:rPr>
        <w:t>3</w:t>
      </w:r>
      <w:r>
        <w:rPr>
          <w:rFonts w:hint="default" w:ascii="Times New Roman" w:hAnsi="Times New Roman" w:cs="Times New Roman"/>
          <w:color w:val="auto"/>
        </w:rPr>
        <w:t>/h，4个集气罩设计总风量约5000m</w:t>
      </w:r>
      <w:r>
        <w:rPr>
          <w:rFonts w:hint="default" w:ascii="Times New Roman" w:hAnsi="Times New Roman" w:cs="Times New Roman"/>
          <w:color w:val="auto"/>
          <w:vertAlign w:val="superscript"/>
        </w:rPr>
        <w:t>3</w:t>
      </w:r>
      <w:r>
        <w:rPr>
          <w:rFonts w:hint="default" w:ascii="Times New Roman" w:hAnsi="Times New Roman" w:cs="Times New Roman"/>
          <w:color w:val="auto"/>
        </w:rPr>
        <w:t>/h。</w:t>
      </w:r>
    </w:p>
    <w:p w14:paraId="67B2E470">
      <w:pPr>
        <w:ind w:firstLine="480"/>
        <w:rPr>
          <w:rFonts w:hint="default" w:ascii="Times New Roman" w:hAnsi="Times New Roman" w:cs="Times New Roman"/>
          <w:color w:val="auto"/>
        </w:rPr>
      </w:pPr>
      <w:r>
        <w:rPr>
          <w:rFonts w:hint="default" w:ascii="Times New Roman" w:hAnsi="Times New Roman" w:cs="Times New Roman"/>
          <w:color w:val="auto"/>
        </w:rPr>
        <w:t>本项目废气污染源源强核算结果见表4.2.1-5~6。</w:t>
      </w:r>
    </w:p>
    <w:p w14:paraId="2E457747">
      <w:pPr>
        <w:ind w:firstLine="480"/>
        <w:rPr>
          <w:rFonts w:hint="default" w:ascii="Times New Roman" w:hAnsi="Times New Roman" w:cs="Times New Roman"/>
          <w:color w:val="auto"/>
        </w:rPr>
      </w:pPr>
    </w:p>
    <w:p w14:paraId="497634CA">
      <w:pPr>
        <w:ind w:firstLine="480"/>
        <w:rPr>
          <w:rFonts w:hint="default" w:ascii="Times New Roman" w:hAnsi="Times New Roman" w:cs="Times New Roman"/>
          <w:color w:val="auto"/>
        </w:rPr>
        <w:sectPr>
          <w:headerReference r:id="rId21" w:type="default"/>
          <w:pgSz w:w="11907" w:h="16840"/>
          <w:pgMar w:top="1440" w:right="1797" w:bottom="1440" w:left="1797" w:header="851" w:footer="992" w:gutter="0"/>
          <w:cols w:space="720" w:num="1"/>
          <w:docGrid w:type="lines" w:linePitch="312" w:charSpace="0"/>
        </w:sectPr>
      </w:pPr>
    </w:p>
    <w:p w14:paraId="2E5A1E46">
      <w:pPr>
        <w:pStyle w:val="93"/>
        <w:rPr>
          <w:rFonts w:hint="default" w:ascii="Times New Roman" w:hAnsi="Times New Roman" w:cs="Times New Roman"/>
          <w:color w:val="auto"/>
        </w:rPr>
      </w:pPr>
      <w:r>
        <w:rPr>
          <w:rFonts w:hint="default" w:ascii="Times New Roman" w:hAnsi="Times New Roman" w:cs="Times New Roman"/>
          <w:color w:val="auto"/>
        </w:rPr>
        <w:t>表4.2.1-5   全厂废气污染物产生、治理及排放情况</w:t>
      </w:r>
    </w:p>
    <w:tbl>
      <w:tblPr>
        <w:tblStyle w:val="44"/>
        <w:tblW w:w="5000" w:type="pct"/>
        <w:jc w:val="center"/>
        <w:tblLayout w:type="fixed"/>
        <w:tblCellMar>
          <w:top w:w="0" w:type="dxa"/>
          <w:left w:w="108" w:type="dxa"/>
          <w:bottom w:w="0" w:type="dxa"/>
          <w:right w:w="108" w:type="dxa"/>
        </w:tblCellMar>
      </w:tblPr>
      <w:tblGrid>
        <w:gridCol w:w="1107"/>
        <w:gridCol w:w="908"/>
        <w:gridCol w:w="1056"/>
        <w:gridCol w:w="942"/>
        <w:gridCol w:w="942"/>
        <w:gridCol w:w="1183"/>
        <w:gridCol w:w="1220"/>
        <w:gridCol w:w="1076"/>
        <w:gridCol w:w="996"/>
        <w:gridCol w:w="783"/>
        <w:gridCol w:w="904"/>
        <w:gridCol w:w="1006"/>
        <w:gridCol w:w="1021"/>
        <w:gridCol w:w="1032"/>
      </w:tblGrid>
      <w:tr w14:paraId="57920D62">
        <w:tblPrEx>
          <w:tblCellMar>
            <w:top w:w="0" w:type="dxa"/>
            <w:left w:w="108" w:type="dxa"/>
            <w:bottom w:w="0" w:type="dxa"/>
            <w:right w:w="108" w:type="dxa"/>
          </w:tblCellMar>
        </w:tblPrEx>
        <w:trPr>
          <w:jc w:val="center"/>
        </w:trPr>
        <w:tc>
          <w:tcPr>
            <w:tcW w:w="3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1D068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产排污环节</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04FE0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污染物种类</w:t>
            </w:r>
          </w:p>
        </w:tc>
        <w:tc>
          <w:tcPr>
            <w:tcW w:w="3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DE2D0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排放方式</w:t>
            </w:r>
          </w:p>
        </w:tc>
        <w:tc>
          <w:tcPr>
            <w:tcW w:w="108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B84B7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污染物产生情况</w:t>
            </w:r>
          </w:p>
        </w:tc>
        <w:tc>
          <w:tcPr>
            <w:tcW w:w="17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D45F7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治理设施</w:t>
            </w:r>
          </w:p>
        </w:tc>
        <w:tc>
          <w:tcPr>
            <w:tcW w:w="107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92CDE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污染物排放情况</w:t>
            </w:r>
          </w:p>
        </w:tc>
      </w:tr>
      <w:tr w14:paraId="75E1E208">
        <w:tblPrEx>
          <w:tblCellMar>
            <w:top w:w="0" w:type="dxa"/>
            <w:left w:w="108" w:type="dxa"/>
            <w:bottom w:w="0" w:type="dxa"/>
            <w:right w:w="108" w:type="dxa"/>
          </w:tblCellMar>
        </w:tblPrEx>
        <w:trPr>
          <w:trHeight w:val="978" w:hRule="atLeast"/>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43132">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B96E0">
            <w:pPr>
              <w:widowControl/>
              <w:spacing w:line="240" w:lineRule="auto"/>
              <w:ind w:firstLine="0" w:firstLineChars="0"/>
              <w:jc w:val="center"/>
              <w:rPr>
                <w:rFonts w:hint="default" w:ascii="Times New Roman" w:hAnsi="Times New Roman" w:cs="Times New Roman"/>
                <w:color w:val="auto"/>
                <w:sz w:val="21"/>
                <w:szCs w:val="21"/>
              </w:rPr>
            </w:pPr>
          </w:p>
        </w:tc>
        <w:tc>
          <w:tcPr>
            <w:tcW w:w="3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C3AE9">
            <w:pPr>
              <w:widowControl/>
              <w:spacing w:line="240" w:lineRule="auto"/>
              <w:ind w:firstLine="0" w:firstLineChars="0"/>
              <w:jc w:val="center"/>
              <w:rPr>
                <w:rFonts w:hint="default" w:ascii="Times New Roman" w:hAnsi="Times New Roman" w:cs="Times New Roman"/>
                <w:color w:val="auto"/>
                <w:sz w:val="21"/>
                <w:szCs w:val="21"/>
              </w:rPr>
            </w:pPr>
          </w:p>
        </w:tc>
        <w:tc>
          <w:tcPr>
            <w:tcW w:w="332" w:type="pct"/>
            <w:tcBorders>
              <w:top w:val="single" w:color="000000" w:sz="4" w:space="0"/>
              <w:left w:val="single" w:color="000000" w:sz="4" w:space="0"/>
              <w:right w:val="single" w:color="000000" w:sz="4" w:space="0"/>
            </w:tcBorders>
            <w:shd w:val="clear" w:color="auto" w:fill="auto"/>
            <w:vAlign w:val="center"/>
          </w:tcPr>
          <w:p w14:paraId="4E1C9F2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浓度</w:t>
            </w:r>
          </w:p>
          <w:p w14:paraId="418ACEC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mg/m</w:t>
            </w:r>
            <w:r>
              <w:rPr>
                <w:rStyle w:val="285"/>
                <w:rFonts w:hint="default" w:ascii="Times New Roman" w:hAnsi="Times New Roman" w:cs="Times New Roman"/>
                <w:color w:val="auto"/>
                <w:sz w:val="21"/>
                <w:szCs w:val="21"/>
                <w:lang w:bidi="ar"/>
              </w:rPr>
              <w:t>3</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2ECE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产生速率kg/h</w:t>
            </w:r>
          </w:p>
        </w:tc>
        <w:tc>
          <w:tcPr>
            <w:tcW w:w="416" w:type="pct"/>
            <w:tcBorders>
              <w:top w:val="single" w:color="000000" w:sz="4" w:space="0"/>
              <w:left w:val="single" w:color="000000" w:sz="4" w:space="0"/>
              <w:right w:val="single" w:color="000000" w:sz="4" w:space="0"/>
            </w:tcBorders>
            <w:shd w:val="clear" w:color="auto" w:fill="auto"/>
            <w:vAlign w:val="center"/>
          </w:tcPr>
          <w:p w14:paraId="30A6937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产生量t/a</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EDF7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治理设施</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15EA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废气量m</w:t>
            </w:r>
            <w:r>
              <w:rPr>
                <w:rStyle w:val="285"/>
                <w:rFonts w:hint="default" w:ascii="Times New Roman" w:hAnsi="Times New Roman" w:cs="Times New Roman"/>
                <w:color w:val="auto"/>
                <w:sz w:val="21"/>
                <w:szCs w:val="21"/>
                <w:lang w:bidi="ar"/>
              </w:rPr>
              <w:t>3</w:t>
            </w:r>
            <w:r>
              <w:rPr>
                <w:rFonts w:hint="default" w:ascii="Times New Roman" w:hAnsi="Times New Roman" w:cs="Times New Roman"/>
                <w:color w:val="auto"/>
                <w:sz w:val="21"/>
                <w:szCs w:val="21"/>
                <w:lang w:bidi="ar"/>
              </w:rPr>
              <w:t>/h</w:t>
            </w:r>
          </w:p>
        </w:tc>
        <w:tc>
          <w:tcPr>
            <w:tcW w:w="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D408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收集率%</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A0DB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去除率%</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C1A4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技术是否可行*</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D41A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浓度mg/m</w:t>
            </w:r>
            <w:r>
              <w:rPr>
                <w:rStyle w:val="285"/>
                <w:rFonts w:hint="default" w:ascii="Times New Roman" w:hAnsi="Times New Roman" w:cs="Times New Roman"/>
                <w:color w:val="auto"/>
                <w:sz w:val="21"/>
                <w:szCs w:val="21"/>
                <w:lang w:bidi="ar"/>
              </w:rPr>
              <w:t>3</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D9B6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排放速率kg/h</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6800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排放量t/a</w:t>
            </w:r>
          </w:p>
        </w:tc>
      </w:tr>
      <w:tr w14:paraId="27FAB2C6">
        <w:tblPrEx>
          <w:tblCellMar>
            <w:top w:w="0" w:type="dxa"/>
            <w:left w:w="108" w:type="dxa"/>
            <w:bottom w:w="0" w:type="dxa"/>
            <w:right w:w="108" w:type="dxa"/>
          </w:tblCellMar>
        </w:tblPrEx>
        <w:trPr>
          <w:jc w:val="center"/>
        </w:trPr>
        <w:tc>
          <w:tcPr>
            <w:tcW w:w="3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71E5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改性PP挤压</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CEBAD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非甲烷总烃</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84E9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80B8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98B9F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4.099</w:t>
            </w:r>
          </w:p>
        </w:tc>
        <w:tc>
          <w:tcPr>
            <w:tcW w:w="1182" w:type="dxa"/>
            <w:tcBorders>
              <w:top w:val="single" w:color="000000" w:sz="8" w:space="0"/>
              <w:left w:val="nil"/>
              <w:bottom w:val="single" w:color="000000" w:sz="8" w:space="0"/>
              <w:right w:val="single" w:color="000000" w:sz="8" w:space="0"/>
            </w:tcBorders>
            <w:shd w:val="clear" w:color="auto" w:fill="auto"/>
            <w:vAlign w:val="center"/>
          </w:tcPr>
          <w:p w14:paraId="7A1A1AD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7.9488</w:t>
            </w:r>
          </w:p>
        </w:tc>
        <w:tc>
          <w:tcPr>
            <w:tcW w:w="43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F6B3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废气通过集气罩收集后经</w:t>
            </w:r>
            <w:r>
              <w:rPr>
                <w:rFonts w:hint="eastAsia" w:cs="Times New Roman"/>
                <w:color w:val="auto"/>
                <w:kern w:val="2"/>
                <w:sz w:val="21"/>
                <w:szCs w:val="21"/>
                <w:lang w:val="en-US" w:eastAsia="zh-CN"/>
              </w:rPr>
              <w:t>碱</w:t>
            </w:r>
            <w:r>
              <w:rPr>
                <w:rFonts w:hint="default" w:ascii="Times New Roman" w:hAnsi="Times New Roman" w:cs="Times New Roman"/>
                <w:color w:val="auto"/>
                <w:sz w:val="21"/>
                <w:szCs w:val="21"/>
                <w:lang w:bidi="ar"/>
              </w:rPr>
              <w:t>洗除雾后通过活性炭二级吸附达标后通过25m高1#排气筒排放。</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1647A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3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7D7F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D934D0">
            <w:pPr>
              <w:widowControl/>
              <w:spacing w:line="240" w:lineRule="auto"/>
              <w:ind w:firstLine="0" w:firstLineChars="0"/>
              <w:jc w:val="center"/>
              <w:textAlignment w:val="center"/>
              <w:rPr>
                <w:rFonts w:hint="eastAsia" w:ascii="Times New Roman" w:hAnsi="Times New Roman" w:eastAsia="宋体" w:cs="Times New Roman"/>
                <w:color w:val="auto"/>
                <w:sz w:val="21"/>
                <w:szCs w:val="21"/>
                <w:lang w:eastAsia="zh-CN" w:bidi="ar"/>
              </w:rPr>
            </w:pPr>
            <w:r>
              <w:rPr>
                <w:rFonts w:hint="default" w:ascii="Times New Roman" w:hAnsi="Times New Roman" w:cs="Times New Roman"/>
                <w:color w:val="auto"/>
                <w:sz w:val="21"/>
                <w:szCs w:val="21"/>
                <w:lang w:bidi="ar"/>
              </w:rPr>
              <w:t>8</w:t>
            </w:r>
            <w:r>
              <w:rPr>
                <w:rFonts w:hint="eastAsia" w:cs="Times New Roman"/>
                <w:color w:val="auto"/>
                <w:sz w:val="21"/>
                <w:szCs w:val="21"/>
                <w:lang w:val="en-US" w:eastAsia="zh-CN" w:bidi="ar"/>
              </w:rPr>
              <w:t>0</w:t>
            </w:r>
          </w:p>
        </w:tc>
        <w:tc>
          <w:tcPr>
            <w:tcW w:w="3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991D3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可行</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F500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A1C5D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0.820</w:t>
            </w:r>
          </w:p>
        </w:tc>
        <w:tc>
          <w:tcPr>
            <w:tcW w:w="1030" w:type="dxa"/>
            <w:tcBorders>
              <w:top w:val="single" w:color="000000" w:sz="8" w:space="0"/>
              <w:left w:val="nil"/>
              <w:bottom w:val="single" w:color="000000" w:sz="8" w:space="0"/>
              <w:right w:val="single" w:color="000000" w:sz="8" w:space="0"/>
            </w:tcBorders>
            <w:shd w:val="clear" w:color="auto" w:fill="auto"/>
            <w:vAlign w:val="center"/>
          </w:tcPr>
          <w:p w14:paraId="7087C3F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1.5898</w:t>
            </w:r>
          </w:p>
        </w:tc>
      </w:tr>
      <w:tr w14:paraId="71E3C116">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CDF83">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89644">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E3BD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02AC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00BBC6C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0.356</w:t>
            </w:r>
          </w:p>
        </w:tc>
        <w:tc>
          <w:tcPr>
            <w:tcW w:w="1182" w:type="dxa"/>
            <w:tcBorders>
              <w:top w:val="nil"/>
              <w:left w:val="nil"/>
              <w:bottom w:val="single" w:color="000000" w:sz="8" w:space="0"/>
              <w:right w:val="single" w:color="000000" w:sz="8" w:space="0"/>
            </w:tcBorders>
            <w:shd w:val="clear" w:color="auto" w:fill="auto"/>
            <w:vAlign w:val="center"/>
          </w:tcPr>
          <w:p w14:paraId="2C5CD9F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0.6912</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0AD1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B17A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E39E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66DB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A1DA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CA5A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65E35DA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0.356</w:t>
            </w:r>
          </w:p>
        </w:tc>
        <w:tc>
          <w:tcPr>
            <w:tcW w:w="1030" w:type="dxa"/>
            <w:tcBorders>
              <w:top w:val="nil"/>
              <w:left w:val="nil"/>
              <w:bottom w:val="single" w:color="000000" w:sz="8" w:space="0"/>
              <w:right w:val="single" w:color="000000" w:sz="8" w:space="0"/>
            </w:tcBorders>
            <w:shd w:val="clear" w:color="auto" w:fill="auto"/>
            <w:vAlign w:val="center"/>
          </w:tcPr>
          <w:p w14:paraId="2E830CD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0.6912</w:t>
            </w:r>
          </w:p>
        </w:tc>
      </w:tr>
      <w:tr w14:paraId="16375049">
        <w:tblPrEx>
          <w:tblCellMar>
            <w:top w:w="0" w:type="dxa"/>
            <w:left w:w="108" w:type="dxa"/>
            <w:bottom w:w="0" w:type="dxa"/>
            <w:right w:w="108" w:type="dxa"/>
          </w:tblCellMar>
        </w:tblPrEx>
        <w:trPr>
          <w:jc w:val="center"/>
        </w:trPr>
        <w:tc>
          <w:tcPr>
            <w:tcW w:w="3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E93C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改性PA挤压</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42FFB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非甲烷总烃</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7F0B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8B2E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0BE89CE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0.373</w:t>
            </w:r>
          </w:p>
        </w:tc>
        <w:tc>
          <w:tcPr>
            <w:tcW w:w="1182" w:type="dxa"/>
            <w:tcBorders>
              <w:top w:val="nil"/>
              <w:left w:val="nil"/>
              <w:bottom w:val="single" w:color="000000" w:sz="8" w:space="0"/>
              <w:right w:val="single" w:color="000000" w:sz="8" w:space="0"/>
            </w:tcBorders>
            <w:shd w:val="clear" w:color="auto" w:fill="auto"/>
            <w:vAlign w:val="center"/>
          </w:tcPr>
          <w:p w14:paraId="28014CF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0.7452</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9C9F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526CF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3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058B8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7BDCF9">
            <w:pPr>
              <w:widowControl/>
              <w:spacing w:line="240" w:lineRule="auto"/>
              <w:ind w:firstLine="0" w:firstLineChars="0"/>
              <w:jc w:val="center"/>
              <w:textAlignment w:val="center"/>
              <w:rPr>
                <w:rFonts w:hint="eastAsia" w:ascii="Times New Roman" w:hAnsi="Times New Roman" w:eastAsia="宋体" w:cs="Times New Roman"/>
                <w:color w:val="auto"/>
                <w:sz w:val="21"/>
                <w:szCs w:val="21"/>
                <w:lang w:eastAsia="zh-CN" w:bidi="ar"/>
              </w:rPr>
            </w:pPr>
            <w:r>
              <w:rPr>
                <w:rFonts w:hint="default" w:ascii="Times New Roman" w:hAnsi="Times New Roman" w:cs="Times New Roman"/>
                <w:color w:val="auto"/>
                <w:sz w:val="21"/>
                <w:szCs w:val="21"/>
                <w:lang w:bidi="ar"/>
              </w:rPr>
              <w:t>8</w:t>
            </w:r>
            <w:r>
              <w:rPr>
                <w:rFonts w:hint="eastAsia" w:cs="Times New Roman"/>
                <w:color w:val="auto"/>
                <w:sz w:val="21"/>
                <w:szCs w:val="21"/>
                <w:lang w:val="en-US" w:eastAsia="zh-CN" w:bidi="ar"/>
              </w:rPr>
              <w:t>0</w:t>
            </w:r>
          </w:p>
        </w:tc>
        <w:tc>
          <w:tcPr>
            <w:tcW w:w="3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27933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可行</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B93B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0AA5EA6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0.075</w:t>
            </w:r>
          </w:p>
        </w:tc>
        <w:tc>
          <w:tcPr>
            <w:tcW w:w="1030" w:type="dxa"/>
            <w:tcBorders>
              <w:top w:val="nil"/>
              <w:left w:val="nil"/>
              <w:bottom w:val="single" w:color="000000" w:sz="8" w:space="0"/>
              <w:right w:val="single" w:color="000000" w:sz="8" w:space="0"/>
            </w:tcBorders>
            <w:shd w:val="clear" w:color="auto" w:fill="auto"/>
            <w:vAlign w:val="center"/>
          </w:tcPr>
          <w:p w14:paraId="6578CEC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0.1490</w:t>
            </w:r>
          </w:p>
        </w:tc>
      </w:tr>
      <w:tr w14:paraId="2410ECB1">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B3A5E">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C51D9">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475E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D261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1325D6B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0.032</w:t>
            </w:r>
          </w:p>
        </w:tc>
        <w:tc>
          <w:tcPr>
            <w:tcW w:w="1182" w:type="dxa"/>
            <w:tcBorders>
              <w:top w:val="nil"/>
              <w:left w:val="nil"/>
              <w:bottom w:val="single" w:color="000000" w:sz="8" w:space="0"/>
              <w:right w:val="single" w:color="000000" w:sz="8" w:space="0"/>
            </w:tcBorders>
            <w:shd w:val="clear" w:color="auto" w:fill="auto"/>
            <w:vAlign w:val="center"/>
          </w:tcPr>
          <w:p w14:paraId="49592EB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0.0648</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1C98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F02A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66CC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DAD9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D801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52F8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45F34A7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0.032</w:t>
            </w:r>
          </w:p>
        </w:tc>
        <w:tc>
          <w:tcPr>
            <w:tcW w:w="1030" w:type="dxa"/>
            <w:tcBorders>
              <w:top w:val="nil"/>
              <w:left w:val="nil"/>
              <w:bottom w:val="single" w:color="000000" w:sz="8" w:space="0"/>
              <w:right w:val="single" w:color="000000" w:sz="8" w:space="0"/>
            </w:tcBorders>
            <w:shd w:val="clear" w:color="auto" w:fill="auto"/>
            <w:vAlign w:val="center"/>
          </w:tcPr>
          <w:p w14:paraId="71FE06B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0.0648</w:t>
            </w:r>
          </w:p>
        </w:tc>
      </w:tr>
      <w:tr w14:paraId="054C9ED0">
        <w:tblPrEx>
          <w:tblCellMar>
            <w:top w:w="0" w:type="dxa"/>
            <w:left w:w="108" w:type="dxa"/>
            <w:bottom w:w="0" w:type="dxa"/>
            <w:right w:w="108" w:type="dxa"/>
          </w:tblCellMar>
        </w:tblPrEx>
        <w:trPr>
          <w:jc w:val="center"/>
        </w:trPr>
        <w:tc>
          <w:tcPr>
            <w:tcW w:w="3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62E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改性PC/ABS挤压</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6BB6D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非甲烷总烃</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7D03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A20E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5FD535C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0.248</w:t>
            </w:r>
          </w:p>
        </w:tc>
        <w:tc>
          <w:tcPr>
            <w:tcW w:w="1182" w:type="dxa"/>
            <w:tcBorders>
              <w:top w:val="nil"/>
              <w:left w:val="nil"/>
              <w:bottom w:val="single" w:color="000000" w:sz="8" w:space="0"/>
              <w:right w:val="single" w:color="000000" w:sz="8" w:space="0"/>
            </w:tcBorders>
            <w:shd w:val="clear" w:color="auto" w:fill="auto"/>
            <w:vAlign w:val="center"/>
          </w:tcPr>
          <w:p w14:paraId="61980E8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0.4968</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CA20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4B9F2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3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0EA41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0C025D">
            <w:pPr>
              <w:widowControl/>
              <w:spacing w:line="240" w:lineRule="auto"/>
              <w:ind w:firstLine="0" w:firstLineChars="0"/>
              <w:jc w:val="center"/>
              <w:textAlignment w:val="center"/>
              <w:rPr>
                <w:rFonts w:hint="eastAsia" w:ascii="Times New Roman" w:hAnsi="Times New Roman" w:eastAsia="宋体" w:cs="Times New Roman"/>
                <w:color w:val="auto"/>
                <w:sz w:val="21"/>
                <w:szCs w:val="21"/>
                <w:lang w:eastAsia="zh-CN" w:bidi="ar"/>
              </w:rPr>
            </w:pPr>
            <w:r>
              <w:rPr>
                <w:rFonts w:hint="default" w:ascii="Times New Roman" w:hAnsi="Times New Roman" w:cs="Times New Roman"/>
                <w:color w:val="auto"/>
                <w:sz w:val="21"/>
                <w:szCs w:val="21"/>
                <w:lang w:bidi="ar"/>
              </w:rPr>
              <w:t>8</w:t>
            </w:r>
            <w:r>
              <w:rPr>
                <w:rFonts w:hint="eastAsia" w:cs="Times New Roman"/>
                <w:color w:val="auto"/>
                <w:sz w:val="21"/>
                <w:szCs w:val="21"/>
                <w:lang w:val="en-US" w:eastAsia="zh-CN" w:bidi="ar"/>
              </w:rPr>
              <w:t>0</w:t>
            </w:r>
          </w:p>
        </w:tc>
        <w:tc>
          <w:tcPr>
            <w:tcW w:w="3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7B2FA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可行</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025E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37B669F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0.050</w:t>
            </w:r>
          </w:p>
        </w:tc>
        <w:tc>
          <w:tcPr>
            <w:tcW w:w="1030" w:type="dxa"/>
            <w:tcBorders>
              <w:top w:val="nil"/>
              <w:left w:val="nil"/>
              <w:bottom w:val="single" w:color="000000" w:sz="8" w:space="0"/>
              <w:right w:val="single" w:color="000000" w:sz="8" w:space="0"/>
            </w:tcBorders>
            <w:shd w:val="clear" w:color="auto" w:fill="auto"/>
            <w:vAlign w:val="center"/>
          </w:tcPr>
          <w:p w14:paraId="06E7550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0.0994</w:t>
            </w:r>
          </w:p>
        </w:tc>
      </w:tr>
      <w:tr w14:paraId="0F5D1BB0">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145ED">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63AFA">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C476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20E1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34ECA3A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0.022</w:t>
            </w:r>
          </w:p>
        </w:tc>
        <w:tc>
          <w:tcPr>
            <w:tcW w:w="1182" w:type="dxa"/>
            <w:tcBorders>
              <w:top w:val="nil"/>
              <w:left w:val="nil"/>
              <w:bottom w:val="single" w:color="000000" w:sz="8" w:space="0"/>
              <w:right w:val="single" w:color="000000" w:sz="8" w:space="0"/>
            </w:tcBorders>
            <w:shd w:val="clear" w:color="auto" w:fill="auto"/>
            <w:vAlign w:val="center"/>
          </w:tcPr>
          <w:p w14:paraId="7B11D70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0.0432</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86A4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B598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DAF9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9149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5D93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7CBA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3710E08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0.022</w:t>
            </w:r>
          </w:p>
        </w:tc>
        <w:tc>
          <w:tcPr>
            <w:tcW w:w="1030" w:type="dxa"/>
            <w:tcBorders>
              <w:top w:val="nil"/>
              <w:left w:val="nil"/>
              <w:bottom w:val="single" w:color="000000" w:sz="8" w:space="0"/>
              <w:right w:val="single" w:color="000000" w:sz="8" w:space="0"/>
            </w:tcBorders>
            <w:shd w:val="clear" w:color="auto" w:fill="auto"/>
            <w:vAlign w:val="center"/>
          </w:tcPr>
          <w:p w14:paraId="1996868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0.0432</w:t>
            </w:r>
          </w:p>
        </w:tc>
      </w:tr>
      <w:tr w14:paraId="31828013">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465FA">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4A630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酚类</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8A6D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C91E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3340E28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0.005</w:t>
            </w:r>
          </w:p>
        </w:tc>
        <w:tc>
          <w:tcPr>
            <w:tcW w:w="1182" w:type="dxa"/>
            <w:tcBorders>
              <w:top w:val="nil"/>
              <w:left w:val="nil"/>
              <w:bottom w:val="single" w:color="000000" w:sz="8" w:space="0"/>
              <w:right w:val="single" w:color="000000" w:sz="8" w:space="0"/>
            </w:tcBorders>
            <w:shd w:val="clear" w:color="auto" w:fill="auto"/>
            <w:vAlign w:val="center"/>
          </w:tcPr>
          <w:p w14:paraId="691ED18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0.0092</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22BE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5C6B5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3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AC6F9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C0D942">
            <w:pPr>
              <w:widowControl/>
              <w:spacing w:line="240" w:lineRule="auto"/>
              <w:ind w:firstLine="0" w:firstLineChars="0"/>
              <w:jc w:val="center"/>
              <w:textAlignment w:val="center"/>
              <w:rPr>
                <w:rFonts w:hint="eastAsia" w:ascii="Times New Roman" w:hAnsi="Times New Roman" w:eastAsia="宋体" w:cs="Times New Roman"/>
                <w:color w:val="auto"/>
                <w:sz w:val="21"/>
                <w:szCs w:val="21"/>
                <w:lang w:eastAsia="zh-CN" w:bidi="ar"/>
              </w:rPr>
            </w:pPr>
            <w:r>
              <w:rPr>
                <w:rFonts w:hint="default" w:ascii="Times New Roman" w:hAnsi="Times New Roman" w:cs="Times New Roman"/>
                <w:color w:val="auto"/>
                <w:sz w:val="21"/>
                <w:szCs w:val="21"/>
                <w:lang w:bidi="ar"/>
              </w:rPr>
              <w:t>8</w:t>
            </w:r>
            <w:r>
              <w:rPr>
                <w:rFonts w:hint="eastAsia" w:cs="Times New Roman"/>
                <w:color w:val="auto"/>
                <w:sz w:val="21"/>
                <w:szCs w:val="21"/>
                <w:lang w:val="en-US" w:eastAsia="zh-CN" w:bidi="ar"/>
              </w:rPr>
              <w:t>0</w:t>
            </w:r>
          </w:p>
        </w:tc>
        <w:tc>
          <w:tcPr>
            <w:tcW w:w="3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2AA2E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可行</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5F38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255EFEF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0.001</w:t>
            </w:r>
          </w:p>
        </w:tc>
        <w:tc>
          <w:tcPr>
            <w:tcW w:w="1030" w:type="dxa"/>
            <w:tcBorders>
              <w:top w:val="nil"/>
              <w:left w:val="nil"/>
              <w:bottom w:val="single" w:color="000000" w:sz="8" w:space="0"/>
              <w:right w:val="single" w:color="000000" w:sz="8" w:space="0"/>
            </w:tcBorders>
            <w:shd w:val="clear" w:color="auto" w:fill="auto"/>
            <w:vAlign w:val="center"/>
          </w:tcPr>
          <w:p w14:paraId="1572B51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0.0018</w:t>
            </w:r>
          </w:p>
        </w:tc>
      </w:tr>
      <w:tr w14:paraId="33CA74AD">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272CB">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D2685">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C9D2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A724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25F40EB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0.0004</w:t>
            </w:r>
          </w:p>
        </w:tc>
        <w:tc>
          <w:tcPr>
            <w:tcW w:w="1182" w:type="dxa"/>
            <w:tcBorders>
              <w:top w:val="nil"/>
              <w:left w:val="nil"/>
              <w:bottom w:val="single" w:color="000000" w:sz="8" w:space="0"/>
              <w:right w:val="single" w:color="000000" w:sz="8" w:space="0"/>
            </w:tcBorders>
            <w:shd w:val="clear" w:color="auto" w:fill="auto"/>
            <w:vAlign w:val="center"/>
          </w:tcPr>
          <w:p w14:paraId="4650E9F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0.0008</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05F6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699C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7170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858A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BDB4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A6A5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5ADF7A6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0.0004</w:t>
            </w:r>
          </w:p>
        </w:tc>
        <w:tc>
          <w:tcPr>
            <w:tcW w:w="1030" w:type="dxa"/>
            <w:tcBorders>
              <w:top w:val="nil"/>
              <w:left w:val="nil"/>
              <w:bottom w:val="single" w:color="000000" w:sz="8" w:space="0"/>
              <w:right w:val="single" w:color="000000" w:sz="8" w:space="0"/>
            </w:tcBorders>
            <w:shd w:val="clear" w:color="auto" w:fill="auto"/>
            <w:vAlign w:val="center"/>
          </w:tcPr>
          <w:p w14:paraId="2F37996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0.0008</w:t>
            </w:r>
          </w:p>
        </w:tc>
      </w:tr>
      <w:tr w14:paraId="2C285143">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207EA">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07DB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丙烯腈</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3124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609D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6F2D553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0.0002</w:t>
            </w:r>
          </w:p>
        </w:tc>
        <w:tc>
          <w:tcPr>
            <w:tcW w:w="1182" w:type="dxa"/>
            <w:tcBorders>
              <w:top w:val="nil"/>
              <w:left w:val="nil"/>
              <w:bottom w:val="single" w:color="000000" w:sz="8" w:space="0"/>
              <w:right w:val="single" w:color="000000" w:sz="8" w:space="0"/>
            </w:tcBorders>
            <w:shd w:val="clear" w:color="auto" w:fill="auto"/>
            <w:vAlign w:val="center"/>
          </w:tcPr>
          <w:p w14:paraId="35E318E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0.00049</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ADF5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2F2FF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3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2C7E1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A70C71">
            <w:pPr>
              <w:widowControl/>
              <w:spacing w:line="240" w:lineRule="auto"/>
              <w:ind w:firstLine="0" w:firstLineChars="0"/>
              <w:jc w:val="center"/>
              <w:textAlignment w:val="center"/>
              <w:rPr>
                <w:rFonts w:hint="eastAsia" w:ascii="Times New Roman" w:hAnsi="Times New Roman" w:eastAsia="宋体" w:cs="Times New Roman"/>
                <w:color w:val="auto"/>
                <w:sz w:val="21"/>
                <w:szCs w:val="21"/>
                <w:lang w:eastAsia="zh-CN" w:bidi="ar"/>
              </w:rPr>
            </w:pPr>
            <w:r>
              <w:rPr>
                <w:rFonts w:hint="default" w:ascii="Times New Roman" w:hAnsi="Times New Roman" w:cs="Times New Roman"/>
                <w:color w:val="auto"/>
                <w:sz w:val="21"/>
                <w:szCs w:val="21"/>
                <w:lang w:bidi="ar"/>
              </w:rPr>
              <w:t>8</w:t>
            </w:r>
            <w:r>
              <w:rPr>
                <w:rFonts w:hint="eastAsia" w:cs="Times New Roman"/>
                <w:color w:val="auto"/>
                <w:sz w:val="21"/>
                <w:szCs w:val="21"/>
                <w:lang w:val="en-US" w:eastAsia="zh-CN" w:bidi="ar"/>
              </w:rPr>
              <w:t>0</w:t>
            </w:r>
          </w:p>
        </w:tc>
        <w:tc>
          <w:tcPr>
            <w:tcW w:w="3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EF6D8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可行</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60EC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62216F2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0.00005</w:t>
            </w:r>
          </w:p>
        </w:tc>
        <w:tc>
          <w:tcPr>
            <w:tcW w:w="1030" w:type="dxa"/>
            <w:tcBorders>
              <w:top w:val="nil"/>
              <w:left w:val="nil"/>
              <w:bottom w:val="single" w:color="000000" w:sz="8" w:space="0"/>
              <w:right w:val="single" w:color="000000" w:sz="8" w:space="0"/>
            </w:tcBorders>
            <w:shd w:val="clear" w:color="auto" w:fill="auto"/>
            <w:vAlign w:val="center"/>
          </w:tcPr>
          <w:p w14:paraId="3B8C5F2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0.00010</w:t>
            </w:r>
          </w:p>
        </w:tc>
      </w:tr>
      <w:tr w14:paraId="235D464B">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89792">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FE770">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BC01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81D6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6D85B73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0.00002</w:t>
            </w:r>
          </w:p>
        </w:tc>
        <w:tc>
          <w:tcPr>
            <w:tcW w:w="1182" w:type="dxa"/>
            <w:tcBorders>
              <w:top w:val="nil"/>
              <w:left w:val="nil"/>
              <w:bottom w:val="single" w:color="000000" w:sz="8" w:space="0"/>
              <w:right w:val="single" w:color="000000" w:sz="8" w:space="0"/>
            </w:tcBorders>
            <w:shd w:val="clear" w:color="auto" w:fill="auto"/>
            <w:vAlign w:val="center"/>
          </w:tcPr>
          <w:p w14:paraId="381A8B9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0.00004</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D860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5C52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FD97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B891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0E63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A20E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19D4872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0.00002</w:t>
            </w:r>
          </w:p>
        </w:tc>
        <w:tc>
          <w:tcPr>
            <w:tcW w:w="1030" w:type="dxa"/>
            <w:tcBorders>
              <w:top w:val="nil"/>
              <w:left w:val="nil"/>
              <w:bottom w:val="single" w:color="000000" w:sz="8" w:space="0"/>
              <w:right w:val="single" w:color="000000" w:sz="8" w:space="0"/>
            </w:tcBorders>
            <w:shd w:val="clear" w:color="auto" w:fill="auto"/>
            <w:vAlign w:val="center"/>
          </w:tcPr>
          <w:p w14:paraId="1EDCB24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0.00004</w:t>
            </w:r>
          </w:p>
        </w:tc>
      </w:tr>
      <w:tr w14:paraId="506B9258">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391A">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C68E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苯乙烯</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2C60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C367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7188AA4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0.0007</w:t>
            </w:r>
          </w:p>
        </w:tc>
        <w:tc>
          <w:tcPr>
            <w:tcW w:w="1182" w:type="dxa"/>
            <w:tcBorders>
              <w:top w:val="nil"/>
              <w:left w:val="nil"/>
              <w:bottom w:val="single" w:color="000000" w:sz="8" w:space="0"/>
              <w:right w:val="single" w:color="000000" w:sz="8" w:space="0"/>
            </w:tcBorders>
            <w:shd w:val="clear" w:color="auto" w:fill="auto"/>
            <w:vAlign w:val="center"/>
          </w:tcPr>
          <w:p w14:paraId="7FBE6D7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0.00147</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E669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25336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3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9D407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F55834">
            <w:pPr>
              <w:widowControl/>
              <w:spacing w:line="240" w:lineRule="auto"/>
              <w:ind w:firstLine="0" w:firstLineChars="0"/>
              <w:jc w:val="center"/>
              <w:textAlignment w:val="center"/>
              <w:rPr>
                <w:rFonts w:hint="eastAsia" w:ascii="Times New Roman" w:hAnsi="Times New Roman" w:eastAsia="宋体" w:cs="Times New Roman"/>
                <w:color w:val="auto"/>
                <w:sz w:val="21"/>
                <w:szCs w:val="21"/>
                <w:lang w:eastAsia="zh-CN" w:bidi="ar"/>
              </w:rPr>
            </w:pPr>
            <w:r>
              <w:rPr>
                <w:rFonts w:hint="default" w:ascii="Times New Roman" w:hAnsi="Times New Roman" w:cs="Times New Roman"/>
                <w:color w:val="auto"/>
                <w:sz w:val="21"/>
                <w:szCs w:val="21"/>
                <w:lang w:bidi="ar"/>
              </w:rPr>
              <w:t>8</w:t>
            </w:r>
            <w:r>
              <w:rPr>
                <w:rFonts w:hint="eastAsia" w:cs="Times New Roman"/>
                <w:color w:val="auto"/>
                <w:sz w:val="21"/>
                <w:szCs w:val="21"/>
                <w:lang w:val="en-US" w:eastAsia="zh-CN" w:bidi="ar"/>
              </w:rPr>
              <w:t>0</w:t>
            </w:r>
          </w:p>
        </w:tc>
        <w:tc>
          <w:tcPr>
            <w:tcW w:w="3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EF7E8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可行</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52FE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4BC2D6E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0.0001</w:t>
            </w:r>
          </w:p>
        </w:tc>
        <w:tc>
          <w:tcPr>
            <w:tcW w:w="1030" w:type="dxa"/>
            <w:tcBorders>
              <w:top w:val="nil"/>
              <w:left w:val="nil"/>
              <w:bottom w:val="single" w:color="000000" w:sz="8" w:space="0"/>
              <w:right w:val="single" w:color="000000" w:sz="8" w:space="0"/>
            </w:tcBorders>
            <w:shd w:val="clear" w:color="auto" w:fill="auto"/>
            <w:vAlign w:val="center"/>
          </w:tcPr>
          <w:p w14:paraId="23EF889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0.00029</w:t>
            </w:r>
          </w:p>
        </w:tc>
      </w:tr>
      <w:tr w14:paraId="6F91645C">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40A7">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4DF2">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49AC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1545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2363AAB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0.0001</w:t>
            </w:r>
          </w:p>
        </w:tc>
        <w:tc>
          <w:tcPr>
            <w:tcW w:w="1182" w:type="dxa"/>
            <w:tcBorders>
              <w:top w:val="nil"/>
              <w:left w:val="nil"/>
              <w:bottom w:val="single" w:color="000000" w:sz="8" w:space="0"/>
              <w:right w:val="single" w:color="000000" w:sz="8" w:space="0"/>
            </w:tcBorders>
            <w:shd w:val="clear" w:color="auto" w:fill="auto"/>
            <w:vAlign w:val="center"/>
          </w:tcPr>
          <w:p w14:paraId="7A46558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0.000128</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BFC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6B29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C26F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8CC7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5182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0A95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756D543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0.0001</w:t>
            </w:r>
          </w:p>
        </w:tc>
        <w:tc>
          <w:tcPr>
            <w:tcW w:w="1030" w:type="dxa"/>
            <w:tcBorders>
              <w:top w:val="nil"/>
              <w:left w:val="nil"/>
              <w:bottom w:val="single" w:color="000000" w:sz="8" w:space="0"/>
              <w:right w:val="single" w:color="000000" w:sz="8" w:space="0"/>
            </w:tcBorders>
            <w:shd w:val="clear" w:color="auto" w:fill="auto"/>
            <w:vAlign w:val="center"/>
          </w:tcPr>
          <w:p w14:paraId="1D2BF9A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0.000128</w:t>
            </w:r>
          </w:p>
        </w:tc>
      </w:tr>
      <w:tr w14:paraId="698589BC">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54E61">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8D01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乙苯</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4486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F42F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5BD9AAE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0.0004</w:t>
            </w:r>
          </w:p>
        </w:tc>
        <w:tc>
          <w:tcPr>
            <w:tcW w:w="1182" w:type="dxa"/>
            <w:tcBorders>
              <w:top w:val="nil"/>
              <w:left w:val="nil"/>
              <w:bottom w:val="single" w:color="000000" w:sz="8" w:space="0"/>
              <w:right w:val="single" w:color="000000" w:sz="8" w:space="0"/>
            </w:tcBorders>
            <w:shd w:val="clear" w:color="auto" w:fill="auto"/>
            <w:vAlign w:val="center"/>
          </w:tcPr>
          <w:p w14:paraId="455B524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0.00085</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4FFF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00377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3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09BA7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64DE20">
            <w:pPr>
              <w:widowControl/>
              <w:spacing w:line="240" w:lineRule="auto"/>
              <w:ind w:firstLine="0" w:firstLineChars="0"/>
              <w:jc w:val="center"/>
              <w:textAlignment w:val="center"/>
              <w:rPr>
                <w:rFonts w:hint="eastAsia" w:ascii="Times New Roman" w:hAnsi="Times New Roman" w:eastAsia="宋体" w:cs="Times New Roman"/>
                <w:color w:val="auto"/>
                <w:sz w:val="21"/>
                <w:szCs w:val="21"/>
                <w:lang w:eastAsia="zh-CN" w:bidi="ar"/>
              </w:rPr>
            </w:pPr>
            <w:r>
              <w:rPr>
                <w:rFonts w:hint="default" w:ascii="Times New Roman" w:hAnsi="Times New Roman" w:cs="Times New Roman"/>
                <w:color w:val="auto"/>
                <w:sz w:val="21"/>
                <w:szCs w:val="21"/>
                <w:lang w:bidi="ar"/>
              </w:rPr>
              <w:t>8</w:t>
            </w:r>
            <w:r>
              <w:rPr>
                <w:rFonts w:hint="eastAsia" w:cs="Times New Roman"/>
                <w:color w:val="auto"/>
                <w:sz w:val="21"/>
                <w:szCs w:val="21"/>
                <w:lang w:val="en-US" w:eastAsia="zh-CN" w:bidi="ar"/>
              </w:rPr>
              <w:t>0</w:t>
            </w:r>
          </w:p>
        </w:tc>
        <w:tc>
          <w:tcPr>
            <w:tcW w:w="3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2DA9F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可行</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6E5D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2B9E90E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0.0001</w:t>
            </w:r>
          </w:p>
        </w:tc>
        <w:tc>
          <w:tcPr>
            <w:tcW w:w="1030" w:type="dxa"/>
            <w:tcBorders>
              <w:top w:val="nil"/>
              <w:left w:val="nil"/>
              <w:bottom w:val="single" w:color="000000" w:sz="8" w:space="0"/>
              <w:right w:val="single" w:color="000000" w:sz="8" w:space="0"/>
            </w:tcBorders>
            <w:shd w:val="clear" w:color="auto" w:fill="auto"/>
            <w:vAlign w:val="center"/>
          </w:tcPr>
          <w:p w14:paraId="5A50349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0.00017</w:t>
            </w:r>
          </w:p>
        </w:tc>
      </w:tr>
      <w:tr w14:paraId="3537309B">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FC78F">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9FB58">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E72E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6C1A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628A9D5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0.00004</w:t>
            </w:r>
          </w:p>
        </w:tc>
        <w:tc>
          <w:tcPr>
            <w:tcW w:w="1182" w:type="dxa"/>
            <w:tcBorders>
              <w:top w:val="nil"/>
              <w:left w:val="nil"/>
              <w:bottom w:val="single" w:color="000000" w:sz="8" w:space="0"/>
              <w:right w:val="single" w:color="000000" w:sz="8" w:space="0"/>
            </w:tcBorders>
            <w:shd w:val="clear" w:color="auto" w:fill="auto"/>
            <w:vAlign w:val="center"/>
          </w:tcPr>
          <w:p w14:paraId="04F644F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0.00007</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68C9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BE83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78C9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F876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EFA2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C2A6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6A1DA24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0.00004</w:t>
            </w:r>
          </w:p>
        </w:tc>
        <w:tc>
          <w:tcPr>
            <w:tcW w:w="1030" w:type="dxa"/>
            <w:tcBorders>
              <w:top w:val="nil"/>
              <w:left w:val="nil"/>
              <w:bottom w:val="single" w:color="000000" w:sz="8" w:space="0"/>
              <w:right w:val="single" w:color="000000" w:sz="8" w:space="0"/>
            </w:tcBorders>
            <w:shd w:val="clear" w:color="auto" w:fill="auto"/>
            <w:vAlign w:val="center"/>
          </w:tcPr>
          <w:p w14:paraId="023B9DB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0.00007</w:t>
            </w:r>
          </w:p>
        </w:tc>
      </w:tr>
      <w:tr w14:paraId="5AAB4549">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86A5D">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6E3D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甲苯</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6AF1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0CB6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06187F8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0.00001</w:t>
            </w:r>
          </w:p>
        </w:tc>
        <w:tc>
          <w:tcPr>
            <w:tcW w:w="1182" w:type="dxa"/>
            <w:tcBorders>
              <w:top w:val="nil"/>
              <w:left w:val="nil"/>
              <w:bottom w:val="single" w:color="000000" w:sz="8" w:space="0"/>
              <w:right w:val="single" w:color="000000" w:sz="8" w:space="0"/>
            </w:tcBorders>
            <w:shd w:val="clear" w:color="auto" w:fill="auto"/>
            <w:vAlign w:val="center"/>
          </w:tcPr>
          <w:p w14:paraId="102B45F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0.000018</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1D54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C16EA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3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81CEB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C757AF">
            <w:pPr>
              <w:widowControl/>
              <w:spacing w:line="240" w:lineRule="auto"/>
              <w:ind w:firstLine="0" w:firstLineChars="0"/>
              <w:jc w:val="center"/>
              <w:textAlignment w:val="center"/>
              <w:rPr>
                <w:rFonts w:hint="eastAsia" w:ascii="Times New Roman" w:hAnsi="Times New Roman" w:eastAsia="宋体" w:cs="Times New Roman"/>
                <w:color w:val="auto"/>
                <w:sz w:val="21"/>
                <w:szCs w:val="21"/>
                <w:lang w:eastAsia="zh-CN" w:bidi="ar"/>
              </w:rPr>
            </w:pPr>
            <w:r>
              <w:rPr>
                <w:rFonts w:hint="default" w:ascii="Times New Roman" w:hAnsi="Times New Roman" w:cs="Times New Roman"/>
                <w:color w:val="auto"/>
                <w:sz w:val="21"/>
                <w:szCs w:val="21"/>
                <w:lang w:bidi="ar"/>
              </w:rPr>
              <w:t>8</w:t>
            </w:r>
            <w:r>
              <w:rPr>
                <w:rFonts w:hint="eastAsia" w:cs="Times New Roman"/>
                <w:color w:val="auto"/>
                <w:sz w:val="21"/>
                <w:szCs w:val="21"/>
                <w:lang w:val="en-US" w:eastAsia="zh-CN" w:bidi="ar"/>
              </w:rPr>
              <w:t>0</w:t>
            </w:r>
          </w:p>
        </w:tc>
        <w:tc>
          <w:tcPr>
            <w:tcW w:w="3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45341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可行</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6636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053B8BE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0.000002</w:t>
            </w:r>
          </w:p>
        </w:tc>
        <w:tc>
          <w:tcPr>
            <w:tcW w:w="1030" w:type="dxa"/>
            <w:tcBorders>
              <w:top w:val="nil"/>
              <w:left w:val="nil"/>
              <w:bottom w:val="single" w:color="000000" w:sz="8" w:space="0"/>
              <w:right w:val="single" w:color="000000" w:sz="8" w:space="0"/>
            </w:tcBorders>
            <w:shd w:val="clear" w:color="auto" w:fill="auto"/>
            <w:vAlign w:val="center"/>
          </w:tcPr>
          <w:p w14:paraId="5B42B61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0.000004</w:t>
            </w:r>
          </w:p>
        </w:tc>
      </w:tr>
      <w:tr w14:paraId="6416D476">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ACBE5">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7880F">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EF01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64D0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7CCA9F6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0.000001</w:t>
            </w:r>
          </w:p>
        </w:tc>
        <w:tc>
          <w:tcPr>
            <w:tcW w:w="1182" w:type="dxa"/>
            <w:tcBorders>
              <w:top w:val="nil"/>
              <w:left w:val="nil"/>
              <w:bottom w:val="single" w:color="000000" w:sz="8" w:space="0"/>
              <w:right w:val="single" w:color="000000" w:sz="8" w:space="0"/>
            </w:tcBorders>
            <w:shd w:val="clear" w:color="auto" w:fill="auto"/>
            <w:vAlign w:val="center"/>
          </w:tcPr>
          <w:p w14:paraId="40EB5D1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0.000002</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6160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0A39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E2F3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DBDA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5A73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7ED6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7D26A24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0.000001</w:t>
            </w:r>
          </w:p>
        </w:tc>
        <w:tc>
          <w:tcPr>
            <w:tcW w:w="1030" w:type="dxa"/>
            <w:tcBorders>
              <w:top w:val="nil"/>
              <w:left w:val="nil"/>
              <w:bottom w:val="single" w:color="000000" w:sz="8" w:space="0"/>
              <w:right w:val="single" w:color="000000" w:sz="8" w:space="0"/>
            </w:tcBorders>
            <w:shd w:val="clear" w:color="auto" w:fill="auto"/>
            <w:vAlign w:val="center"/>
          </w:tcPr>
          <w:p w14:paraId="3B42910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0.000002</w:t>
            </w:r>
          </w:p>
        </w:tc>
      </w:tr>
      <w:tr w14:paraId="67B0E7D2">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19EC4">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6791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1,3-丁二烯</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CE08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A56F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567CFC6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0.00004</w:t>
            </w:r>
          </w:p>
        </w:tc>
        <w:tc>
          <w:tcPr>
            <w:tcW w:w="1182" w:type="dxa"/>
            <w:tcBorders>
              <w:top w:val="nil"/>
              <w:left w:val="nil"/>
              <w:bottom w:val="single" w:color="000000" w:sz="8" w:space="0"/>
              <w:right w:val="single" w:color="000000" w:sz="8" w:space="0"/>
            </w:tcBorders>
            <w:shd w:val="clear" w:color="auto" w:fill="auto"/>
            <w:vAlign w:val="center"/>
          </w:tcPr>
          <w:p w14:paraId="1F2EEDE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0.000085</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DD6A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21456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3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4589F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F32D6E">
            <w:pPr>
              <w:widowControl/>
              <w:spacing w:line="240" w:lineRule="auto"/>
              <w:ind w:firstLine="0" w:firstLineChars="0"/>
              <w:jc w:val="center"/>
              <w:textAlignment w:val="center"/>
              <w:rPr>
                <w:rFonts w:hint="eastAsia" w:ascii="Times New Roman" w:hAnsi="Times New Roman" w:eastAsia="宋体" w:cs="Times New Roman"/>
                <w:color w:val="auto"/>
                <w:sz w:val="21"/>
                <w:szCs w:val="21"/>
                <w:lang w:eastAsia="zh-CN" w:bidi="ar"/>
              </w:rPr>
            </w:pPr>
            <w:r>
              <w:rPr>
                <w:rFonts w:hint="default" w:ascii="Times New Roman" w:hAnsi="Times New Roman" w:cs="Times New Roman"/>
                <w:color w:val="auto"/>
                <w:sz w:val="21"/>
                <w:szCs w:val="21"/>
                <w:lang w:bidi="ar"/>
              </w:rPr>
              <w:t>8</w:t>
            </w:r>
            <w:r>
              <w:rPr>
                <w:rFonts w:hint="eastAsia" w:cs="Times New Roman"/>
                <w:color w:val="auto"/>
                <w:sz w:val="21"/>
                <w:szCs w:val="21"/>
                <w:lang w:val="en-US" w:eastAsia="zh-CN" w:bidi="ar"/>
              </w:rPr>
              <w:t>0</w:t>
            </w:r>
          </w:p>
        </w:tc>
        <w:tc>
          <w:tcPr>
            <w:tcW w:w="3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722B1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可行</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9CEF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29C624D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0.00001</w:t>
            </w:r>
          </w:p>
        </w:tc>
        <w:tc>
          <w:tcPr>
            <w:tcW w:w="1030" w:type="dxa"/>
            <w:tcBorders>
              <w:top w:val="nil"/>
              <w:left w:val="nil"/>
              <w:bottom w:val="single" w:color="000000" w:sz="8" w:space="0"/>
              <w:right w:val="single" w:color="000000" w:sz="8" w:space="0"/>
            </w:tcBorders>
            <w:shd w:val="clear" w:color="auto" w:fill="auto"/>
            <w:vAlign w:val="center"/>
          </w:tcPr>
          <w:p w14:paraId="761C0DA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0.000017</w:t>
            </w:r>
          </w:p>
        </w:tc>
      </w:tr>
      <w:tr w14:paraId="0E5B9BEB">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2AE0F">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55904">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EF29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82F5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4ED2B8B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0.000004</w:t>
            </w:r>
          </w:p>
        </w:tc>
        <w:tc>
          <w:tcPr>
            <w:tcW w:w="1182" w:type="dxa"/>
            <w:tcBorders>
              <w:top w:val="nil"/>
              <w:left w:val="nil"/>
              <w:bottom w:val="single" w:color="000000" w:sz="8" w:space="0"/>
              <w:right w:val="single" w:color="000000" w:sz="8" w:space="0"/>
            </w:tcBorders>
            <w:shd w:val="clear" w:color="auto" w:fill="auto"/>
            <w:vAlign w:val="center"/>
          </w:tcPr>
          <w:p w14:paraId="79EEC08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0.000007</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81D5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AACF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0F0A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0217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ACA7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9808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7FCA473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0.000004</w:t>
            </w:r>
          </w:p>
        </w:tc>
        <w:tc>
          <w:tcPr>
            <w:tcW w:w="1030" w:type="dxa"/>
            <w:tcBorders>
              <w:top w:val="nil"/>
              <w:left w:val="nil"/>
              <w:bottom w:val="single" w:color="000000" w:sz="8" w:space="0"/>
              <w:right w:val="single" w:color="000000" w:sz="8" w:space="0"/>
            </w:tcBorders>
            <w:shd w:val="clear" w:color="auto" w:fill="auto"/>
            <w:vAlign w:val="center"/>
          </w:tcPr>
          <w:p w14:paraId="2073D4C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0.00001</w:t>
            </w:r>
          </w:p>
        </w:tc>
      </w:tr>
      <w:tr w14:paraId="58680158">
        <w:tblPrEx>
          <w:tblCellMar>
            <w:top w:w="0" w:type="dxa"/>
            <w:left w:w="108" w:type="dxa"/>
            <w:bottom w:w="0" w:type="dxa"/>
            <w:right w:w="108" w:type="dxa"/>
          </w:tblCellMar>
        </w:tblPrEx>
        <w:trPr>
          <w:jc w:val="center"/>
        </w:trPr>
        <w:tc>
          <w:tcPr>
            <w:tcW w:w="3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7710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改性ABS挤压</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B68B7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非甲烷总烃</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8B6E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8A7E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301C15E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0.373</w:t>
            </w:r>
          </w:p>
        </w:tc>
        <w:tc>
          <w:tcPr>
            <w:tcW w:w="1182" w:type="dxa"/>
            <w:tcBorders>
              <w:top w:val="nil"/>
              <w:left w:val="nil"/>
              <w:bottom w:val="single" w:color="000000" w:sz="8" w:space="0"/>
              <w:right w:val="single" w:color="000000" w:sz="8" w:space="0"/>
            </w:tcBorders>
            <w:shd w:val="clear" w:color="auto" w:fill="auto"/>
            <w:vAlign w:val="center"/>
          </w:tcPr>
          <w:p w14:paraId="2DE5469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0.7452</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E017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2D019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3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0833B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73518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8</w:t>
            </w:r>
            <w:r>
              <w:rPr>
                <w:rFonts w:hint="eastAsia" w:cs="Times New Roman"/>
                <w:color w:val="auto"/>
                <w:sz w:val="21"/>
                <w:szCs w:val="21"/>
                <w:lang w:val="en-US" w:eastAsia="zh-CN" w:bidi="ar"/>
              </w:rPr>
              <w:t>0</w:t>
            </w:r>
          </w:p>
        </w:tc>
        <w:tc>
          <w:tcPr>
            <w:tcW w:w="3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D924F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可行</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C8D7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599F4C5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0.0745</w:t>
            </w:r>
          </w:p>
        </w:tc>
        <w:tc>
          <w:tcPr>
            <w:tcW w:w="1030" w:type="dxa"/>
            <w:tcBorders>
              <w:top w:val="nil"/>
              <w:left w:val="nil"/>
              <w:bottom w:val="single" w:color="000000" w:sz="8" w:space="0"/>
              <w:right w:val="single" w:color="000000" w:sz="8" w:space="0"/>
            </w:tcBorders>
            <w:shd w:val="clear" w:color="auto" w:fill="auto"/>
            <w:vAlign w:val="center"/>
          </w:tcPr>
          <w:p w14:paraId="185733F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0.1490</w:t>
            </w:r>
          </w:p>
        </w:tc>
      </w:tr>
      <w:tr w14:paraId="1EC1163F">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92E7">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882E3">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442B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EF56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5CB447F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0.032</w:t>
            </w:r>
          </w:p>
        </w:tc>
        <w:tc>
          <w:tcPr>
            <w:tcW w:w="1182" w:type="dxa"/>
            <w:tcBorders>
              <w:top w:val="nil"/>
              <w:left w:val="nil"/>
              <w:bottom w:val="single" w:color="000000" w:sz="8" w:space="0"/>
              <w:right w:val="single" w:color="000000" w:sz="8" w:space="0"/>
            </w:tcBorders>
            <w:shd w:val="clear" w:color="auto" w:fill="auto"/>
            <w:vAlign w:val="center"/>
          </w:tcPr>
          <w:p w14:paraId="22B7DFB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0.0648</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F68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5158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7A74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E692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3783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8FD1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3643768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0.032</w:t>
            </w:r>
          </w:p>
        </w:tc>
        <w:tc>
          <w:tcPr>
            <w:tcW w:w="1030" w:type="dxa"/>
            <w:tcBorders>
              <w:top w:val="nil"/>
              <w:left w:val="nil"/>
              <w:bottom w:val="single" w:color="000000" w:sz="8" w:space="0"/>
              <w:right w:val="single" w:color="000000" w:sz="8" w:space="0"/>
            </w:tcBorders>
            <w:shd w:val="clear" w:color="auto" w:fill="auto"/>
            <w:vAlign w:val="center"/>
          </w:tcPr>
          <w:p w14:paraId="434754F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0.0648</w:t>
            </w:r>
          </w:p>
        </w:tc>
      </w:tr>
      <w:tr w14:paraId="47503D2A">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289F6">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CE090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丙烯腈</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3175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429B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2C03755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0.0014</w:t>
            </w:r>
          </w:p>
        </w:tc>
        <w:tc>
          <w:tcPr>
            <w:tcW w:w="1182" w:type="dxa"/>
            <w:tcBorders>
              <w:top w:val="nil"/>
              <w:left w:val="nil"/>
              <w:bottom w:val="single" w:color="000000" w:sz="8" w:space="0"/>
              <w:right w:val="single" w:color="000000" w:sz="8" w:space="0"/>
            </w:tcBorders>
            <w:shd w:val="clear" w:color="auto" w:fill="auto"/>
            <w:vAlign w:val="center"/>
          </w:tcPr>
          <w:p w14:paraId="33411E6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0.00285</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665A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7230E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3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E55A7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954EC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8</w:t>
            </w:r>
            <w:r>
              <w:rPr>
                <w:rFonts w:hint="eastAsia" w:cs="Times New Roman"/>
                <w:color w:val="auto"/>
                <w:sz w:val="21"/>
                <w:szCs w:val="21"/>
                <w:lang w:val="en-US" w:eastAsia="zh-CN" w:bidi="ar"/>
              </w:rPr>
              <w:t>0</w:t>
            </w:r>
          </w:p>
        </w:tc>
        <w:tc>
          <w:tcPr>
            <w:tcW w:w="3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C7322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可行</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99D4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62B7332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0.0003</w:t>
            </w:r>
          </w:p>
        </w:tc>
        <w:tc>
          <w:tcPr>
            <w:tcW w:w="1030" w:type="dxa"/>
            <w:tcBorders>
              <w:top w:val="nil"/>
              <w:left w:val="nil"/>
              <w:bottom w:val="single" w:color="000000" w:sz="8" w:space="0"/>
              <w:right w:val="single" w:color="000000" w:sz="8" w:space="0"/>
            </w:tcBorders>
            <w:shd w:val="clear" w:color="auto" w:fill="auto"/>
            <w:vAlign w:val="center"/>
          </w:tcPr>
          <w:p w14:paraId="39ED71A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0.00057</w:t>
            </w:r>
          </w:p>
        </w:tc>
      </w:tr>
      <w:tr w14:paraId="412A266E">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B593E">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82A33">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CE13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5D0C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5630D4A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0.0001</w:t>
            </w:r>
          </w:p>
        </w:tc>
        <w:tc>
          <w:tcPr>
            <w:tcW w:w="1182" w:type="dxa"/>
            <w:tcBorders>
              <w:top w:val="nil"/>
              <w:left w:val="nil"/>
              <w:bottom w:val="single" w:color="000000" w:sz="8" w:space="0"/>
              <w:right w:val="single" w:color="000000" w:sz="8" w:space="0"/>
            </w:tcBorders>
            <w:shd w:val="clear" w:color="auto" w:fill="auto"/>
            <w:vAlign w:val="center"/>
          </w:tcPr>
          <w:p w14:paraId="58C84B5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0.000248</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A99E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EE52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F035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5EDC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142A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7CD9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631C5EB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0.0001</w:t>
            </w:r>
          </w:p>
        </w:tc>
        <w:tc>
          <w:tcPr>
            <w:tcW w:w="1030" w:type="dxa"/>
            <w:tcBorders>
              <w:top w:val="nil"/>
              <w:left w:val="nil"/>
              <w:bottom w:val="single" w:color="000000" w:sz="8" w:space="0"/>
              <w:right w:val="single" w:color="000000" w:sz="8" w:space="0"/>
            </w:tcBorders>
            <w:shd w:val="clear" w:color="auto" w:fill="auto"/>
            <w:vAlign w:val="center"/>
          </w:tcPr>
          <w:p w14:paraId="450B2E9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0.000248</w:t>
            </w:r>
          </w:p>
        </w:tc>
      </w:tr>
      <w:tr w14:paraId="6BF0F430">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95D36">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17BB1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苯乙烯</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A57D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FCFC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377D6A9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0.003</w:t>
            </w:r>
          </w:p>
        </w:tc>
        <w:tc>
          <w:tcPr>
            <w:tcW w:w="1182" w:type="dxa"/>
            <w:tcBorders>
              <w:top w:val="nil"/>
              <w:left w:val="nil"/>
              <w:bottom w:val="single" w:color="000000" w:sz="8" w:space="0"/>
              <w:right w:val="single" w:color="000000" w:sz="8" w:space="0"/>
            </w:tcBorders>
            <w:shd w:val="clear" w:color="auto" w:fill="auto"/>
            <w:vAlign w:val="center"/>
          </w:tcPr>
          <w:p w14:paraId="755986A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0.0069</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2A64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D21E2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3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ED7E5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6764F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8</w:t>
            </w:r>
            <w:r>
              <w:rPr>
                <w:rFonts w:hint="eastAsia" w:cs="Times New Roman"/>
                <w:color w:val="auto"/>
                <w:sz w:val="21"/>
                <w:szCs w:val="21"/>
                <w:lang w:val="en-US" w:eastAsia="zh-CN" w:bidi="ar"/>
              </w:rPr>
              <w:t>0</w:t>
            </w:r>
          </w:p>
        </w:tc>
        <w:tc>
          <w:tcPr>
            <w:tcW w:w="3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6F2A2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可行</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9E9A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1B9CA3C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0.0007</w:t>
            </w:r>
          </w:p>
        </w:tc>
        <w:tc>
          <w:tcPr>
            <w:tcW w:w="1030" w:type="dxa"/>
            <w:tcBorders>
              <w:top w:val="nil"/>
              <w:left w:val="nil"/>
              <w:bottom w:val="single" w:color="000000" w:sz="8" w:space="0"/>
              <w:right w:val="single" w:color="000000" w:sz="8" w:space="0"/>
            </w:tcBorders>
            <w:shd w:val="clear" w:color="auto" w:fill="auto"/>
            <w:vAlign w:val="center"/>
          </w:tcPr>
          <w:p w14:paraId="41CC9AE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0.0014</w:t>
            </w:r>
          </w:p>
        </w:tc>
      </w:tr>
      <w:tr w14:paraId="7FF283F3">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CD705">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8A864">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903A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4D97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737FD66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0.0003</w:t>
            </w:r>
          </w:p>
        </w:tc>
        <w:tc>
          <w:tcPr>
            <w:tcW w:w="1182" w:type="dxa"/>
            <w:tcBorders>
              <w:top w:val="nil"/>
              <w:left w:val="nil"/>
              <w:bottom w:val="single" w:color="000000" w:sz="8" w:space="0"/>
              <w:right w:val="single" w:color="000000" w:sz="8" w:space="0"/>
            </w:tcBorders>
            <w:shd w:val="clear" w:color="auto" w:fill="auto"/>
            <w:vAlign w:val="center"/>
          </w:tcPr>
          <w:p w14:paraId="288BDD0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0.0006</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DBCF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996A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8B8A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F9BB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98D7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5ABD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53BDD86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0.0003</w:t>
            </w:r>
          </w:p>
        </w:tc>
        <w:tc>
          <w:tcPr>
            <w:tcW w:w="1030" w:type="dxa"/>
            <w:tcBorders>
              <w:top w:val="nil"/>
              <w:left w:val="nil"/>
              <w:bottom w:val="single" w:color="000000" w:sz="8" w:space="0"/>
              <w:right w:val="single" w:color="000000" w:sz="8" w:space="0"/>
            </w:tcBorders>
            <w:shd w:val="clear" w:color="auto" w:fill="auto"/>
            <w:vAlign w:val="center"/>
          </w:tcPr>
          <w:p w14:paraId="5BB1A7E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0.0006</w:t>
            </w:r>
          </w:p>
        </w:tc>
      </w:tr>
      <w:tr w14:paraId="40682FF0">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BF697">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A3AF9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乙苯</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4938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4F0E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0F1C5D2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0.002</w:t>
            </w:r>
          </w:p>
        </w:tc>
        <w:tc>
          <w:tcPr>
            <w:tcW w:w="1182" w:type="dxa"/>
            <w:tcBorders>
              <w:top w:val="nil"/>
              <w:left w:val="nil"/>
              <w:bottom w:val="single" w:color="000000" w:sz="8" w:space="0"/>
              <w:right w:val="single" w:color="000000" w:sz="8" w:space="0"/>
            </w:tcBorders>
            <w:shd w:val="clear" w:color="auto" w:fill="auto"/>
            <w:vAlign w:val="center"/>
          </w:tcPr>
          <w:p w14:paraId="2054EFE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0.00414</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3D77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427A5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3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3456F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2B351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8</w:t>
            </w:r>
            <w:r>
              <w:rPr>
                <w:rFonts w:hint="eastAsia" w:cs="Times New Roman"/>
                <w:color w:val="auto"/>
                <w:sz w:val="21"/>
                <w:szCs w:val="21"/>
                <w:lang w:val="en-US" w:eastAsia="zh-CN" w:bidi="ar"/>
              </w:rPr>
              <w:t>0</w:t>
            </w:r>
          </w:p>
        </w:tc>
        <w:tc>
          <w:tcPr>
            <w:tcW w:w="3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0C236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可行</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9742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24C3FE8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0.0004</w:t>
            </w:r>
          </w:p>
        </w:tc>
        <w:tc>
          <w:tcPr>
            <w:tcW w:w="1030" w:type="dxa"/>
            <w:tcBorders>
              <w:top w:val="nil"/>
              <w:left w:val="nil"/>
              <w:bottom w:val="single" w:color="000000" w:sz="8" w:space="0"/>
              <w:right w:val="single" w:color="000000" w:sz="8" w:space="0"/>
            </w:tcBorders>
            <w:shd w:val="clear" w:color="auto" w:fill="auto"/>
            <w:vAlign w:val="center"/>
          </w:tcPr>
          <w:p w14:paraId="411E6BC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0.00083</w:t>
            </w:r>
          </w:p>
        </w:tc>
      </w:tr>
      <w:tr w14:paraId="16871631">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A7A32">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1202D">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2860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1508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3C3BFC7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0.0002</w:t>
            </w:r>
          </w:p>
        </w:tc>
        <w:tc>
          <w:tcPr>
            <w:tcW w:w="1182" w:type="dxa"/>
            <w:tcBorders>
              <w:top w:val="nil"/>
              <w:left w:val="nil"/>
              <w:bottom w:val="single" w:color="000000" w:sz="8" w:space="0"/>
              <w:right w:val="single" w:color="000000" w:sz="8" w:space="0"/>
            </w:tcBorders>
            <w:shd w:val="clear" w:color="auto" w:fill="auto"/>
            <w:vAlign w:val="center"/>
          </w:tcPr>
          <w:p w14:paraId="6E444FC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0.00036</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8170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789A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9EA2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8E39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D534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16D8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33C049C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0.0002</w:t>
            </w:r>
          </w:p>
        </w:tc>
        <w:tc>
          <w:tcPr>
            <w:tcW w:w="1030" w:type="dxa"/>
            <w:tcBorders>
              <w:top w:val="nil"/>
              <w:left w:val="nil"/>
              <w:bottom w:val="single" w:color="000000" w:sz="8" w:space="0"/>
              <w:right w:val="single" w:color="000000" w:sz="8" w:space="0"/>
            </w:tcBorders>
            <w:shd w:val="clear" w:color="auto" w:fill="auto"/>
            <w:vAlign w:val="center"/>
          </w:tcPr>
          <w:p w14:paraId="2B3A727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0.00036</w:t>
            </w:r>
          </w:p>
        </w:tc>
      </w:tr>
      <w:tr w14:paraId="4673F1AE">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3C868">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9A99C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甲苯</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AF2A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1B49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11FE5F5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0.00005</w:t>
            </w:r>
          </w:p>
        </w:tc>
        <w:tc>
          <w:tcPr>
            <w:tcW w:w="1182" w:type="dxa"/>
            <w:tcBorders>
              <w:top w:val="nil"/>
              <w:left w:val="nil"/>
              <w:bottom w:val="single" w:color="000000" w:sz="8" w:space="0"/>
              <w:right w:val="single" w:color="000000" w:sz="8" w:space="0"/>
            </w:tcBorders>
            <w:shd w:val="clear" w:color="auto" w:fill="auto"/>
            <w:vAlign w:val="center"/>
          </w:tcPr>
          <w:p w14:paraId="7D0B2E3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0.000092</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A082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46AF1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3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D3A2F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FB876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8</w:t>
            </w:r>
            <w:r>
              <w:rPr>
                <w:rFonts w:hint="eastAsia" w:cs="Times New Roman"/>
                <w:color w:val="auto"/>
                <w:sz w:val="21"/>
                <w:szCs w:val="21"/>
                <w:lang w:val="en-US" w:eastAsia="zh-CN" w:bidi="ar"/>
              </w:rPr>
              <w:t>0</w:t>
            </w:r>
          </w:p>
        </w:tc>
        <w:tc>
          <w:tcPr>
            <w:tcW w:w="3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98864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可行</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38B0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05C15BF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0.00001</w:t>
            </w:r>
          </w:p>
        </w:tc>
        <w:tc>
          <w:tcPr>
            <w:tcW w:w="1030" w:type="dxa"/>
            <w:tcBorders>
              <w:top w:val="nil"/>
              <w:left w:val="nil"/>
              <w:bottom w:val="single" w:color="000000" w:sz="8" w:space="0"/>
              <w:right w:val="single" w:color="000000" w:sz="8" w:space="0"/>
            </w:tcBorders>
            <w:shd w:val="clear" w:color="auto" w:fill="auto"/>
            <w:vAlign w:val="center"/>
          </w:tcPr>
          <w:p w14:paraId="6EB0FE9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0.000018</w:t>
            </w:r>
          </w:p>
        </w:tc>
      </w:tr>
      <w:tr w14:paraId="200B5F13">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61E15">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1C484">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D024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6B3C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27D4080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0.000004</w:t>
            </w:r>
          </w:p>
        </w:tc>
        <w:tc>
          <w:tcPr>
            <w:tcW w:w="1182" w:type="dxa"/>
            <w:tcBorders>
              <w:top w:val="nil"/>
              <w:left w:val="nil"/>
              <w:bottom w:val="single" w:color="000000" w:sz="8" w:space="0"/>
              <w:right w:val="single" w:color="000000" w:sz="8" w:space="0"/>
            </w:tcBorders>
            <w:shd w:val="clear" w:color="auto" w:fill="auto"/>
            <w:vAlign w:val="center"/>
          </w:tcPr>
          <w:p w14:paraId="451EF2C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0.000008</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CE49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4F0D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5295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E5E3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018F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477E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1A8CF9D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0.000004</w:t>
            </w:r>
          </w:p>
        </w:tc>
        <w:tc>
          <w:tcPr>
            <w:tcW w:w="1030" w:type="dxa"/>
            <w:tcBorders>
              <w:top w:val="nil"/>
              <w:left w:val="nil"/>
              <w:bottom w:val="single" w:color="000000" w:sz="8" w:space="0"/>
              <w:right w:val="single" w:color="000000" w:sz="8" w:space="0"/>
            </w:tcBorders>
            <w:shd w:val="clear" w:color="auto" w:fill="auto"/>
            <w:vAlign w:val="center"/>
          </w:tcPr>
          <w:p w14:paraId="7B321E4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0.000008</w:t>
            </w:r>
          </w:p>
        </w:tc>
      </w:tr>
      <w:tr w14:paraId="06109E95">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9E053">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81608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1,3-丁二烯</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A4E9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DE7B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7AD7AFB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0.0002</w:t>
            </w:r>
          </w:p>
        </w:tc>
        <w:tc>
          <w:tcPr>
            <w:tcW w:w="1182" w:type="dxa"/>
            <w:tcBorders>
              <w:top w:val="nil"/>
              <w:left w:val="nil"/>
              <w:bottom w:val="single" w:color="000000" w:sz="8" w:space="0"/>
              <w:right w:val="single" w:color="000000" w:sz="8" w:space="0"/>
            </w:tcBorders>
            <w:shd w:val="clear" w:color="auto" w:fill="auto"/>
            <w:vAlign w:val="center"/>
          </w:tcPr>
          <w:p w14:paraId="07302D9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0.000396</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7C06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CA0DE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3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81040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5EF7B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8</w:t>
            </w:r>
            <w:r>
              <w:rPr>
                <w:rFonts w:hint="eastAsia" w:cs="Times New Roman"/>
                <w:color w:val="auto"/>
                <w:sz w:val="21"/>
                <w:szCs w:val="21"/>
                <w:lang w:val="en-US" w:eastAsia="zh-CN" w:bidi="ar"/>
              </w:rPr>
              <w:t>0</w:t>
            </w:r>
          </w:p>
        </w:tc>
        <w:tc>
          <w:tcPr>
            <w:tcW w:w="3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F932F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可行</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A859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4B49822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0.00004</w:t>
            </w:r>
          </w:p>
        </w:tc>
        <w:tc>
          <w:tcPr>
            <w:tcW w:w="1030" w:type="dxa"/>
            <w:tcBorders>
              <w:top w:val="nil"/>
              <w:left w:val="nil"/>
              <w:bottom w:val="single" w:color="000000" w:sz="8" w:space="0"/>
              <w:right w:val="single" w:color="000000" w:sz="8" w:space="0"/>
            </w:tcBorders>
            <w:shd w:val="clear" w:color="auto" w:fill="auto"/>
            <w:vAlign w:val="center"/>
          </w:tcPr>
          <w:p w14:paraId="6508BA3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0.000079</w:t>
            </w:r>
          </w:p>
        </w:tc>
      </w:tr>
      <w:tr w14:paraId="3B2411DD">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1C33">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64A6B">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2B8B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5345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527E85A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0.0002</w:t>
            </w:r>
          </w:p>
        </w:tc>
        <w:tc>
          <w:tcPr>
            <w:tcW w:w="1182" w:type="dxa"/>
            <w:tcBorders>
              <w:top w:val="nil"/>
              <w:left w:val="nil"/>
              <w:bottom w:val="single" w:color="000000" w:sz="8" w:space="0"/>
              <w:right w:val="single" w:color="000000" w:sz="8" w:space="0"/>
            </w:tcBorders>
            <w:shd w:val="clear" w:color="auto" w:fill="auto"/>
            <w:vAlign w:val="center"/>
          </w:tcPr>
          <w:p w14:paraId="54E4B1B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0.000414</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8BA5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6B78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A8D0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48CD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3006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168D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30D3907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0.0002</w:t>
            </w:r>
          </w:p>
        </w:tc>
        <w:tc>
          <w:tcPr>
            <w:tcW w:w="1030" w:type="dxa"/>
            <w:tcBorders>
              <w:top w:val="nil"/>
              <w:left w:val="nil"/>
              <w:bottom w:val="single" w:color="000000" w:sz="8" w:space="0"/>
              <w:right w:val="single" w:color="000000" w:sz="8" w:space="0"/>
            </w:tcBorders>
            <w:shd w:val="clear" w:color="auto" w:fill="auto"/>
            <w:vAlign w:val="center"/>
          </w:tcPr>
          <w:p w14:paraId="01D44E5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0.000414</w:t>
            </w:r>
          </w:p>
        </w:tc>
      </w:tr>
      <w:tr w14:paraId="55D10C3B">
        <w:tblPrEx>
          <w:tblCellMar>
            <w:top w:w="0" w:type="dxa"/>
            <w:left w:w="108" w:type="dxa"/>
            <w:bottom w:w="0" w:type="dxa"/>
            <w:right w:w="108" w:type="dxa"/>
          </w:tblCellMar>
        </w:tblPrEx>
        <w:trPr>
          <w:jc w:val="center"/>
        </w:trPr>
        <w:tc>
          <w:tcPr>
            <w:tcW w:w="3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2D3C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检测废气</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014AC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非甲烷总烃</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2163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24AE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5D4E764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0.017</w:t>
            </w:r>
          </w:p>
        </w:tc>
        <w:tc>
          <w:tcPr>
            <w:tcW w:w="1182" w:type="dxa"/>
            <w:tcBorders>
              <w:top w:val="nil"/>
              <w:left w:val="nil"/>
              <w:bottom w:val="single" w:color="000000" w:sz="8" w:space="0"/>
              <w:right w:val="single" w:color="000000" w:sz="8" w:space="0"/>
            </w:tcBorders>
            <w:shd w:val="clear" w:color="auto" w:fill="auto"/>
            <w:vAlign w:val="center"/>
          </w:tcPr>
          <w:p w14:paraId="75E2F83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0.00136</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3DB7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7429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3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6F049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65E22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8</w:t>
            </w:r>
            <w:r>
              <w:rPr>
                <w:rFonts w:hint="eastAsia" w:cs="Times New Roman"/>
                <w:color w:val="auto"/>
                <w:sz w:val="21"/>
                <w:szCs w:val="21"/>
                <w:lang w:val="en-US" w:eastAsia="zh-CN" w:bidi="ar"/>
              </w:rPr>
              <w:t>0</w:t>
            </w:r>
          </w:p>
        </w:tc>
        <w:tc>
          <w:tcPr>
            <w:tcW w:w="3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F26E5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可行</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8970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6FEF722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0.0035</w:t>
            </w:r>
          </w:p>
        </w:tc>
        <w:tc>
          <w:tcPr>
            <w:tcW w:w="1030" w:type="dxa"/>
            <w:tcBorders>
              <w:top w:val="nil"/>
              <w:left w:val="nil"/>
              <w:bottom w:val="single" w:color="000000" w:sz="8" w:space="0"/>
              <w:right w:val="single" w:color="000000" w:sz="8" w:space="0"/>
            </w:tcBorders>
            <w:shd w:val="clear" w:color="auto" w:fill="auto"/>
            <w:vAlign w:val="center"/>
          </w:tcPr>
          <w:p w14:paraId="23637D1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0.00027</w:t>
            </w:r>
          </w:p>
        </w:tc>
      </w:tr>
      <w:tr w14:paraId="14428EED">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D943C">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2948B">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97F3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4240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nil"/>
              <w:left w:val="single" w:color="000000" w:sz="8" w:space="0"/>
              <w:bottom w:val="single" w:color="000000" w:sz="8" w:space="0"/>
              <w:right w:val="single" w:color="000000" w:sz="8" w:space="0"/>
            </w:tcBorders>
            <w:shd w:val="clear" w:color="auto" w:fill="auto"/>
            <w:vAlign w:val="center"/>
          </w:tcPr>
          <w:p w14:paraId="5BBC098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0.004</w:t>
            </w:r>
          </w:p>
        </w:tc>
        <w:tc>
          <w:tcPr>
            <w:tcW w:w="1182" w:type="dxa"/>
            <w:tcBorders>
              <w:top w:val="nil"/>
              <w:left w:val="nil"/>
              <w:bottom w:val="single" w:color="000000" w:sz="8" w:space="0"/>
              <w:right w:val="single" w:color="000000" w:sz="8" w:space="0"/>
            </w:tcBorders>
            <w:shd w:val="clear" w:color="auto" w:fill="auto"/>
            <w:vAlign w:val="center"/>
          </w:tcPr>
          <w:p w14:paraId="49AD82C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0.00034</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FCBC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3F5C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15B3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2E5E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5279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B01B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0BDDEE3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0.0044</w:t>
            </w:r>
          </w:p>
        </w:tc>
        <w:tc>
          <w:tcPr>
            <w:tcW w:w="1030" w:type="dxa"/>
            <w:tcBorders>
              <w:top w:val="nil"/>
              <w:left w:val="nil"/>
              <w:bottom w:val="single" w:color="000000" w:sz="8" w:space="0"/>
              <w:right w:val="single" w:color="000000" w:sz="8" w:space="0"/>
            </w:tcBorders>
            <w:shd w:val="clear" w:color="auto" w:fill="auto"/>
            <w:vAlign w:val="center"/>
          </w:tcPr>
          <w:p w14:paraId="4919E39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0.00034</w:t>
            </w:r>
          </w:p>
        </w:tc>
      </w:tr>
      <w:tr w14:paraId="09939D1F">
        <w:tblPrEx>
          <w:tblCellMar>
            <w:top w:w="0" w:type="dxa"/>
            <w:left w:w="108" w:type="dxa"/>
            <w:bottom w:w="0" w:type="dxa"/>
            <w:right w:w="108" w:type="dxa"/>
          </w:tblCellMar>
        </w:tblPrEx>
        <w:trPr>
          <w:jc w:val="center"/>
        </w:trPr>
        <w:tc>
          <w:tcPr>
            <w:tcW w:w="3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B3A8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1#排气筒</w:t>
            </w: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D159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非甲烷总烃</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B25F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BCD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193.56 </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325B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5.110 </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599A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9.93736</w:t>
            </w:r>
          </w:p>
        </w:tc>
        <w:tc>
          <w:tcPr>
            <w:tcW w:w="43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E472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废气通过集气罩收集后经</w:t>
            </w:r>
            <w:r>
              <w:rPr>
                <w:rFonts w:hint="eastAsia" w:cs="Times New Roman"/>
                <w:color w:val="auto"/>
                <w:kern w:val="2"/>
                <w:sz w:val="21"/>
                <w:szCs w:val="21"/>
                <w:lang w:val="en-US" w:eastAsia="zh-CN"/>
              </w:rPr>
              <w:t>碱</w:t>
            </w:r>
            <w:r>
              <w:rPr>
                <w:rFonts w:hint="default" w:ascii="Times New Roman" w:hAnsi="Times New Roman" w:cs="Times New Roman"/>
                <w:color w:val="auto"/>
                <w:sz w:val="21"/>
                <w:szCs w:val="21"/>
                <w:lang w:bidi="ar"/>
              </w:rPr>
              <w:t>洗除雾后通过活性炭二级吸附达标后通过25m高1#排气筒排放。</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7FE66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26400</w:t>
            </w:r>
          </w:p>
        </w:tc>
        <w:tc>
          <w:tcPr>
            <w:tcW w:w="3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D666C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90529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8</w:t>
            </w:r>
            <w:r>
              <w:rPr>
                <w:rFonts w:hint="eastAsia" w:cs="Times New Roman"/>
                <w:color w:val="auto"/>
                <w:sz w:val="21"/>
                <w:szCs w:val="21"/>
                <w:lang w:val="en-US" w:eastAsia="zh-CN" w:bidi="ar"/>
              </w:rPr>
              <w:t>0</w:t>
            </w:r>
          </w:p>
        </w:tc>
        <w:tc>
          <w:tcPr>
            <w:tcW w:w="3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010BC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可行</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6CFF0">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38.75</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E181">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1.023</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3A5F">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1.98747</w:t>
            </w:r>
          </w:p>
        </w:tc>
      </w:tr>
      <w:tr w14:paraId="0241B6EB">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70814">
            <w:pPr>
              <w:widowControl/>
              <w:spacing w:line="240" w:lineRule="auto"/>
              <w:ind w:firstLine="0" w:firstLineChars="0"/>
              <w:jc w:val="center"/>
              <w:rPr>
                <w:rFonts w:hint="default" w:ascii="Times New Roman" w:hAnsi="Times New Roman" w:cs="Times New Roman"/>
                <w:color w:val="auto"/>
                <w:sz w:val="21"/>
                <w:szCs w:val="21"/>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6573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酚类</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9DDC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5087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0.19 </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8EBC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0.005</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9D5F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0.0092</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F0F2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7B2F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B2EF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F4DC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71DF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49AE0">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0.04</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9D32D">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0.001</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6A8E9">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0.0018</w:t>
            </w:r>
          </w:p>
        </w:tc>
      </w:tr>
      <w:tr w14:paraId="6D53C13C">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646BB">
            <w:pPr>
              <w:widowControl/>
              <w:spacing w:line="240" w:lineRule="auto"/>
              <w:ind w:firstLine="0" w:firstLineChars="0"/>
              <w:jc w:val="center"/>
              <w:rPr>
                <w:rFonts w:hint="default" w:ascii="Times New Roman" w:hAnsi="Times New Roman" w:cs="Times New Roman"/>
                <w:color w:val="auto"/>
                <w:sz w:val="21"/>
                <w:szCs w:val="21"/>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CE12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丙烯腈</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A2AA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34EC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0.06 </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5236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0.00160 </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FEED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0.00334 </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34ED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9D0E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D7D7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7F2C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88F0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F6BB">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0.01</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99FA6">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0.00035</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E4F79">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0.00067</w:t>
            </w:r>
          </w:p>
        </w:tc>
      </w:tr>
      <w:tr w14:paraId="475ABD6D">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BD388">
            <w:pPr>
              <w:widowControl/>
              <w:spacing w:line="240" w:lineRule="auto"/>
              <w:ind w:firstLine="0" w:firstLineChars="0"/>
              <w:jc w:val="center"/>
              <w:rPr>
                <w:rFonts w:hint="default" w:ascii="Times New Roman" w:hAnsi="Times New Roman" w:cs="Times New Roman"/>
                <w:color w:val="auto"/>
                <w:sz w:val="21"/>
                <w:szCs w:val="21"/>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894F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苯乙烯</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DB9F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FB57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0.14 </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99F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0.0037</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D8A5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0.00837</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B78E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7D6B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CD0E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771E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6F22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0AF85">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0.03</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C8D9">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0.0008</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934F">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0.00169</w:t>
            </w:r>
          </w:p>
        </w:tc>
      </w:tr>
      <w:tr w14:paraId="5E17DC24">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F74B6">
            <w:pPr>
              <w:widowControl/>
              <w:spacing w:line="240" w:lineRule="auto"/>
              <w:ind w:firstLine="0" w:firstLineChars="0"/>
              <w:jc w:val="center"/>
              <w:rPr>
                <w:rFonts w:hint="default" w:ascii="Times New Roman" w:hAnsi="Times New Roman" w:cs="Times New Roman"/>
                <w:color w:val="auto"/>
                <w:sz w:val="21"/>
                <w:szCs w:val="21"/>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B70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乙苯</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92F0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288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0.09 </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A46C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0.00240 </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378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0.00499 </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5FE1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2EBB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616D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8378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C4B1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D8C6C">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0.02</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83DBF">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0.00050</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ABADB">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0.00100</w:t>
            </w:r>
          </w:p>
        </w:tc>
      </w:tr>
      <w:tr w14:paraId="4D78205E">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F768C">
            <w:pPr>
              <w:widowControl/>
              <w:spacing w:line="240" w:lineRule="auto"/>
              <w:ind w:firstLine="0" w:firstLineChars="0"/>
              <w:jc w:val="center"/>
              <w:rPr>
                <w:rFonts w:hint="default" w:ascii="Times New Roman" w:hAnsi="Times New Roman" w:cs="Times New Roman"/>
                <w:color w:val="auto"/>
                <w:sz w:val="21"/>
                <w:szCs w:val="21"/>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DB13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甲苯</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EE8C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61C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0.00 </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5027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0.000060 </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95C6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0.000110 </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9914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7E8E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6BEA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05C1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5A33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407F">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D7FD8">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0.000012</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88C68">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0.000022</w:t>
            </w:r>
          </w:p>
        </w:tc>
      </w:tr>
      <w:tr w14:paraId="1D08BCDC">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12AB4">
            <w:pPr>
              <w:widowControl/>
              <w:spacing w:line="240" w:lineRule="auto"/>
              <w:ind w:firstLine="0" w:firstLineChars="0"/>
              <w:jc w:val="center"/>
              <w:rPr>
                <w:rFonts w:hint="default" w:ascii="Times New Roman" w:hAnsi="Times New Roman" w:cs="Times New Roman"/>
                <w:color w:val="auto"/>
                <w:sz w:val="21"/>
                <w:szCs w:val="21"/>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4603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1,3-丁二烯</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9846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AAF7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0.01 </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625D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0.000240 </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3DE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0.000481 </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0571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2920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FBAE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2D69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1D65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779C6">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0.00</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C4DF8">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0.000050</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D73D4">
            <w:pPr>
              <w:widowControl/>
              <w:spacing w:line="240" w:lineRule="auto"/>
              <w:ind w:firstLine="0" w:firstLineChars="0"/>
              <w:jc w:val="center"/>
              <w:textAlignment w:val="center"/>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val="en-US" w:eastAsia="zh-CN" w:bidi="ar"/>
              </w:rPr>
              <w:t>0.000096</w:t>
            </w:r>
          </w:p>
        </w:tc>
      </w:tr>
      <w:tr w14:paraId="727F68FD">
        <w:tblPrEx>
          <w:tblCellMar>
            <w:top w:w="0" w:type="dxa"/>
            <w:left w:w="108" w:type="dxa"/>
            <w:bottom w:w="0" w:type="dxa"/>
            <w:right w:w="108" w:type="dxa"/>
          </w:tblCellMar>
        </w:tblPrEx>
        <w:trPr>
          <w:jc w:val="center"/>
        </w:trPr>
        <w:tc>
          <w:tcPr>
            <w:tcW w:w="3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7B3E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滑石粉投料混合</w:t>
            </w:r>
          </w:p>
        </w:tc>
        <w:tc>
          <w:tcPr>
            <w:tcW w:w="320" w:type="pct"/>
            <w:vMerge w:val="restart"/>
            <w:tcBorders>
              <w:top w:val="single" w:color="000000" w:sz="4" w:space="0"/>
              <w:left w:val="nil"/>
              <w:bottom w:val="single" w:color="000000" w:sz="4" w:space="0"/>
              <w:right w:val="single" w:color="000000" w:sz="4" w:space="0"/>
            </w:tcBorders>
            <w:shd w:val="clear" w:color="auto" w:fill="auto"/>
            <w:vAlign w:val="center"/>
          </w:tcPr>
          <w:p w14:paraId="5A27DB7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颗粒物</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EBD2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862E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22.31</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C760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0.049</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EEC8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0.01904</w:t>
            </w:r>
          </w:p>
        </w:tc>
        <w:tc>
          <w:tcPr>
            <w:tcW w:w="43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99F7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废气通过集气罩收集后经布袋除尘器处理达标后通过25m高2#排气筒排放。</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58264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2200</w:t>
            </w:r>
          </w:p>
        </w:tc>
        <w:tc>
          <w:tcPr>
            <w:tcW w:w="3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DCFC8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85</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B8384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95</w:t>
            </w:r>
          </w:p>
        </w:tc>
        <w:tc>
          <w:tcPr>
            <w:tcW w:w="3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C4A91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可行</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FBD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1.12</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32F1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0.0025</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66A1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0.000952</w:t>
            </w:r>
          </w:p>
        </w:tc>
      </w:tr>
      <w:tr w14:paraId="5981CC9E">
        <w:tblPrEx>
          <w:tblCellMar>
            <w:top w:w="0" w:type="dxa"/>
            <w:left w:w="108" w:type="dxa"/>
            <w:bottom w:w="0" w:type="dxa"/>
            <w:right w:w="108" w:type="dxa"/>
          </w:tblCellMar>
        </w:tblPrEx>
        <w:trPr>
          <w:jc w:val="center"/>
        </w:trPr>
        <w:tc>
          <w:tcPr>
            <w:tcW w:w="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31281">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nil"/>
              <w:bottom w:val="single" w:color="000000" w:sz="4" w:space="0"/>
              <w:right w:val="single" w:color="000000" w:sz="4" w:space="0"/>
            </w:tcBorders>
            <w:shd w:val="clear" w:color="auto" w:fill="auto"/>
            <w:vAlign w:val="center"/>
          </w:tcPr>
          <w:p w14:paraId="0AE32BC7">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68B8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A193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B292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0.009</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01AA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0.00336</w:t>
            </w: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22CE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B8C8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731E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0C32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B300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DD3E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4D5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0.009</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4512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0.00336</w:t>
            </w:r>
          </w:p>
        </w:tc>
      </w:tr>
      <w:tr w14:paraId="2BB55974">
        <w:tblPrEx>
          <w:tblCellMar>
            <w:top w:w="0" w:type="dxa"/>
            <w:left w:w="108" w:type="dxa"/>
            <w:bottom w:w="0" w:type="dxa"/>
            <w:right w:w="108" w:type="dxa"/>
          </w:tblCellMar>
        </w:tblPrEx>
        <w:trPr>
          <w:jc w:val="center"/>
        </w:trPr>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3809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破碎粉尘</w:t>
            </w:r>
          </w:p>
        </w:tc>
        <w:tc>
          <w:tcPr>
            <w:tcW w:w="320" w:type="pct"/>
            <w:tcBorders>
              <w:top w:val="single" w:color="000000" w:sz="8" w:space="0"/>
              <w:left w:val="nil"/>
              <w:bottom w:val="single" w:color="000000" w:sz="8" w:space="0"/>
              <w:right w:val="single" w:color="000000" w:sz="8" w:space="0"/>
            </w:tcBorders>
            <w:shd w:val="clear" w:color="auto" w:fill="auto"/>
            <w:vAlign w:val="center"/>
          </w:tcPr>
          <w:p w14:paraId="6782E32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颗粒物</w:t>
            </w:r>
          </w:p>
        </w:tc>
        <w:tc>
          <w:tcPr>
            <w:tcW w:w="372" w:type="pct"/>
            <w:tcBorders>
              <w:top w:val="single" w:color="000000" w:sz="8" w:space="0"/>
              <w:left w:val="nil"/>
              <w:bottom w:val="single" w:color="000000" w:sz="8" w:space="0"/>
              <w:right w:val="single" w:color="000000" w:sz="8" w:space="0"/>
            </w:tcBorders>
            <w:shd w:val="clear" w:color="auto" w:fill="auto"/>
            <w:vAlign w:val="center"/>
          </w:tcPr>
          <w:p w14:paraId="05B32F3E">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332" w:type="pct"/>
            <w:tcBorders>
              <w:top w:val="single" w:color="000000" w:sz="8" w:space="0"/>
              <w:left w:val="nil"/>
              <w:bottom w:val="single" w:color="000000" w:sz="8" w:space="0"/>
              <w:right w:val="single" w:color="000000" w:sz="8" w:space="0"/>
            </w:tcBorders>
            <w:shd w:val="clear" w:color="auto" w:fill="auto"/>
            <w:vAlign w:val="center"/>
          </w:tcPr>
          <w:p w14:paraId="456DF66C">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A0247">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416" w:type="pct"/>
            <w:tcBorders>
              <w:top w:val="single" w:color="000000" w:sz="8" w:space="0"/>
              <w:left w:val="nil"/>
              <w:bottom w:val="single" w:color="000000" w:sz="8" w:space="0"/>
              <w:right w:val="single" w:color="000000" w:sz="8" w:space="0"/>
            </w:tcBorders>
            <w:shd w:val="clear" w:color="auto" w:fill="auto"/>
            <w:vAlign w:val="center"/>
          </w:tcPr>
          <w:p w14:paraId="647A7A8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极少</w:t>
            </w:r>
          </w:p>
        </w:tc>
        <w:tc>
          <w:tcPr>
            <w:tcW w:w="430" w:type="pct"/>
            <w:tcBorders>
              <w:top w:val="single" w:color="000000" w:sz="8" w:space="0"/>
              <w:left w:val="nil"/>
              <w:bottom w:val="single" w:color="000000" w:sz="8" w:space="0"/>
              <w:right w:val="single" w:color="000000" w:sz="8" w:space="0"/>
            </w:tcBorders>
            <w:shd w:val="clear" w:color="auto" w:fill="auto"/>
            <w:noWrap/>
            <w:vAlign w:val="center"/>
          </w:tcPr>
          <w:p w14:paraId="2E610A2C">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密闭破碎</w:t>
            </w:r>
          </w:p>
        </w:tc>
        <w:tc>
          <w:tcPr>
            <w:tcW w:w="379" w:type="pct"/>
            <w:tcBorders>
              <w:top w:val="single" w:color="000000" w:sz="8" w:space="0"/>
              <w:left w:val="nil"/>
              <w:bottom w:val="single" w:color="000000" w:sz="8" w:space="0"/>
              <w:right w:val="single" w:color="000000" w:sz="8" w:space="0"/>
            </w:tcBorders>
            <w:shd w:val="clear" w:color="auto" w:fill="auto"/>
            <w:vAlign w:val="center"/>
          </w:tcPr>
          <w:p w14:paraId="598FCE10">
            <w:pPr>
              <w:widowControl/>
              <w:spacing w:line="240" w:lineRule="auto"/>
              <w:ind w:firstLine="0" w:firstLineChars="0"/>
              <w:jc w:val="center"/>
              <w:rPr>
                <w:rFonts w:hint="default" w:ascii="Times New Roman" w:hAnsi="Times New Roman" w:cs="Times New Roman"/>
                <w:color w:val="auto"/>
                <w:sz w:val="21"/>
                <w:szCs w:val="21"/>
              </w:rPr>
            </w:pPr>
          </w:p>
        </w:tc>
        <w:tc>
          <w:tcPr>
            <w:tcW w:w="351" w:type="pct"/>
            <w:tcBorders>
              <w:top w:val="single" w:color="000000" w:sz="8" w:space="0"/>
              <w:left w:val="nil"/>
              <w:bottom w:val="single" w:color="000000" w:sz="8" w:space="0"/>
              <w:right w:val="single" w:color="000000" w:sz="8" w:space="0"/>
            </w:tcBorders>
            <w:shd w:val="clear" w:color="auto" w:fill="auto"/>
            <w:vAlign w:val="center"/>
          </w:tcPr>
          <w:p w14:paraId="4060DE4B">
            <w:pPr>
              <w:widowControl/>
              <w:spacing w:line="240" w:lineRule="auto"/>
              <w:ind w:firstLine="0" w:firstLineChars="0"/>
              <w:jc w:val="center"/>
              <w:rPr>
                <w:rFonts w:hint="default" w:ascii="Times New Roman" w:hAnsi="Times New Roman" w:cs="Times New Roman"/>
                <w:color w:val="auto"/>
                <w:sz w:val="21"/>
                <w:szCs w:val="21"/>
              </w:rPr>
            </w:pPr>
          </w:p>
        </w:tc>
        <w:tc>
          <w:tcPr>
            <w:tcW w:w="276" w:type="pct"/>
            <w:tcBorders>
              <w:top w:val="single" w:color="000000" w:sz="8" w:space="0"/>
              <w:left w:val="nil"/>
              <w:bottom w:val="single" w:color="000000" w:sz="8" w:space="0"/>
              <w:right w:val="single" w:color="000000" w:sz="8" w:space="0"/>
            </w:tcBorders>
            <w:shd w:val="clear" w:color="auto" w:fill="auto"/>
            <w:vAlign w:val="center"/>
          </w:tcPr>
          <w:p w14:paraId="79546267">
            <w:pPr>
              <w:widowControl/>
              <w:spacing w:line="240" w:lineRule="auto"/>
              <w:ind w:firstLine="0" w:firstLineChars="0"/>
              <w:jc w:val="center"/>
              <w:rPr>
                <w:rFonts w:hint="default" w:ascii="Times New Roman" w:hAnsi="Times New Roman" w:cs="Times New Roman"/>
                <w:color w:val="auto"/>
                <w:sz w:val="21"/>
                <w:szCs w:val="21"/>
              </w:rPr>
            </w:pPr>
          </w:p>
        </w:tc>
        <w:tc>
          <w:tcPr>
            <w:tcW w:w="318" w:type="pct"/>
            <w:tcBorders>
              <w:top w:val="single" w:color="000000" w:sz="8" w:space="0"/>
              <w:left w:val="nil"/>
              <w:bottom w:val="single" w:color="000000" w:sz="8" w:space="0"/>
              <w:right w:val="single" w:color="000000" w:sz="8" w:space="0"/>
            </w:tcBorders>
            <w:shd w:val="clear" w:color="auto" w:fill="auto"/>
            <w:vAlign w:val="center"/>
          </w:tcPr>
          <w:p w14:paraId="2F6D286D">
            <w:pPr>
              <w:widowControl/>
              <w:spacing w:line="240" w:lineRule="auto"/>
              <w:ind w:firstLine="0" w:firstLineChars="0"/>
              <w:jc w:val="center"/>
              <w:rPr>
                <w:rFonts w:hint="default" w:ascii="Times New Roman" w:hAnsi="Times New Roman" w:cs="Times New Roman"/>
                <w:color w:val="auto"/>
                <w:sz w:val="21"/>
                <w:szCs w:val="21"/>
              </w:rPr>
            </w:pPr>
          </w:p>
        </w:tc>
        <w:tc>
          <w:tcPr>
            <w:tcW w:w="355" w:type="pct"/>
            <w:tcBorders>
              <w:top w:val="single" w:color="000000" w:sz="8" w:space="0"/>
              <w:left w:val="nil"/>
              <w:bottom w:val="single" w:color="000000" w:sz="8" w:space="0"/>
              <w:right w:val="single" w:color="000000" w:sz="8" w:space="0"/>
            </w:tcBorders>
            <w:shd w:val="clear" w:color="auto" w:fill="auto"/>
            <w:vAlign w:val="center"/>
          </w:tcPr>
          <w:p w14:paraId="09F7639C">
            <w:pPr>
              <w:widowControl/>
              <w:spacing w:line="240" w:lineRule="auto"/>
              <w:ind w:firstLine="0" w:firstLineChars="0"/>
              <w:jc w:val="center"/>
              <w:rPr>
                <w:rFonts w:hint="default" w:ascii="Times New Roman" w:hAnsi="Times New Roman" w:cs="Times New Roman"/>
                <w:color w:val="auto"/>
                <w:sz w:val="21"/>
                <w:szCs w:val="21"/>
              </w:rPr>
            </w:pPr>
          </w:p>
        </w:tc>
        <w:tc>
          <w:tcPr>
            <w:tcW w:w="360" w:type="pct"/>
            <w:tcBorders>
              <w:top w:val="single" w:color="000000" w:sz="8" w:space="0"/>
              <w:left w:val="nil"/>
              <w:bottom w:val="single" w:color="000000" w:sz="8" w:space="0"/>
              <w:right w:val="single" w:color="000000" w:sz="8" w:space="0"/>
            </w:tcBorders>
            <w:shd w:val="clear" w:color="auto" w:fill="auto"/>
            <w:vAlign w:val="center"/>
          </w:tcPr>
          <w:p w14:paraId="66AF8E9C">
            <w:pPr>
              <w:widowControl/>
              <w:spacing w:line="240" w:lineRule="auto"/>
              <w:ind w:firstLine="0" w:firstLineChars="0"/>
              <w:jc w:val="center"/>
              <w:rPr>
                <w:rFonts w:hint="default" w:ascii="Times New Roman" w:hAnsi="Times New Roman" w:cs="Times New Roman"/>
                <w:color w:val="auto"/>
                <w:sz w:val="21"/>
                <w:szCs w:val="21"/>
              </w:rPr>
            </w:pPr>
          </w:p>
        </w:tc>
        <w:tc>
          <w:tcPr>
            <w:tcW w:w="363" w:type="pct"/>
            <w:tcBorders>
              <w:top w:val="single" w:color="000000" w:sz="8" w:space="0"/>
              <w:left w:val="nil"/>
              <w:bottom w:val="single" w:color="000000" w:sz="8" w:space="0"/>
              <w:right w:val="single" w:color="000000" w:sz="8" w:space="0"/>
            </w:tcBorders>
            <w:shd w:val="clear" w:color="auto" w:fill="auto"/>
            <w:vAlign w:val="center"/>
          </w:tcPr>
          <w:p w14:paraId="4B4442B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极少</w:t>
            </w:r>
          </w:p>
        </w:tc>
      </w:tr>
      <w:tr w14:paraId="366F3135">
        <w:tblPrEx>
          <w:tblCellMar>
            <w:top w:w="0" w:type="dxa"/>
            <w:left w:w="108" w:type="dxa"/>
            <w:bottom w:w="0" w:type="dxa"/>
            <w:right w:w="108" w:type="dxa"/>
          </w:tblCellMar>
        </w:tblPrEx>
        <w:trPr>
          <w:jc w:val="center"/>
        </w:trPr>
        <w:tc>
          <w:tcPr>
            <w:tcW w:w="390" w:type="pct"/>
            <w:vMerge w:val="restart"/>
            <w:tcBorders>
              <w:top w:val="nil"/>
              <w:left w:val="single" w:color="000000" w:sz="4" w:space="0"/>
              <w:bottom w:val="single" w:color="000000" w:sz="4" w:space="0"/>
              <w:right w:val="single" w:color="000000" w:sz="4" w:space="0"/>
            </w:tcBorders>
            <w:shd w:val="clear" w:color="auto" w:fill="auto"/>
            <w:noWrap/>
            <w:vAlign w:val="center"/>
          </w:tcPr>
          <w:p w14:paraId="3F74619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全厂</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98D21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非甲烷总烃</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B7FF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3D673">
            <w:pPr>
              <w:widowControl/>
              <w:spacing w:line="240" w:lineRule="auto"/>
              <w:ind w:firstLine="0" w:firstLineChars="0"/>
              <w:rPr>
                <w:rFonts w:hint="default" w:ascii="Times New Roman" w:hAnsi="Times New Roman" w:cs="Times New Roman"/>
                <w:color w:val="auto"/>
                <w:sz w:val="21"/>
                <w:szCs w:val="21"/>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5927F">
            <w:pPr>
              <w:widowControl/>
              <w:spacing w:line="240" w:lineRule="auto"/>
              <w:ind w:firstLine="0" w:firstLineChars="0"/>
              <w:rPr>
                <w:rFonts w:hint="default" w:ascii="Times New Roman" w:hAnsi="Times New Roman" w:cs="Times New Roman"/>
                <w:color w:val="auto"/>
                <w:sz w:val="21"/>
                <w:szCs w:val="21"/>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A6EE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9.93736</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F373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14A9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750A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E15C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385F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B428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E047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DEF1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1.9875</w:t>
            </w:r>
          </w:p>
        </w:tc>
      </w:tr>
      <w:tr w14:paraId="07178B95">
        <w:tblPrEx>
          <w:tblCellMar>
            <w:top w:w="0" w:type="dxa"/>
            <w:left w:w="108" w:type="dxa"/>
            <w:bottom w:w="0" w:type="dxa"/>
            <w:right w:w="108" w:type="dxa"/>
          </w:tblCellMar>
        </w:tblPrEx>
        <w:trPr>
          <w:jc w:val="center"/>
        </w:trPr>
        <w:tc>
          <w:tcPr>
            <w:tcW w:w="390" w:type="pct"/>
            <w:vMerge w:val="continue"/>
            <w:tcBorders>
              <w:top w:val="nil"/>
              <w:left w:val="single" w:color="000000" w:sz="4" w:space="0"/>
              <w:bottom w:val="single" w:color="000000" w:sz="4" w:space="0"/>
              <w:right w:val="single" w:color="000000" w:sz="4" w:space="0"/>
            </w:tcBorders>
            <w:shd w:val="clear" w:color="auto" w:fill="auto"/>
            <w:noWrap/>
            <w:vAlign w:val="center"/>
          </w:tcPr>
          <w:p w14:paraId="667250FB">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FD9F9">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7942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CD0AF">
            <w:pPr>
              <w:widowControl/>
              <w:spacing w:line="240" w:lineRule="auto"/>
              <w:ind w:firstLine="0" w:firstLineChars="0"/>
              <w:rPr>
                <w:rFonts w:hint="default" w:ascii="Times New Roman" w:hAnsi="Times New Roman" w:cs="Times New Roman"/>
                <w:color w:val="auto"/>
                <w:sz w:val="21"/>
                <w:szCs w:val="21"/>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BA0C7">
            <w:pPr>
              <w:widowControl/>
              <w:spacing w:line="240" w:lineRule="auto"/>
              <w:ind w:firstLine="0" w:firstLineChars="0"/>
              <w:rPr>
                <w:rFonts w:hint="default" w:ascii="Times New Roman" w:hAnsi="Times New Roman" w:cs="Times New Roman"/>
                <w:color w:val="auto"/>
                <w:sz w:val="21"/>
                <w:szCs w:val="21"/>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B33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0.86434</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BA60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8615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BD2D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B9F0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CC3F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73EB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5D18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2AA3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0.86434</w:t>
            </w:r>
          </w:p>
        </w:tc>
      </w:tr>
      <w:tr w14:paraId="737FA2A7">
        <w:tblPrEx>
          <w:tblCellMar>
            <w:top w:w="0" w:type="dxa"/>
            <w:left w:w="108" w:type="dxa"/>
            <w:bottom w:w="0" w:type="dxa"/>
            <w:right w:w="108" w:type="dxa"/>
          </w:tblCellMar>
        </w:tblPrEx>
        <w:trPr>
          <w:jc w:val="center"/>
        </w:trPr>
        <w:tc>
          <w:tcPr>
            <w:tcW w:w="390" w:type="pct"/>
            <w:vMerge w:val="continue"/>
            <w:tcBorders>
              <w:top w:val="nil"/>
              <w:left w:val="single" w:color="000000" w:sz="4" w:space="0"/>
              <w:bottom w:val="single" w:color="000000" w:sz="4" w:space="0"/>
              <w:right w:val="single" w:color="000000" w:sz="4" w:space="0"/>
            </w:tcBorders>
            <w:shd w:val="clear" w:color="auto" w:fill="auto"/>
            <w:noWrap/>
            <w:vAlign w:val="center"/>
          </w:tcPr>
          <w:p w14:paraId="28A3CD01">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583AF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酚类</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A319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E15FA">
            <w:pPr>
              <w:widowControl/>
              <w:spacing w:line="240" w:lineRule="auto"/>
              <w:ind w:firstLine="0" w:firstLineChars="0"/>
              <w:rPr>
                <w:rFonts w:hint="default" w:ascii="Times New Roman" w:hAnsi="Times New Roman" w:cs="Times New Roman"/>
                <w:color w:val="auto"/>
                <w:sz w:val="21"/>
                <w:szCs w:val="21"/>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20862">
            <w:pPr>
              <w:widowControl/>
              <w:spacing w:line="240" w:lineRule="auto"/>
              <w:ind w:firstLine="0" w:firstLineChars="0"/>
              <w:rPr>
                <w:rFonts w:hint="default" w:ascii="Times New Roman" w:hAnsi="Times New Roman" w:cs="Times New Roman"/>
                <w:color w:val="auto"/>
                <w:sz w:val="21"/>
                <w:szCs w:val="21"/>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C34F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0.0092</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5F7C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C62C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DF7E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AAD6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5C1E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8222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2D6D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6BB6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0.0018</w:t>
            </w:r>
          </w:p>
        </w:tc>
      </w:tr>
      <w:tr w14:paraId="2A6D6DE7">
        <w:tblPrEx>
          <w:tblCellMar>
            <w:top w:w="0" w:type="dxa"/>
            <w:left w:w="108" w:type="dxa"/>
            <w:bottom w:w="0" w:type="dxa"/>
            <w:right w:w="108" w:type="dxa"/>
          </w:tblCellMar>
        </w:tblPrEx>
        <w:trPr>
          <w:jc w:val="center"/>
        </w:trPr>
        <w:tc>
          <w:tcPr>
            <w:tcW w:w="390" w:type="pct"/>
            <w:vMerge w:val="continue"/>
            <w:tcBorders>
              <w:top w:val="nil"/>
              <w:left w:val="single" w:color="000000" w:sz="4" w:space="0"/>
              <w:bottom w:val="single" w:color="000000" w:sz="4" w:space="0"/>
              <w:right w:val="single" w:color="000000" w:sz="4" w:space="0"/>
            </w:tcBorders>
            <w:shd w:val="clear" w:color="auto" w:fill="auto"/>
            <w:noWrap/>
            <w:vAlign w:val="center"/>
          </w:tcPr>
          <w:p w14:paraId="18F60883">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4B675">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D8DB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F7F2D">
            <w:pPr>
              <w:widowControl/>
              <w:spacing w:line="240" w:lineRule="auto"/>
              <w:ind w:firstLine="0" w:firstLineChars="0"/>
              <w:rPr>
                <w:rFonts w:hint="default" w:ascii="Times New Roman" w:hAnsi="Times New Roman" w:cs="Times New Roman"/>
                <w:color w:val="auto"/>
                <w:sz w:val="21"/>
                <w:szCs w:val="21"/>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7C75F">
            <w:pPr>
              <w:widowControl/>
              <w:spacing w:line="240" w:lineRule="auto"/>
              <w:ind w:firstLine="0" w:firstLineChars="0"/>
              <w:rPr>
                <w:rFonts w:hint="default" w:ascii="Times New Roman" w:hAnsi="Times New Roman" w:cs="Times New Roman"/>
                <w:color w:val="auto"/>
                <w:sz w:val="21"/>
                <w:szCs w:val="21"/>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3D6F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0.0008</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8418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5F27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5445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BB2C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47AE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FADC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E590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3C9C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0.0008</w:t>
            </w:r>
          </w:p>
        </w:tc>
      </w:tr>
      <w:tr w14:paraId="0EDC7F40">
        <w:tblPrEx>
          <w:tblCellMar>
            <w:top w:w="0" w:type="dxa"/>
            <w:left w:w="108" w:type="dxa"/>
            <w:bottom w:w="0" w:type="dxa"/>
            <w:right w:w="108" w:type="dxa"/>
          </w:tblCellMar>
        </w:tblPrEx>
        <w:trPr>
          <w:jc w:val="center"/>
        </w:trPr>
        <w:tc>
          <w:tcPr>
            <w:tcW w:w="390" w:type="pct"/>
            <w:vMerge w:val="continue"/>
            <w:tcBorders>
              <w:top w:val="nil"/>
              <w:left w:val="single" w:color="000000" w:sz="4" w:space="0"/>
              <w:bottom w:val="single" w:color="000000" w:sz="4" w:space="0"/>
              <w:right w:val="single" w:color="000000" w:sz="4" w:space="0"/>
            </w:tcBorders>
            <w:shd w:val="clear" w:color="auto" w:fill="auto"/>
            <w:noWrap/>
            <w:vAlign w:val="center"/>
          </w:tcPr>
          <w:p w14:paraId="65C89B8D">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7554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丙烯腈</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ADD0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D0E3D">
            <w:pPr>
              <w:widowControl/>
              <w:spacing w:line="240" w:lineRule="auto"/>
              <w:ind w:firstLine="0" w:firstLineChars="0"/>
              <w:rPr>
                <w:rFonts w:hint="default" w:ascii="Times New Roman" w:hAnsi="Times New Roman" w:cs="Times New Roman"/>
                <w:color w:val="auto"/>
                <w:sz w:val="21"/>
                <w:szCs w:val="21"/>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26C83">
            <w:pPr>
              <w:widowControl/>
              <w:spacing w:line="240" w:lineRule="auto"/>
              <w:ind w:firstLine="0" w:firstLineChars="0"/>
              <w:rPr>
                <w:rFonts w:hint="default" w:ascii="Times New Roman" w:hAnsi="Times New Roman" w:cs="Times New Roman"/>
                <w:color w:val="auto"/>
                <w:sz w:val="21"/>
                <w:szCs w:val="21"/>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BD3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0.00334</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A91A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9249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97A6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AD64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D41B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18D7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72C2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BDF1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0.0007</w:t>
            </w:r>
          </w:p>
        </w:tc>
      </w:tr>
      <w:tr w14:paraId="393AB29F">
        <w:tblPrEx>
          <w:tblCellMar>
            <w:top w:w="0" w:type="dxa"/>
            <w:left w:w="108" w:type="dxa"/>
            <w:bottom w:w="0" w:type="dxa"/>
            <w:right w:w="108" w:type="dxa"/>
          </w:tblCellMar>
        </w:tblPrEx>
        <w:trPr>
          <w:jc w:val="center"/>
        </w:trPr>
        <w:tc>
          <w:tcPr>
            <w:tcW w:w="390" w:type="pct"/>
            <w:vMerge w:val="continue"/>
            <w:tcBorders>
              <w:top w:val="nil"/>
              <w:left w:val="single" w:color="000000" w:sz="4" w:space="0"/>
              <w:bottom w:val="single" w:color="000000" w:sz="4" w:space="0"/>
              <w:right w:val="single" w:color="000000" w:sz="4" w:space="0"/>
            </w:tcBorders>
            <w:shd w:val="clear" w:color="auto" w:fill="auto"/>
            <w:noWrap/>
            <w:vAlign w:val="center"/>
          </w:tcPr>
          <w:p w14:paraId="7E754248">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9966B">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A7DC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59D55">
            <w:pPr>
              <w:widowControl/>
              <w:spacing w:line="240" w:lineRule="auto"/>
              <w:ind w:firstLine="0" w:firstLineChars="0"/>
              <w:rPr>
                <w:rFonts w:hint="default" w:ascii="Times New Roman" w:hAnsi="Times New Roman" w:cs="Times New Roman"/>
                <w:color w:val="auto"/>
                <w:sz w:val="21"/>
                <w:szCs w:val="21"/>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2375A">
            <w:pPr>
              <w:widowControl/>
              <w:spacing w:line="240" w:lineRule="auto"/>
              <w:ind w:firstLine="0" w:firstLineChars="0"/>
              <w:rPr>
                <w:rFonts w:hint="default" w:ascii="Times New Roman" w:hAnsi="Times New Roman" w:cs="Times New Roman"/>
                <w:color w:val="auto"/>
                <w:sz w:val="21"/>
                <w:szCs w:val="21"/>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2123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0.000288</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E536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7537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6E4F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F764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5771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49A0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3FA8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BB15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0.000288</w:t>
            </w:r>
          </w:p>
        </w:tc>
      </w:tr>
      <w:tr w14:paraId="6C665EE0">
        <w:tblPrEx>
          <w:tblCellMar>
            <w:top w:w="0" w:type="dxa"/>
            <w:left w:w="108" w:type="dxa"/>
            <w:bottom w:w="0" w:type="dxa"/>
            <w:right w:w="108" w:type="dxa"/>
          </w:tblCellMar>
        </w:tblPrEx>
        <w:trPr>
          <w:jc w:val="center"/>
        </w:trPr>
        <w:tc>
          <w:tcPr>
            <w:tcW w:w="390" w:type="pct"/>
            <w:vMerge w:val="continue"/>
            <w:tcBorders>
              <w:top w:val="nil"/>
              <w:left w:val="single" w:color="000000" w:sz="4" w:space="0"/>
              <w:bottom w:val="single" w:color="000000" w:sz="4" w:space="0"/>
              <w:right w:val="single" w:color="000000" w:sz="4" w:space="0"/>
            </w:tcBorders>
            <w:shd w:val="clear" w:color="auto" w:fill="auto"/>
            <w:noWrap/>
            <w:vAlign w:val="center"/>
          </w:tcPr>
          <w:p w14:paraId="066152AF">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2E67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苯乙烯</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6629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897AC">
            <w:pPr>
              <w:widowControl/>
              <w:spacing w:line="240" w:lineRule="auto"/>
              <w:ind w:firstLine="0" w:firstLineChars="0"/>
              <w:rPr>
                <w:rFonts w:hint="default" w:ascii="Times New Roman" w:hAnsi="Times New Roman" w:cs="Times New Roman"/>
                <w:color w:val="auto"/>
                <w:sz w:val="21"/>
                <w:szCs w:val="21"/>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59BBF">
            <w:pPr>
              <w:widowControl/>
              <w:spacing w:line="240" w:lineRule="auto"/>
              <w:ind w:firstLine="0" w:firstLineChars="0"/>
              <w:rPr>
                <w:rFonts w:hint="default" w:ascii="Times New Roman" w:hAnsi="Times New Roman" w:cs="Times New Roman"/>
                <w:color w:val="auto"/>
                <w:sz w:val="21"/>
                <w:szCs w:val="21"/>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9F76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0.00837</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796D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76B8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F25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08E6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3ED7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8FA5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A985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7661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0.00169</w:t>
            </w:r>
          </w:p>
        </w:tc>
      </w:tr>
      <w:tr w14:paraId="07E5A45A">
        <w:tblPrEx>
          <w:tblCellMar>
            <w:top w:w="0" w:type="dxa"/>
            <w:left w:w="108" w:type="dxa"/>
            <w:bottom w:w="0" w:type="dxa"/>
            <w:right w:w="108" w:type="dxa"/>
          </w:tblCellMar>
        </w:tblPrEx>
        <w:trPr>
          <w:jc w:val="center"/>
        </w:trPr>
        <w:tc>
          <w:tcPr>
            <w:tcW w:w="390" w:type="pct"/>
            <w:vMerge w:val="continue"/>
            <w:tcBorders>
              <w:top w:val="nil"/>
              <w:left w:val="single" w:color="000000" w:sz="4" w:space="0"/>
              <w:bottom w:val="single" w:color="000000" w:sz="4" w:space="0"/>
              <w:right w:val="single" w:color="000000" w:sz="4" w:space="0"/>
            </w:tcBorders>
            <w:shd w:val="clear" w:color="auto" w:fill="auto"/>
            <w:noWrap/>
            <w:vAlign w:val="center"/>
          </w:tcPr>
          <w:p w14:paraId="1CF02CD4">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22DE9">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9340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99C1E">
            <w:pPr>
              <w:widowControl/>
              <w:spacing w:line="240" w:lineRule="auto"/>
              <w:ind w:firstLine="0" w:firstLineChars="0"/>
              <w:rPr>
                <w:rFonts w:hint="default" w:ascii="Times New Roman" w:hAnsi="Times New Roman" w:cs="Times New Roman"/>
                <w:color w:val="auto"/>
                <w:sz w:val="21"/>
                <w:szCs w:val="21"/>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B3A36">
            <w:pPr>
              <w:widowControl/>
              <w:spacing w:line="240" w:lineRule="auto"/>
              <w:ind w:firstLine="0" w:firstLineChars="0"/>
              <w:rPr>
                <w:rFonts w:hint="default" w:ascii="Times New Roman" w:hAnsi="Times New Roman" w:cs="Times New Roman"/>
                <w:color w:val="auto"/>
                <w:sz w:val="21"/>
                <w:szCs w:val="21"/>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7CA0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0.000728</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88AC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516B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7C73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49EF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28BF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8E64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5BE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EF9C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0.000728</w:t>
            </w:r>
          </w:p>
        </w:tc>
      </w:tr>
      <w:tr w14:paraId="06F51144">
        <w:tblPrEx>
          <w:tblCellMar>
            <w:top w:w="0" w:type="dxa"/>
            <w:left w:w="108" w:type="dxa"/>
            <w:bottom w:w="0" w:type="dxa"/>
            <w:right w:w="108" w:type="dxa"/>
          </w:tblCellMar>
        </w:tblPrEx>
        <w:trPr>
          <w:jc w:val="center"/>
        </w:trPr>
        <w:tc>
          <w:tcPr>
            <w:tcW w:w="390" w:type="pct"/>
            <w:vMerge w:val="continue"/>
            <w:tcBorders>
              <w:top w:val="nil"/>
              <w:left w:val="single" w:color="000000" w:sz="4" w:space="0"/>
              <w:bottom w:val="single" w:color="000000" w:sz="4" w:space="0"/>
              <w:right w:val="single" w:color="000000" w:sz="4" w:space="0"/>
            </w:tcBorders>
            <w:shd w:val="clear" w:color="auto" w:fill="auto"/>
            <w:noWrap/>
            <w:vAlign w:val="center"/>
          </w:tcPr>
          <w:p w14:paraId="2A6C3EC2">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6D77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乙苯</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C4C2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9AA99">
            <w:pPr>
              <w:widowControl/>
              <w:spacing w:line="240" w:lineRule="auto"/>
              <w:ind w:firstLine="0" w:firstLineChars="0"/>
              <w:rPr>
                <w:rFonts w:hint="default" w:ascii="Times New Roman" w:hAnsi="Times New Roman" w:cs="Times New Roman"/>
                <w:color w:val="auto"/>
                <w:sz w:val="21"/>
                <w:szCs w:val="21"/>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BF4F6">
            <w:pPr>
              <w:widowControl/>
              <w:spacing w:line="240" w:lineRule="auto"/>
              <w:ind w:firstLine="0" w:firstLineChars="0"/>
              <w:rPr>
                <w:rFonts w:hint="default" w:ascii="Times New Roman" w:hAnsi="Times New Roman" w:cs="Times New Roman"/>
                <w:color w:val="auto"/>
                <w:sz w:val="21"/>
                <w:szCs w:val="21"/>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0700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0.00499</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28AF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14DB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815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8374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FD8F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390B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DD11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383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0.00100</w:t>
            </w:r>
          </w:p>
        </w:tc>
      </w:tr>
      <w:tr w14:paraId="71D1D6C6">
        <w:tblPrEx>
          <w:tblCellMar>
            <w:top w:w="0" w:type="dxa"/>
            <w:left w:w="108" w:type="dxa"/>
            <w:bottom w:w="0" w:type="dxa"/>
            <w:right w:w="108" w:type="dxa"/>
          </w:tblCellMar>
        </w:tblPrEx>
        <w:trPr>
          <w:jc w:val="center"/>
        </w:trPr>
        <w:tc>
          <w:tcPr>
            <w:tcW w:w="390" w:type="pct"/>
            <w:vMerge w:val="continue"/>
            <w:tcBorders>
              <w:top w:val="nil"/>
              <w:left w:val="single" w:color="000000" w:sz="4" w:space="0"/>
              <w:bottom w:val="single" w:color="000000" w:sz="4" w:space="0"/>
              <w:right w:val="single" w:color="000000" w:sz="4" w:space="0"/>
            </w:tcBorders>
            <w:shd w:val="clear" w:color="auto" w:fill="auto"/>
            <w:noWrap/>
            <w:vAlign w:val="center"/>
          </w:tcPr>
          <w:p w14:paraId="1451F7AA">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CC8CF">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D487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A6793">
            <w:pPr>
              <w:widowControl/>
              <w:spacing w:line="240" w:lineRule="auto"/>
              <w:ind w:firstLine="0" w:firstLineChars="0"/>
              <w:rPr>
                <w:rFonts w:hint="default" w:ascii="Times New Roman" w:hAnsi="Times New Roman" w:cs="Times New Roman"/>
                <w:color w:val="auto"/>
                <w:sz w:val="21"/>
                <w:szCs w:val="21"/>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B44D9">
            <w:pPr>
              <w:widowControl/>
              <w:spacing w:line="240" w:lineRule="auto"/>
              <w:ind w:firstLine="0" w:firstLineChars="0"/>
              <w:rPr>
                <w:rFonts w:hint="default" w:ascii="Times New Roman" w:hAnsi="Times New Roman" w:cs="Times New Roman"/>
                <w:color w:val="auto"/>
                <w:sz w:val="21"/>
                <w:szCs w:val="21"/>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B3A7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0.00043</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6D27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6E06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46D1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475C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5EA7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2CF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8953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E2E7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0.00043</w:t>
            </w:r>
          </w:p>
        </w:tc>
      </w:tr>
      <w:tr w14:paraId="76F6AA7A">
        <w:tblPrEx>
          <w:tblCellMar>
            <w:top w:w="0" w:type="dxa"/>
            <w:left w:w="108" w:type="dxa"/>
            <w:bottom w:w="0" w:type="dxa"/>
            <w:right w:w="108" w:type="dxa"/>
          </w:tblCellMar>
        </w:tblPrEx>
        <w:trPr>
          <w:jc w:val="center"/>
        </w:trPr>
        <w:tc>
          <w:tcPr>
            <w:tcW w:w="390" w:type="pct"/>
            <w:vMerge w:val="continue"/>
            <w:tcBorders>
              <w:top w:val="nil"/>
              <w:left w:val="single" w:color="000000" w:sz="4" w:space="0"/>
              <w:bottom w:val="single" w:color="000000" w:sz="4" w:space="0"/>
              <w:right w:val="single" w:color="000000" w:sz="4" w:space="0"/>
            </w:tcBorders>
            <w:shd w:val="clear" w:color="auto" w:fill="auto"/>
            <w:noWrap/>
            <w:vAlign w:val="center"/>
          </w:tcPr>
          <w:p w14:paraId="14B127C5">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A7AB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甲苯</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0088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E0FBE">
            <w:pPr>
              <w:widowControl/>
              <w:spacing w:line="240" w:lineRule="auto"/>
              <w:ind w:firstLine="0" w:firstLineChars="0"/>
              <w:rPr>
                <w:rFonts w:hint="default" w:ascii="Times New Roman" w:hAnsi="Times New Roman" w:cs="Times New Roman"/>
                <w:color w:val="auto"/>
                <w:sz w:val="21"/>
                <w:szCs w:val="21"/>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E0952">
            <w:pPr>
              <w:widowControl/>
              <w:spacing w:line="240" w:lineRule="auto"/>
              <w:ind w:firstLine="0" w:firstLineChars="0"/>
              <w:rPr>
                <w:rFonts w:hint="default" w:ascii="Times New Roman" w:hAnsi="Times New Roman" w:cs="Times New Roman"/>
                <w:color w:val="auto"/>
                <w:sz w:val="21"/>
                <w:szCs w:val="21"/>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F401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0.00011</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A0FB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068D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F962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C3E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A4CC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D0BC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CA27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5FD6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0.00002</w:t>
            </w:r>
          </w:p>
        </w:tc>
      </w:tr>
      <w:tr w14:paraId="358E4867">
        <w:tblPrEx>
          <w:tblCellMar>
            <w:top w:w="0" w:type="dxa"/>
            <w:left w:w="108" w:type="dxa"/>
            <w:bottom w:w="0" w:type="dxa"/>
            <w:right w:w="108" w:type="dxa"/>
          </w:tblCellMar>
        </w:tblPrEx>
        <w:trPr>
          <w:jc w:val="center"/>
        </w:trPr>
        <w:tc>
          <w:tcPr>
            <w:tcW w:w="390" w:type="pct"/>
            <w:vMerge w:val="continue"/>
            <w:tcBorders>
              <w:top w:val="nil"/>
              <w:left w:val="single" w:color="000000" w:sz="4" w:space="0"/>
              <w:bottom w:val="single" w:color="000000" w:sz="4" w:space="0"/>
              <w:right w:val="single" w:color="000000" w:sz="4" w:space="0"/>
            </w:tcBorders>
            <w:shd w:val="clear" w:color="auto" w:fill="auto"/>
            <w:noWrap/>
            <w:vAlign w:val="center"/>
          </w:tcPr>
          <w:p w14:paraId="0F5BF24B">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BC3B9">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0167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581DA">
            <w:pPr>
              <w:widowControl/>
              <w:spacing w:line="240" w:lineRule="auto"/>
              <w:ind w:firstLine="0" w:firstLineChars="0"/>
              <w:rPr>
                <w:rFonts w:hint="default" w:ascii="Times New Roman" w:hAnsi="Times New Roman" w:cs="Times New Roman"/>
                <w:color w:val="auto"/>
                <w:sz w:val="21"/>
                <w:szCs w:val="21"/>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5A93A">
            <w:pPr>
              <w:widowControl/>
              <w:spacing w:line="240" w:lineRule="auto"/>
              <w:ind w:firstLine="0" w:firstLineChars="0"/>
              <w:rPr>
                <w:rFonts w:hint="default" w:ascii="Times New Roman" w:hAnsi="Times New Roman" w:cs="Times New Roman"/>
                <w:color w:val="auto"/>
                <w:sz w:val="21"/>
                <w:szCs w:val="21"/>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01CA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0.00001</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5B23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A572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74DD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8E0E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3FCD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3671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3F26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E91F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0.00001</w:t>
            </w:r>
          </w:p>
        </w:tc>
      </w:tr>
      <w:tr w14:paraId="49C8B879">
        <w:tblPrEx>
          <w:tblCellMar>
            <w:top w:w="0" w:type="dxa"/>
            <w:left w:w="108" w:type="dxa"/>
            <w:bottom w:w="0" w:type="dxa"/>
            <w:right w:w="108" w:type="dxa"/>
          </w:tblCellMar>
        </w:tblPrEx>
        <w:trPr>
          <w:jc w:val="center"/>
        </w:trPr>
        <w:tc>
          <w:tcPr>
            <w:tcW w:w="390" w:type="pct"/>
            <w:vMerge w:val="continue"/>
            <w:tcBorders>
              <w:top w:val="nil"/>
              <w:left w:val="single" w:color="000000" w:sz="4" w:space="0"/>
              <w:bottom w:val="single" w:color="000000" w:sz="4" w:space="0"/>
              <w:right w:val="single" w:color="000000" w:sz="4" w:space="0"/>
            </w:tcBorders>
            <w:shd w:val="clear" w:color="auto" w:fill="auto"/>
            <w:noWrap/>
            <w:vAlign w:val="center"/>
          </w:tcPr>
          <w:p w14:paraId="44DD030A">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B14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1,3-丁二烯</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BBE4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19B5F">
            <w:pPr>
              <w:widowControl/>
              <w:spacing w:line="240" w:lineRule="auto"/>
              <w:ind w:firstLine="0" w:firstLineChars="0"/>
              <w:rPr>
                <w:rFonts w:hint="default" w:ascii="Times New Roman" w:hAnsi="Times New Roman" w:cs="Times New Roman"/>
                <w:color w:val="auto"/>
                <w:sz w:val="21"/>
                <w:szCs w:val="21"/>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DC1B5">
            <w:pPr>
              <w:widowControl/>
              <w:spacing w:line="240" w:lineRule="auto"/>
              <w:ind w:firstLine="0" w:firstLineChars="0"/>
              <w:rPr>
                <w:rFonts w:hint="default" w:ascii="Times New Roman" w:hAnsi="Times New Roman" w:cs="Times New Roman"/>
                <w:color w:val="auto"/>
                <w:sz w:val="21"/>
                <w:szCs w:val="21"/>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C623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0.000481</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00AA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3627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A04C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0C44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5EBE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ED4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F4FD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245D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0.000096</w:t>
            </w:r>
          </w:p>
        </w:tc>
      </w:tr>
      <w:tr w14:paraId="56E9FAF0">
        <w:tblPrEx>
          <w:tblCellMar>
            <w:top w:w="0" w:type="dxa"/>
            <w:left w:w="108" w:type="dxa"/>
            <w:bottom w:w="0" w:type="dxa"/>
            <w:right w:w="108" w:type="dxa"/>
          </w:tblCellMar>
        </w:tblPrEx>
        <w:trPr>
          <w:jc w:val="center"/>
        </w:trPr>
        <w:tc>
          <w:tcPr>
            <w:tcW w:w="390" w:type="pct"/>
            <w:vMerge w:val="continue"/>
            <w:tcBorders>
              <w:top w:val="nil"/>
              <w:left w:val="single" w:color="000000" w:sz="4" w:space="0"/>
              <w:bottom w:val="single" w:color="000000" w:sz="4" w:space="0"/>
              <w:right w:val="single" w:color="000000" w:sz="4" w:space="0"/>
            </w:tcBorders>
            <w:shd w:val="clear" w:color="auto" w:fill="auto"/>
            <w:noWrap/>
            <w:vAlign w:val="center"/>
          </w:tcPr>
          <w:p w14:paraId="65949265">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F70EE">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26A9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454C2">
            <w:pPr>
              <w:widowControl/>
              <w:spacing w:line="240" w:lineRule="auto"/>
              <w:ind w:firstLine="0" w:firstLineChars="0"/>
              <w:rPr>
                <w:rFonts w:hint="default" w:ascii="Times New Roman" w:hAnsi="Times New Roman" w:cs="Times New Roman"/>
                <w:color w:val="auto"/>
                <w:sz w:val="21"/>
                <w:szCs w:val="21"/>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56103">
            <w:pPr>
              <w:widowControl/>
              <w:spacing w:line="240" w:lineRule="auto"/>
              <w:ind w:firstLine="0" w:firstLineChars="0"/>
              <w:rPr>
                <w:rFonts w:hint="default" w:ascii="Times New Roman" w:hAnsi="Times New Roman" w:cs="Times New Roman"/>
                <w:color w:val="auto"/>
                <w:sz w:val="21"/>
                <w:szCs w:val="21"/>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ECE3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0.000421</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15FE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7A8D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A9A9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275E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363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3366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833D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1F3B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0.000424</w:t>
            </w:r>
          </w:p>
        </w:tc>
      </w:tr>
      <w:tr w14:paraId="755D0D70">
        <w:tblPrEx>
          <w:tblCellMar>
            <w:top w:w="0" w:type="dxa"/>
            <w:left w:w="108" w:type="dxa"/>
            <w:bottom w:w="0" w:type="dxa"/>
            <w:right w:w="108" w:type="dxa"/>
          </w:tblCellMar>
        </w:tblPrEx>
        <w:trPr>
          <w:jc w:val="center"/>
        </w:trPr>
        <w:tc>
          <w:tcPr>
            <w:tcW w:w="390" w:type="pct"/>
            <w:vMerge w:val="continue"/>
            <w:tcBorders>
              <w:top w:val="nil"/>
              <w:left w:val="single" w:color="000000" w:sz="4" w:space="0"/>
              <w:bottom w:val="single" w:color="000000" w:sz="4" w:space="0"/>
              <w:right w:val="single" w:color="000000" w:sz="4" w:space="0"/>
            </w:tcBorders>
            <w:shd w:val="clear" w:color="auto" w:fill="auto"/>
            <w:noWrap/>
            <w:vAlign w:val="center"/>
          </w:tcPr>
          <w:p w14:paraId="1C3BBE3F">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544AF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颗粒物</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EE2E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有组织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561D6">
            <w:pPr>
              <w:widowControl/>
              <w:spacing w:line="240" w:lineRule="auto"/>
              <w:ind w:firstLine="0" w:firstLineChars="0"/>
              <w:rPr>
                <w:rFonts w:hint="default" w:ascii="Times New Roman" w:hAnsi="Times New Roman" w:cs="Times New Roman"/>
                <w:color w:val="auto"/>
                <w:sz w:val="21"/>
                <w:szCs w:val="21"/>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3F015">
            <w:pPr>
              <w:widowControl/>
              <w:spacing w:line="240" w:lineRule="auto"/>
              <w:ind w:firstLine="0" w:firstLineChars="0"/>
              <w:rPr>
                <w:rFonts w:hint="default" w:ascii="Times New Roman" w:hAnsi="Times New Roman" w:cs="Times New Roman"/>
                <w:color w:val="auto"/>
                <w:sz w:val="21"/>
                <w:szCs w:val="21"/>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269C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0.01904</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3D22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767A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8EEB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B487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FA6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AA24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2D79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23A2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0.00095</w:t>
            </w:r>
          </w:p>
        </w:tc>
      </w:tr>
      <w:tr w14:paraId="25AF9099">
        <w:tblPrEx>
          <w:tblCellMar>
            <w:top w:w="0" w:type="dxa"/>
            <w:left w:w="108" w:type="dxa"/>
            <w:bottom w:w="0" w:type="dxa"/>
            <w:right w:w="108" w:type="dxa"/>
          </w:tblCellMar>
        </w:tblPrEx>
        <w:trPr>
          <w:jc w:val="center"/>
        </w:trPr>
        <w:tc>
          <w:tcPr>
            <w:tcW w:w="390" w:type="pct"/>
            <w:vMerge w:val="continue"/>
            <w:tcBorders>
              <w:top w:val="nil"/>
              <w:left w:val="single" w:color="000000" w:sz="4" w:space="0"/>
              <w:bottom w:val="single" w:color="000000" w:sz="4" w:space="0"/>
              <w:right w:val="single" w:color="000000" w:sz="4" w:space="0"/>
            </w:tcBorders>
            <w:shd w:val="clear" w:color="auto" w:fill="auto"/>
            <w:noWrap/>
            <w:vAlign w:val="center"/>
          </w:tcPr>
          <w:p w14:paraId="2EB64F7F">
            <w:pPr>
              <w:widowControl/>
              <w:spacing w:line="240" w:lineRule="auto"/>
              <w:ind w:firstLine="0" w:firstLineChars="0"/>
              <w:jc w:val="center"/>
              <w:rPr>
                <w:rFonts w:hint="default" w:ascii="Times New Roman" w:hAnsi="Times New Roman" w:cs="Times New Roman"/>
                <w:color w:val="auto"/>
                <w:sz w:val="21"/>
                <w:szCs w:val="21"/>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D44D3">
            <w:pPr>
              <w:widowControl/>
              <w:spacing w:line="240" w:lineRule="auto"/>
              <w:ind w:firstLine="0" w:firstLineChars="0"/>
              <w:jc w:val="center"/>
              <w:rPr>
                <w:rFonts w:hint="default" w:ascii="Times New Roman" w:hAnsi="Times New Roman" w:cs="Times New Roman"/>
                <w:color w:val="auto"/>
                <w:sz w:val="21"/>
                <w:szCs w:val="21"/>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9295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无组织</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4D3C0">
            <w:pPr>
              <w:widowControl/>
              <w:spacing w:line="240" w:lineRule="auto"/>
              <w:ind w:firstLine="0" w:firstLineChars="0"/>
              <w:rPr>
                <w:rFonts w:hint="default" w:ascii="Times New Roman" w:hAnsi="Times New Roman" w:cs="Times New Roman"/>
                <w:color w:val="auto"/>
                <w:sz w:val="21"/>
                <w:szCs w:val="21"/>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B3B52">
            <w:pPr>
              <w:widowControl/>
              <w:spacing w:line="240" w:lineRule="auto"/>
              <w:ind w:firstLine="0" w:firstLineChars="0"/>
              <w:rPr>
                <w:rFonts w:hint="default" w:ascii="Times New Roman" w:hAnsi="Times New Roman" w:cs="Times New Roman"/>
                <w:color w:val="auto"/>
                <w:sz w:val="21"/>
                <w:szCs w:val="21"/>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0E2F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0.00336</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65E4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520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48CF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9737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0898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8D5D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05C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5769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eastAsia" w:ascii="Times New Roman" w:hAnsi="Times New Roman" w:cs="Times New Roman"/>
                <w:color w:val="auto"/>
                <w:sz w:val="21"/>
                <w:szCs w:val="21"/>
                <w:lang w:val="en-US" w:eastAsia="zh-CN" w:bidi="ar"/>
              </w:rPr>
              <w:t>0.00336</w:t>
            </w:r>
          </w:p>
        </w:tc>
      </w:tr>
    </w:tbl>
    <w:p w14:paraId="343D4B46">
      <w:pPr>
        <w:spacing w:line="240" w:lineRule="auto"/>
        <w:ind w:firstLine="420"/>
        <w:rPr>
          <w:rFonts w:hint="default" w:ascii="Times New Roman" w:hAnsi="Times New Roman" w:cs="Times New Roman"/>
          <w:color w:val="auto"/>
        </w:rPr>
      </w:pPr>
      <w:r>
        <w:rPr>
          <w:rFonts w:hint="default" w:ascii="Times New Roman" w:hAnsi="Times New Roman" w:cs="Times New Roman"/>
          <w:color w:val="auto"/>
          <w:sz w:val="21"/>
          <w:szCs w:val="21"/>
        </w:rPr>
        <w:t>1#排气筒中浓度、速率均为最大小时浓度、速率；排放总量为年最大排放总量</w:t>
      </w:r>
      <w:r>
        <w:rPr>
          <w:rFonts w:hint="default" w:ascii="Times New Roman" w:hAnsi="Times New Roman" w:cs="Times New Roman"/>
          <w:color w:val="auto"/>
        </w:rPr>
        <w:t>。</w:t>
      </w:r>
      <w:r>
        <w:rPr>
          <w:rFonts w:hint="default" w:ascii="Times New Roman" w:hAnsi="Times New Roman" w:cs="Times New Roman"/>
          <w:color w:val="auto"/>
        </w:rPr>
        <w:br w:type="page"/>
      </w:r>
    </w:p>
    <w:p w14:paraId="38CE6E7D">
      <w:pPr>
        <w:pStyle w:val="93"/>
        <w:rPr>
          <w:rFonts w:hint="default" w:ascii="Times New Roman" w:hAnsi="Times New Roman" w:cs="Times New Roman"/>
          <w:color w:val="auto"/>
        </w:rPr>
      </w:pPr>
      <w:r>
        <w:rPr>
          <w:rFonts w:hint="default" w:ascii="Times New Roman" w:hAnsi="Times New Roman" w:cs="Times New Roman"/>
          <w:color w:val="auto"/>
        </w:rPr>
        <w:t>表4.2.1-6   本项目废气污染物排放口和排放标准</w:t>
      </w:r>
    </w:p>
    <w:tbl>
      <w:tblPr>
        <w:tblStyle w:val="44"/>
        <w:tblW w:w="14083" w:type="dxa"/>
        <w:tblInd w:w="91" w:type="dxa"/>
        <w:tblLayout w:type="fixed"/>
        <w:tblCellMar>
          <w:top w:w="0" w:type="dxa"/>
          <w:left w:w="108" w:type="dxa"/>
          <w:bottom w:w="0" w:type="dxa"/>
          <w:right w:w="108" w:type="dxa"/>
        </w:tblCellMar>
      </w:tblPr>
      <w:tblGrid>
        <w:gridCol w:w="1134"/>
        <w:gridCol w:w="1295"/>
        <w:gridCol w:w="801"/>
        <w:gridCol w:w="1302"/>
        <w:gridCol w:w="1295"/>
        <w:gridCol w:w="1194"/>
        <w:gridCol w:w="1063"/>
        <w:gridCol w:w="1365"/>
        <w:gridCol w:w="1417"/>
        <w:gridCol w:w="1060"/>
        <w:gridCol w:w="1054"/>
        <w:gridCol w:w="1103"/>
      </w:tblGrid>
      <w:tr w14:paraId="18F93631">
        <w:tblPrEx>
          <w:tblCellMar>
            <w:top w:w="0" w:type="dxa"/>
            <w:left w:w="108" w:type="dxa"/>
            <w:bottom w:w="0" w:type="dxa"/>
            <w:right w:w="108" w:type="dxa"/>
          </w:tblCellMar>
        </w:tblPrEx>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2C89A6">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产排污环节</w:t>
            </w:r>
          </w:p>
        </w:tc>
        <w:tc>
          <w:tcPr>
            <w:tcW w:w="12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BBDE6C4">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污染物种类</w:t>
            </w:r>
          </w:p>
        </w:tc>
        <w:tc>
          <w:tcPr>
            <w:tcW w:w="8437"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6959A868">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排放口基本情况</w:t>
            </w:r>
          </w:p>
        </w:tc>
        <w:tc>
          <w:tcPr>
            <w:tcW w:w="32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BE86BEC">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排放标准</w:t>
            </w:r>
          </w:p>
        </w:tc>
      </w:tr>
      <w:tr w14:paraId="6484B2BE">
        <w:tblPrEx>
          <w:tblCellMar>
            <w:top w:w="0" w:type="dxa"/>
            <w:left w:w="108" w:type="dxa"/>
            <w:bottom w:w="0" w:type="dxa"/>
            <w:right w:w="108" w:type="dxa"/>
          </w:tblCellMar>
        </w:tblPrEx>
        <w:tc>
          <w:tcPr>
            <w:tcW w:w="1134" w:type="dxa"/>
            <w:vMerge w:val="continue"/>
            <w:tcBorders>
              <w:top w:val="single" w:color="auto" w:sz="4" w:space="0"/>
              <w:left w:val="single" w:color="auto" w:sz="4" w:space="0"/>
              <w:bottom w:val="single" w:color="auto" w:sz="4" w:space="0"/>
              <w:right w:val="single" w:color="auto" w:sz="4" w:space="0"/>
            </w:tcBorders>
            <w:vAlign w:val="center"/>
          </w:tcPr>
          <w:p w14:paraId="3E9163F7">
            <w:pPr>
              <w:widowControl/>
              <w:spacing w:line="240" w:lineRule="auto"/>
              <w:ind w:firstLine="0" w:firstLineChars="0"/>
              <w:jc w:val="center"/>
              <w:rPr>
                <w:rFonts w:hint="default" w:ascii="Times New Roman" w:hAnsi="Times New Roman" w:cs="Times New Roman"/>
                <w:color w:val="auto"/>
                <w:kern w:val="2"/>
                <w:sz w:val="21"/>
                <w:szCs w:val="21"/>
              </w:rPr>
            </w:pPr>
          </w:p>
        </w:tc>
        <w:tc>
          <w:tcPr>
            <w:tcW w:w="1295" w:type="dxa"/>
            <w:vMerge w:val="continue"/>
            <w:tcBorders>
              <w:top w:val="single" w:color="auto" w:sz="4" w:space="0"/>
              <w:left w:val="single" w:color="auto" w:sz="4" w:space="0"/>
              <w:bottom w:val="single" w:color="auto" w:sz="4" w:space="0"/>
              <w:right w:val="single" w:color="auto" w:sz="4" w:space="0"/>
            </w:tcBorders>
            <w:vAlign w:val="center"/>
          </w:tcPr>
          <w:p w14:paraId="179D3792">
            <w:pPr>
              <w:widowControl/>
              <w:spacing w:line="240" w:lineRule="auto"/>
              <w:ind w:firstLine="0" w:firstLineChars="0"/>
              <w:jc w:val="center"/>
              <w:rPr>
                <w:rFonts w:hint="default" w:ascii="Times New Roman" w:hAnsi="Times New Roman" w:cs="Times New Roman"/>
                <w:color w:val="auto"/>
                <w:kern w:val="2"/>
                <w:sz w:val="21"/>
                <w:szCs w:val="21"/>
              </w:rPr>
            </w:pPr>
          </w:p>
        </w:tc>
        <w:tc>
          <w:tcPr>
            <w:tcW w:w="801" w:type="dxa"/>
            <w:tcBorders>
              <w:top w:val="single" w:color="auto" w:sz="4" w:space="0"/>
              <w:left w:val="single" w:color="auto" w:sz="4" w:space="0"/>
              <w:bottom w:val="single" w:color="auto" w:sz="4" w:space="0"/>
              <w:right w:val="single" w:color="auto" w:sz="4" w:space="0"/>
            </w:tcBorders>
            <w:shd w:val="clear" w:color="auto" w:fill="auto"/>
            <w:vAlign w:val="center"/>
          </w:tcPr>
          <w:p w14:paraId="36580E9C">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高度m</w:t>
            </w:r>
          </w:p>
        </w:tc>
        <w:tc>
          <w:tcPr>
            <w:tcW w:w="1302" w:type="dxa"/>
            <w:tcBorders>
              <w:top w:val="single" w:color="auto" w:sz="4" w:space="0"/>
              <w:left w:val="single" w:color="auto" w:sz="4" w:space="0"/>
              <w:bottom w:val="single" w:color="auto" w:sz="4" w:space="0"/>
              <w:right w:val="single" w:color="auto" w:sz="4" w:space="0"/>
            </w:tcBorders>
            <w:shd w:val="clear" w:color="auto" w:fill="auto"/>
            <w:vAlign w:val="center"/>
          </w:tcPr>
          <w:p w14:paraId="741B28DA">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排气筒内径m</w:t>
            </w:r>
          </w:p>
        </w:tc>
        <w:tc>
          <w:tcPr>
            <w:tcW w:w="1295" w:type="dxa"/>
            <w:tcBorders>
              <w:top w:val="single" w:color="auto" w:sz="4" w:space="0"/>
              <w:left w:val="single" w:color="auto" w:sz="4" w:space="0"/>
              <w:bottom w:val="single" w:color="auto" w:sz="4" w:space="0"/>
              <w:right w:val="single" w:color="auto" w:sz="4" w:space="0"/>
            </w:tcBorders>
            <w:shd w:val="clear" w:color="auto" w:fill="auto"/>
            <w:vAlign w:val="center"/>
          </w:tcPr>
          <w:p w14:paraId="71B4ACBA">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温度</w:t>
            </w:r>
          </w:p>
          <w:p w14:paraId="7860B9A6">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194" w:type="dxa"/>
            <w:tcBorders>
              <w:top w:val="single" w:color="auto" w:sz="4" w:space="0"/>
              <w:left w:val="single" w:color="auto" w:sz="4" w:space="0"/>
              <w:bottom w:val="single" w:color="auto" w:sz="4" w:space="0"/>
              <w:right w:val="single" w:color="auto" w:sz="4" w:space="0"/>
            </w:tcBorders>
            <w:shd w:val="clear" w:color="auto" w:fill="auto"/>
            <w:vAlign w:val="center"/>
          </w:tcPr>
          <w:p w14:paraId="78EB4539">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编号</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3CF57529">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名称</w:t>
            </w:r>
          </w:p>
        </w:tc>
        <w:tc>
          <w:tcPr>
            <w:tcW w:w="1365" w:type="dxa"/>
            <w:tcBorders>
              <w:top w:val="single" w:color="auto" w:sz="4" w:space="0"/>
              <w:left w:val="single" w:color="auto" w:sz="4" w:space="0"/>
              <w:bottom w:val="single" w:color="auto" w:sz="4" w:space="0"/>
              <w:right w:val="single" w:color="auto" w:sz="4" w:space="0"/>
            </w:tcBorders>
            <w:shd w:val="clear" w:color="auto" w:fill="auto"/>
            <w:vAlign w:val="center"/>
          </w:tcPr>
          <w:p w14:paraId="02165549">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类型</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7645C1A9">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地理坐标</w:t>
            </w:r>
          </w:p>
        </w:tc>
        <w:tc>
          <w:tcPr>
            <w:tcW w:w="1060" w:type="dxa"/>
            <w:tcBorders>
              <w:top w:val="single" w:color="auto" w:sz="4" w:space="0"/>
              <w:left w:val="single" w:color="auto" w:sz="4" w:space="0"/>
              <w:bottom w:val="single" w:color="auto" w:sz="4" w:space="0"/>
              <w:right w:val="single" w:color="auto" w:sz="4" w:space="0"/>
            </w:tcBorders>
            <w:shd w:val="clear" w:color="auto" w:fill="auto"/>
            <w:vAlign w:val="center"/>
          </w:tcPr>
          <w:p w14:paraId="1AB46400">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浓度mg/m</w:t>
            </w:r>
            <w:r>
              <w:rPr>
                <w:rFonts w:hint="default" w:ascii="Times New Roman" w:hAnsi="Times New Roman" w:cs="Times New Roman"/>
                <w:color w:val="auto"/>
                <w:kern w:val="2"/>
                <w:sz w:val="21"/>
                <w:szCs w:val="21"/>
                <w:vertAlign w:val="superscript"/>
              </w:rPr>
              <w:t>3</w:t>
            </w:r>
          </w:p>
        </w:tc>
        <w:tc>
          <w:tcPr>
            <w:tcW w:w="1054" w:type="dxa"/>
            <w:tcBorders>
              <w:top w:val="single" w:color="auto" w:sz="4" w:space="0"/>
              <w:left w:val="single" w:color="auto" w:sz="4" w:space="0"/>
              <w:bottom w:val="single" w:color="auto" w:sz="4" w:space="0"/>
              <w:right w:val="single" w:color="auto" w:sz="4" w:space="0"/>
            </w:tcBorders>
            <w:shd w:val="clear" w:color="auto" w:fill="auto"/>
            <w:vAlign w:val="center"/>
          </w:tcPr>
          <w:p w14:paraId="310D8049">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排放速率kg/h</w:t>
            </w:r>
          </w:p>
        </w:tc>
        <w:tc>
          <w:tcPr>
            <w:tcW w:w="1103" w:type="dxa"/>
            <w:tcBorders>
              <w:top w:val="single" w:color="auto" w:sz="4" w:space="0"/>
              <w:left w:val="single" w:color="auto" w:sz="4" w:space="0"/>
              <w:bottom w:val="single" w:color="auto" w:sz="4" w:space="0"/>
              <w:right w:val="single" w:color="auto" w:sz="4" w:space="0"/>
            </w:tcBorders>
            <w:shd w:val="clear" w:color="auto" w:fill="auto"/>
            <w:vAlign w:val="center"/>
          </w:tcPr>
          <w:p w14:paraId="3EC65164">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无组织排放监控点浓度限值mg/m</w:t>
            </w:r>
            <w:r>
              <w:rPr>
                <w:rFonts w:hint="default" w:ascii="Times New Roman" w:hAnsi="Times New Roman" w:cs="Times New Roman"/>
                <w:color w:val="auto"/>
                <w:kern w:val="2"/>
                <w:sz w:val="21"/>
                <w:szCs w:val="21"/>
                <w:vertAlign w:val="superscript"/>
              </w:rPr>
              <w:t>3</w:t>
            </w:r>
          </w:p>
        </w:tc>
      </w:tr>
      <w:tr w14:paraId="4A165442">
        <w:tblPrEx>
          <w:tblCellMar>
            <w:top w:w="0" w:type="dxa"/>
            <w:left w:w="108" w:type="dxa"/>
            <w:bottom w:w="0" w:type="dxa"/>
            <w:right w:w="108" w:type="dxa"/>
          </w:tblCellMar>
        </w:tblPrEx>
        <w:tc>
          <w:tcPr>
            <w:tcW w:w="1134" w:type="dxa"/>
            <w:vMerge w:val="restart"/>
            <w:tcBorders>
              <w:top w:val="single" w:color="auto" w:sz="4" w:space="0"/>
              <w:left w:val="single" w:color="auto" w:sz="4" w:space="0"/>
              <w:right w:val="single" w:color="auto" w:sz="4" w:space="0"/>
            </w:tcBorders>
            <w:vAlign w:val="center"/>
          </w:tcPr>
          <w:p w14:paraId="4432FB35">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挤出、烘干废气</w:t>
            </w:r>
          </w:p>
        </w:tc>
        <w:tc>
          <w:tcPr>
            <w:tcW w:w="1295" w:type="dxa"/>
            <w:tcBorders>
              <w:top w:val="single" w:color="auto" w:sz="4" w:space="0"/>
              <w:left w:val="single" w:color="auto" w:sz="4" w:space="0"/>
              <w:bottom w:val="single" w:color="auto" w:sz="4" w:space="0"/>
              <w:right w:val="single" w:color="auto" w:sz="4" w:space="0"/>
            </w:tcBorders>
            <w:vAlign w:val="center"/>
          </w:tcPr>
          <w:p w14:paraId="59CBDF6D">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非甲烷总烃</w:t>
            </w:r>
          </w:p>
        </w:tc>
        <w:tc>
          <w:tcPr>
            <w:tcW w:w="801" w:type="dxa"/>
            <w:vMerge w:val="restart"/>
            <w:tcBorders>
              <w:top w:val="single" w:color="auto" w:sz="4" w:space="0"/>
              <w:left w:val="single" w:color="auto" w:sz="4" w:space="0"/>
              <w:right w:val="single" w:color="auto" w:sz="4" w:space="0"/>
            </w:tcBorders>
            <w:shd w:val="clear" w:color="auto" w:fill="auto"/>
            <w:vAlign w:val="center"/>
          </w:tcPr>
          <w:p w14:paraId="5DD82F39">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25</w:t>
            </w:r>
          </w:p>
        </w:tc>
        <w:tc>
          <w:tcPr>
            <w:tcW w:w="1302" w:type="dxa"/>
            <w:vMerge w:val="restart"/>
            <w:tcBorders>
              <w:top w:val="single" w:color="auto" w:sz="4" w:space="0"/>
              <w:left w:val="single" w:color="auto" w:sz="4" w:space="0"/>
              <w:right w:val="single" w:color="auto" w:sz="4" w:space="0"/>
            </w:tcBorders>
            <w:shd w:val="clear" w:color="auto" w:fill="auto"/>
            <w:vAlign w:val="center"/>
          </w:tcPr>
          <w:p w14:paraId="2EF7B657">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0.8</w:t>
            </w:r>
          </w:p>
        </w:tc>
        <w:tc>
          <w:tcPr>
            <w:tcW w:w="1295" w:type="dxa"/>
            <w:vMerge w:val="restart"/>
            <w:tcBorders>
              <w:top w:val="single" w:color="auto" w:sz="4" w:space="0"/>
              <w:left w:val="single" w:color="auto" w:sz="4" w:space="0"/>
              <w:right w:val="single" w:color="auto" w:sz="4" w:space="0"/>
            </w:tcBorders>
            <w:shd w:val="clear" w:color="auto" w:fill="auto"/>
            <w:vAlign w:val="center"/>
          </w:tcPr>
          <w:p w14:paraId="620AEF2D">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25</w:t>
            </w:r>
          </w:p>
        </w:tc>
        <w:tc>
          <w:tcPr>
            <w:tcW w:w="1194" w:type="dxa"/>
            <w:vMerge w:val="restart"/>
            <w:tcBorders>
              <w:top w:val="single" w:color="auto" w:sz="4" w:space="0"/>
              <w:left w:val="single" w:color="auto" w:sz="4" w:space="0"/>
              <w:right w:val="single" w:color="auto" w:sz="4" w:space="0"/>
            </w:tcBorders>
            <w:shd w:val="clear" w:color="auto" w:fill="auto"/>
            <w:vAlign w:val="center"/>
          </w:tcPr>
          <w:p w14:paraId="22FE5B66">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1063" w:type="dxa"/>
            <w:vMerge w:val="restart"/>
            <w:tcBorders>
              <w:top w:val="single" w:color="auto" w:sz="4" w:space="0"/>
              <w:left w:val="single" w:color="auto" w:sz="4" w:space="0"/>
              <w:right w:val="single" w:color="auto" w:sz="4" w:space="0"/>
            </w:tcBorders>
            <w:shd w:val="clear" w:color="auto" w:fill="auto"/>
            <w:vAlign w:val="center"/>
          </w:tcPr>
          <w:p w14:paraId="6AD75EC3">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排气筒</w:t>
            </w:r>
          </w:p>
        </w:tc>
        <w:tc>
          <w:tcPr>
            <w:tcW w:w="1365" w:type="dxa"/>
            <w:vMerge w:val="restart"/>
            <w:tcBorders>
              <w:top w:val="single" w:color="auto" w:sz="4" w:space="0"/>
              <w:left w:val="single" w:color="auto" w:sz="4" w:space="0"/>
              <w:right w:val="single" w:color="auto" w:sz="4" w:space="0"/>
            </w:tcBorders>
            <w:shd w:val="clear" w:color="auto" w:fill="auto"/>
            <w:vAlign w:val="center"/>
          </w:tcPr>
          <w:p w14:paraId="79D09C65">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一般排污口</w:t>
            </w:r>
          </w:p>
        </w:tc>
        <w:tc>
          <w:tcPr>
            <w:tcW w:w="1417" w:type="dxa"/>
            <w:vMerge w:val="restart"/>
            <w:tcBorders>
              <w:top w:val="single" w:color="auto" w:sz="4" w:space="0"/>
              <w:left w:val="single" w:color="auto" w:sz="4" w:space="0"/>
              <w:right w:val="single" w:color="auto" w:sz="4" w:space="0"/>
            </w:tcBorders>
            <w:shd w:val="clear" w:color="auto" w:fill="auto"/>
            <w:vAlign w:val="center"/>
          </w:tcPr>
          <w:p w14:paraId="783CD38A">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106°21′14.179″,29°20′55.909″</w:t>
            </w:r>
          </w:p>
        </w:tc>
        <w:tc>
          <w:tcPr>
            <w:tcW w:w="1060" w:type="dxa"/>
            <w:tcBorders>
              <w:top w:val="single" w:color="auto" w:sz="4" w:space="0"/>
              <w:left w:val="single" w:color="auto" w:sz="4" w:space="0"/>
              <w:bottom w:val="single" w:color="auto" w:sz="4" w:space="0"/>
              <w:right w:val="single" w:color="auto" w:sz="4" w:space="0"/>
            </w:tcBorders>
            <w:shd w:val="clear" w:color="auto" w:fill="auto"/>
            <w:vAlign w:val="center"/>
          </w:tcPr>
          <w:p w14:paraId="31BCE421">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60</w:t>
            </w:r>
          </w:p>
        </w:tc>
        <w:tc>
          <w:tcPr>
            <w:tcW w:w="1054" w:type="dxa"/>
            <w:tcBorders>
              <w:top w:val="single" w:color="auto" w:sz="4" w:space="0"/>
              <w:left w:val="single" w:color="auto" w:sz="4" w:space="0"/>
              <w:bottom w:val="single" w:color="auto" w:sz="4" w:space="0"/>
              <w:right w:val="single" w:color="auto" w:sz="4" w:space="0"/>
            </w:tcBorders>
            <w:shd w:val="clear" w:color="auto" w:fill="auto"/>
            <w:vAlign w:val="center"/>
          </w:tcPr>
          <w:p w14:paraId="2B72529B">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103" w:type="dxa"/>
            <w:tcBorders>
              <w:top w:val="single" w:color="auto" w:sz="4" w:space="0"/>
              <w:left w:val="single" w:color="auto" w:sz="4" w:space="0"/>
              <w:bottom w:val="single" w:color="auto" w:sz="4" w:space="0"/>
              <w:right w:val="single" w:color="auto" w:sz="4" w:space="0"/>
            </w:tcBorders>
            <w:shd w:val="clear" w:color="auto" w:fill="auto"/>
            <w:vAlign w:val="center"/>
          </w:tcPr>
          <w:p w14:paraId="01DB2F83">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4.0</w:t>
            </w:r>
          </w:p>
        </w:tc>
      </w:tr>
      <w:tr w14:paraId="6ACE8BDF">
        <w:tblPrEx>
          <w:tblCellMar>
            <w:top w:w="0" w:type="dxa"/>
            <w:left w:w="108" w:type="dxa"/>
            <w:bottom w:w="0" w:type="dxa"/>
            <w:right w:w="108" w:type="dxa"/>
          </w:tblCellMar>
        </w:tblPrEx>
        <w:tc>
          <w:tcPr>
            <w:tcW w:w="1134" w:type="dxa"/>
            <w:vMerge w:val="continue"/>
            <w:tcBorders>
              <w:left w:val="single" w:color="auto" w:sz="4" w:space="0"/>
              <w:right w:val="single" w:color="auto" w:sz="4" w:space="0"/>
            </w:tcBorders>
            <w:vAlign w:val="center"/>
          </w:tcPr>
          <w:p w14:paraId="75CE732C">
            <w:pPr>
              <w:widowControl/>
              <w:spacing w:line="240" w:lineRule="auto"/>
              <w:ind w:firstLine="0" w:firstLineChars="0"/>
              <w:jc w:val="center"/>
              <w:textAlignment w:val="center"/>
              <w:rPr>
                <w:rFonts w:hint="default" w:ascii="Times New Roman" w:hAnsi="Times New Roman" w:cs="Times New Roman"/>
                <w:color w:val="auto"/>
                <w:kern w:val="2"/>
                <w:sz w:val="21"/>
                <w:szCs w:val="21"/>
              </w:rPr>
            </w:pPr>
          </w:p>
        </w:tc>
        <w:tc>
          <w:tcPr>
            <w:tcW w:w="1295" w:type="dxa"/>
            <w:tcBorders>
              <w:top w:val="single" w:color="auto" w:sz="4" w:space="0"/>
              <w:left w:val="single" w:color="auto" w:sz="4" w:space="0"/>
              <w:bottom w:val="single" w:color="auto" w:sz="4" w:space="0"/>
              <w:right w:val="single" w:color="auto" w:sz="4" w:space="0"/>
            </w:tcBorders>
            <w:vAlign w:val="center"/>
          </w:tcPr>
          <w:p w14:paraId="5B76CA51">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酚类</w:t>
            </w:r>
          </w:p>
        </w:tc>
        <w:tc>
          <w:tcPr>
            <w:tcW w:w="801" w:type="dxa"/>
            <w:vMerge w:val="continue"/>
            <w:tcBorders>
              <w:left w:val="single" w:color="auto" w:sz="4" w:space="0"/>
              <w:right w:val="single" w:color="auto" w:sz="4" w:space="0"/>
            </w:tcBorders>
            <w:shd w:val="clear" w:color="auto" w:fill="auto"/>
            <w:vAlign w:val="center"/>
          </w:tcPr>
          <w:p w14:paraId="59ED0B18">
            <w:pPr>
              <w:widowControl/>
              <w:spacing w:line="240" w:lineRule="auto"/>
              <w:ind w:firstLine="0" w:firstLineChars="0"/>
              <w:jc w:val="center"/>
              <w:rPr>
                <w:rFonts w:hint="default" w:ascii="Times New Roman" w:hAnsi="Times New Roman" w:cs="Times New Roman"/>
                <w:color w:val="auto"/>
                <w:kern w:val="2"/>
                <w:sz w:val="21"/>
                <w:szCs w:val="21"/>
              </w:rPr>
            </w:pPr>
          </w:p>
        </w:tc>
        <w:tc>
          <w:tcPr>
            <w:tcW w:w="1302" w:type="dxa"/>
            <w:vMerge w:val="continue"/>
            <w:tcBorders>
              <w:left w:val="single" w:color="auto" w:sz="4" w:space="0"/>
              <w:right w:val="single" w:color="auto" w:sz="4" w:space="0"/>
            </w:tcBorders>
            <w:shd w:val="clear" w:color="auto" w:fill="auto"/>
            <w:vAlign w:val="center"/>
          </w:tcPr>
          <w:p w14:paraId="195896F8">
            <w:pPr>
              <w:widowControl/>
              <w:spacing w:line="240" w:lineRule="auto"/>
              <w:ind w:firstLine="0" w:firstLineChars="0"/>
              <w:jc w:val="center"/>
              <w:rPr>
                <w:rFonts w:hint="default" w:ascii="Times New Roman" w:hAnsi="Times New Roman" w:cs="Times New Roman"/>
                <w:color w:val="auto"/>
                <w:kern w:val="2"/>
                <w:sz w:val="21"/>
                <w:szCs w:val="21"/>
              </w:rPr>
            </w:pPr>
          </w:p>
        </w:tc>
        <w:tc>
          <w:tcPr>
            <w:tcW w:w="1295" w:type="dxa"/>
            <w:vMerge w:val="continue"/>
            <w:tcBorders>
              <w:left w:val="single" w:color="auto" w:sz="4" w:space="0"/>
              <w:right w:val="single" w:color="auto" w:sz="4" w:space="0"/>
            </w:tcBorders>
            <w:shd w:val="clear" w:color="auto" w:fill="auto"/>
            <w:vAlign w:val="center"/>
          </w:tcPr>
          <w:p w14:paraId="33B4307C">
            <w:pPr>
              <w:widowControl/>
              <w:spacing w:line="240" w:lineRule="auto"/>
              <w:ind w:firstLine="0" w:firstLineChars="0"/>
              <w:jc w:val="center"/>
              <w:rPr>
                <w:rFonts w:hint="default" w:ascii="Times New Roman" w:hAnsi="Times New Roman" w:cs="Times New Roman"/>
                <w:color w:val="auto"/>
                <w:kern w:val="2"/>
                <w:sz w:val="21"/>
                <w:szCs w:val="21"/>
              </w:rPr>
            </w:pPr>
          </w:p>
        </w:tc>
        <w:tc>
          <w:tcPr>
            <w:tcW w:w="1194" w:type="dxa"/>
            <w:vMerge w:val="continue"/>
            <w:tcBorders>
              <w:left w:val="single" w:color="auto" w:sz="4" w:space="0"/>
              <w:right w:val="single" w:color="auto" w:sz="4" w:space="0"/>
            </w:tcBorders>
            <w:shd w:val="clear" w:color="auto" w:fill="auto"/>
            <w:vAlign w:val="center"/>
          </w:tcPr>
          <w:p w14:paraId="77EC71B1">
            <w:pPr>
              <w:widowControl/>
              <w:spacing w:line="240" w:lineRule="auto"/>
              <w:ind w:firstLine="0" w:firstLineChars="0"/>
              <w:jc w:val="center"/>
              <w:rPr>
                <w:rFonts w:hint="default" w:ascii="Times New Roman" w:hAnsi="Times New Roman" w:cs="Times New Roman"/>
                <w:color w:val="auto"/>
                <w:kern w:val="2"/>
                <w:sz w:val="21"/>
                <w:szCs w:val="21"/>
              </w:rPr>
            </w:pPr>
          </w:p>
        </w:tc>
        <w:tc>
          <w:tcPr>
            <w:tcW w:w="1063" w:type="dxa"/>
            <w:vMerge w:val="continue"/>
            <w:tcBorders>
              <w:left w:val="single" w:color="auto" w:sz="4" w:space="0"/>
              <w:right w:val="single" w:color="auto" w:sz="4" w:space="0"/>
            </w:tcBorders>
            <w:shd w:val="clear" w:color="auto" w:fill="auto"/>
            <w:vAlign w:val="center"/>
          </w:tcPr>
          <w:p w14:paraId="51BCAB0E">
            <w:pPr>
              <w:widowControl/>
              <w:spacing w:line="240" w:lineRule="auto"/>
              <w:ind w:firstLine="0" w:firstLineChars="0"/>
              <w:jc w:val="center"/>
              <w:rPr>
                <w:rFonts w:hint="default" w:ascii="Times New Roman" w:hAnsi="Times New Roman" w:cs="Times New Roman"/>
                <w:color w:val="auto"/>
                <w:kern w:val="2"/>
                <w:sz w:val="21"/>
                <w:szCs w:val="21"/>
              </w:rPr>
            </w:pPr>
          </w:p>
        </w:tc>
        <w:tc>
          <w:tcPr>
            <w:tcW w:w="1365" w:type="dxa"/>
            <w:vMerge w:val="continue"/>
            <w:tcBorders>
              <w:left w:val="single" w:color="auto" w:sz="4" w:space="0"/>
              <w:right w:val="single" w:color="auto" w:sz="4" w:space="0"/>
            </w:tcBorders>
            <w:shd w:val="clear" w:color="auto" w:fill="auto"/>
            <w:vAlign w:val="center"/>
          </w:tcPr>
          <w:p w14:paraId="06CB488B">
            <w:pPr>
              <w:widowControl/>
              <w:spacing w:line="240" w:lineRule="auto"/>
              <w:ind w:firstLine="0" w:firstLineChars="0"/>
              <w:jc w:val="center"/>
              <w:rPr>
                <w:rFonts w:hint="default" w:ascii="Times New Roman" w:hAnsi="Times New Roman" w:cs="Times New Roman"/>
                <w:color w:val="auto"/>
                <w:kern w:val="2"/>
                <w:sz w:val="21"/>
                <w:szCs w:val="21"/>
              </w:rPr>
            </w:pPr>
          </w:p>
        </w:tc>
        <w:tc>
          <w:tcPr>
            <w:tcW w:w="1417" w:type="dxa"/>
            <w:vMerge w:val="continue"/>
            <w:tcBorders>
              <w:left w:val="single" w:color="auto" w:sz="4" w:space="0"/>
              <w:right w:val="single" w:color="auto" w:sz="4" w:space="0"/>
            </w:tcBorders>
            <w:shd w:val="clear" w:color="auto" w:fill="auto"/>
            <w:vAlign w:val="center"/>
          </w:tcPr>
          <w:p w14:paraId="6E84D922">
            <w:pPr>
              <w:widowControl/>
              <w:spacing w:line="240" w:lineRule="auto"/>
              <w:ind w:firstLine="0" w:firstLineChars="0"/>
              <w:jc w:val="center"/>
              <w:rPr>
                <w:rFonts w:hint="default" w:ascii="Times New Roman" w:hAnsi="Times New Roman" w:cs="Times New Roman"/>
                <w:color w:val="auto"/>
                <w:kern w:val="2"/>
                <w:sz w:val="21"/>
                <w:szCs w:val="21"/>
              </w:rPr>
            </w:pPr>
          </w:p>
        </w:tc>
        <w:tc>
          <w:tcPr>
            <w:tcW w:w="1060" w:type="dxa"/>
            <w:tcBorders>
              <w:top w:val="single" w:color="auto" w:sz="4" w:space="0"/>
              <w:left w:val="single" w:color="auto" w:sz="4" w:space="0"/>
              <w:bottom w:val="single" w:color="auto" w:sz="4" w:space="0"/>
              <w:right w:val="single" w:color="auto" w:sz="4" w:space="0"/>
            </w:tcBorders>
            <w:shd w:val="clear" w:color="auto" w:fill="auto"/>
            <w:vAlign w:val="center"/>
          </w:tcPr>
          <w:p w14:paraId="714BD7D1">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15</w:t>
            </w:r>
          </w:p>
        </w:tc>
        <w:tc>
          <w:tcPr>
            <w:tcW w:w="1054" w:type="dxa"/>
            <w:tcBorders>
              <w:top w:val="single" w:color="auto" w:sz="4" w:space="0"/>
              <w:left w:val="single" w:color="auto" w:sz="4" w:space="0"/>
              <w:bottom w:val="single" w:color="auto" w:sz="4" w:space="0"/>
              <w:right w:val="single" w:color="auto" w:sz="4" w:space="0"/>
            </w:tcBorders>
            <w:shd w:val="clear" w:color="auto" w:fill="auto"/>
            <w:vAlign w:val="center"/>
          </w:tcPr>
          <w:p w14:paraId="562FB914">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103" w:type="dxa"/>
            <w:tcBorders>
              <w:top w:val="single" w:color="auto" w:sz="4" w:space="0"/>
              <w:left w:val="single" w:color="auto" w:sz="4" w:space="0"/>
              <w:bottom w:val="single" w:color="auto" w:sz="4" w:space="0"/>
              <w:right w:val="single" w:color="auto" w:sz="4" w:space="0"/>
            </w:tcBorders>
            <w:shd w:val="clear" w:color="auto" w:fill="auto"/>
            <w:vAlign w:val="center"/>
          </w:tcPr>
          <w:p w14:paraId="1065ED02">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6654F936">
        <w:tblPrEx>
          <w:tblCellMar>
            <w:top w:w="0" w:type="dxa"/>
            <w:left w:w="108" w:type="dxa"/>
            <w:bottom w:w="0" w:type="dxa"/>
            <w:right w:w="108" w:type="dxa"/>
          </w:tblCellMar>
        </w:tblPrEx>
        <w:tc>
          <w:tcPr>
            <w:tcW w:w="1134" w:type="dxa"/>
            <w:vMerge w:val="continue"/>
            <w:tcBorders>
              <w:left w:val="single" w:color="auto" w:sz="4" w:space="0"/>
              <w:right w:val="single" w:color="auto" w:sz="4" w:space="0"/>
            </w:tcBorders>
            <w:vAlign w:val="center"/>
          </w:tcPr>
          <w:p w14:paraId="71269E5A">
            <w:pPr>
              <w:widowControl/>
              <w:spacing w:line="240" w:lineRule="auto"/>
              <w:ind w:firstLine="0" w:firstLineChars="0"/>
              <w:jc w:val="center"/>
              <w:textAlignment w:val="center"/>
              <w:rPr>
                <w:rFonts w:hint="default" w:ascii="Times New Roman" w:hAnsi="Times New Roman" w:cs="Times New Roman"/>
                <w:color w:val="auto"/>
                <w:kern w:val="2"/>
                <w:sz w:val="21"/>
                <w:szCs w:val="21"/>
              </w:rPr>
            </w:pPr>
          </w:p>
        </w:tc>
        <w:tc>
          <w:tcPr>
            <w:tcW w:w="1295" w:type="dxa"/>
            <w:tcBorders>
              <w:top w:val="single" w:color="auto" w:sz="4" w:space="0"/>
              <w:left w:val="single" w:color="auto" w:sz="4" w:space="0"/>
              <w:bottom w:val="single" w:color="auto" w:sz="4" w:space="0"/>
              <w:right w:val="single" w:color="auto" w:sz="4" w:space="0"/>
            </w:tcBorders>
            <w:vAlign w:val="center"/>
          </w:tcPr>
          <w:p w14:paraId="238D5215">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丙烯腈</w:t>
            </w:r>
          </w:p>
        </w:tc>
        <w:tc>
          <w:tcPr>
            <w:tcW w:w="801" w:type="dxa"/>
            <w:vMerge w:val="continue"/>
            <w:tcBorders>
              <w:left w:val="single" w:color="auto" w:sz="4" w:space="0"/>
              <w:right w:val="single" w:color="auto" w:sz="4" w:space="0"/>
            </w:tcBorders>
            <w:shd w:val="clear" w:color="auto" w:fill="auto"/>
            <w:vAlign w:val="center"/>
          </w:tcPr>
          <w:p w14:paraId="09DB51AD">
            <w:pPr>
              <w:widowControl/>
              <w:spacing w:line="240" w:lineRule="auto"/>
              <w:ind w:firstLine="0" w:firstLineChars="0"/>
              <w:jc w:val="center"/>
              <w:rPr>
                <w:rFonts w:hint="default" w:ascii="Times New Roman" w:hAnsi="Times New Roman" w:cs="Times New Roman"/>
                <w:color w:val="auto"/>
                <w:kern w:val="2"/>
                <w:sz w:val="21"/>
                <w:szCs w:val="21"/>
              </w:rPr>
            </w:pPr>
          </w:p>
        </w:tc>
        <w:tc>
          <w:tcPr>
            <w:tcW w:w="1302" w:type="dxa"/>
            <w:vMerge w:val="continue"/>
            <w:tcBorders>
              <w:left w:val="single" w:color="auto" w:sz="4" w:space="0"/>
              <w:right w:val="single" w:color="auto" w:sz="4" w:space="0"/>
            </w:tcBorders>
            <w:shd w:val="clear" w:color="auto" w:fill="auto"/>
            <w:vAlign w:val="center"/>
          </w:tcPr>
          <w:p w14:paraId="52693D7E">
            <w:pPr>
              <w:widowControl/>
              <w:spacing w:line="240" w:lineRule="auto"/>
              <w:ind w:firstLine="0" w:firstLineChars="0"/>
              <w:jc w:val="center"/>
              <w:rPr>
                <w:rFonts w:hint="default" w:ascii="Times New Roman" w:hAnsi="Times New Roman" w:cs="Times New Roman"/>
                <w:color w:val="auto"/>
                <w:kern w:val="2"/>
                <w:sz w:val="21"/>
                <w:szCs w:val="21"/>
              </w:rPr>
            </w:pPr>
          </w:p>
        </w:tc>
        <w:tc>
          <w:tcPr>
            <w:tcW w:w="1295" w:type="dxa"/>
            <w:vMerge w:val="continue"/>
            <w:tcBorders>
              <w:left w:val="single" w:color="auto" w:sz="4" w:space="0"/>
              <w:right w:val="single" w:color="auto" w:sz="4" w:space="0"/>
            </w:tcBorders>
            <w:shd w:val="clear" w:color="auto" w:fill="auto"/>
            <w:vAlign w:val="center"/>
          </w:tcPr>
          <w:p w14:paraId="66024553">
            <w:pPr>
              <w:widowControl/>
              <w:spacing w:line="240" w:lineRule="auto"/>
              <w:ind w:firstLine="0" w:firstLineChars="0"/>
              <w:jc w:val="center"/>
              <w:rPr>
                <w:rFonts w:hint="default" w:ascii="Times New Roman" w:hAnsi="Times New Roman" w:cs="Times New Roman"/>
                <w:color w:val="auto"/>
                <w:kern w:val="2"/>
                <w:sz w:val="21"/>
                <w:szCs w:val="21"/>
              </w:rPr>
            </w:pPr>
          </w:p>
        </w:tc>
        <w:tc>
          <w:tcPr>
            <w:tcW w:w="1194" w:type="dxa"/>
            <w:vMerge w:val="continue"/>
            <w:tcBorders>
              <w:left w:val="single" w:color="auto" w:sz="4" w:space="0"/>
              <w:right w:val="single" w:color="auto" w:sz="4" w:space="0"/>
            </w:tcBorders>
            <w:shd w:val="clear" w:color="auto" w:fill="auto"/>
            <w:vAlign w:val="center"/>
          </w:tcPr>
          <w:p w14:paraId="086F2ACC">
            <w:pPr>
              <w:widowControl/>
              <w:spacing w:line="240" w:lineRule="auto"/>
              <w:ind w:firstLine="0" w:firstLineChars="0"/>
              <w:jc w:val="center"/>
              <w:rPr>
                <w:rFonts w:hint="default" w:ascii="Times New Roman" w:hAnsi="Times New Roman" w:cs="Times New Roman"/>
                <w:color w:val="auto"/>
                <w:kern w:val="2"/>
                <w:sz w:val="21"/>
                <w:szCs w:val="21"/>
              </w:rPr>
            </w:pPr>
          </w:p>
        </w:tc>
        <w:tc>
          <w:tcPr>
            <w:tcW w:w="1063" w:type="dxa"/>
            <w:vMerge w:val="continue"/>
            <w:tcBorders>
              <w:left w:val="single" w:color="auto" w:sz="4" w:space="0"/>
              <w:right w:val="single" w:color="auto" w:sz="4" w:space="0"/>
            </w:tcBorders>
            <w:shd w:val="clear" w:color="auto" w:fill="auto"/>
            <w:vAlign w:val="center"/>
          </w:tcPr>
          <w:p w14:paraId="193A8E70">
            <w:pPr>
              <w:widowControl/>
              <w:spacing w:line="240" w:lineRule="auto"/>
              <w:ind w:firstLine="0" w:firstLineChars="0"/>
              <w:jc w:val="center"/>
              <w:rPr>
                <w:rFonts w:hint="default" w:ascii="Times New Roman" w:hAnsi="Times New Roman" w:cs="Times New Roman"/>
                <w:color w:val="auto"/>
                <w:kern w:val="2"/>
                <w:sz w:val="21"/>
                <w:szCs w:val="21"/>
              </w:rPr>
            </w:pPr>
          </w:p>
        </w:tc>
        <w:tc>
          <w:tcPr>
            <w:tcW w:w="1365" w:type="dxa"/>
            <w:vMerge w:val="continue"/>
            <w:tcBorders>
              <w:left w:val="single" w:color="auto" w:sz="4" w:space="0"/>
              <w:right w:val="single" w:color="auto" w:sz="4" w:space="0"/>
            </w:tcBorders>
            <w:shd w:val="clear" w:color="auto" w:fill="auto"/>
            <w:vAlign w:val="center"/>
          </w:tcPr>
          <w:p w14:paraId="05F5476E">
            <w:pPr>
              <w:widowControl/>
              <w:spacing w:line="240" w:lineRule="auto"/>
              <w:ind w:firstLine="0" w:firstLineChars="0"/>
              <w:jc w:val="center"/>
              <w:rPr>
                <w:rFonts w:hint="default" w:ascii="Times New Roman" w:hAnsi="Times New Roman" w:cs="Times New Roman"/>
                <w:color w:val="auto"/>
                <w:kern w:val="2"/>
                <w:sz w:val="21"/>
                <w:szCs w:val="21"/>
              </w:rPr>
            </w:pPr>
          </w:p>
        </w:tc>
        <w:tc>
          <w:tcPr>
            <w:tcW w:w="1417" w:type="dxa"/>
            <w:vMerge w:val="continue"/>
            <w:tcBorders>
              <w:left w:val="single" w:color="auto" w:sz="4" w:space="0"/>
              <w:right w:val="single" w:color="auto" w:sz="4" w:space="0"/>
            </w:tcBorders>
            <w:shd w:val="clear" w:color="auto" w:fill="auto"/>
            <w:vAlign w:val="center"/>
          </w:tcPr>
          <w:p w14:paraId="44A1FF93">
            <w:pPr>
              <w:widowControl/>
              <w:spacing w:line="240" w:lineRule="auto"/>
              <w:ind w:firstLine="0" w:firstLineChars="0"/>
              <w:jc w:val="center"/>
              <w:rPr>
                <w:rFonts w:hint="default" w:ascii="Times New Roman" w:hAnsi="Times New Roman" w:cs="Times New Roman"/>
                <w:color w:val="auto"/>
                <w:kern w:val="2"/>
                <w:sz w:val="21"/>
                <w:szCs w:val="21"/>
              </w:rPr>
            </w:pPr>
          </w:p>
        </w:tc>
        <w:tc>
          <w:tcPr>
            <w:tcW w:w="1060" w:type="dxa"/>
            <w:tcBorders>
              <w:top w:val="single" w:color="auto" w:sz="4" w:space="0"/>
              <w:left w:val="single" w:color="auto" w:sz="4" w:space="0"/>
              <w:bottom w:val="single" w:color="auto" w:sz="4" w:space="0"/>
              <w:right w:val="single" w:color="auto" w:sz="4" w:space="0"/>
            </w:tcBorders>
            <w:shd w:val="clear" w:color="auto" w:fill="auto"/>
            <w:vAlign w:val="center"/>
          </w:tcPr>
          <w:p w14:paraId="151D3C86">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0.5</w:t>
            </w:r>
          </w:p>
        </w:tc>
        <w:tc>
          <w:tcPr>
            <w:tcW w:w="1054" w:type="dxa"/>
            <w:tcBorders>
              <w:top w:val="single" w:color="auto" w:sz="4" w:space="0"/>
              <w:left w:val="single" w:color="auto" w:sz="4" w:space="0"/>
              <w:bottom w:val="single" w:color="auto" w:sz="4" w:space="0"/>
              <w:right w:val="single" w:color="auto" w:sz="4" w:space="0"/>
            </w:tcBorders>
            <w:shd w:val="clear" w:color="auto" w:fill="auto"/>
            <w:vAlign w:val="center"/>
          </w:tcPr>
          <w:p w14:paraId="48C55ECA">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103" w:type="dxa"/>
            <w:tcBorders>
              <w:top w:val="single" w:color="auto" w:sz="4" w:space="0"/>
              <w:left w:val="single" w:color="auto" w:sz="4" w:space="0"/>
              <w:bottom w:val="single" w:color="auto" w:sz="4" w:space="0"/>
              <w:right w:val="single" w:color="auto" w:sz="4" w:space="0"/>
            </w:tcBorders>
            <w:shd w:val="clear" w:color="auto" w:fill="auto"/>
            <w:vAlign w:val="center"/>
          </w:tcPr>
          <w:p w14:paraId="163110FD">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7DDC5607">
        <w:tblPrEx>
          <w:tblCellMar>
            <w:top w:w="0" w:type="dxa"/>
            <w:left w:w="108" w:type="dxa"/>
            <w:bottom w:w="0" w:type="dxa"/>
            <w:right w:w="108" w:type="dxa"/>
          </w:tblCellMar>
        </w:tblPrEx>
        <w:tc>
          <w:tcPr>
            <w:tcW w:w="1134" w:type="dxa"/>
            <w:vMerge w:val="continue"/>
            <w:tcBorders>
              <w:left w:val="single" w:color="auto" w:sz="4" w:space="0"/>
              <w:right w:val="single" w:color="auto" w:sz="4" w:space="0"/>
            </w:tcBorders>
            <w:vAlign w:val="center"/>
          </w:tcPr>
          <w:p w14:paraId="40E60B3D">
            <w:pPr>
              <w:widowControl/>
              <w:spacing w:line="240" w:lineRule="auto"/>
              <w:ind w:firstLine="0" w:firstLineChars="0"/>
              <w:jc w:val="center"/>
              <w:textAlignment w:val="center"/>
              <w:rPr>
                <w:rFonts w:hint="default" w:ascii="Times New Roman" w:hAnsi="Times New Roman" w:cs="Times New Roman"/>
                <w:color w:val="auto"/>
                <w:kern w:val="2"/>
                <w:sz w:val="21"/>
                <w:szCs w:val="21"/>
              </w:rPr>
            </w:pPr>
          </w:p>
        </w:tc>
        <w:tc>
          <w:tcPr>
            <w:tcW w:w="1295" w:type="dxa"/>
            <w:tcBorders>
              <w:top w:val="single" w:color="auto" w:sz="4" w:space="0"/>
              <w:left w:val="single" w:color="auto" w:sz="4" w:space="0"/>
              <w:bottom w:val="single" w:color="auto" w:sz="4" w:space="0"/>
              <w:right w:val="single" w:color="auto" w:sz="4" w:space="0"/>
            </w:tcBorders>
            <w:vAlign w:val="center"/>
          </w:tcPr>
          <w:p w14:paraId="52912EC8">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苯乙烯</w:t>
            </w:r>
          </w:p>
        </w:tc>
        <w:tc>
          <w:tcPr>
            <w:tcW w:w="801" w:type="dxa"/>
            <w:vMerge w:val="continue"/>
            <w:tcBorders>
              <w:left w:val="single" w:color="auto" w:sz="4" w:space="0"/>
              <w:right w:val="single" w:color="auto" w:sz="4" w:space="0"/>
            </w:tcBorders>
            <w:shd w:val="clear" w:color="auto" w:fill="auto"/>
            <w:vAlign w:val="center"/>
          </w:tcPr>
          <w:p w14:paraId="32009205">
            <w:pPr>
              <w:widowControl/>
              <w:spacing w:line="240" w:lineRule="auto"/>
              <w:ind w:firstLine="0" w:firstLineChars="0"/>
              <w:jc w:val="center"/>
              <w:rPr>
                <w:rFonts w:hint="default" w:ascii="Times New Roman" w:hAnsi="Times New Roman" w:cs="Times New Roman"/>
                <w:color w:val="auto"/>
                <w:kern w:val="2"/>
                <w:sz w:val="21"/>
                <w:szCs w:val="21"/>
              </w:rPr>
            </w:pPr>
          </w:p>
        </w:tc>
        <w:tc>
          <w:tcPr>
            <w:tcW w:w="1302" w:type="dxa"/>
            <w:vMerge w:val="continue"/>
            <w:tcBorders>
              <w:left w:val="single" w:color="auto" w:sz="4" w:space="0"/>
              <w:right w:val="single" w:color="auto" w:sz="4" w:space="0"/>
            </w:tcBorders>
            <w:shd w:val="clear" w:color="auto" w:fill="auto"/>
            <w:vAlign w:val="center"/>
          </w:tcPr>
          <w:p w14:paraId="4BC7BAE4">
            <w:pPr>
              <w:widowControl/>
              <w:spacing w:line="240" w:lineRule="auto"/>
              <w:ind w:firstLine="0" w:firstLineChars="0"/>
              <w:jc w:val="center"/>
              <w:rPr>
                <w:rFonts w:hint="default" w:ascii="Times New Roman" w:hAnsi="Times New Roman" w:cs="Times New Roman"/>
                <w:color w:val="auto"/>
                <w:kern w:val="2"/>
                <w:sz w:val="21"/>
                <w:szCs w:val="21"/>
              </w:rPr>
            </w:pPr>
          </w:p>
        </w:tc>
        <w:tc>
          <w:tcPr>
            <w:tcW w:w="1295" w:type="dxa"/>
            <w:vMerge w:val="continue"/>
            <w:tcBorders>
              <w:left w:val="single" w:color="auto" w:sz="4" w:space="0"/>
              <w:right w:val="single" w:color="auto" w:sz="4" w:space="0"/>
            </w:tcBorders>
            <w:shd w:val="clear" w:color="auto" w:fill="auto"/>
            <w:vAlign w:val="center"/>
          </w:tcPr>
          <w:p w14:paraId="14865AB7">
            <w:pPr>
              <w:widowControl/>
              <w:spacing w:line="240" w:lineRule="auto"/>
              <w:ind w:firstLine="0" w:firstLineChars="0"/>
              <w:jc w:val="center"/>
              <w:rPr>
                <w:rFonts w:hint="default" w:ascii="Times New Roman" w:hAnsi="Times New Roman" w:cs="Times New Roman"/>
                <w:color w:val="auto"/>
                <w:kern w:val="2"/>
                <w:sz w:val="21"/>
                <w:szCs w:val="21"/>
              </w:rPr>
            </w:pPr>
          </w:p>
        </w:tc>
        <w:tc>
          <w:tcPr>
            <w:tcW w:w="1194" w:type="dxa"/>
            <w:vMerge w:val="continue"/>
            <w:tcBorders>
              <w:left w:val="single" w:color="auto" w:sz="4" w:space="0"/>
              <w:right w:val="single" w:color="auto" w:sz="4" w:space="0"/>
            </w:tcBorders>
            <w:shd w:val="clear" w:color="auto" w:fill="auto"/>
            <w:vAlign w:val="center"/>
          </w:tcPr>
          <w:p w14:paraId="49438777">
            <w:pPr>
              <w:widowControl/>
              <w:spacing w:line="240" w:lineRule="auto"/>
              <w:ind w:firstLine="0" w:firstLineChars="0"/>
              <w:jc w:val="center"/>
              <w:rPr>
                <w:rFonts w:hint="default" w:ascii="Times New Roman" w:hAnsi="Times New Roman" w:cs="Times New Roman"/>
                <w:color w:val="auto"/>
                <w:kern w:val="2"/>
                <w:sz w:val="21"/>
                <w:szCs w:val="21"/>
              </w:rPr>
            </w:pPr>
          </w:p>
        </w:tc>
        <w:tc>
          <w:tcPr>
            <w:tcW w:w="1063" w:type="dxa"/>
            <w:vMerge w:val="continue"/>
            <w:tcBorders>
              <w:left w:val="single" w:color="auto" w:sz="4" w:space="0"/>
              <w:right w:val="single" w:color="auto" w:sz="4" w:space="0"/>
            </w:tcBorders>
            <w:shd w:val="clear" w:color="auto" w:fill="auto"/>
            <w:vAlign w:val="center"/>
          </w:tcPr>
          <w:p w14:paraId="604C5278">
            <w:pPr>
              <w:widowControl/>
              <w:spacing w:line="240" w:lineRule="auto"/>
              <w:ind w:firstLine="0" w:firstLineChars="0"/>
              <w:jc w:val="center"/>
              <w:rPr>
                <w:rFonts w:hint="default" w:ascii="Times New Roman" w:hAnsi="Times New Roman" w:cs="Times New Roman"/>
                <w:color w:val="auto"/>
                <w:kern w:val="2"/>
                <w:sz w:val="21"/>
                <w:szCs w:val="21"/>
              </w:rPr>
            </w:pPr>
          </w:p>
        </w:tc>
        <w:tc>
          <w:tcPr>
            <w:tcW w:w="1365" w:type="dxa"/>
            <w:vMerge w:val="continue"/>
            <w:tcBorders>
              <w:left w:val="single" w:color="auto" w:sz="4" w:space="0"/>
              <w:right w:val="single" w:color="auto" w:sz="4" w:space="0"/>
            </w:tcBorders>
            <w:shd w:val="clear" w:color="auto" w:fill="auto"/>
            <w:vAlign w:val="center"/>
          </w:tcPr>
          <w:p w14:paraId="3F2D5C62">
            <w:pPr>
              <w:widowControl/>
              <w:spacing w:line="240" w:lineRule="auto"/>
              <w:ind w:firstLine="0" w:firstLineChars="0"/>
              <w:jc w:val="center"/>
              <w:rPr>
                <w:rFonts w:hint="default" w:ascii="Times New Roman" w:hAnsi="Times New Roman" w:cs="Times New Roman"/>
                <w:color w:val="auto"/>
                <w:kern w:val="2"/>
                <w:sz w:val="21"/>
                <w:szCs w:val="21"/>
              </w:rPr>
            </w:pPr>
          </w:p>
        </w:tc>
        <w:tc>
          <w:tcPr>
            <w:tcW w:w="1417" w:type="dxa"/>
            <w:vMerge w:val="continue"/>
            <w:tcBorders>
              <w:left w:val="single" w:color="auto" w:sz="4" w:space="0"/>
              <w:right w:val="single" w:color="auto" w:sz="4" w:space="0"/>
            </w:tcBorders>
            <w:shd w:val="clear" w:color="auto" w:fill="auto"/>
            <w:vAlign w:val="center"/>
          </w:tcPr>
          <w:p w14:paraId="29D52633">
            <w:pPr>
              <w:widowControl/>
              <w:spacing w:line="240" w:lineRule="auto"/>
              <w:ind w:firstLine="0" w:firstLineChars="0"/>
              <w:jc w:val="center"/>
              <w:rPr>
                <w:rFonts w:hint="default" w:ascii="Times New Roman" w:hAnsi="Times New Roman" w:cs="Times New Roman"/>
                <w:color w:val="auto"/>
                <w:kern w:val="2"/>
                <w:sz w:val="21"/>
                <w:szCs w:val="21"/>
              </w:rPr>
            </w:pPr>
          </w:p>
        </w:tc>
        <w:tc>
          <w:tcPr>
            <w:tcW w:w="1060" w:type="dxa"/>
            <w:tcBorders>
              <w:top w:val="single" w:color="auto" w:sz="4" w:space="0"/>
              <w:left w:val="single" w:color="auto" w:sz="4" w:space="0"/>
              <w:bottom w:val="single" w:color="auto" w:sz="4" w:space="0"/>
              <w:right w:val="single" w:color="auto" w:sz="4" w:space="0"/>
            </w:tcBorders>
            <w:shd w:val="clear" w:color="auto" w:fill="auto"/>
            <w:vAlign w:val="center"/>
          </w:tcPr>
          <w:p w14:paraId="4D5B1817">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20</w:t>
            </w:r>
          </w:p>
        </w:tc>
        <w:tc>
          <w:tcPr>
            <w:tcW w:w="1054" w:type="dxa"/>
            <w:tcBorders>
              <w:top w:val="single" w:color="auto" w:sz="4" w:space="0"/>
              <w:left w:val="single" w:color="auto" w:sz="4" w:space="0"/>
              <w:bottom w:val="single" w:color="auto" w:sz="4" w:space="0"/>
              <w:right w:val="single" w:color="auto" w:sz="4" w:space="0"/>
            </w:tcBorders>
            <w:shd w:val="clear" w:color="auto" w:fill="auto"/>
            <w:vAlign w:val="center"/>
          </w:tcPr>
          <w:p w14:paraId="5082342C">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103" w:type="dxa"/>
            <w:tcBorders>
              <w:top w:val="single" w:color="auto" w:sz="4" w:space="0"/>
              <w:left w:val="single" w:color="auto" w:sz="4" w:space="0"/>
              <w:bottom w:val="single" w:color="auto" w:sz="4" w:space="0"/>
              <w:right w:val="single" w:color="auto" w:sz="4" w:space="0"/>
            </w:tcBorders>
            <w:shd w:val="clear" w:color="auto" w:fill="auto"/>
            <w:vAlign w:val="center"/>
          </w:tcPr>
          <w:p w14:paraId="0677F8EF">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7C813974">
        <w:tblPrEx>
          <w:tblCellMar>
            <w:top w:w="0" w:type="dxa"/>
            <w:left w:w="108" w:type="dxa"/>
            <w:bottom w:w="0" w:type="dxa"/>
            <w:right w:w="108" w:type="dxa"/>
          </w:tblCellMar>
        </w:tblPrEx>
        <w:tc>
          <w:tcPr>
            <w:tcW w:w="1134" w:type="dxa"/>
            <w:vMerge w:val="continue"/>
            <w:tcBorders>
              <w:left w:val="single" w:color="auto" w:sz="4" w:space="0"/>
              <w:right w:val="single" w:color="auto" w:sz="4" w:space="0"/>
            </w:tcBorders>
            <w:vAlign w:val="center"/>
          </w:tcPr>
          <w:p w14:paraId="09604683">
            <w:pPr>
              <w:widowControl/>
              <w:spacing w:line="240" w:lineRule="auto"/>
              <w:ind w:firstLine="0" w:firstLineChars="0"/>
              <w:jc w:val="center"/>
              <w:textAlignment w:val="center"/>
              <w:rPr>
                <w:rFonts w:hint="default" w:ascii="Times New Roman" w:hAnsi="Times New Roman" w:cs="Times New Roman"/>
                <w:color w:val="auto"/>
                <w:kern w:val="2"/>
                <w:sz w:val="21"/>
                <w:szCs w:val="21"/>
              </w:rPr>
            </w:pPr>
          </w:p>
        </w:tc>
        <w:tc>
          <w:tcPr>
            <w:tcW w:w="1295" w:type="dxa"/>
            <w:tcBorders>
              <w:top w:val="single" w:color="auto" w:sz="4" w:space="0"/>
              <w:left w:val="single" w:color="auto" w:sz="4" w:space="0"/>
              <w:bottom w:val="single" w:color="auto" w:sz="4" w:space="0"/>
              <w:right w:val="single" w:color="auto" w:sz="4" w:space="0"/>
            </w:tcBorders>
            <w:vAlign w:val="center"/>
          </w:tcPr>
          <w:p w14:paraId="3AC4DF74">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乙苯</w:t>
            </w:r>
          </w:p>
        </w:tc>
        <w:tc>
          <w:tcPr>
            <w:tcW w:w="801" w:type="dxa"/>
            <w:vMerge w:val="continue"/>
            <w:tcBorders>
              <w:left w:val="single" w:color="auto" w:sz="4" w:space="0"/>
              <w:right w:val="single" w:color="auto" w:sz="4" w:space="0"/>
            </w:tcBorders>
            <w:shd w:val="clear" w:color="auto" w:fill="auto"/>
            <w:vAlign w:val="center"/>
          </w:tcPr>
          <w:p w14:paraId="0D3384EE">
            <w:pPr>
              <w:widowControl/>
              <w:spacing w:line="240" w:lineRule="auto"/>
              <w:ind w:firstLine="0" w:firstLineChars="0"/>
              <w:jc w:val="center"/>
              <w:rPr>
                <w:rFonts w:hint="default" w:ascii="Times New Roman" w:hAnsi="Times New Roman" w:cs="Times New Roman"/>
                <w:color w:val="auto"/>
                <w:kern w:val="2"/>
                <w:sz w:val="21"/>
                <w:szCs w:val="21"/>
              </w:rPr>
            </w:pPr>
          </w:p>
        </w:tc>
        <w:tc>
          <w:tcPr>
            <w:tcW w:w="1302" w:type="dxa"/>
            <w:vMerge w:val="continue"/>
            <w:tcBorders>
              <w:left w:val="single" w:color="auto" w:sz="4" w:space="0"/>
              <w:right w:val="single" w:color="auto" w:sz="4" w:space="0"/>
            </w:tcBorders>
            <w:shd w:val="clear" w:color="auto" w:fill="auto"/>
            <w:vAlign w:val="center"/>
          </w:tcPr>
          <w:p w14:paraId="3D7DE8D2">
            <w:pPr>
              <w:widowControl/>
              <w:spacing w:line="240" w:lineRule="auto"/>
              <w:ind w:firstLine="0" w:firstLineChars="0"/>
              <w:jc w:val="center"/>
              <w:rPr>
                <w:rFonts w:hint="default" w:ascii="Times New Roman" w:hAnsi="Times New Roman" w:cs="Times New Roman"/>
                <w:color w:val="auto"/>
                <w:kern w:val="2"/>
                <w:sz w:val="21"/>
                <w:szCs w:val="21"/>
              </w:rPr>
            </w:pPr>
          </w:p>
        </w:tc>
        <w:tc>
          <w:tcPr>
            <w:tcW w:w="1295" w:type="dxa"/>
            <w:vMerge w:val="continue"/>
            <w:tcBorders>
              <w:left w:val="single" w:color="auto" w:sz="4" w:space="0"/>
              <w:right w:val="single" w:color="auto" w:sz="4" w:space="0"/>
            </w:tcBorders>
            <w:shd w:val="clear" w:color="auto" w:fill="auto"/>
            <w:vAlign w:val="center"/>
          </w:tcPr>
          <w:p w14:paraId="319DF25C">
            <w:pPr>
              <w:widowControl/>
              <w:spacing w:line="240" w:lineRule="auto"/>
              <w:ind w:firstLine="0" w:firstLineChars="0"/>
              <w:jc w:val="center"/>
              <w:rPr>
                <w:rFonts w:hint="default" w:ascii="Times New Roman" w:hAnsi="Times New Roman" w:cs="Times New Roman"/>
                <w:color w:val="auto"/>
                <w:kern w:val="2"/>
                <w:sz w:val="21"/>
                <w:szCs w:val="21"/>
              </w:rPr>
            </w:pPr>
          </w:p>
        </w:tc>
        <w:tc>
          <w:tcPr>
            <w:tcW w:w="1194" w:type="dxa"/>
            <w:vMerge w:val="continue"/>
            <w:tcBorders>
              <w:left w:val="single" w:color="auto" w:sz="4" w:space="0"/>
              <w:right w:val="single" w:color="auto" w:sz="4" w:space="0"/>
            </w:tcBorders>
            <w:shd w:val="clear" w:color="auto" w:fill="auto"/>
            <w:vAlign w:val="center"/>
          </w:tcPr>
          <w:p w14:paraId="3D3CEC7F">
            <w:pPr>
              <w:widowControl/>
              <w:spacing w:line="240" w:lineRule="auto"/>
              <w:ind w:firstLine="0" w:firstLineChars="0"/>
              <w:jc w:val="center"/>
              <w:rPr>
                <w:rFonts w:hint="default" w:ascii="Times New Roman" w:hAnsi="Times New Roman" w:cs="Times New Roman"/>
                <w:color w:val="auto"/>
                <w:kern w:val="2"/>
                <w:sz w:val="21"/>
                <w:szCs w:val="21"/>
              </w:rPr>
            </w:pPr>
          </w:p>
        </w:tc>
        <w:tc>
          <w:tcPr>
            <w:tcW w:w="1063" w:type="dxa"/>
            <w:vMerge w:val="continue"/>
            <w:tcBorders>
              <w:left w:val="single" w:color="auto" w:sz="4" w:space="0"/>
              <w:right w:val="single" w:color="auto" w:sz="4" w:space="0"/>
            </w:tcBorders>
            <w:shd w:val="clear" w:color="auto" w:fill="auto"/>
            <w:vAlign w:val="center"/>
          </w:tcPr>
          <w:p w14:paraId="252ECC15">
            <w:pPr>
              <w:widowControl/>
              <w:spacing w:line="240" w:lineRule="auto"/>
              <w:ind w:firstLine="0" w:firstLineChars="0"/>
              <w:jc w:val="center"/>
              <w:rPr>
                <w:rFonts w:hint="default" w:ascii="Times New Roman" w:hAnsi="Times New Roman" w:cs="Times New Roman"/>
                <w:color w:val="auto"/>
                <w:kern w:val="2"/>
                <w:sz w:val="21"/>
                <w:szCs w:val="21"/>
              </w:rPr>
            </w:pPr>
          </w:p>
        </w:tc>
        <w:tc>
          <w:tcPr>
            <w:tcW w:w="1365" w:type="dxa"/>
            <w:vMerge w:val="continue"/>
            <w:tcBorders>
              <w:left w:val="single" w:color="auto" w:sz="4" w:space="0"/>
              <w:right w:val="single" w:color="auto" w:sz="4" w:space="0"/>
            </w:tcBorders>
            <w:shd w:val="clear" w:color="auto" w:fill="auto"/>
            <w:vAlign w:val="center"/>
          </w:tcPr>
          <w:p w14:paraId="24A344F9">
            <w:pPr>
              <w:widowControl/>
              <w:spacing w:line="240" w:lineRule="auto"/>
              <w:ind w:firstLine="0" w:firstLineChars="0"/>
              <w:jc w:val="center"/>
              <w:rPr>
                <w:rFonts w:hint="default" w:ascii="Times New Roman" w:hAnsi="Times New Roman" w:cs="Times New Roman"/>
                <w:color w:val="auto"/>
                <w:kern w:val="2"/>
                <w:sz w:val="21"/>
                <w:szCs w:val="21"/>
              </w:rPr>
            </w:pPr>
          </w:p>
        </w:tc>
        <w:tc>
          <w:tcPr>
            <w:tcW w:w="1417" w:type="dxa"/>
            <w:vMerge w:val="continue"/>
            <w:tcBorders>
              <w:left w:val="single" w:color="auto" w:sz="4" w:space="0"/>
              <w:right w:val="single" w:color="auto" w:sz="4" w:space="0"/>
            </w:tcBorders>
            <w:shd w:val="clear" w:color="auto" w:fill="auto"/>
            <w:vAlign w:val="center"/>
          </w:tcPr>
          <w:p w14:paraId="4F3DD59E">
            <w:pPr>
              <w:widowControl/>
              <w:spacing w:line="240" w:lineRule="auto"/>
              <w:ind w:firstLine="0" w:firstLineChars="0"/>
              <w:jc w:val="center"/>
              <w:rPr>
                <w:rFonts w:hint="default" w:ascii="Times New Roman" w:hAnsi="Times New Roman" w:cs="Times New Roman"/>
                <w:color w:val="auto"/>
                <w:kern w:val="2"/>
                <w:sz w:val="21"/>
                <w:szCs w:val="21"/>
              </w:rPr>
            </w:pPr>
          </w:p>
        </w:tc>
        <w:tc>
          <w:tcPr>
            <w:tcW w:w="1060" w:type="dxa"/>
            <w:tcBorders>
              <w:top w:val="single" w:color="auto" w:sz="4" w:space="0"/>
              <w:left w:val="single" w:color="auto" w:sz="4" w:space="0"/>
              <w:bottom w:val="single" w:color="auto" w:sz="4" w:space="0"/>
              <w:right w:val="single" w:color="auto" w:sz="4" w:space="0"/>
            </w:tcBorders>
            <w:shd w:val="clear" w:color="auto" w:fill="auto"/>
            <w:vAlign w:val="center"/>
          </w:tcPr>
          <w:p w14:paraId="4C26B855">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50</w:t>
            </w:r>
          </w:p>
        </w:tc>
        <w:tc>
          <w:tcPr>
            <w:tcW w:w="1054" w:type="dxa"/>
            <w:tcBorders>
              <w:top w:val="single" w:color="auto" w:sz="4" w:space="0"/>
              <w:left w:val="single" w:color="auto" w:sz="4" w:space="0"/>
              <w:bottom w:val="single" w:color="auto" w:sz="4" w:space="0"/>
              <w:right w:val="single" w:color="auto" w:sz="4" w:space="0"/>
            </w:tcBorders>
            <w:shd w:val="clear" w:color="auto" w:fill="auto"/>
            <w:vAlign w:val="center"/>
          </w:tcPr>
          <w:p w14:paraId="39D1EA0F">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103" w:type="dxa"/>
            <w:tcBorders>
              <w:top w:val="single" w:color="auto" w:sz="4" w:space="0"/>
              <w:left w:val="single" w:color="auto" w:sz="4" w:space="0"/>
              <w:bottom w:val="single" w:color="auto" w:sz="4" w:space="0"/>
              <w:right w:val="single" w:color="auto" w:sz="4" w:space="0"/>
            </w:tcBorders>
            <w:shd w:val="clear" w:color="auto" w:fill="auto"/>
            <w:vAlign w:val="center"/>
          </w:tcPr>
          <w:p w14:paraId="4F98C819">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5F4B9FFD">
        <w:tblPrEx>
          <w:tblCellMar>
            <w:top w:w="0" w:type="dxa"/>
            <w:left w:w="108" w:type="dxa"/>
            <w:bottom w:w="0" w:type="dxa"/>
            <w:right w:w="108" w:type="dxa"/>
          </w:tblCellMar>
        </w:tblPrEx>
        <w:tc>
          <w:tcPr>
            <w:tcW w:w="1134" w:type="dxa"/>
            <w:vMerge w:val="continue"/>
            <w:tcBorders>
              <w:left w:val="single" w:color="auto" w:sz="4" w:space="0"/>
              <w:right w:val="single" w:color="auto" w:sz="4" w:space="0"/>
            </w:tcBorders>
            <w:vAlign w:val="center"/>
          </w:tcPr>
          <w:p w14:paraId="04BE5F55">
            <w:pPr>
              <w:widowControl/>
              <w:spacing w:line="240" w:lineRule="auto"/>
              <w:ind w:firstLine="0" w:firstLineChars="0"/>
              <w:jc w:val="center"/>
              <w:textAlignment w:val="center"/>
              <w:rPr>
                <w:rFonts w:hint="default" w:ascii="Times New Roman" w:hAnsi="Times New Roman" w:cs="Times New Roman"/>
                <w:color w:val="auto"/>
                <w:kern w:val="2"/>
                <w:sz w:val="21"/>
                <w:szCs w:val="21"/>
              </w:rPr>
            </w:pPr>
          </w:p>
        </w:tc>
        <w:tc>
          <w:tcPr>
            <w:tcW w:w="1295" w:type="dxa"/>
            <w:tcBorders>
              <w:top w:val="single" w:color="auto" w:sz="4" w:space="0"/>
              <w:left w:val="single" w:color="auto" w:sz="4" w:space="0"/>
              <w:bottom w:val="single" w:color="auto" w:sz="4" w:space="0"/>
              <w:right w:val="single" w:color="auto" w:sz="4" w:space="0"/>
            </w:tcBorders>
            <w:vAlign w:val="center"/>
          </w:tcPr>
          <w:p w14:paraId="7FB863D3">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甲苯</w:t>
            </w:r>
          </w:p>
        </w:tc>
        <w:tc>
          <w:tcPr>
            <w:tcW w:w="801" w:type="dxa"/>
            <w:vMerge w:val="continue"/>
            <w:tcBorders>
              <w:left w:val="single" w:color="auto" w:sz="4" w:space="0"/>
              <w:right w:val="single" w:color="auto" w:sz="4" w:space="0"/>
            </w:tcBorders>
            <w:shd w:val="clear" w:color="auto" w:fill="auto"/>
            <w:vAlign w:val="center"/>
          </w:tcPr>
          <w:p w14:paraId="64CB42DA">
            <w:pPr>
              <w:widowControl/>
              <w:spacing w:line="240" w:lineRule="auto"/>
              <w:ind w:firstLine="0" w:firstLineChars="0"/>
              <w:jc w:val="center"/>
              <w:rPr>
                <w:rFonts w:hint="default" w:ascii="Times New Roman" w:hAnsi="Times New Roman" w:cs="Times New Roman"/>
                <w:color w:val="auto"/>
                <w:kern w:val="2"/>
                <w:sz w:val="21"/>
                <w:szCs w:val="21"/>
              </w:rPr>
            </w:pPr>
          </w:p>
        </w:tc>
        <w:tc>
          <w:tcPr>
            <w:tcW w:w="1302" w:type="dxa"/>
            <w:vMerge w:val="continue"/>
            <w:tcBorders>
              <w:left w:val="single" w:color="auto" w:sz="4" w:space="0"/>
              <w:right w:val="single" w:color="auto" w:sz="4" w:space="0"/>
            </w:tcBorders>
            <w:shd w:val="clear" w:color="auto" w:fill="auto"/>
            <w:vAlign w:val="center"/>
          </w:tcPr>
          <w:p w14:paraId="7871DDCE">
            <w:pPr>
              <w:widowControl/>
              <w:spacing w:line="240" w:lineRule="auto"/>
              <w:ind w:firstLine="0" w:firstLineChars="0"/>
              <w:jc w:val="center"/>
              <w:rPr>
                <w:rFonts w:hint="default" w:ascii="Times New Roman" w:hAnsi="Times New Roman" w:cs="Times New Roman"/>
                <w:color w:val="auto"/>
                <w:kern w:val="2"/>
                <w:sz w:val="21"/>
                <w:szCs w:val="21"/>
              </w:rPr>
            </w:pPr>
          </w:p>
        </w:tc>
        <w:tc>
          <w:tcPr>
            <w:tcW w:w="1295" w:type="dxa"/>
            <w:vMerge w:val="continue"/>
            <w:tcBorders>
              <w:left w:val="single" w:color="auto" w:sz="4" w:space="0"/>
              <w:right w:val="single" w:color="auto" w:sz="4" w:space="0"/>
            </w:tcBorders>
            <w:shd w:val="clear" w:color="auto" w:fill="auto"/>
            <w:vAlign w:val="center"/>
          </w:tcPr>
          <w:p w14:paraId="47D3F014">
            <w:pPr>
              <w:widowControl/>
              <w:spacing w:line="240" w:lineRule="auto"/>
              <w:ind w:firstLine="0" w:firstLineChars="0"/>
              <w:jc w:val="center"/>
              <w:rPr>
                <w:rFonts w:hint="default" w:ascii="Times New Roman" w:hAnsi="Times New Roman" w:cs="Times New Roman"/>
                <w:color w:val="auto"/>
                <w:kern w:val="2"/>
                <w:sz w:val="21"/>
                <w:szCs w:val="21"/>
              </w:rPr>
            </w:pPr>
          </w:p>
        </w:tc>
        <w:tc>
          <w:tcPr>
            <w:tcW w:w="1194" w:type="dxa"/>
            <w:vMerge w:val="continue"/>
            <w:tcBorders>
              <w:left w:val="single" w:color="auto" w:sz="4" w:space="0"/>
              <w:right w:val="single" w:color="auto" w:sz="4" w:space="0"/>
            </w:tcBorders>
            <w:shd w:val="clear" w:color="auto" w:fill="auto"/>
            <w:vAlign w:val="center"/>
          </w:tcPr>
          <w:p w14:paraId="78B945FB">
            <w:pPr>
              <w:widowControl/>
              <w:spacing w:line="240" w:lineRule="auto"/>
              <w:ind w:firstLine="0" w:firstLineChars="0"/>
              <w:jc w:val="center"/>
              <w:rPr>
                <w:rFonts w:hint="default" w:ascii="Times New Roman" w:hAnsi="Times New Roman" w:cs="Times New Roman"/>
                <w:color w:val="auto"/>
                <w:kern w:val="2"/>
                <w:sz w:val="21"/>
                <w:szCs w:val="21"/>
              </w:rPr>
            </w:pPr>
          </w:p>
        </w:tc>
        <w:tc>
          <w:tcPr>
            <w:tcW w:w="1063" w:type="dxa"/>
            <w:vMerge w:val="continue"/>
            <w:tcBorders>
              <w:left w:val="single" w:color="auto" w:sz="4" w:space="0"/>
              <w:right w:val="single" w:color="auto" w:sz="4" w:space="0"/>
            </w:tcBorders>
            <w:shd w:val="clear" w:color="auto" w:fill="auto"/>
            <w:vAlign w:val="center"/>
          </w:tcPr>
          <w:p w14:paraId="098EEB51">
            <w:pPr>
              <w:widowControl/>
              <w:spacing w:line="240" w:lineRule="auto"/>
              <w:ind w:firstLine="0" w:firstLineChars="0"/>
              <w:jc w:val="center"/>
              <w:rPr>
                <w:rFonts w:hint="default" w:ascii="Times New Roman" w:hAnsi="Times New Roman" w:cs="Times New Roman"/>
                <w:color w:val="auto"/>
                <w:kern w:val="2"/>
                <w:sz w:val="21"/>
                <w:szCs w:val="21"/>
              </w:rPr>
            </w:pPr>
          </w:p>
        </w:tc>
        <w:tc>
          <w:tcPr>
            <w:tcW w:w="1365" w:type="dxa"/>
            <w:vMerge w:val="continue"/>
            <w:tcBorders>
              <w:left w:val="single" w:color="auto" w:sz="4" w:space="0"/>
              <w:right w:val="single" w:color="auto" w:sz="4" w:space="0"/>
            </w:tcBorders>
            <w:shd w:val="clear" w:color="auto" w:fill="auto"/>
            <w:vAlign w:val="center"/>
          </w:tcPr>
          <w:p w14:paraId="7E82A6D0">
            <w:pPr>
              <w:widowControl/>
              <w:spacing w:line="240" w:lineRule="auto"/>
              <w:ind w:firstLine="0" w:firstLineChars="0"/>
              <w:jc w:val="center"/>
              <w:rPr>
                <w:rFonts w:hint="default" w:ascii="Times New Roman" w:hAnsi="Times New Roman" w:cs="Times New Roman"/>
                <w:color w:val="auto"/>
                <w:kern w:val="2"/>
                <w:sz w:val="21"/>
                <w:szCs w:val="21"/>
              </w:rPr>
            </w:pPr>
          </w:p>
        </w:tc>
        <w:tc>
          <w:tcPr>
            <w:tcW w:w="1417" w:type="dxa"/>
            <w:vMerge w:val="continue"/>
            <w:tcBorders>
              <w:left w:val="single" w:color="auto" w:sz="4" w:space="0"/>
              <w:right w:val="single" w:color="auto" w:sz="4" w:space="0"/>
            </w:tcBorders>
            <w:shd w:val="clear" w:color="auto" w:fill="auto"/>
            <w:vAlign w:val="center"/>
          </w:tcPr>
          <w:p w14:paraId="5DC7224D">
            <w:pPr>
              <w:widowControl/>
              <w:spacing w:line="240" w:lineRule="auto"/>
              <w:ind w:firstLine="0" w:firstLineChars="0"/>
              <w:jc w:val="center"/>
              <w:rPr>
                <w:rFonts w:hint="default" w:ascii="Times New Roman" w:hAnsi="Times New Roman" w:cs="Times New Roman"/>
                <w:color w:val="auto"/>
                <w:kern w:val="2"/>
                <w:sz w:val="21"/>
                <w:szCs w:val="21"/>
              </w:rPr>
            </w:pPr>
          </w:p>
        </w:tc>
        <w:tc>
          <w:tcPr>
            <w:tcW w:w="1060" w:type="dxa"/>
            <w:tcBorders>
              <w:top w:val="single" w:color="auto" w:sz="4" w:space="0"/>
              <w:left w:val="single" w:color="auto" w:sz="4" w:space="0"/>
              <w:bottom w:val="single" w:color="auto" w:sz="4" w:space="0"/>
              <w:right w:val="single" w:color="auto" w:sz="4" w:space="0"/>
            </w:tcBorders>
            <w:shd w:val="clear" w:color="auto" w:fill="auto"/>
            <w:vAlign w:val="center"/>
          </w:tcPr>
          <w:p w14:paraId="76E02B22">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8</w:t>
            </w:r>
          </w:p>
        </w:tc>
        <w:tc>
          <w:tcPr>
            <w:tcW w:w="1054" w:type="dxa"/>
            <w:tcBorders>
              <w:top w:val="single" w:color="auto" w:sz="4" w:space="0"/>
              <w:left w:val="single" w:color="auto" w:sz="4" w:space="0"/>
              <w:bottom w:val="single" w:color="auto" w:sz="4" w:space="0"/>
              <w:right w:val="single" w:color="auto" w:sz="4" w:space="0"/>
            </w:tcBorders>
            <w:shd w:val="clear" w:color="auto" w:fill="auto"/>
            <w:vAlign w:val="center"/>
          </w:tcPr>
          <w:p w14:paraId="109476D9">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103" w:type="dxa"/>
            <w:tcBorders>
              <w:top w:val="single" w:color="auto" w:sz="4" w:space="0"/>
              <w:left w:val="single" w:color="auto" w:sz="4" w:space="0"/>
              <w:bottom w:val="single" w:color="auto" w:sz="4" w:space="0"/>
              <w:right w:val="single" w:color="auto" w:sz="4" w:space="0"/>
            </w:tcBorders>
            <w:shd w:val="clear" w:color="auto" w:fill="auto"/>
            <w:vAlign w:val="center"/>
          </w:tcPr>
          <w:p w14:paraId="0AF9262E">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0.8</w:t>
            </w:r>
          </w:p>
        </w:tc>
      </w:tr>
      <w:tr w14:paraId="6507B640">
        <w:tblPrEx>
          <w:tblCellMar>
            <w:top w:w="0" w:type="dxa"/>
            <w:left w:w="108" w:type="dxa"/>
            <w:bottom w:w="0" w:type="dxa"/>
            <w:right w:w="108" w:type="dxa"/>
          </w:tblCellMar>
        </w:tblPrEx>
        <w:tc>
          <w:tcPr>
            <w:tcW w:w="1134" w:type="dxa"/>
            <w:vMerge w:val="continue"/>
            <w:tcBorders>
              <w:left w:val="single" w:color="auto" w:sz="4" w:space="0"/>
              <w:bottom w:val="single" w:color="auto" w:sz="4" w:space="0"/>
              <w:right w:val="single" w:color="auto" w:sz="4" w:space="0"/>
            </w:tcBorders>
            <w:vAlign w:val="center"/>
          </w:tcPr>
          <w:p w14:paraId="07E4A222">
            <w:pPr>
              <w:widowControl/>
              <w:spacing w:line="240" w:lineRule="auto"/>
              <w:ind w:firstLine="0" w:firstLineChars="0"/>
              <w:jc w:val="center"/>
              <w:textAlignment w:val="center"/>
              <w:rPr>
                <w:rFonts w:hint="default" w:ascii="Times New Roman" w:hAnsi="Times New Roman" w:cs="Times New Roman"/>
                <w:color w:val="auto"/>
                <w:kern w:val="2"/>
                <w:sz w:val="21"/>
                <w:szCs w:val="21"/>
              </w:rPr>
            </w:pPr>
          </w:p>
        </w:tc>
        <w:tc>
          <w:tcPr>
            <w:tcW w:w="1295" w:type="dxa"/>
            <w:tcBorders>
              <w:top w:val="single" w:color="auto" w:sz="4" w:space="0"/>
              <w:left w:val="single" w:color="auto" w:sz="4" w:space="0"/>
              <w:bottom w:val="single" w:color="auto" w:sz="4" w:space="0"/>
              <w:right w:val="single" w:color="auto" w:sz="4" w:space="0"/>
            </w:tcBorders>
            <w:vAlign w:val="center"/>
          </w:tcPr>
          <w:p w14:paraId="1B6B17C8">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1,3-丁二烯</w:t>
            </w:r>
          </w:p>
        </w:tc>
        <w:tc>
          <w:tcPr>
            <w:tcW w:w="801" w:type="dxa"/>
            <w:vMerge w:val="continue"/>
            <w:tcBorders>
              <w:left w:val="single" w:color="auto" w:sz="4" w:space="0"/>
              <w:bottom w:val="single" w:color="auto" w:sz="4" w:space="0"/>
              <w:right w:val="single" w:color="auto" w:sz="4" w:space="0"/>
            </w:tcBorders>
            <w:shd w:val="clear" w:color="auto" w:fill="auto"/>
            <w:vAlign w:val="center"/>
          </w:tcPr>
          <w:p w14:paraId="095ED176">
            <w:pPr>
              <w:widowControl/>
              <w:spacing w:line="240" w:lineRule="auto"/>
              <w:ind w:firstLine="0" w:firstLineChars="0"/>
              <w:jc w:val="center"/>
              <w:rPr>
                <w:rFonts w:hint="default" w:ascii="Times New Roman" w:hAnsi="Times New Roman" w:cs="Times New Roman"/>
                <w:color w:val="auto"/>
                <w:kern w:val="2"/>
                <w:sz w:val="21"/>
                <w:szCs w:val="21"/>
              </w:rPr>
            </w:pPr>
          </w:p>
        </w:tc>
        <w:tc>
          <w:tcPr>
            <w:tcW w:w="1302" w:type="dxa"/>
            <w:vMerge w:val="continue"/>
            <w:tcBorders>
              <w:left w:val="single" w:color="auto" w:sz="4" w:space="0"/>
              <w:bottom w:val="single" w:color="auto" w:sz="4" w:space="0"/>
              <w:right w:val="single" w:color="auto" w:sz="4" w:space="0"/>
            </w:tcBorders>
            <w:shd w:val="clear" w:color="auto" w:fill="auto"/>
            <w:vAlign w:val="center"/>
          </w:tcPr>
          <w:p w14:paraId="0962E826">
            <w:pPr>
              <w:widowControl/>
              <w:spacing w:line="240" w:lineRule="auto"/>
              <w:ind w:firstLine="0" w:firstLineChars="0"/>
              <w:jc w:val="center"/>
              <w:rPr>
                <w:rFonts w:hint="default" w:ascii="Times New Roman" w:hAnsi="Times New Roman" w:cs="Times New Roman"/>
                <w:color w:val="auto"/>
                <w:kern w:val="2"/>
                <w:sz w:val="21"/>
                <w:szCs w:val="21"/>
              </w:rPr>
            </w:pPr>
          </w:p>
        </w:tc>
        <w:tc>
          <w:tcPr>
            <w:tcW w:w="1295" w:type="dxa"/>
            <w:vMerge w:val="continue"/>
            <w:tcBorders>
              <w:left w:val="single" w:color="auto" w:sz="4" w:space="0"/>
              <w:bottom w:val="single" w:color="auto" w:sz="4" w:space="0"/>
              <w:right w:val="single" w:color="auto" w:sz="4" w:space="0"/>
            </w:tcBorders>
            <w:shd w:val="clear" w:color="auto" w:fill="auto"/>
            <w:vAlign w:val="center"/>
          </w:tcPr>
          <w:p w14:paraId="39D50223">
            <w:pPr>
              <w:widowControl/>
              <w:spacing w:line="240" w:lineRule="auto"/>
              <w:ind w:firstLine="0" w:firstLineChars="0"/>
              <w:jc w:val="center"/>
              <w:rPr>
                <w:rFonts w:hint="default" w:ascii="Times New Roman" w:hAnsi="Times New Roman" w:cs="Times New Roman"/>
                <w:color w:val="auto"/>
                <w:kern w:val="2"/>
                <w:sz w:val="21"/>
                <w:szCs w:val="21"/>
              </w:rPr>
            </w:pPr>
          </w:p>
        </w:tc>
        <w:tc>
          <w:tcPr>
            <w:tcW w:w="1194" w:type="dxa"/>
            <w:vMerge w:val="continue"/>
            <w:tcBorders>
              <w:left w:val="single" w:color="auto" w:sz="4" w:space="0"/>
              <w:bottom w:val="single" w:color="auto" w:sz="4" w:space="0"/>
              <w:right w:val="single" w:color="auto" w:sz="4" w:space="0"/>
            </w:tcBorders>
            <w:shd w:val="clear" w:color="auto" w:fill="auto"/>
            <w:vAlign w:val="center"/>
          </w:tcPr>
          <w:p w14:paraId="4A14224D">
            <w:pPr>
              <w:widowControl/>
              <w:spacing w:line="240" w:lineRule="auto"/>
              <w:ind w:firstLine="0" w:firstLineChars="0"/>
              <w:jc w:val="center"/>
              <w:rPr>
                <w:rFonts w:hint="default" w:ascii="Times New Roman" w:hAnsi="Times New Roman" w:cs="Times New Roman"/>
                <w:color w:val="auto"/>
                <w:kern w:val="2"/>
                <w:sz w:val="21"/>
                <w:szCs w:val="21"/>
              </w:rPr>
            </w:pPr>
          </w:p>
        </w:tc>
        <w:tc>
          <w:tcPr>
            <w:tcW w:w="1063" w:type="dxa"/>
            <w:vMerge w:val="continue"/>
            <w:tcBorders>
              <w:left w:val="single" w:color="auto" w:sz="4" w:space="0"/>
              <w:bottom w:val="single" w:color="auto" w:sz="4" w:space="0"/>
              <w:right w:val="single" w:color="auto" w:sz="4" w:space="0"/>
            </w:tcBorders>
            <w:shd w:val="clear" w:color="auto" w:fill="auto"/>
            <w:vAlign w:val="center"/>
          </w:tcPr>
          <w:p w14:paraId="79A80700">
            <w:pPr>
              <w:widowControl/>
              <w:spacing w:line="240" w:lineRule="auto"/>
              <w:ind w:firstLine="0" w:firstLineChars="0"/>
              <w:jc w:val="center"/>
              <w:rPr>
                <w:rFonts w:hint="default" w:ascii="Times New Roman" w:hAnsi="Times New Roman" w:cs="Times New Roman"/>
                <w:color w:val="auto"/>
                <w:kern w:val="2"/>
                <w:sz w:val="21"/>
                <w:szCs w:val="21"/>
              </w:rPr>
            </w:pPr>
          </w:p>
        </w:tc>
        <w:tc>
          <w:tcPr>
            <w:tcW w:w="1365" w:type="dxa"/>
            <w:vMerge w:val="continue"/>
            <w:tcBorders>
              <w:left w:val="single" w:color="auto" w:sz="4" w:space="0"/>
              <w:bottom w:val="single" w:color="auto" w:sz="4" w:space="0"/>
              <w:right w:val="single" w:color="auto" w:sz="4" w:space="0"/>
            </w:tcBorders>
            <w:shd w:val="clear" w:color="auto" w:fill="auto"/>
            <w:vAlign w:val="center"/>
          </w:tcPr>
          <w:p w14:paraId="48C5A47A">
            <w:pPr>
              <w:widowControl/>
              <w:spacing w:line="240" w:lineRule="auto"/>
              <w:ind w:firstLine="0" w:firstLineChars="0"/>
              <w:jc w:val="center"/>
              <w:rPr>
                <w:rFonts w:hint="default" w:ascii="Times New Roman" w:hAnsi="Times New Roman" w:cs="Times New Roman"/>
                <w:color w:val="auto"/>
                <w:kern w:val="2"/>
                <w:sz w:val="21"/>
                <w:szCs w:val="21"/>
              </w:rPr>
            </w:pPr>
          </w:p>
        </w:tc>
        <w:tc>
          <w:tcPr>
            <w:tcW w:w="1417" w:type="dxa"/>
            <w:vMerge w:val="continue"/>
            <w:tcBorders>
              <w:left w:val="single" w:color="auto" w:sz="4" w:space="0"/>
              <w:bottom w:val="single" w:color="auto" w:sz="4" w:space="0"/>
              <w:right w:val="single" w:color="auto" w:sz="4" w:space="0"/>
            </w:tcBorders>
            <w:shd w:val="clear" w:color="auto" w:fill="auto"/>
            <w:vAlign w:val="center"/>
          </w:tcPr>
          <w:p w14:paraId="2B3DAF3F">
            <w:pPr>
              <w:widowControl/>
              <w:spacing w:line="240" w:lineRule="auto"/>
              <w:ind w:firstLine="0" w:firstLineChars="0"/>
              <w:jc w:val="center"/>
              <w:rPr>
                <w:rFonts w:hint="default" w:ascii="Times New Roman" w:hAnsi="Times New Roman" w:cs="Times New Roman"/>
                <w:color w:val="auto"/>
                <w:kern w:val="2"/>
                <w:sz w:val="21"/>
                <w:szCs w:val="21"/>
              </w:rPr>
            </w:pPr>
          </w:p>
        </w:tc>
        <w:tc>
          <w:tcPr>
            <w:tcW w:w="1060" w:type="dxa"/>
            <w:tcBorders>
              <w:top w:val="single" w:color="auto" w:sz="4" w:space="0"/>
              <w:left w:val="single" w:color="auto" w:sz="4" w:space="0"/>
              <w:bottom w:val="single" w:color="auto" w:sz="4" w:space="0"/>
              <w:right w:val="single" w:color="auto" w:sz="4" w:space="0"/>
            </w:tcBorders>
            <w:shd w:val="clear" w:color="auto" w:fill="auto"/>
            <w:vAlign w:val="center"/>
          </w:tcPr>
          <w:p w14:paraId="7641D0B1">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1054" w:type="dxa"/>
            <w:tcBorders>
              <w:top w:val="single" w:color="auto" w:sz="4" w:space="0"/>
              <w:left w:val="single" w:color="auto" w:sz="4" w:space="0"/>
              <w:bottom w:val="single" w:color="auto" w:sz="4" w:space="0"/>
              <w:right w:val="single" w:color="auto" w:sz="4" w:space="0"/>
            </w:tcBorders>
            <w:shd w:val="clear" w:color="auto" w:fill="auto"/>
            <w:vAlign w:val="center"/>
          </w:tcPr>
          <w:p w14:paraId="6B4C16A5">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c>
          <w:tcPr>
            <w:tcW w:w="1103" w:type="dxa"/>
            <w:tcBorders>
              <w:top w:val="single" w:color="auto" w:sz="4" w:space="0"/>
              <w:left w:val="single" w:color="auto" w:sz="4" w:space="0"/>
              <w:bottom w:val="single" w:color="auto" w:sz="4" w:space="0"/>
              <w:right w:val="single" w:color="auto" w:sz="4" w:space="0"/>
            </w:tcBorders>
            <w:shd w:val="clear" w:color="auto" w:fill="auto"/>
            <w:vAlign w:val="center"/>
          </w:tcPr>
          <w:p w14:paraId="6C8BF653">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p>
        </w:tc>
      </w:tr>
      <w:tr w14:paraId="13B170A3">
        <w:tblPrEx>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vAlign w:val="center"/>
          </w:tcPr>
          <w:p w14:paraId="079F3050">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lang w:bidi="ar"/>
              </w:rPr>
              <w:t>投料混合</w:t>
            </w:r>
          </w:p>
        </w:tc>
        <w:tc>
          <w:tcPr>
            <w:tcW w:w="1295" w:type="dxa"/>
            <w:tcBorders>
              <w:top w:val="single" w:color="auto" w:sz="4" w:space="0"/>
              <w:left w:val="single" w:color="auto" w:sz="4" w:space="0"/>
              <w:bottom w:val="single" w:color="auto" w:sz="4" w:space="0"/>
              <w:right w:val="single" w:color="auto" w:sz="4" w:space="0"/>
            </w:tcBorders>
            <w:vAlign w:val="center"/>
          </w:tcPr>
          <w:p w14:paraId="529AA55D">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颗粒物</w:t>
            </w:r>
          </w:p>
        </w:tc>
        <w:tc>
          <w:tcPr>
            <w:tcW w:w="801" w:type="dxa"/>
            <w:tcBorders>
              <w:top w:val="single" w:color="auto" w:sz="4" w:space="0"/>
              <w:left w:val="single" w:color="auto" w:sz="4" w:space="0"/>
              <w:bottom w:val="single" w:color="auto" w:sz="4" w:space="0"/>
              <w:right w:val="single" w:color="auto" w:sz="4" w:space="0"/>
            </w:tcBorders>
            <w:shd w:val="clear" w:color="auto" w:fill="auto"/>
            <w:vAlign w:val="center"/>
          </w:tcPr>
          <w:p w14:paraId="0514D35E">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25</w:t>
            </w:r>
          </w:p>
        </w:tc>
        <w:tc>
          <w:tcPr>
            <w:tcW w:w="1302" w:type="dxa"/>
            <w:tcBorders>
              <w:top w:val="single" w:color="auto" w:sz="4" w:space="0"/>
              <w:left w:val="single" w:color="auto" w:sz="4" w:space="0"/>
              <w:bottom w:val="single" w:color="auto" w:sz="4" w:space="0"/>
              <w:right w:val="single" w:color="auto" w:sz="4" w:space="0"/>
            </w:tcBorders>
            <w:shd w:val="clear" w:color="auto" w:fill="auto"/>
            <w:vAlign w:val="center"/>
          </w:tcPr>
          <w:p w14:paraId="7CF3C391">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0.3</w:t>
            </w:r>
          </w:p>
        </w:tc>
        <w:tc>
          <w:tcPr>
            <w:tcW w:w="1295" w:type="dxa"/>
            <w:tcBorders>
              <w:top w:val="single" w:color="auto" w:sz="4" w:space="0"/>
              <w:left w:val="single" w:color="auto" w:sz="4" w:space="0"/>
              <w:bottom w:val="single" w:color="auto" w:sz="4" w:space="0"/>
              <w:right w:val="single" w:color="auto" w:sz="4" w:space="0"/>
            </w:tcBorders>
            <w:shd w:val="clear" w:color="auto" w:fill="auto"/>
            <w:vAlign w:val="center"/>
          </w:tcPr>
          <w:p w14:paraId="62693C2F">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25</w:t>
            </w:r>
          </w:p>
        </w:tc>
        <w:tc>
          <w:tcPr>
            <w:tcW w:w="1194" w:type="dxa"/>
            <w:tcBorders>
              <w:top w:val="single" w:color="auto" w:sz="4" w:space="0"/>
              <w:left w:val="single" w:color="auto" w:sz="4" w:space="0"/>
              <w:bottom w:val="single" w:color="auto" w:sz="4" w:space="0"/>
              <w:right w:val="single" w:color="auto" w:sz="4" w:space="0"/>
            </w:tcBorders>
            <w:shd w:val="clear" w:color="auto" w:fill="auto"/>
            <w:vAlign w:val="center"/>
          </w:tcPr>
          <w:p w14:paraId="2BFBABC4">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613C3659">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排气筒</w:t>
            </w:r>
          </w:p>
        </w:tc>
        <w:tc>
          <w:tcPr>
            <w:tcW w:w="1365" w:type="dxa"/>
            <w:tcBorders>
              <w:top w:val="single" w:color="auto" w:sz="4" w:space="0"/>
              <w:left w:val="single" w:color="auto" w:sz="4" w:space="0"/>
              <w:bottom w:val="single" w:color="auto" w:sz="4" w:space="0"/>
              <w:right w:val="single" w:color="auto" w:sz="4" w:space="0"/>
            </w:tcBorders>
            <w:shd w:val="clear" w:color="auto" w:fill="auto"/>
            <w:vAlign w:val="center"/>
          </w:tcPr>
          <w:p w14:paraId="59E5ABF2">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一般排污口</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69E39E36">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106°21′14.155″,29°20′55.359″</w:t>
            </w:r>
          </w:p>
        </w:tc>
        <w:tc>
          <w:tcPr>
            <w:tcW w:w="1060" w:type="dxa"/>
            <w:tcBorders>
              <w:top w:val="single" w:color="auto" w:sz="4" w:space="0"/>
              <w:left w:val="single" w:color="auto" w:sz="4" w:space="0"/>
              <w:bottom w:val="single" w:color="auto" w:sz="4" w:space="0"/>
              <w:right w:val="single" w:color="auto" w:sz="4" w:space="0"/>
            </w:tcBorders>
            <w:shd w:val="clear" w:color="auto" w:fill="auto"/>
            <w:vAlign w:val="center"/>
          </w:tcPr>
          <w:p w14:paraId="1580449E">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20</w:t>
            </w:r>
          </w:p>
        </w:tc>
        <w:tc>
          <w:tcPr>
            <w:tcW w:w="1054" w:type="dxa"/>
            <w:tcBorders>
              <w:top w:val="single" w:color="auto" w:sz="4" w:space="0"/>
              <w:left w:val="single" w:color="auto" w:sz="4" w:space="0"/>
              <w:bottom w:val="single" w:color="auto" w:sz="4" w:space="0"/>
              <w:right w:val="single" w:color="auto" w:sz="4" w:space="0"/>
            </w:tcBorders>
            <w:shd w:val="clear" w:color="auto" w:fill="auto"/>
            <w:vAlign w:val="center"/>
          </w:tcPr>
          <w:p w14:paraId="4446C943">
            <w:pPr>
              <w:widowControl/>
              <w:spacing w:line="240" w:lineRule="auto"/>
              <w:ind w:firstLine="0" w:firstLineChars="0"/>
              <w:jc w:val="center"/>
              <w:rPr>
                <w:rFonts w:hint="default" w:ascii="Times New Roman" w:hAnsi="Times New Roman" w:cs="Times New Roman"/>
                <w:color w:val="auto"/>
                <w:kern w:val="2"/>
                <w:sz w:val="21"/>
                <w:szCs w:val="21"/>
              </w:rPr>
            </w:pPr>
          </w:p>
        </w:tc>
        <w:tc>
          <w:tcPr>
            <w:tcW w:w="1103" w:type="dxa"/>
            <w:tcBorders>
              <w:top w:val="single" w:color="auto" w:sz="4" w:space="0"/>
              <w:left w:val="single" w:color="auto" w:sz="4" w:space="0"/>
              <w:bottom w:val="single" w:color="auto" w:sz="4" w:space="0"/>
              <w:right w:val="single" w:color="auto" w:sz="4" w:space="0"/>
            </w:tcBorders>
            <w:shd w:val="clear" w:color="auto" w:fill="auto"/>
            <w:vAlign w:val="center"/>
          </w:tcPr>
          <w:p w14:paraId="5CE292F4">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1.0</w:t>
            </w:r>
          </w:p>
        </w:tc>
      </w:tr>
    </w:tbl>
    <w:p w14:paraId="6D472E8A">
      <w:pPr>
        <w:spacing w:line="240" w:lineRule="auto"/>
        <w:ind w:firstLine="480"/>
        <w:rPr>
          <w:rFonts w:hint="default" w:ascii="Times New Roman" w:hAnsi="Times New Roman" w:cs="Times New Roman"/>
          <w:color w:val="auto"/>
        </w:rPr>
        <w:sectPr>
          <w:headerReference r:id="rId22" w:type="default"/>
          <w:pgSz w:w="16840" w:h="11907" w:orient="landscape"/>
          <w:pgMar w:top="1797" w:right="1440" w:bottom="1797" w:left="1440" w:header="851" w:footer="992" w:gutter="0"/>
          <w:cols w:space="720" w:num="1"/>
          <w:docGrid w:type="lines" w:linePitch="326" w:charSpace="0"/>
        </w:sectPr>
      </w:pPr>
    </w:p>
    <w:p w14:paraId="5CF9E5F7">
      <w:pPr>
        <w:ind w:firstLine="480"/>
        <w:rPr>
          <w:rFonts w:hint="default" w:ascii="Times New Roman" w:hAnsi="Times New Roman" w:cs="Times New Roman"/>
          <w:color w:val="auto"/>
        </w:rPr>
      </w:pPr>
      <w:r>
        <w:rPr>
          <w:rFonts w:hint="default" w:ascii="Times New Roman" w:hAnsi="Times New Roman" w:cs="Times New Roman"/>
          <w:color w:val="auto"/>
        </w:rPr>
        <w:t>（3）措施可行性分析</w:t>
      </w:r>
    </w:p>
    <w:p w14:paraId="39420016">
      <w:pPr>
        <w:ind w:firstLine="0" w:firstLineChars="0"/>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5271135" cy="1004570"/>
            <wp:effectExtent l="0" t="0" r="5715" b="5080"/>
            <wp:docPr id="2" name="图片 2" descr="废气处理措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废气处理措施"/>
                    <pic:cNvPicPr>
                      <a:picLocks noChangeAspect="1"/>
                    </pic:cNvPicPr>
                  </pic:nvPicPr>
                  <pic:blipFill>
                    <a:blip r:embed="rId48"/>
                    <a:stretch>
                      <a:fillRect/>
                    </a:stretch>
                  </pic:blipFill>
                  <pic:spPr>
                    <a:xfrm>
                      <a:off x="0" y="0"/>
                      <a:ext cx="5271135" cy="1004570"/>
                    </a:xfrm>
                    <a:prstGeom prst="rect">
                      <a:avLst/>
                    </a:prstGeom>
                  </pic:spPr>
                </pic:pic>
              </a:graphicData>
            </a:graphic>
          </wp:inline>
        </w:drawing>
      </w:r>
    </w:p>
    <w:p w14:paraId="540B8ECA">
      <w:pPr>
        <w:pStyle w:val="93"/>
        <w:rPr>
          <w:rFonts w:hint="default" w:ascii="Times New Roman" w:hAnsi="Times New Roman" w:cs="Times New Roman"/>
          <w:color w:val="auto"/>
        </w:rPr>
      </w:pPr>
      <w:r>
        <w:rPr>
          <w:rFonts w:hint="default" w:ascii="Times New Roman" w:hAnsi="Times New Roman" w:cs="Times New Roman"/>
          <w:color w:val="auto"/>
        </w:rPr>
        <w:t>图4.2.1-1   废气处理措施</w:t>
      </w:r>
    </w:p>
    <w:p w14:paraId="565D92BC">
      <w:pPr>
        <w:ind w:firstLine="480"/>
        <w:rPr>
          <w:rFonts w:hint="default" w:ascii="Times New Roman" w:hAnsi="Times New Roman" w:cs="Times New Roman"/>
          <w:color w:val="auto"/>
        </w:rPr>
      </w:pPr>
      <w:r>
        <w:rPr>
          <w:rFonts w:hint="default" w:ascii="Times New Roman" w:hAnsi="Times New Roman" w:cs="Times New Roman"/>
          <w:color w:val="auto"/>
        </w:rPr>
        <w:t>1）有组织废气</w:t>
      </w:r>
    </w:p>
    <w:p w14:paraId="35A9D34D">
      <w:pPr>
        <w:ind w:firstLine="480"/>
        <w:rPr>
          <w:rFonts w:hint="default" w:ascii="Times New Roman" w:hAnsi="Times New Roman" w:cs="Times New Roman"/>
          <w:color w:val="auto"/>
        </w:rPr>
      </w:pPr>
      <w:r>
        <w:rPr>
          <w:rFonts w:hint="default" w:ascii="Times New Roman" w:hAnsi="Times New Roman" w:cs="Times New Roman"/>
          <w:color w:val="auto"/>
        </w:rPr>
        <w:t>①有机废气处理措施可行性分析</w:t>
      </w:r>
    </w:p>
    <w:p w14:paraId="09A3E30A">
      <w:pPr>
        <w:ind w:firstLine="48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本项目改性塑料主要采用挤出工艺，属于国民经济行业中的“C2929塑料零件及其他塑料制品制造”，需重点关注非甲烷总烃等废气的产生。根据西部(重庆)科学城九龙新城园区管理委员会对本项目废气的要求（见附件10），本项目废气治理措施将依据国家和地方相关规范要求进行可行性分析。</w:t>
      </w:r>
    </w:p>
    <w:p w14:paraId="76097A79">
      <w:pPr>
        <w:ind w:firstLine="480"/>
        <w:rPr>
          <w:rFonts w:hint="default" w:ascii="Times New Roman" w:hAnsi="Times New Roman" w:cs="Times New Roman"/>
          <w:color w:val="auto"/>
          <w:lang w:val="en"/>
        </w:rPr>
      </w:pPr>
      <w:r>
        <w:rPr>
          <w:rFonts w:hint="default" w:ascii="Times New Roman" w:hAnsi="Times New Roman" w:cs="Times New Roman"/>
          <w:color w:val="auto"/>
        </w:rPr>
        <w:t>根据《排污许可证申请与核发技术规范 橡胶和塑料制品工业》（HJ 1122-2020）表A.2塑料制品工业排污单位废气污染防治可行技术参考表。本项目所采取的措施属于其推荐的可行技术。且本项目废气处理工艺符合《重点行业挥发性有机物综合治理方案》中推荐的</w:t>
      </w:r>
      <w:r>
        <w:rPr>
          <w:rFonts w:hint="default" w:ascii="Times New Roman" w:hAnsi="Times New Roman" w:cs="Times New Roman"/>
          <w:color w:val="auto"/>
          <w:lang w:val="en"/>
        </w:rPr>
        <w:t>《吸附法工业有机废气治理工程技术规范》要求。</w:t>
      </w:r>
    </w:p>
    <w:p w14:paraId="4DCE3E34">
      <w:pPr>
        <w:ind w:firstLine="480"/>
        <w:rPr>
          <w:rFonts w:hint="default" w:ascii="Times New Roman" w:hAnsi="Times New Roman" w:eastAsia="宋体" w:cs="Times New Roman"/>
          <w:color w:val="auto"/>
          <w:lang w:val="en-US" w:eastAsia="zh-CN"/>
        </w:rPr>
      </w:pPr>
      <w:r>
        <w:rPr>
          <w:rFonts w:hint="default" w:ascii="Times New Roman" w:hAnsi="Times New Roman" w:cs="Times New Roman"/>
          <w:color w:val="auto"/>
        </w:rPr>
        <w:t>由于本项目在</w:t>
      </w:r>
      <w:r>
        <w:rPr>
          <w:rFonts w:hint="default" w:ascii="Times New Roman" w:hAnsi="Times New Roman" w:cs="Times New Roman"/>
          <w:color w:val="auto"/>
          <w:lang w:val="en-US" w:eastAsia="zh-CN"/>
        </w:rPr>
        <w:t>烘干</w:t>
      </w:r>
      <w:r>
        <w:rPr>
          <w:rFonts w:hint="default" w:ascii="Times New Roman" w:hAnsi="Times New Roman" w:cs="Times New Roman"/>
          <w:color w:val="auto"/>
        </w:rPr>
        <w:t>阶段和冷却水槽有大量水蒸气通过集气罩收集，不利于活性炭吸附处理，因此在二级活性炭吸附前加装</w:t>
      </w:r>
      <w:r>
        <w:rPr>
          <w:rFonts w:hint="eastAsia" w:cs="Times New Roman"/>
          <w:color w:val="auto"/>
          <w:lang w:val="en-US" w:eastAsia="zh-CN"/>
        </w:rPr>
        <w:t>碱</w:t>
      </w:r>
      <w:r>
        <w:rPr>
          <w:rFonts w:hint="default" w:ascii="Times New Roman" w:hAnsi="Times New Roman" w:cs="Times New Roman"/>
          <w:color w:val="auto"/>
        </w:rPr>
        <w:t>洗去除水蒸气。</w:t>
      </w:r>
    </w:p>
    <w:p w14:paraId="12E9E4AC">
      <w:pPr>
        <w:pStyle w:val="93"/>
        <w:rPr>
          <w:rFonts w:hint="default" w:ascii="Times New Roman" w:hAnsi="Times New Roman" w:cs="Times New Roman"/>
          <w:color w:val="auto"/>
        </w:rPr>
      </w:pPr>
      <w:r>
        <w:rPr>
          <w:rFonts w:hint="default" w:ascii="Times New Roman" w:hAnsi="Times New Roman" w:cs="Times New Roman"/>
          <w:color w:val="auto"/>
        </w:rPr>
        <w:t>表4.2.1-7    废气污染防治可行技术对照表</w:t>
      </w:r>
    </w:p>
    <w:tbl>
      <w:tblPr>
        <w:tblStyle w:val="45"/>
        <w:tblW w:w="48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2"/>
        <w:gridCol w:w="1098"/>
        <w:gridCol w:w="1168"/>
        <w:gridCol w:w="1488"/>
        <w:gridCol w:w="1097"/>
        <w:gridCol w:w="1184"/>
      </w:tblGrid>
      <w:tr w14:paraId="2ABAC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Merge w:val="restart"/>
            <w:vAlign w:val="center"/>
          </w:tcPr>
          <w:p w14:paraId="2BFBA9F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产排污环节</w:t>
            </w:r>
          </w:p>
        </w:tc>
        <w:tc>
          <w:tcPr>
            <w:tcW w:w="1098" w:type="dxa"/>
            <w:vMerge w:val="restart"/>
            <w:vAlign w:val="center"/>
          </w:tcPr>
          <w:p w14:paraId="3145470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污染物种类</w:t>
            </w:r>
          </w:p>
        </w:tc>
        <w:tc>
          <w:tcPr>
            <w:tcW w:w="2656" w:type="dxa"/>
            <w:gridSpan w:val="2"/>
            <w:vAlign w:val="center"/>
          </w:tcPr>
          <w:p w14:paraId="42E1BB3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可行技术参考表</w:t>
            </w:r>
          </w:p>
        </w:tc>
        <w:tc>
          <w:tcPr>
            <w:tcW w:w="2281" w:type="dxa"/>
            <w:gridSpan w:val="2"/>
            <w:vAlign w:val="center"/>
          </w:tcPr>
          <w:p w14:paraId="6C97C47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w:t>
            </w:r>
          </w:p>
        </w:tc>
      </w:tr>
      <w:tr w14:paraId="29F0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Merge w:val="continue"/>
            <w:vAlign w:val="center"/>
          </w:tcPr>
          <w:p w14:paraId="67FF6A9F">
            <w:pPr>
              <w:spacing w:line="240" w:lineRule="auto"/>
              <w:ind w:firstLine="0" w:firstLineChars="0"/>
              <w:jc w:val="center"/>
              <w:rPr>
                <w:rFonts w:hint="default" w:ascii="Times New Roman" w:hAnsi="Times New Roman" w:cs="Times New Roman"/>
                <w:color w:val="auto"/>
                <w:kern w:val="2"/>
                <w:sz w:val="21"/>
                <w:szCs w:val="21"/>
              </w:rPr>
            </w:pPr>
          </w:p>
        </w:tc>
        <w:tc>
          <w:tcPr>
            <w:tcW w:w="1098" w:type="dxa"/>
            <w:vMerge w:val="continue"/>
            <w:vAlign w:val="center"/>
          </w:tcPr>
          <w:p w14:paraId="64374F9B">
            <w:pPr>
              <w:spacing w:line="240" w:lineRule="auto"/>
              <w:ind w:firstLine="0" w:firstLineChars="0"/>
              <w:jc w:val="center"/>
              <w:rPr>
                <w:rFonts w:hint="default" w:ascii="Times New Roman" w:hAnsi="Times New Roman" w:cs="Times New Roman"/>
                <w:color w:val="auto"/>
                <w:kern w:val="2"/>
                <w:sz w:val="21"/>
                <w:szCs w:val="21"/>
              </w:rPr>
            </w:pPr>
          </w:p>
        </w:tc>
        <w:tc>
          <w:tcPr>
            <w:tcW w:w="1168" w:type="dxa"/>
            <w:vAlign w:val="center"/>
          </w:tcPr>
          <w:p w14:paraId="489BD97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过程控制技术</w:t>
            </w:r>
          </w:p>
        </w:tc>
        <w:tc>
          <w:tcPr>
            <w:tcW w:w="1488" w:type="dxa"/>
            <w:vAlign w:val="center"/>
          </w:tcPr>
          <w:p w14:paraId="412FE95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可行技术</w:t>
            </w:r>
          </w:p>
        </w:tc>
        <w:tc>
          <w:tcPr>
            <w:tcW w:w="1097" w:type="dxa"/>
            <w:vAlign w:val="center"/>
          </w:tcPr>
          <w:p w14:paraId="51EA31F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拟采取的防治措施</w:t>
            </w:r>
          </w:p>
        </w:tc>
        <w:tc>
          <w:tcPr>
            <w:tcW w:w="1184" w:type="dxa"/>
            <w:vAlign w:val="center"/>
          </w:tcPr>
          <w:p w14:paraId="71B2733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是否为可行技术</w:t>
            </w:r>
          </w:p>
        </w:tc>
      </w:tr>
      <w:tr w14:paraId="31E0F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Merge w:val="restart"/>
            <w:vAlign w:val="center"/>
          </w:tcPr>
          <w:p w14:paraId="595E65A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塑料薄膜制造，塑料板、管、型材制造，塑料丝、绳及编制品制造，泡沫塑料制造，塑料包装箱及容器制造，日用塑料制品制造，人造草坪制造，塑料零件及其他塑料制品制造废气</w:t>
            </w:r>
          </w:p>
        </w:tc>
        <w:tc>
          <w:tcPr>
            <w:tcW w:w="1098" w:type="dxa"/>
            <w:vAlign w:val="center"/>
          </w:tcPr>
          <w:p w14:paraId="79853AA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非甲烷总烃</w:t>
            </w:r>
          </w:p>
        </w:tc>
        <w:tc>
          <w:tcPr>
            <w:tcW w:w="1168" w:type="dxa"/>
            <w:vMerge w:val="restart"/>
            <w:vAlign w:val="center"/>
          </w:tcPr>
          <w:p w14:paraId="06A1F66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溶剂替代</w:t>
            </w:r>
          </w:p>
          <w:p w14:paraId="7656935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密闭过程</w:t>
            </w:r>
          </w:p>
          <w:p w14:paraId="7B5FE24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密闭场所</w:t>
            </w:r>
          </w:p>
          <w:p w14:paraId="70227B6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局部收集</w:t>
            </w:r>
          </w:p>
        </w:tc>
        <w:tc>
          <w:tcPr>
            <w:tcW w:w="1488" w:type="dxa"/>
            <w:vAlign w:val="center"/>
          </w:tcPr>
          <w:p w14:paraId="7F4AC95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喷淋；吸附；吸附浓缩+热力燃烧/催化燃烧</w:t>
            </w:r>
          </w:p>
        </w:tc>
        <w:tc>
          <w:tcPr>
            <w:tcW w:w="1097" w:type="dxa"/>
            <w:vAlign w:val="center"/>
          </w:tcPr>
          <w:p w14:paraId="529097B5">
            <w:pPr>
              <w:spacing w:line="240" w:lineRule="auto"/>
              <w:ind w:firstLine="0" w:firstLineChars="0"/>
              <w:jc w:val="center"/>
              <w:rPr>
                <w:rFonts w:hint="default" w:ascii="Times New Roman" w:hAnsi="Times New Roman" w:cs="Times New Roman"/>
                <w:color w:val="auto"/>
                <w:kern w:val="2"/>
                <w:sz w:val="21"/>
                <w:szCs w:val="21"/>
              </w:rPr>
            </w:pPr>
            <w:r>
              <w:rPr>
                <w:rFonts w:hint="eastAsia" w:cs="Times New Roman"/>
                <w:color w:val="auto"/>
                <w:kern w:val="2"/>
                <w:sz w:val="21"/>
                <w:szCs w:val="21"/>
                <w:lang w:val="en-US" w:eastAsia="zh-CN"/>
              </w:rPr>
              <w:t>碱洗+</w:t>
            </w:r>
            <w:r>
              <w:rPr>
                <w:rFonts w:hint="default" w:ascii="Times New Roman" w:hAnsi="Times New Roman" w:cs="Times New Roman"/>
                <w:color w:val="auto"/>
                <w:kern w:val="2"/>
                <w:sz w:val="21"/>
                <w:szCs w:val="21"/>
              </w:rPr>
              <w:t>二级活性炭吸附</w:t>
            </w:r>
          </w:p>
        </w:tc>
        <w:tc>
          <w:tcPr>
            <w:tcW w:w="1184" w:type="dxa"/>
            <w:vAlign w:val="center"/>
          </w:tcPr>
          <w:p w14:paraId="57FAFAA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可行</w:t>
            </w:r>
          </w:p>
        </w:tc>
      </w:tr>
      <w:tr w14:paraId="3608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vMerge w:val="continue"/>
            <w:vAlign w:val="center"/>
          </w:tcPr>
          <w:p w14:paraId="3212BF41">
            <w:pPr>
              <w:spacing w:line="240" w:lineRule="auto"/>
              <w:ind w:firstLine="0" w:firstLineChars="0"/>
              <w:jc w:val="center"/>
              <w:rPr>
                <w:rFonts w:hint="default" w:ascii="Times New Roman" w:hAnsi="Times New Roman" w:cs="Times New Roman"/>
                <w:color w:val="auto"/>
                <w:kern w:val="2"/>
                <w:sz w:val="21"/>
                <w:szCs w:val="21"/>
              </w:rPr>
            </w:pPr>
          </w:p>
        </w:tc>
        <w:tc>
          <w:tcPr>
            <w:tcW w:w="1098" w:type="dxa"/>
            <w:vAlign w:val="center"/>
          </w:tcPr>
          <w:p w14:paraId="62A448E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臭气浓度、恶臭特征物质</w:t>
            </w:r>
          </w:p>
        </w:tc>
        <w:tc>
          <w:tcPr>
            <w:tcW w:w="1168" w:type="dxa"/>
            <w:vMerge w:val="continue"/>
            <w:vAlign w:val="center"/>
          </w:tcPr>
          <w:p w14:paraId="35BCEBA9">
            <w:pPr>
              <w:spacing w:line="240" w:lineRule="auto"/>
              <w:ind w:firstLine="0" w:firstLineChars="0"/>
              <w:jc w:val="center"/>
              <w:rPr>
                <w:rFonts w:hint="default" w:ascii="Times New Roman" w:hAnsi="Times New Roman" w:cs="Times New Roman"/>
                <w:color w:val="auto"/>
                <w:kern w:val="2"/>
                <w:sz w:val="21"/>
                <w:szCs w:val="21"/>
              </w:rPr>
            </w:pPr>
          </w:p>
        </w:tc>
        <w:tc>
          <w:tcPr>
            <w:tcW w:w="1488" w:type="dxa"/>
            <w:vAlign w:val="center"/>
          </w:tcPr>
          <w:p w14:paraId="7D18BC6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喷淋、吸附、低温等离子体、UV光氧化/光催化、生物法两种及以上组合技术</w:t>
            </w:r>
          </w:p>
        </w:tc>
        <w:tc>
          <w:tcPr>
            <w:tcW w:w="1097" w:type="dxa"/>
            <w:vAlign w:val="center"/>
          </w:tcPr>
          <w:p w14:paraId="7D6A8FBB">
            <w:pPr>
              <w:spacing w:line="240" w:lineRule="auto"/>
              <w:ind w:firstLine="0" w:firstLineChars="0"/>
              <w:jc w:val="center"/>
              <w:rPr>
                <w:rFonts w:hint="default" w:ascii="Times New Roman" w:hAnsi="Times New Roman" w:cs="Times New Roman"/>
                <w:color w:val="auto"/>
                <w:kern w:val="2"/>
                <w:sz w:val="21"/>
                <w:szCs w:val="21"/>
              </w:rPr>
            </w:pPr>
            <w:r>
              <w:rPr>
                <w:rFonts w:hint="eastAsia" w:cs="Times New Roman"/>
                <w:color w:val="auto"/>
                <w:kern w:val="2"/>
                <w:sz w:val="21"/>
                <w:szCs w:val="21"/>
                <w:lang w:val="en-US" w:eastAsia="zh-CN"/>
              </w:rPr>
              <w:t>碱洗+</w:t>
            </w:r>
            <w:r>
              <w:rPr>
                <w:rFonts w:hint="default" w:ascii="Times New Roman" w:hAnsi="Times New Roman" w:cs="Times New Roman"/>
                <w:color w:val="auto"/>
                <w:kern w:val="2"/>
                <w:sz w:val="21"/>
                <w:szCs w:val="21"/>
              </w:rPr>
              <w:t>二级活性炭吸附</w:t>
            </w:r>
          </w:p>
        </w:tc>
        <w:tc>
          <w:tcPr>
            <w:tcW w:w="1184" w:type="dxa"/>
            <w:vAlign w:val="center"/>
          </w:tcPr>
          <w:p w14:paraId="37623C4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可行</w:t>
            </w:r>
          </w:p>
        </w:tc>
      </w:tr>
    </w:tbl>
    <w:p w14:paraId="3300D647">
      <w:pPr>
        <w:ind w:firstLine="480"/>
        <w:rPr>
          <w:rFonts w:hint="default" w:ascii="Times New Roman" w:hAnsi="Times New Roman" w:cs="Times New Roman"/>
          <w:color w:val="auto"/>
        </w:rPr>
      </w:pPr>
      <w:r>
        <w:rPr>
          <w:rFonts w:hint="default" w:ascii="Times New Roman" w:hAnsi="Times New Roman" w:cs="Times New Roman"/>
          <w:color w:val="auto"/>
        </w:rPr>
        <w:t>另外根据《重庆市生态环境局关于做好2026年夏秋季空气质量提升工作的通知》（渝环〔2026〕43号）中“活性炭治理设施整治”，本项目废气活性炭吸附处理还需要满足如下要求，确保处理效率达到85%。</w:t>
      </w:r>
    </w:p>
    <w:p w14:paraId="209F6066">
      <w:pPr>
        <w:ind w:firstLine="480"/>
        <w:rPr>
          <w:rFonts w:hint="default" w:ascii="Times New Roman" w:hAnsi="Times New Roman" w:cs="Times New Roman"/>
          <w:color w:val="auto"/>
        </w:rPr>
      </w:pPr>
      <w:r>
        <w:rPr>
          <w:rFonts w:hint="default" w:ascii="Times New Roman" w:hAnsi="Times New Roman" w:cs="Times New Roman"/>
          <w:color w:val="auto"/>
        </w:rPr>
        <w:t>“以工业涂装、家具制造、包装印刷、橡塑制品、化工等行业以及机动车维修为重点，更新活性炭治理设施清单，包括单一活性炭处理工艺设施和活性炭为主要、次要处理工艺设施等类型，做到涉活性炭治理设施应纳尽纳。对于喷涂等工艺产生含颗粒物的VOCs废气，宜在活性炭吸附前端设置颗粒物捕集装置。进入吸附设备的废气颗粒物含量和温度分别低于1mg/m</w:t>
      </w:r>
      <w:r>
        <w:rPr>
          <w:rFonts w:hint="default" w:ascii="Times New Roman" w:hAnsi="Times New Roman" w:cs="Times New Roman"/>
          <w:color w:val="auto"/>
          <w:vertAlign w:val="superscript"/>
        </w:rPr>
        <w:t>3</w:t>
      </w:r>
      <w:r>
        <w:rPr>
          <w:rFonts w:hint="default" w:ascii="Times New Roman" w:hAnsi="Times New Roman" w:cs="Times New Roman"/>
          <w:color w:val="auto"/>
        </w:rPr>
        <w:t>和40℃，保障活性炭在低颗粒物和适宜温度条件下使用。应将定期更换过滤材料相关内容纳入操作规程。活性炭对酸性废气吸附效果较差，且酸性气体易对设备本体造成腐蚀，应先采用洗涤进行预处理。采用洗涤进行预处理的，应采取措施保障进入吸附环节的废气湿度为70%以下。活性炭应装填齐整，避免气流短路，吸附装置及配套管道应密闭，主风机宜安装在吸附装置后端，使装置形成负压，泄漏检测值不应超过500umol/mol。采用颗粒活性炭时，气体流速宜低于0.60m/s；采用活性炭纤维时，气体流速宜低于0.15m/s；采用蜂窝活性炭时，气体流速宜低于1.20m/s。采用活性炭吸附工艺的企业，颗粒活性炭碘吸附值≥800mg/g或四氯化碳吸附率≥45%；蜂窝活性炭碘吸附值≥650mg/g或四氯化碳吸附率≥35%；活性炭纤维比表面积应不低于1100m</w:t>
      </w:r>
      <w:r>
        <w:rPr>
          <w:rFonts w:hint="default" w:ascii="Times New Roman" w:hAnsi="Times New Roman" w:cs="Times New Roman"/>
          <w:color w:val="auto"/>
          <w:vertAlign w:val="superscript"/>
        </w:rPr>
        <w:t>2</w:t>
      </w:r>
      <w:r>
        <w:rPr>
          <w:rFonts w:hint="default" w:ascii="Times New Roman" w:hAnsi="Times New Roman" w:cs="Times New Roman"/>
          <w:color w:val="auto"/>
        </w:rPr>
        <w:t>/g（BET法）或四氯化碳吸附率≥65%。企业应备好所购活性炭厂家关于活性炭碘吸附值、四氯化碳吸附率、比表面积等相关检测报告等证明材料。采用一次性颗粒状活性炭处理VOCs废气，年活性炭使用量宜不应低于VOCs 产生量的5倍，即1吨VOCs产生量，需5吨活性炭用于吸附。采取组合工艺的，光催化、光氧化、水喷淋（吸收可溶性VOCs除外）、低温等离子等低效治理工艺以去除率不超过10%计算活性炭装填量。排气浓度不满足设计或排放要求时，需及时更换活性炭。活性炭更换周期宜不超过累计运行500小时或3个月，更换周期依据生态环境部大气环境司编写的《挥发性有机物治理实用手册（第二版）》相关内容。”</w:t>
      </w:r>
    </w:p>
    <w:p w14:paraId="1B3B39C8">
      <w:pPr>
        <w:ind w:firstLine="480"/>
        <w:rPr>
          <w:rFonts w:hint="default" w:ascii="Times New Roman" w:hAnsi="Times New Roman" w:cs="Times New Roman"/>
          <w:color w:val="auto"/>
        </w:rPr>
      </w:pPr>
      <w:r>
        <w:rPr>
          <w:rFonts w:hint="default" w:ascii="Times New Roman" w:hAnsi="Times New Roman" w:cs="Times New Roman"/>
          <w:color w:val="auto"/>
        </w:rPr>
        <w:t>本项目有机废气除挤出机真空抽吸废气外，其他部位有机废气采用集气罩收集处理，风量约为真空抽吸废气的65倍，且通过</w:t>
      </w:r>
      <w:r>
        <w:rPr>
          <w:rFonts w:hint="eastAsia" w:cs="Times New Roman"/>
          <w:color w:val="auto"/>
          <w:lang w:val="en-US" w:eastAsia="zh-CN"/>
        </w:rPr>
        <w:t>碱</w:t>
      </w:r>
      <w:r>
        <w:rPr>
          <w:rFonts w:hint="default" w:ascii="Times New Roman" w:hAnsi="Times New Roman" w:cs="Times New Roman"/>
          <w:color w:val="auto"/>
        </w:rPr>
        <w:t>洗除雾后可以有效降低废气中温度，因此废气温度能保持在40℃以下。</w:t>
      </w:r>
    </w:p>
    <w:p w14:paraId="0925ABA8">
      <w:pPr>
        <w:ind w:firstLine="480"/>
        <w:rPr>
          <w:rFonts w:hint="default" w:ascii="Times New Roman" w:hAnsi="Times New Roman" w:cs="Times New Roman"/>
          <w:color w:val="auto"/>
        </w:rPr>
      </w:pPr>
      <w:r>
        <w:rPr>
          <w:rFonts w:hint="default" w:ascii="Times New Roman" w:hAnsi="Times New Roman" w:cs="Times New Roman"/>
          <w:color w:val="auto"/>
        </w:rPr>
        <w:t>本项目二级活性炭吸附装置采用颗粒活性炭，单个活性炭箱尺寸（长3m×宽4m×高3.2m</w:t>
      </w:r>
      <w:r>
        <w:rPr>
          <w:rFonts w:hint="default" w:ascii="Times New Roman" w:hAnsi="Times New Roman" w:cs="Times New Roman"/>
          <w:color w:val="auto"/>
          <w:szCs w:val="24"/>
        </w:rPr>
        <w:t>）</w:t>
      </w:r>
      <w:r>
        <w:rPr>
          <w:rFonts w:hint="default" w:ascii="Times New Roman" w:hAnsi="Times New Roman" w:cs="Times New Roman"/>
          <w:color w:val="auto"/>
        </w:rPr>
        <w:t>，气体流速为0.59m/s，满足颗粒活性炭气体流速要求。</w:t>
      </w:r>
    </w:p>
    <w:p w14:paraId="465E657B">
      <w:pPr>
        <w:ind w:firstLine="480"/>
        <w:rPr>
          <w:rFonts w:hint="default" w:ascii="Times New Roman" w:hAnsi="Times New Roman" w:cs="Times New Roman"/>
          <w:color w:val="auto"/>
        </w:rPr>
      </w:pPr>
      <w:r>
        <w:rPr>
          <w:rFonts w:hint="default" w:ascii="Times New Roman" w:hAnsi="Times New Roman" w:cs="Times New Roman"/>
          <w:color w:val="auto"/>
        </w:rPr>
        <w:t>颗粒活性炭碘吸附值需≥800mg/g。活性炭更换周期宜不超过累计运行500小时或3个月。</w:t>
      </w:r>
    </w:p>
    <w:p w14:paraId="504D68DB">
      <w:pPr>
        <w:ind w:firstLine="480"/>
        <w:rPr>
          <w:rFonts w:hint="default" w:ascii="Times New Roman" w:hAnsi="Times New Roman" w:cs="Times New Roman"/>
          <w:color w:val="auto"/>
        </w:rPr>
      </w:pPr>
      <w:r>
        <w:rPr>
          <w:rFonts w:hint="default" w:ascii="Times New Roman" w:hAnsi="Times New Roman" w:cs="Times New Roman"/>
          <w:color w:val="auto"/>
        </w:rPr>
        <w:t>②颗粒物</w:t>
      </w:r>
    </w:p>
    <w:p w14:paraId="51B9AE0A">
      <w:pPr>
        <w:ind w:firstLine="480"/>
        <w:rPr>
          <w:rFonts w:hint="default" w:ascii="Times New Roman" w:hAnsi="Times New Roman" w:cs="Times New Roman"/>
          <w:color w:val="auto"/>
        </w:rPr>
      </w:pPr>
      <w:r>
        <w:rPr>
          <w:rFonts w:hint="default" w:ascii="Times New Roman" w:hAnsi="Times New Roman" w:cs="Times New Roman"/>
          <w:color w:val="auto"/>
        </w:rPr>
        <w:t>本项目改性PP用的原材料滑石粉在投料、混合过程中产生的粉尘采用布袋除尘器处理。布袋除尘为行业内推荐的粉尘处理措施。本项目滑石粉粉尘非高温、潮湿废气，采用袋式除尘合理可行。</w:t>
      </w:r>
    </w:p>
    <w:p w14:paraId="4873549B">
      <w:pPr>
        <w:ind w:firstLine="480"/>
        <w:rPr>
          <w:rFonts w:hint="default" w:ascii="Times New Roman" w:hAnsi="Times New Roman" w:cs="Times New Roman"/>
          <w:color w:val="auto"/>
        </w:rPr>
      </w:pPr>
      <w:r>
        <w:rPr>
          <w:rFonts w:hint="default" w:ascii="Times New Roman" w:hAnsi="Times New Roman" w:cs="Times New Roman"/>
          <w:color w:val="auto"/>
        </w:rPr>
        <w:t>2）无组织废气</w:t>
      </w:r>
    </w:p>
    <w:p w14:paraId="20DE1103">
      <w:pPr>
        <w:ind w:firstLine="480"/>
        <w:rPr>
          <w:rStyle w:val="94"/>
          <w:rFonts w:hint="default" w:ascii="Times New Roman" w:hAnsi="Times New Roman" w:cs="Times New Roman"/>
          <w:color w:val="auto"/>
        </w:rPr>
      </w:pPr>
      <w:r>
        <w:rPr>
          <w:rFonts w:hint="default" w:ascii="Times New Roman" w:hAnsi="Times New Roman" w:cs="Times New Roman"/>
          <w:color w:val="auto"/>
        </w:rPr>
        <w:t>根据《挥发性有机物无组织排放标准》和《重点行业挥发性有机物综合治理方案》，</w:t>
      </w:r>
      <w:r>
        <w:rPr>
          <w:rStyle w:val="94"/>
          <w:rFonts w:hint="default" w:ascii="Times New Roman" w:hAnsi="Times New Roman" w:cs="Times New Roman"/>
          <w:color w:val="auto"/>
        </w:rPr>
        <w:t>VOCs质量占比大于等于10%的含VOCs产品，其使用过程应采用密闭设备或在密闭空间内操作，废气应排至VOCs废气收集处理系统；无法密封的，应采取局部气体收集措施，废气应排至VOCs废气收集处理系统。</w:t>
      </w:r>
    </w:p>
    <w:p w14:paraId="5A80E0AB">
      <w:pPr>
        <w:ind w:firstLine="480"/>
        <w:rPr>
          <w:rFonts w:hint="default" w:ascii="Times New Roman" w:hAnsi="Times New Roman" w:cs="Times New Roman"/>
          <w:color w:val="auto"/>
        </w:rPr>
      </w:pPr>
      <w:r>
        <w:rPr>
          <w:rFonts w:hint="default" w:ascii="Times New Roman" w:hAnsi="Times New Roman" w:cs="Times New Roman"/>
          <w:color w:val="auto"/>
        </w:rPr>
        <w:t>本项目原材料及产品均为固体材料，</w:t>
      </w:r>
      <w:r>
        <w:rPr>
          <w:rStyle w:val="94"/>
          <w:rFonts w:hint="default" w:ascii="Times New Roman" w:hAnsi="Times New Roman" w:cs="Times New Roman"/>
          <w:color w:val="auto"/>
        </w:rPr>
        <w:t>VOCs含量低于10%。项目生产需要保证洁净环境，虽然生产车间密闭，但</w:t>
      </w:r>
      <w:r>
        <w:rPr>
          <w:rFonts w:hint="default" w:ascii="Times New Roman" w:hAnsi="Times New Roman" w:cs="Times New Roman"/>
          <w:color w:val="auto"/>
        </w:rPr>
        <w:t>因为需要保证工作人员工作环境，需要进行通风换气。</w:t>
      </w:r>
    </w:p>
    <w:p w14:paraId="08979EFE">
      <w:pPr>
        <w:ind w:firstLine="480"/>
        <w:rPr>
          <w:rStyle w:val="94"/>
          <w:rFonts w:hint="default" w:ascii="Times New Roman" w:hAnsi="Times New Roman" w:cs="Times New Roman"/>
          <w:color w:val="auto"/>
        </w:rPr>
      </w:pPr>
      <w:r>
        <w:rPr>
          <w:rFonts w:hint="default" w:ascii="Times New Roman" w:hAnsi="Times New Roman" w:cs="Times New Roman"/>
          <w:color w:val="auto"/>
        </w:rPr>
        <w:t>由于集气罩的收集率，故有约8%挥发性有机废气以无组织形式排放。全厂非甲烷总烃无组织废气排放量约0.864t/a，预计无组织排放废气经车间换气系统排放后，非甲烷总烃能够满足《合成树脂工业污染排放标准》（GB31572-2015，2024年修订）表9企业边界大气污染物浓度限值</w:t>
      </w:r>
      <w:r>
        <w:rPr>
          <w:rStyle w:val="94"/>
          <w:rFonts w:hint="default" w:ascii="Times New Roman" w:hAnsi="Times New Roman" w:cs="Times New Roman"/>
          <w:color w:val="auto"/>
        </w:rPr>
        <w:t>。</w:t>
      </w:r>
    </w:p>
    <w:p w14:paraId="2AE3ADF7">
      <w:pPr>
        <w:ind w:firstLine="480"/>
        <w:rPr>
          <w:rFonts w:hint="default" w:ascii="Times New Roman" w:hAnsi="Times New Roman" w:cs="Times New Roman"/>
          <w:color w:val="auto"/>
        </w:rPr>
      </w:pPr>
      <w:r>
        <w:rPr>
          <w:rFonts w:hint="default" w:ascii="Times New Roman" w:hAnsi="Times New Roman" w:cs="Times New Roman"/>
          <w:color w:val="auto"/>
        </w:rPr>
        <w:t xml:space="preserve">3）其他管理措施 </w:t>
      </w:r>
    </w:p>
    <w:p w14:paraId="3DE61BB0">
      <w:pPr>
        <w:ind w:firstLine="480"/>
        <w:rPr>
          <w:rFonts w:hint="default" w:ascii="Times New Roman" w:hAnsi="Times New Roman" w:cs="Times New Roman"/>
          <w:color w:val="auto"/>
        </w:rPr>
      </w:pPr>
      <w:r>
        <w:rPr>
          <w:rFonts w:hint="default" w:ascii="Times New Roman" w:hAnsi="Times New Roman" w:cs="Times New Roman"/>
          <w:color w:val="auto"/>
        </w:rPr>
        <w:t>①项目采用碘值不低于800mg/g的颗粒活性炭进行吸附。使用符合《吸附法工业有机废气治理工程技术规范》（HJ2026-2013）要求的吸附装置，活性炭装填齐整，避免气流短路，控制气体流速低于0.6m/s。</w:t>
      </w:r>
    </w:p>
    <w:p w14:paraId="554EC688">
      <w:pPr>
        <w:ind w:firstLine="480"/>
        <w:rPr>
          <w:rFonts w:hint="default" w:ascii="Times New Roman" w:hAnsi="Times New Roman" w:cs="Times New Roman"/>
          <w:color w:val="auto"/>
        </w:rPr>
      </w:pPr>
      <w:r>
        <w:rPr>
          <w:rFonts w:hint="default" w:ascii="Times New Roman" w:hAnsi="Times New Roman" w:cs="Times New Roman"/>
          <w:color w:val="auto"/>
        </w:rPr>
        <w:t>②企业备好所购活性炭厂家的产品合格证，以及关于活性炭碘值、比表面积、四氯化碳吸附率等产品质量检测报告备查。通过“一看、二称、三试、四测”的方法初步鉴别活性炭优劣。</w:t>
      </w:r>
    </w:p>
    <w:p w14:paraId="50F87F03">
      <w:pPr>
        <w:ind w:firstLine="480"/>
        <w:rPr>
          <w:rFonts w:hint="default" w:ascii="Times New Roman" w:hAnsi="Times New Roman" w:cs="Times New Roman"/>
          <w:color w:val="auto"/>
        </w:rPr>
      </w:pPr>
      <w:r>
        <w:rPr>
          <w:rFonts w:hint="default" w:ascii="Times New Roman" w:hAnsi="Times New Roman" w:cs="Times New Roman"/>
          <w:color w:val="auto"/>
        </w:rPr>
        <w:t>③吸附装置内部结构设计合理，气体流通顺畅、无短路、无死角。吸附装置及配套管道密闭，主风机安装在吸附装置后端，使装置形成负压，泄漏检测值不超过500umol/mol，亦不有感官可察觉泄漏。</w:t>
      </w:r>
    </w:p>
    <w:p w14:paraId="4D78F31E">
      <w:pPr>
        <w:ind w:firstLine="480"/>
        <w:rPr>
          <w:rFonts w:hint="default" w:ascii="Times New Roman" w:hAnsi="Times New Roman" w:cs="Times New Roman"/>
          <w:color w:val="auto"/>
        </w:rPr>
      </w:pPr>
      <w:r>
        <w:rPr>
          <w:rFonts w:hint="default" w:ascii="Times New Roman" w:hAnsi="Times New Roman" w:cs="Times New Roman"/>
          <w:color w:val="auto"/>
        </w:rPr>
        <w:t>④按《污染源监测技术规范》要求设置采样口，便于监督监测和日常监控活性炭吸附效率。建议企业自备VOCs快速监测设备和压差计。压差计用以测定经过吸附装置的气流压降，从而确定活性炭、过滤棉是否需要更换。</w:t>
      </w:r>
    </w:p>
    <w:p w14:paraId="483BCE7A">
      <w:pPr>
        <w:ind w:firstLine="480"/>
        <w:rPr>
          <w:rFonts w:hint="default" w:ascii="Times New Roman" w:hAnsi="Times New Roman" w:cs="Times New Roman"/>
          <w:color w:val="auto"/>
        </w:rPr>
      </w:pPr>
      <w:r>
        <w:rPr>
          <w:rFonts w:hint="default" w:ascii="Times New Roman" w:hAnsi="Times New Roman" w:cs="Times New Roman"/>
          <w:color w:val="auto"/>
        </w:rPr>
        <w:t>⑤年活性炭使用量按VOCs产生量的5倍采购，并及时更换活性炭。</w:t>
      </w:r>
    </w:p>
    <w:p w14:paraId="1C1FC3A9">
      <w:pPr>
        <w:ind w:firstLine="480"/>
        <w:rPr>
          <w:rFonts w:hint="default" w:ascii="Times New Roman" w:hAnsi="Times New Roman" w:cs="Times New Roman"/>
          <w:color w:val="auto"/>
        </w:rPr>
      </w:pPr>
      <w:r>
        <w:rPr>
          <w:rFonts w:hint="default" w:ascii="Times New Roman" w:hAnsi="Times New Roman" w:cs="Times New Roman"/>
          <w:color w:val="auto"/>
        </w:rPr>
        <w:t>⑥定期维护吸附装置，按《环境保护图形标志》（GB15562.1-1995）中排放口（源）要求设置废气排口标识牌。</w:t>
      </w:r>
    </w:p>
    <w:p w14:paraId="4840AC85">
      <w:pPr>
        <w:ind w:firstLine="480"/>
        <w:rPr>
          <w:rFonts w:hint="default" w:ascii="Times New Roman" w:hAnsi="Times New Roman" w:cs="Times New Roman"/>
          <w:color w:val="auto"/>
        </w:rPr>
      </w:pPr>
      <w:r>
        <w:rPr>
          <w:rFonts w:hint="default" w:ascii="Times New Roman" w:hAnsi="Times New Roman" w:cs="Times New Roman"/>
          <w:color w:val="auto"/>
        </w:rPr>
        <w:t>⑦建立废气处理设施运维台账，记录设施的运维和耗材更换情况，如活性炭的更换时间、更换量等；记录运维单位名称，以及所选用活性炭的生产合格证及检测报告；定期检查废气收集管道、吸附设备是否有破坏，过滤材料是否要更换等。</w:t>
      </w:r>
    </w:p>
    <w:p w14:paraId="14A131F0">
      <w:pPr>
        <w:ind w:firstLine="480"/>
        <w:rPr>
          <w:rFonts w:hint="default" w:ascii="Times New Roman" w:hAnsi="Times New Roman" w:cs="Times New Roman"/>
          <w:color w:val="auto"/>
        </w:rPr>
      </w:pPr>
      <w:r>
        <w:rPr>
          <w:rFonts w:hint="default" w:ascii="Times New Roman" w:hAnsi="Times New Roman" w:cs="Times New Roman"/>
          <w:color w:val="auto"/>
        </w:rPr>
        <w:t>⑧规范处置废活性炭，更换下来的废活性炭属于危险废物，密闭贮存，交由具备危废处置资质的企业依法进行再生或处置。按照HJ944等规范做好相关台账。台账保存期限不少于5年。</w:t>
      </w:r>
    </w:p>
    <w:p w14:paraId="435E22B2">
      <w:pPr>
        <w:ind w:firstLine="480"/>
        <w:rPr>
          <w:rFonts w:hint="default" w:ascii="Times New Roman" w:hAnsi="Times New Roman" w:cs="Times New Roman"/>
          <w:color w:val="auto"/>
        </w:rPr>
      </w:pPr>
      <w:r>
        <w:rPr>
          <w:rFonts w:hint="default" w:ascii="Times New Roman" w:hAnsi="Times New Roman" w:cs="Times New Roman"/>
          <w:color w:val="auto"/>
        </w:rPr>
        <w:t>（4）非正常工况</w:t>
      </w:r>
    </w:p>
    <w:p w14:paraId="1911A200">
      <w:pPr>
        <w:ind w:firstLine="480"/>
        <w:rPr>
          <w:rFonts w:hint="default" w:ascii="Times New Roman" w:hAnsi="Times New Roman" w:cs="Times New Roman"/>
          <w:color w:val="auto"/>
        </w:rPr>
      </w:pPr>
      <w:r>
        <w:rPr>
          <w:rFonts w:hint="default" w:ascii="Times New Roman" w:hAnsi="Times New Roman" w:cs="Times New Roman"/>
          <w:color w:val="auto"/>
        </w:rPr>
        <w:t>本项目非正常排放主要指装置在生产运行阶段的停电、开停车、设备检修维护以及环保设施运行不正常情况下的污染物排放。其大小及频率与生产装置的工艺水平、操作管理水平等因素有关，若不采取有效的控制措施，将会造成严重的环境污染。</w:t>
      </w:r>
    </w:p>
    <w:p w14:paraId="70CD7DF9">
      <w:pPr>
        <w:ind w:firstLine="480"/>
        <w:rPr>
          <w:rFonts w:hint="default" w:ascii="Times New Roman" w:hAnsi="Times New Roman" w:cs="Times New Roman"/>
          <w:color w:val="auto"/>
        </w:rPr>
      </w:pPr>
      <w:r>
        <w:rPr>
          <w:rFonts w:hint="default" w:ascii="Times New Roman" w:hAnsi="Times New Roman" w:cs="Times New Roman"/>
          <w:color w:val="auto"/>
        </w:rPr>
        <w:t>废气处理设施故障排放：本次评价根据项目特点将废气处理装置失效列为本项目非正常排放情况。评价考虑废气处理设施故障，对各废气污染物的处理效率降低为0时作为本次评价的非正常排放，见表4.2.1-8。</w:t>
      </w:r>
    </w:p>
    <w:p w14:paraId="76479E76">
      <w:pPr>
        <w:pStyle w:val="93"/>
        <w:rPr>
          <w:rFonts w:hint="default" w:ascii="Times New Roman" w:hAnsi="Times New Roman" w:cs="Times New Roman"/>
          <w:color w:val="auto"/>
        </w:rPr>
      </w:pPr>
      <w:r>
        <w:rPr>
          <w:rFonts w:hint="default" w:ascii="Times New Roman" w:hAnsi="Times New Roman" w:cs="Times New Roman"/>
          <w:color w:val="auto"/>
        </w:rPr>
        <w:t>表4.2.1-8    非正常排放大气污染物排放源强一览表</w:t>
      </w:r>
    </w:p>
    <w:tbl>
      <w:tblPr>
        <w:tblStyle w:val="4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940"/>
        <w:gridCol w:w="860"/>
        <w:gridCol w:w="1234"/>
        <w:gridCol w:w="1004"/>
        <w:gridCol w:w="1195"/>
        <w:gridCol w:w="711"/>
        <w:gridCol w:w="687"/>
        <w:gridCol w:w="1045"/>
      </w:tblGrid>
      <w:tr w14:paraId="5662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Merge w:val="restart"/>
            <w:vAlign w:val="center"/>
          </w:tcPr>
          <w:p w14:paraId="5F33595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排放口编号</w:t>
            </w:r>
          </w:p>
        </w:tc>
        <w:tc>
          <w:tcPr>
            <w:tcW w:w="1800" w:type="dxa"/>
            <w:gridSpan w:val="2"/>
            <w:vMerge w:val="restart"/>
            <w:vAlign w:val="center"/>
          </w:tcPr>
          <w:p w14:paraId="61EDA76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污染物名称</w:t>
            </w:r>
          </w:p>
        </w:tc>
        <w:tc>
          <w:tcPr>
            <w:tcW w:w="2238" w:type="dxa"/>
            <w:gridSpan w:val="2"/>
            <w:vAlign w:val="center"/>
          </w:tcPr>
          <w:p w14:paraId="5B42A0C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非正常工况</w:t>
            </w:r>
          </w:p>
        </w:tc>
        <w:tc>
          <w:tcPr>
            <w:tcW w:w="1195" w:type="dxa"/>
            <w:vAlign w:val="center"/>
          </w:tcPr>
          <w:p w14:paraId="4EA4311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标准值</w:t>
            </w:r>
          </w:p>
        </w:tc>
        <w:tc>
          <w:tcPr>
            <w:tcW w:w="711" w:type="dxa"/>
            <w:vMerge w:val="restart"/>
            <w:vAlign w:val="center"/>
          </w:tcPr>
          <w:p w14:paraId="6433034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单次持续时间/h</w:t>
            </w:r>
          </w:p>
        </w:tc>
        <w:tc>
          <w:tcPr>
            <w:tcW w:w="687" w:type="dxa"/>
            <w:vMerge w:val="restart"/>
            <w:vAlign w:val="center"/>
          </w:tcPr>
          <w:p w14:paraId="72D1D49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年发生频次/次</w:t>
            </w:r>
          </w:p>
        </w:tc>
        <w:tc>
          <w:tcPr>
            <w:tcW w:w="1045" w:type="dxa"/>
            <w:vMerge w:val="restart"/>
            <w:vAlign w:val="center"/>
          </w:tcPr>
          <w:p w14:paraId="027615B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应对措施</w:t>
            </w:r>
          </w:p>
        </w:tc>
      </w:tr>
      <w:tr w14:paraId="6846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Merge w:val="continue"/>
            <w:vAlign w:val="center"/>
          </w:tcPr>
          <w:p w14:paraId="2A6E5B38">
            <w:pPr>
              <w:spacing w:line="240" w:lineRule="auto"/>
              <w:ind w:firstLine="0" w:firstLineChars="0"/>
              <w:jc w:val="center"/>
              <w:rPr>
                <w:rFonts w:hint="default" w:ascii="Times New Roman" w:hAnsi="Times New Roman" w:cs="Times New Roman"/>
                <w:color w:val="auto"/>
                <w:kern w:val="2"/>
                <w:sz w:val="21"/>
                <w:szCs w:val="21"/>
              </w:rPr>
            </w:pPr>
          </w:p>
        </w:tc>
        <w:tc>
          <w:tcPr>
            <w:tcW w:w="1800" w:type="dxa"/>
            <w:gridSpan w:val="2"/>
            <w:vMerge w:val="continue"/>
            <w:vAlign w:val="center"/>
          </w:tcPr>
          <w:p w14:paraId="6D73F0B2">
            <w:pPr>
              <w:spacing w:line="240" w:lineRule="auto"/>
              <w:ind w:firstLine="0" w:firstLineChars="0"/>
              <w:jc w:val="center"/>
              <w:rPr>
                <w:rFonts w:hint="default" w:ascii="Times New Roman" w:hAnsi="Times New Roman" w:cs="Times New Roman"/>
                <w:color w:val="auto"/>
                <w:kern w:val="2"/>
                <w:sz w:val="21"/>
                <w:szCs w:val="21"/>
              </w:rPr>
            </w:pPr>
          </w:p>
        </w:tc>
        <w:tc>
          <w:tcPr>
            <w:tcW w:w="1234" w:type="dxa"/>
            <w:vAlign w:val="center"/>
          </w:tcPr>
          <w:p w14:paraId="594D525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排放浓度/（mg/m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w:t>
            </w:r>
          </w:p>
        </w:tc>
        <w:tc>
          <w:tcPr>
            <w:tcW w:w="1004" w:type="dxa"/>
            <w:vAlign w:val="center"/>
          </w:tcPr>
          <w:p w14:paraId="62D8099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排放速率/(kg/h)</w:t>
            </w:r>
          </w:p>
        </w:tc>
        <w:tc>
          <w:tcPr>
            <w:tcW w:w="1195" w:type="dxa"/>
            <w:vAlign w:val="center"/>
          </w:tcPr>
          <w:p w14:paraId="2AD0B32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排放浓度/（mg/m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w:t>
            </w:r>
          </w:p>
        </w:tc>
        <w:tc>
          <w:tcPr>
            <w:tcW w:w="711" w:type="dxa"/>
            <w:vMerge w:val="continue"/>
            <w:vAlign w:val="center"/>
          </w:tcPr>
          <w:p w14:paraId="1F7A6BF1">
            <w:pPr>
              <w:spacing w:line="240" w:lineRule="auto"/>
              <w:ind w:firstLine="0" w:firstLineChars="0"/>
              <w:jc w:val="center"/>
              <w:rPr>
                <w:rFonts w:hint="default" w:ascii="Times New Roman" w:hAnsi="Times New Roman" w:cs="Times New Roman"/>
                <w:color w:val="auto"/>
                <w:kern w:val="2"/>
                <w:sz w:val="21"/>
                <w:szCs w:val="21"/>
              </w:rPr>
            </w:pPr>
          </w:p>
        </w:tc>
        <w:tc>
          <w:tcPr>
            <w:tcW w:w="687" w:type="dxa"/>
            <w:vMerge w:val="continue"/>
            <w:vAlign w:val="center"/>
          </w:tcPr>
          <w:p w14:paraId="36F84EE7">
            <w:pPr>
              <w:spacing w:line="240" w:lineRule="auto"/>
              <w:ind w:firstLine="0" w:firstLineChars="0"/>
              <w:jc w:val="center"/>
              <w:rPr>
                <w:rFonts w:hint="default" w:ascii="Times New Roman" w:hAnsi="Times New Roman" w:cs="Times New Roman"/>
                <w:color w:val="auto"/>
                <w:kern w:val="2"/>
                <w:sz w:val="21"/>
                <w:szCs w:val="21"/>
              </w:rPr>
            </w:pPr>
          </w:p>
        </w:tc>
        <w:tc>
          <w:tcPr>
            <w:tcW w:w="1045" w:type="dxa"/>
            <w:vMerge w:val="continue"/>
            <w:vAlign w:val="center"/>
          </w:tcPr>
          <w:p w14:paraId="33A58EEA">
            <w:pPr>
              <w:spacing w:line="240" w:lineRule="auto"/>
              <w:ind w:firstLine="0" w:firstLineChars="0"/>
              <w:jc w:val="center"/>
              <w:rPr>
                <w:rFonts w:hint="default" w:ascii="Times New Roman" w:hAnsi="Times New Roman" w:cs="Times New Roman"/>
                <w:color w:val="auto"/>
                <w:kern w:val="2"/>
                <w:sz w:val="21"/>
                <w:szCs w:val="21"/>
              </w:rPr>
            </w:pPr>
          </w:p>
        </w:tc>
      </w:tr>
      <w:tr w14:paraId="17D0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restart"/>
            <w:vAlign w:val="center"/>
          </w:tcPr>
          <w:p w14:paraId="2369358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1#排放口</w:t>
            </w:r>
          </w:p>
        </w:tc>
        <w:tc>
          <w:tcPr>
            <w:tcW w:w="940" w:type="dxa"/>
            <w:vMerge w:val="restart"/>
            <w:vAlign w:val="center"/>
          </w:tcPr>
          <w:p w14:paraId="05EF6452">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挤出废气</w:t>
            </w:r>
          </w:p>
        </w:tc>
        <w:tc>
          <w:tcPr>
            <w:tcW w:w="860" w:type="dxa"/>
            <w:vAlign w:val="center"/>
          </w:tcPr>
          <w:p w14:paraId="28A5956E">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lang w:bidi="ar"/>
              </w:rPr>
              <w:t>非甲烷总烃</w:t>
            </w:r>
          </w:p>
        </w:tc>
        <w:tc>
          <w:tcPr>
            <w:tcW w:w="1234" w:type="dxa"/>
            <w:vAlign w:val="center"/>
          </w:tcPr>
          <w:p w14:paraId="41E94B3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193.56</w:t>
            </w:r>
          </w:p>
        </w:tc>
        <w:tc>
          <w:tcPr>
            <w:tcW w:w="1004" w:type="dxa"/>
            <w:vAlign w:val="center"/>
          </w:tcPr>
          <w:p w14:paraId="5D4A9E0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5.110</w:t>
            </w:r>
          </w:p>
        </w:tc>
        <w:tc>
          <w:tcPr>
            <w:tcW w:w="1195" w:type="dxa"/>
            <w:vAlign w:val="center"/>
          </w:tcPr>
          <w:p w14:paraId="6DD8D9D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60</w:t>
            </w:r>
          </w:p>
        </w:tc>
        <w:tc>
          <w:tcPr>
            <w:tcW w:w="711" w:type="dxa"/>
            <w:vMerge w:val="restart"/>
            <w:vAlign w:val="center"/>
          </w:tcPr>
          <w:p w14:paraId="650B7F1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687" w:type="dxa"/>
            <w:vMerge w:val="restart"/>
            <w:vAlign w:val="center"/>
          </w:tcPr>
          <w:p w14:paraId="73940FA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1045" w:type="dxa"/>
            <w:vMerge w:val="restart"/>
            <w:vAlign w:val="center"/>
          </w:tcPr>
          <w:p w14:paraId="6B04A4F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停止生产，立即检修和更换</w:t>
            </w:r>
          </w:p>
        </w:tc>
      </w:tr>
      <w:tr w14:paraId="2BEB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Merge w:val="continue"/>
            <w:vAlign w:val="center"/>
          </w:tcPr>
          <w:p w14:paraId="77E18DB5">
            <w:pPr>
              <w:spacing w:line="240" w:lineRule="auto"/>
              <w:ind w:firstLine="0" w:firstLineChars="0"/>
              <w:jc w:val="center"/>
              <w:rPr>
                <w:rFonts w:hint="default" w:ascii="Times New Roman" w:hAnsi="Times New Roman" w:cs="Times New Roman"/>
                <w:color w:val="auto"/>
                <w:kern w:val="2"/>
                <w:sz w:val="21"/>
                <w:szCs w:val="21"/>
              </w:rPr>
            </w:pPr>
          </w:p>
        </w:tc>
        <w:tc>
          <w:tcPr>
            <w:tcW w:w="940" w:type="dxa"/>
            <w:vMerge w:val="continue"/>
            <w:vAlign w:val="center"/>
          </w:tcPr>
          <w:p w14:paraId="06F4BE89">
            <w:pPr>
              <w:spacing w:line="240" w:lineRule="auto"/>
              <w:ind w:firstLine="0" w:firstLineChars="0"/>
              <w:jc w:val="center"/>
              <w:rPr>
                <w:rFonts w:hint="default" w:ascii="Times New Roman" w:hAnsi="Times New Roman" w:cs="Times New Roman"/>
                <w:color w:val="auto"/>
                <w:kern w:val="2"/>
                <w:sz w:val="21"/>
                <w:szCs w:val="21"/>
              </w:rPr>
            </w:pPr>
          </w:p>
        </w:tc>
        <w:tc>
          <w:tcPr>
            <w:tcW w:w="860" w:type="dxa"/>
            <w:vAlign w:val="center"/>
          </w:tcPr>
          <w:p w14:paraId="686C1FB6">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lang w:bidi="ar"/>
              </w:rPr>
              <w:t>酚类</w:t>
            </w:r>
          </w:p>
        </w:tc>
        <w:tc>
          <w:tcPr>
            <w:tcW w:w="1234" w:type="dxa"/>
            <w:vAlign w:val="center"/>
          </w:tcPr>
          <w:p w14:paraId="7616C4C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0.19</w:t>
            </w:r>
          </w:p>
        </w:tc>
        <w:tc>
          <w:tcPr>
            <w:tcW w:w="1004" w:type="dxa"/>
            <w:vAlign w:val="center"/>
          </w:tcPr>
          <w:p w14:paraId="4247B97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0.005</w:t>
            </w:r>
          </w:p>
        </w:tc>
        <w:tc>
          <w:tcPr>
            <w:tcW w:w="1195" w:type="dxa"/>
            <w:vAlign w:val="center"/>
          </w:tcPr>
          <w:p w14:paraId="7D000F65">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15</w:t>
            </w:r>
          </w:p>
        </w:tc>
        <w:tc>
          <w:tcPr>
            <w:tcW w:w="711" w:type="dxa"/>
            <w:vMerge w:val="continue"/>
            <w:vAlign w:val="center"/>
          </w:tcPr>
          <w:p w14:paraId="2EF025AD">
            <w:pPr>
              <w:spacing w:line="240" w:lineRule="auto"/>
              <w:ind w:firstLine="0" w:firstLineChars="0"/>
              <w:jc w:val="center"/>
              <w:rPr>
                <w:rFonts w:hint="default" w:ascii="Times New Roman" w:hAnsi="Times New Roman" w:cs="Times New Roman"/>
                <w:color w:val="auto"/>
                <w:kern w:val="2"/>
                <w:sz w:val="21"/>
                <w:szCs w:val="21"/>
              </w:rPr>
            </w:pPr>
          </w:p>
        </w:tc>
        <w:tc>
          <w:tcPr>
            <w:tcW w:w="687" w:type="dxa"/>
            <w:vMerge w:val="continue"/>
            <w:vAlign w:val="center"/>
          </w:tcPr>
          <w:p w14:paraId="6B1EEABF">
            <w:pPr>
              <w:spacing w:line="240" w:lineRule="auto"/>
              <w:ind w:firstLine="0" w:firstLineChars="0"/>
              <w:jc w:val="center"/>
              <w:rPr>
                <w:rFonts w:hint="default" w:ascii="Times New Roman" w:hAnsi="Times New Roman" w:cs="Times New Roman"/>
                <w:color w:val="auto"/>
                <w:kern w:val="2"/>
                <w:sz w:val="21"/>
                <w:szCs w:val="21"/>
              </w:rPr>
            </w:pPr>
          </w:p>
        </w:tc>
        <w:tc>
          <w:tcPr>
            <w:tcW w:w="1045" w:type="dxa"/>
            <w:vMerge w:val="continue"/>
            <w:vAlign w:val="center"/>
          </w:tcPr>
          <w:p w14:paraId="60AE1D3F">
            <w:pPr>
              <w:spacing w:line="240" w:lineRule="auto"/>
              <w:ind w:firstLine="0" w:firstLineChars="0"/>
              <w:jc w:val="center"/>
              <w:rPr>
                <w:rFonts w:hint="default" w:ascii="Times New Roman" w:hAnsi="Times New Roman" w:cs="Times New Roman"/>
                <w:color w:val="auto"/>
                <w:kern w:val="2"/>
                <w:sz w:val="21"/>
                <w:szCs w:val="21"/>
              </w:rPr>
            </w:pPr>
          </w:p>
        </w:tc>
      </w:tr>
      <w:tr w14:paraId="42B5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Merge w:val="continue"/>
            <w:vAlign w:val="center"/>
          </w:tcPr>
          <w:p w14:paraId="7CD225A3">
            <w:pPr>
              <w:spacing w:line="240" w:lineRule="auto"/>
              <w:ind w:firstLine="0" w:firstLineChars="0"/>
              <w:jc w:val="center"/>
              <w:rPr>
                <w:rFonts w:hint="default" w:ascii="Times New Roman" w:hAnsi="Times New Roman" w:cs="Times New Roman"/>
                <w:color w:val="auto"/>
                <w:kern w:val="2"/>
                <w:sz w:val="21"/>
                <w:szCs w:val="21"/>
              </w:rPr>
            </w:pPr>
          </w:p>
        </w:tc>
        <w:tc>
          <w:tcPr>
            <w:tcW w:w="940" w:type="dxa"/>
            <w:vMerge w:val="continue"/>
            <w:vAlign w:val="center"/>
          </w:tcPr>
          <w:p w14:paraId="153BDC13">
            <w:pPr>
              <w:spacing w:line="240" w:lineRule="auto"/>
              <w:ind w:firstLine="0" w:firstLineChars="0"/>
              <w:jc w:val="center"/>
              <w:rPr>
                <w:rFonts w:hint="default" w:ascii="Times New Roman" w:hAnsi="Times New Roman" w:cs="Times New Roman"/>
                <w:color w:val="auto"/>
                <w:kern w:val="2"/>
                <w:sz w:val="21"/>
                <w:szCs w:val="21"/>
              </w:rPr>
            </w:pPr>
          </w:p>
        </w:tc>
        <w:tc>
          <w:tcPr>
            <w:tcW w:w="860" w:type="dxa"/>
            <w:vAlign w:val="center"/>
          </w:tcPr>
          <w:p w14:paraId="18F0F975">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lang w:bidi="ar"/>
              </w:rPr>
              <w:t>丙烯腈</w:t>
            </w:r>
          </w:p>
        </w:tc>
        <w:tc>
          <w:tcPr>
            <w:tcW w:w="1234" w:type="dxa"/>
            <w:vAlign w:val="center"/>
          </w:tcPr>
          <w:p w14:paraId="5DC4BF5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0.06</w:t>
            </w:r>
          </w:p>
        </w:tc>
        <w:tc>
          <w:tcPr>
            <w:tcW w:w="1004" w:type="dxa"/>
            <w:vAlign w:val="center"/>
          </w:tcPr>
          <w:p w14:paraId="12EAA1E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0.00160</w:t>
            </w:r>
          </w:p>
        </w:tc>
        <w:tc>
          <w:tcPr>
            <w:tcW w:w="1195" w:type="dxa"/>
            <w:vAlign w:val="center"/>
          </w:tcPr>
          <w:p w14:paraId="494C5ECF">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0.5</w:t>
            </w:r>
          </w:p>
        </w:tc>
        <w:tc>
          <w:tcPr>
            <w:tcW w:w="711" w:type="dxa"/>
            <w:vMerge w:val="continue"/>
            <w:vAlign w:val="center"/>
          </w:tcPr>
          <w:p w14:paraId="47016E40">
            <w:pPr>
              <w:spacing w:line="240" w:lineRule="auto"/>
              <w:ind w:firstLine="0" w:firstLineChars="0"/>
              <w:jc w:val="center"/>
              <w:rPr>
                <w:rFonts w:hint="default" w:ascii="Times New Roman" w:hAnsi="Times New Roman" w:cs="Times New Roman"/>
                <w:color w:val="auto"/>
                <w:kern w:val="2"/>
                <w:sz w:val="21"/>
                <w:szCs w:val="21"/>
              </w:rPr>
            </w:pPr>
          </w:p>
        </w:tc>
        <w:tc>
          <w:tcPr>
            <w:tcW w:w="687" w:type="dxa"/>
            <w:vMerge w:val="continue"/>
            <w:vAlign w:val="center"/>
          </w:tcPr>
          <w:p w14:paraId="13E5212A">
            <w:pPr>
              <w:spacing w:line="240" w:lineRule="auto"/>
              <w:ind w:firstLine="0" w:firstLineChars="0"/>
              <w:jc w:val="center"/>
              <w:rPr>
                <w:rFonts w:hint="default" w:ascii="Times New Roman" w:hAnsi="Times New Roman" w:cs="Times New Roman"/>
                <w:color w:val="auto"/>
                <w:kern w:val="2"/>
                <w:sz w:val="21"/>
                <w:szCs w:val="21"/>
              </w:rPr>
            </w:pPr>
          </w:p>
        </w:tc>
        <w:tc>
          <w:tcPr>
            <w:tcW w:w="1045" w:type="dxa"/>
            <w:vMerge w:val="continue"/>
            <w:vAlign w:val="center"/>
          </w:tcPr>
          <w:p w14:paraId="2E350353">
            <w:pPr>
              <w:spacing w:line="240" w:lineRule="auto"/>
              <w:ind w:firstLine="0" w:firstLineChars="0"/>
              <w:jc w:val="center"/>
              <w:rPr>
                <w:rFonts w:hint="default" w:ascii="Times New Roman" w:hAnsi="Times New Roman" w:cs="Times New Roman"/>
                <w:color w:val="auto"/>
                <w:kern w:val="2"/>
                <w:sz w:val="21"/>
                <w:szCs w:val="21"/>
              </w:rPr>
            </w:pPr>
          </w:p>
        </w:tc>
      </w:tr>
      <w:tr w14:paraId="546C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Merge w:val="continue"/>
            <w:vAlign w:val="center"/>
          </w:tcPr>
          <w:p w14:paraId="13A9E664">
            <w:pPr>
              <w:spacing w:line="240" w:lineRule="auto"/>
              <w:ind w:firstLine="0" w:firstLineChars="0"/>
              <w:jc w:val="center"/>
              <w:rPr>
                <w:rFonts w:hint="default" w:ascii="Times New Roman" w:hAnsi="Times New Roman" w:cs="Times New Roman"/>
                <w:color w:val="auto"/>
                <w:kern w:val="2"/>
                <w:sz w:val="21"/>
                <w:szCs w:val="21"/>
              </w:rPr>
            </w:pPr>
          </w:p>
        </w:tc>
        <w:tc>
          <w:tcPr>
            <w:tcW w:w="940" w:type="dxa"/>
            <w:vMerge w:val="continue"/>
            <w:vAlign w:val="center"/>
          </w:tcPr>
          <w:p w14:paraId="0A6F63C1">
            <w:pPr>
              <w:spacing w:line="240" w:lineRule="auto"/>
              <w:ind w:firstLine="0" w:firstLineChars="0"/>
              <w:jc w:val="center"/>
              <w:rPr>
                <w:rFonts w:hint="default" w:ascii="Times New Roman" w:hAnsi="Times New Roman" w:cs="Times New Roman"/>
                <w:color w:val="auto"/>
                <w:kern w:val="2"/>
                <w:sz w:val="21"/>
                <w:szCs w:val="21"/>
              </w:rPr>
            </w:pPr>
          </w:p>
        </w:tc>
        <w:tc>
          <w:tcPr>
            <w:tcW w:w="860" w:type="dxa"/>
            <w:vAlign w:val="center"/>
          </w:tcPr>
          <w:p w14:paraId="6E97C33B">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lang w:bidi="ar"/>
              </w:rPr>
              <w:t>苯乙烯</w:t>
            </w:r>
          </w:p>
        </w:tc>
        <w:tc>
          <w:tcPr>
            <w:tcW w:w="1234" w:type="dxa"/>
            <w:vAlign w:val="center"/>
          </w:tcPr>
          <w:p w14:paraId="2462270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0.14</w:t>
            </w:r>
          </w:p>
        </w:tc>
        <w:tc>
          <w:tcPr>
            <w:tcW w:w="1004" w:type="dxa"/>
            <w:vAlign w:val="center"/>
          </w:tcPr>
          <w:p w14:paraId="62FA041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0.0037</w:t>
            </w:r>
          </w:p>
        </w:tc>
        <w:tc>
          <w:tcPr>
            <w:tcW w:w="1195" w:type="dxa"/>
            <w:vAlign w:val="center"/>
          </w:tcPr>
          <w:p w14:paraId="4D445C2D">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20</w:t>
            </w:r>
          </w:p>
        </w:tc>
        <w:tc>
          <w:tcPr>
            <w:tcW w:w="711" w:type="dxa"/>
            <w:vMerge w:val="continue"/>
            <w:vAlign w:val="center"/>
          </w:tcPr>
          <w:p w14:paraId="64D5C85F">
            <w:pPr>
              <w:spacing w:line="240" w:lineRule="auto"/>
              <w:ind w:firstLine="0" w:firstLineChars="0"/>
              <w:jc w:val="center"/>
              <w:rPr>
                <w:rFonts w:hint="default" w:ascii="Times New Roman" w:hAnsi="Times New Roman" w:cs="Times New Roman"/>
                <w:color w:val="auto"/>
                <w:kern w:val="2"/>
                <w:sz w:val="21"/>
                <w:szCs w:val="21"/>
              </w:rPr>
            </w:pPr>
          </w:p>
        </w:tc>
        <w:tc>
          <w:tcPr>
            <w:tcW w:w="687" w:type="dxa"/>
            <w:vMerge w:val="continue"/>
            <w:vAlign w:val="center"/>
          </w:tcPr>
          <w:p w14:paraId="369FBFB8">
            <w:pPr>
              <w:spacing w:line="240" w:lineRule="auto"/>
              <w:ind w:firstLine="0" w:firstLineChars="0"/>
              <w:jc w:val="center"/>
              <w:rPr>
                <w:rFonts w:hint="default" w:ascii="Times New Roman" w:hAnsi="Times New Roman" w:cs="Times New Roman"/>
                <w:color w:val="auto"/>
                <w:kern w:val="2"/>
                <w:sz w:val="21"/>
                <w:szCs w:val="21"/>
              </w:rPr>
            </w:pPr>
          </w:p>
        </w:tc>
        <w:tc>
          <w:tcPr>
            <w:tcW w:w="1045" w:type="dxa"/>
            <w:vMerge w:val="continue"/>
            <w:vAlign w:val="center"/>
          </w:tcPr>
          <w:p w14:paraId="612B5EDA">
            <w:pPr>
              <w:spacing w:line="240" w:lineRule="auto"/>
              <w:ind w:firstLine="0" w:firstLineChars="0"/>
              <w:jc w:val="center"/>
              <w:rPr>
                <w:rFonts w:hint="default" w:ascii="Times New Roman" w:hAnsi="Times New Roman" w:cs="Times New Roman"/>
                <w:color w:val="auto"/>
                <w:kern w:val="2"/>
                <w:sz w:val="21"/>
                <w:szCs w:val="21"/>
              </w:rPr>
            </w:pPr>
          </w:p>
        </w:tc>
      </w:tr>
      <w:tr w14:paraId="00DAD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Merge w:val="continue"/>
            <w:vAlign w:val="center"/>
          </w:tcPr>
          <w:p w14:paraId="1003BF67">
            <w:pPr>
              <w:spacing w:line="240" w:lineRule="auto"/>
              <w:ind w:firstLine="0" w:firstLineChars="0"/>
              <w:jc w:val="center"/>
              <w:rPr>
                <w:rFonts w:hint="default" w:ascii="Times New Roman" w:hAnsi="Times New Roman" w:cs="Times New Roman"/>
                <w:color w:val="auto"/>
                <w:kern w:val="2"/>
                <w:sz w:val="21"/>
                <w:szCs w:val="21"/>
              </w:rPr>
            </w:pPr>
          </w:p>
        </w:tc>
        <w:tc>
          <w:tcPr>
            <w:tcW w:w="940" w:type="dxa"/>
            <w:vMerge w:val="continue"/>
            <w:vAlign w:val="center"/>
          </w:tcPr>
          <w:p w14:paraId="3622E65A">
            <w:pPr>
              <w:spacing w:line="240" w:lineRule="auto"/>
              <w:ind w:firstLine="0" w:firstLineChars="0"/>
              <w:jc w:val="center"/>
              <w:rPr>
                <w:rFonts w:hint="default" w:ascii="Times New Roman" w:hAnsi="Times New Roman" w:cs="Times New Roman"/>
                <w:color w:val="auto"/>
                <w:kern w:val="2"/>
                <w:sz w:val="21"/>
                <w:szCs w:val="21"/>
              </w:rPr>
            </w:pPr>
          </w:p>
        </w:tc>
        <w:tc>
          <w:tcPr>
            <w:tcW w:w="860" w:type="dxa"/>
            <w:vAlign w:val="center"/>
          </w:tcPr>
          <w:p w14:paraId="408D460E">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lang w:bidi="ar"/>
              </w:rPr>
              <w:t>乙苯</w:t>
            </w:r>
          </w:p>
        </w:tc>
        <w:tc>
          <w:tcPr>
            <w:tcW w:w="1234" w:type="dxa"/>
            <w:vAlign w:val="center"/>
          </w:tcPr>
          <w:p w14:paraId="3BDA96D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0.09</w:t>
            </w:r>
          </w:p>
        </w:tc>
        <w:tc>
          <w:tcPr>
            <w:tcW w:w="1004" w:type="dxa"/>
            <w:vAlign w:val="center"/>
          </w:tcPr>
          <w:p w14:paraId="5ECF832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0.00240</w:t>
            </w:r>
          </w:p>
        </w:tc>
        <w:tc>
          <w:tcPr>
            <w:tcW w:w="1195" w:type="dxa"/>
            <w:vAlign w:val="center"/>
          </w:tcPr>
          <w:p w14:paraId="7D521108">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50</w:t>
            </w:r>
          </w:p>
        </w:tc>
        <w:tc>
          <w:tcPr>
            <w:tcW w:w="711" w:type="dxa"/>
            <w:vMerge w:val="continue"/>
            <w:vAlign w:val="center"/>
          </w:tcPr>
          <w:p w14:paraId="7F7D71BE">
            <w:pPr>
              <w:spacing w:line="240" w:lineRule="auto"/>
              <w:ind w:firstLine="0" w:firstLineChars="0"/>
              <w:jc w:val="center"/>
              <w:rPr>
                <w:rFonts w:hint="default" w:ascii="Times New Roman" w:hAnsi="Times New Roman" w:cs="Times New Roman"/>
                <w:color w:val="auto"/>
                <w:kern w:val="2"/>
                <w:sz w:val="21"/>
                <w:szCs w:val="21"/>
              </w:rPr>
            </w:pPr>
          </w:p>
        </w:tc>
        <w:tc>
          <w:tcPr>
            <w:tcW w:w="687" w:type="dxa"/>
            <w:vMerge w:val="continue"/>
            <w:vAlign w:val="center"/>
          </w:tcPr>
          <w:p w14:paraId="3D9968DC">
            <w:pPr>
              <w:spacing w:line="240" w:lineRule="auto"/>
              <w:ind w:firstLine="0" w:firstLineChars="0"/>
              <w:jc w:val="center"/>
              <w:rPr>
                <w:rFonts w:hint="default" w:ascii="Times New Roman" w:hAnsi="Times New Roman" w:cs="Times New Roman"/>
                <w:color w:val="auto"/>
                <w:kern w:val="2"/>
                <w:sz w:val="21"/>
                <w:szCs w:val="21"/>
              </w:rPr>
            </w:pPr>
          </w:p>
        </w:tc>
        <w:tc>
          <w:tcPr>
            <w:tcW w:w="1045" w:type="dxa"/>
            <w:vMerge w:val="continue"/>
            <w:vAlign w:val="center"/>
          </w:tcPr>
          <w:p w14:paraId="3C72BCA5">
            <w:pPr>
              <w:spacing w:line="240" w:lineRule="auto"/>
              <w:ind w:firstLine="0" w:firstLineChars="0"/>
              <w:jc w:val="center"/>
              <w:rPr>
                <w:rFonts w:hint="default" w:ascii="Times New Roman" w:hAnsi="Times New Roman" w:cs="Times New Roman"/>
                <w:color w:val="auto"/>
                <w:kern w:val="2"/>
                <w:sz w:val="21"/>
                <w:szCs w:val="21"/>
              </w:rPr>
            </w:pPr>
          </w:p>
        </w:tc>
      </w:tr>
      <w:tr w14:paraId="2FE7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Merge w:val="continue"/>
            <w:vAlign w:val="center"/>
          </w:tcPr>
          <w:p w14:paraId="4A27FA1B">
            <w:pPr>
              <w:spacing w:line="240" w:lineRule="auto"/>
              <w:ind w:firstLine="0" w:firstLineChars="0"/>
              <w:jc w:val="center"/>
              <w:rPr>
                <w:rFonts w:hint="default" w:ascii="Times New Roman" w:hAnsi="Times New Roman" w:cs="Times New Roman"/>
                <w:color w:val="auto"/>
                <w:kern w:val="2"/>
                <w:sz w:val="21"/>
                <w:szCs w:val="21"/>
              </w:rPr>
            </w:pPr>
          </w:p>
        </w:tc>
        <w:tc>
          <w:tcPr>
            <w:tcW w:w="940" w:type="dxa"/>
            <w:vMerge w:val="continue"/>
            <w:vAlign w:val="center"/>
          </w:tcPr>
          <w:p w14:paraId="0CE32313">
            <w:pPr>
              <w:spacing w:line="240" w:lineRule="auto"/>
              <w:ind w:firstLine="0" w:firstLineChars="0"/>
              <w:jc w:val="center"/>
              <w:rPr>
                <w:rFonts w:hint="default" w:ascii="Times New Roman" w:hAnsi="Times New Roman" w:cs="Times New Roman"/>
                <w:color w:val="auto"/>
                <w:kern w:val="2"/>
                <w:sz w:val="21"/>
                <w:szCs w:val="21"/>
              </w:rPr>
            </w:pPr>
          </w:p>
        </w:tc>
        <w:tc>
          <w:tcPr>
            <w:tcW w:w="860" w:type="dxa"/>
            <w:vAlign w:val="center"/>
          </w:tcPr>
          <w:p w14:paraId="4535EE9D">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lang w:bidi="ar"/>
              </w:rPr>
              <w:t>甲苯</w:t>
            </w:r>
          </w:p>
        </w:tc>
        <w:tc>
          <w:tcPr>
            <w:tcW w:w="1234" w:type="dxa"/>
            <w:vAlign w:val="center"/>
          </w:tcPr>
          <w:p w14:paraId="2D8443D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0.00</w:t>
            </w:r>
          </w:p>
        </w:tc>
        <w:tc>
          <w:tcPr>
            <w:tcW w:w="1004" w:type="dxa"/>
            <w:vAlign w:val="center"/>
          </w:tcPr>
          <w:p w14:paraId="09C56F4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0.000060</w:t>
            </w:r>
          </w:p>
        </w:tc>
        <w:tc>
          <w:tcPr>
            <w:tcW w:w="1195" w:type="dxa"/>
            <w:vAlign w:val="center"/>
          </w:tcPr>
          <w:p w14:paraId="56D59CBA">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8</w:t>
            </w:r>
          </w:p>
        </w:tc>
        <w:tc>
          <w:tcPr>
            <w:tcW w:w="711" w:type="dxa"/>
            <w:vMerge w:val="continue"/>
            <w:vAlign w:val="center"/>
          </w:tcPr>
          <w:p w14:paraId="735159DE">
            <w:pPr>
              <w:spacing w:line="240" w:lineRule="auto"/>
              <w:ind w:firstLine="0" w:firstLineChars="0"/>
              <w:jc w:val="center"/>
              <w:rPr>
                <w:rFonts w:hint="default" w:ascii="Times New Roman" w:hAnsi="Times New Roman" w:cs="Times New Roman"/>
                <w:color w:val="auto"/>
                <w:kern w:val="2"/>
                <w:sz w:val="21"/>
                <w:szCs w:val="21"/>
              </w:rPr>
            </w:pPr>
          </w:p>
        </w:tc>
        <w:tc>
          <w:tcPr>
            <w:tcW w:w="687" w:type="dxa"/>
            <w:vMerge w:val="continue"/>
            <w:vAlign w:val="center"/>
          </w:tcPr>
          <w:p w14:paraId="7BE1B579">
            <w:pPr>
              <w:spacing w:line="240" w:lineRule="auto"/>
              <w:ind w:firstLine="0" w:firstLineChars="0"/>
              <w:jc w:val="center"/>
              <w:rPr>
                <w:rFonts w:hint="default" w:ascii="Times New Roman" w:hAnsi="Times New Roman" w:cs="Times New Roman"/>
                <w:color w:val="auto"/>
                <w:kern w:val="2"/>
                <w:sz w:val="21"/>
                <w:szCs w:val="21"/>
              </w:rPr>
            </w:pPr>
          </w:p>
        </w:tc>
        <w:tc>
          <w:tcPr>
            <w:tcW w:w="1045" w:type="dxa"/>
            <w:vMerge w:val="continue"/>
            <w:vAlign w:val="center"/>
          </w:tcPr>
          <w:p w14:paraId="116478E5">
            <w:pPr>
              <w:spacing w:line="240" w:lineRule="auto"/>
              <w:ind w:firstLine="0" w:firstLineChars="0"/>
              <w:jc w:val="center"/>
              <w:rPr>
                <w:rFonts w:hint="default" w:ascii="Times New Roman" w:hAnsi="Times New Roman" w:cs="Times New Roman"/>
                <w:color w:val="auto"/>
                <w:kern w:val="2"/>
                <w:sz w:val="21"/>
                <w:szCs w:val="21"/>
              </w:rPr>
            </w:pPr>
          </w:p>
        </w:tc>
      </w:tr>
      <w:tr w14:paraId="736FA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Merge w:val="continue"/>
            <w:vAlign w:val="center"/>
          </w:tcPr>
          <w:p w14:paraId="38EAFED5">
            <w:pPr>
              <w:spacing w:line="240" w:lineRule="auto"/>
              <w:ind w:firstLine="0" w:firstLineChars="0"/>
              <w:jc w:val="center"/>
              <w:rPr>
                <w:rFonts w:hint="default" w:ascii="Times New Roman" w:hAnsi="Times New Roman" w:cs="Times New Roman"/>
                <w:color w:val="auto"/>
                <w:kern w:val="2"/>
                <w:sz w:val="21"/>
                <w:szCs w:val="21"/>
              </w:rPr>
            </w:pPr>
          </w:p>
        </w:tc>
        <w:tc>
          <w:tcPr>
            <w:tcW w:w="940" w:type="dxa"/>
            <w:vMerge w:val="continue"/>
            <w:vAlign w:val="center"/>
          </w:tcPr>
          <w:p w14:paraId="6FC6A8EC">
            <w:pPr>
              <w:spacing w:line="240" w:lineRule="auto"/>
              <w:ind w:firstLine="0" w:firstLineChars="0"/>
              <w:jc w:val="center"/>
              <w:rPr>
                <w:rFonts w:hint="default" w:ascii="Times New Roman" w:hAnsi="Times New Roman" w:cs="Times New Roman"/>
                <w:color w:val="auto"/>
                <w:kern w:val="2"/>
                <w:sz w:val="21"/>
                <w:szCs w:val="21"/>
              </w:rPr>
            </w:pPr>
          </w:p>
        </w:tc>
        <w:tc>
          <w:tcPr>
            <w:tcW w:w="860" w:type="dxa"/>
            <w:vAlign w:val="center"/>
          </w:tcPr>
          <w:p w14:paraId="0F8C25C3">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lang w:bidi="ar"/>
              </w:rPr>
              <w:t>1,3-丁二烯</w:t>
            </w:r>
          </w:p>
        </w:tc>
        <w:tc>
          <w:tcPr>
            <w:tcW w:w="1234" w:type="dxa"/>
            <w:vAlign w:val="center"/>
          </w:tcPr>
          <w:p w14:paraId="51CB3A7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0.01</w:t>
            </w:r>
          </w:p>
        </w:tc>
        <w:tc>
          <w:tcPr>
            <w:tcW w:w="1004" w:type="dxa"/>
            <w:vAlign w:val="center"/>
          </w:tcPr>
          <w:p w14:paraId="236D864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0.000240</w:t>
            </w:r>
          </w:p>
        </w:tc>
        <w:tc>
          <w:tcPr>
            <w:tcW w:w="1195" w:type="dxa"/>
            <w:vAlign w:val="center"/>
          </w:tcPr>
          <w:p w14:paraId="5FAEBF46">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711" w:type="dxa"/>
            <w:vMerge w:val="continue"/>
            <w:vAlign w:val="center"/>
          </w:tcPr>
          <w:p w14:paraId="48103410">
            <w:pPr>
              <w:spacing w:line="240" w:lineRule="auto"/>
              <w:ind w:firstLine="0" w:firstLineChars="0"/>
              <w:jc w:val="center"/>
              <w:rPr>
                <w:rFonts w:hint="default" w:ascii="Times New Roman" w:hAnsi="Times New Roman" w:cs="Times New Roman"/>
                <w:color w:val="auto"/>
                <w:kern w:val="2"/>
                <w:sz w:val="21"/>
                <w:szCs w:val="21"/>
              </w:rPr>
            </w:pPr>
          </w:p>
        </w:tc>
        <w:tc>
          <w:tcPr>
            <w:tcW w:w="687" w:type="dxa"/>
            <w:vMerge w:val="continue"/>
            <w:vAlign w:val="center"/>
          </w:tcPr>
          <w:p w14:paraId="3BD0628B">
            <w:pPr>
              <w:spacing w:line="240" w:lineRule="auto"/>
              <w:ind w:firstLine="0" w:firstLineChars="0"/>
              <w:jc w:val="center"/>
              <w:rPr>
                <w:rFonts w:hint="default" w:ascii="Times New Roman" w:hAnsi="Times New Roman" w:cs="Times New Roman"/>
                <w:color w:val="auto"/>
                <w:kern w:val="2"/>
                <w:sz w:val="21"/>
                <w:szCs w:val="21"/>
              </w:rPr>
            </w:pPr>
          </w:p>
        </w:tc>
        <w:tc>
          <w:tcPr>
            <w:tcW w:w="1045" w:type="dxa"/>
            <w:vMerge w:val="continue"/>
            <w:vAlign w:val="center"/>
          </w:tcPr>
          <w:p w14:paraId="57661D2F">
            <w:pPr>
              <w:spacing w:line="240" w:lineRule="auto"/>
              <w:ind w:firstLine="0" w:firstLineChars="0"/>
              <w:jc w:val="center"/>
              <w:rPr>
                <w:rFonts w:hint="default" w:ascii="Times New Roman" w:hAnsi="Times New Roman" w:cs="Times New Roman"/>
                <w:color w:val="auto"/>
                <w:kern w:val="2"/>
                <w:sz w:val="21"/>
                <w:szCs w:val="21"/>
              </w:rPr>
            </w:pPr>
          </w:p>
        </w:tc>
      </w:tr>
      <w:tr w14:paraId="62F7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09E10A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2#排放口</w:t>
            </w:r>
          </w:p>
        </w:tc>
        <w:tc>
          <w:tcPr>
            <w:tcW w:w="940" w:type="dxa"/>
            <w:vAlign w:val="center"/>
          </w:tcPr>
          <w:p w14:paraId="4B5D7130">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lang w:bidi="ar"/>
              </w:rPr>
              <w:t>滑石粉投料混合</w:t>
            </w:r>
          </w:p>
        </w:tc>
        <w:tc>
          <w:tcPr>
            <w:tcW w:w="860" w:type="dxa"/>
            <w:vAlign w:val="center"/>
          </w:tcPr>
          <w:p w14:paraId="28DBB46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颗粒物</w:t>
            </w:r>
          </w:p>
        </w:tc>
        <w:tc>
          <w:tcPr>
            <w:tcW w:w="1234" w:type="dxa"/>
            <w:vAlign w:val="center"/>
          </w:tcPr>
          <w:p w14:paraId="79ABFA85">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22.31</w:t>
            </w:r>
          </w:p>
        </w:tc>
        <w:tc>
          <w:tcPr>
            <w:tcW w:w="1004" w:type="dxa"/>
            <w:vAlign w:val="center"/>
          </w:tcPr>
          <w:p w14:paraId="08351892">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0.049</w:t>
            </w:r>
          </w:p>
        </w:tc>
        <w:tc>
          <w:tcPr>
            <w:tcW w:w="1195" w:type="dxa"/>
            <w:vAlign w:val="center"/>
          </w:tcPr>
          <w:p w14:paraId="3854DDB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20</w:t>
            </w:r>
          </w:p>
        </w:tc>
        <w:tc>
          <w:tcPr>
            <w:tcW w:w="711" w:type="dxa"/>
            <w:vAlign w:val="center"/>
          </w:tcPr>
          <w:p w14:paraId="69E3B01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687" w:type="dxa"/>
            <w:vAlign w:val="center"/>
          </w:tcPr>
          <w:p w14:paraId="52D19DE3">
            <w:pPr>
              <w:spacing w:line="240" w:lineRule="auto"/>
              <w:ind w:firstLine="0" w:firstLineChars="0"/>
              <w:jc w:val="center"/>
              <w:rPr>
                <w:rFonts w:hint="default" w:ascii="Times New Roman" w:hAnsi="Times New Roman" w:cs="Times New Roman"/>
                <w:color w:val="auto"/>
                <w:kern w:val="2"/>
                <w:sz w:val="21"/>
                <w:szCs w:val="21"/>
              </w:rPr>
            </w:pPr>
          </w:p>
        </w:tc>
        <w:tc>
          <w:tcPr>
            <w:tcW w:w="1045" w:type="dxa"/>
            <w:vMerge w:val="continue"/>
            <w:vAlign w:val="center"/>
          </w:tcPr>
          <w:p w14:paraId="17EFD22C">
            <w:pPr>
              <w:spacing w:line="240" w:lineRule="auto"/>
              <w:ind w:firstLine="0" w:firstLineChars="0"/>
              <w:jc w:val="center"/>
              <w:rPr>
                <w:rFonts w:hint="default" w:ascii="Times New Roman" w:hAnsi="Times New Roman" w:cs="Times New Roman"/>
                <w:color w:val="auto"/>
                <w:kern w:val="2"/>
                <w:sz w:val="21"/>
                <w:szCs w:val="21"/>
              </w:rPr>
            </w:pPr>
          </w:p>
        </w:tc>
      </w:tr>
    </w:tbl>
    <w:p w14:paraId="7AD6B997">
      <w:pPr>
        <w:ind w:firstLine="480"/>
        <w:rPr>
          <w:rFonts w:hint="default" w:ascii="Times New Roman" w:hAnsi="Times New Roman" w:cs="Times New Roman"/>
          <w:color w:val="auto"/>
        </w:rPr>
      </w:pPr>
      <w:r>
        <w:rPr>
          <w:rFonts w:hint="default" w:ascii="Times New Roman" w:hAnsi="Times New Roman" w:cs="Times New Roman"/>
          <w:color w:val="auto"/>
        </w:rPr>
        <w:t>根据上表可知，本项目非正常工况下污染物排放浓度无法满足排放标准要求。环评要求项目一旦发生非正常排放，必须立即停产，对废气处理设施进行及时检修。为杜绝废气非正常排放，应采取以下措施确保废气达标排放：</w:t>
      </w:r>
    </w:p>
    <w:p w14:paraId="0108B432">
      <w:pPr>
        <w:ind w:firstLine="480"/>
        <w:rPr>
          <w:rFonts w:hint="default" w:ascii="Times New Roman" w:hAnsi="Times New Roman" w:cs="Times New Roman"/>
          <w:color w:val="auto"/>
        </w:rPr>
      </w:pPr>
      <w:r>
        <w:rPr>
          <w:rFonts w:hint="default" w:ascii="Times New Roman" w:hAnsi="Times New Roman" w:cs="Times New Roman"/>
          <w:color w:val="auto"/>
        </w:rPr>
        <w:t>①安排专人负责环保设备的日常维护和管理，每隔固定时间检查、汇报情况，及时发现废气处理设备的隐患，确保废气处理系统正常运行；</w:t>
      </w:r>
    </w:p>
    <w:p w14:paraId="397EEFC0">
      <w:pPr>
        <w:ind w:firstLine="480"/>
        <w:rPr>
          <w:rFonts w:hint="default" w:ascii="Times New Roman" w:hAnsi="Times New Roman" w:cs="Times New Roman"/>
          <w:color w:val="auto"/>
        </w:rPr>
      </w:pPr>
      <w:r>
        <w:rPr>
          <w:rFonts w:hint="default" w:ascii="Times New Roman" w:hAnsi="Times New Roman" w:cs="Times New Roman"/>
          <w:color w:val="auto"/>
        </w:rPr>
        <w:t>②建立健全的环保管理机构，对环保管理人员和技术人员进行岗位培训，委托具有专业资质的环境检测单位对项目排放的各类污染物进行定期检测；</w:t>
      </w:r>
    </w:p>
    <w:p w14:paraId="5A94523C">
      <w:pPr>
        <w:ind w:firstLine="480"/>
        <w:rPr>
          <w:rFonts w:hint="default" w:ascii="Times New Roman" w:hAnsi="Times New Roman" w:cs="Times New Roman"/>
          <w:color w:val="auto"/>
        </w:rPr>
      </w:pPr>
      <w:r>
        <w:rPr>
          <w:rFonts w:hint="default" w:ascii="Times New Roman" w:hAnsi="Times New Roman" w:cs="Times New Roman"/>
          <w:color w:val="auto"/>
        </w:rPr>
        <w:t>③应定期维护、检修废气处理装置，以保持废气处理设施设备的处理效率。</w:t>
      </w:r>
    </w:p>
    <w:p w14:paraId="3F65E997">
      <w:pPr>
        <w:ind w:firstLine="480"/>
        <w:rPr>
          <w:rFonts w:hint="default" w:ascii="Times New Roman" w:hAnsi="Times New Roman" w:cs="Times New Roman"/>
          <w:color w:val="auto"/>
        </w:rPr>
      </w:pPr>
      <w:r>
        <w:rPr>
          <w:rFonts w:hint="default" w:ascii="Times New Roman" w:hAnsi="Times New Roman" w:cs="Times New Roman"/>
          <w:color w:val="auto"/>
        </w:rPr>
        <w:t>（4）监测要求</w:t>
      </w:r>
    </w:p>
    <w:p w14:paraId="13CE69AB">
      <w:pPr>
        <w:ind w:firstLine="480"/>
        <w:rPr>
          <w:rFonts w:hint="default" w:ascii="Times New Roman" w:hAnsi="Times New Roman" w:cs="Times New Roman"/>
          <w:color w:val="auto"/>
        </w:rPr>
      </w:pPr>
      <w:r>
        <w:rPr>
          <w:rFonts w:hint="default" w:ascii="Times New Roman" w:hAnsi="Times New Roman" w:cs="Times New Roman"/>
          <w:color w:val="auto"/>
        </w:rPr>
        <w:t>根据《排污单位自行监测技术指南 总则》（HJ819-2017）、《排污许可证申请与核发技术规范 橡胶和塑料制品工业》（HJ1122-2020）、《排污单位自行监测技术指南 橡胶和塑料制品》（HJ1207-2021），本项目废气自行监测情况见表4.2.1-9。</w:t>
      </w:r>
    </w:p>
    <w:p w14:paraId="6D112B93">
      <w:pPr>
        <w:pStyle w:val="93"/>
        <w:rPr>
          <w:rFonts w:hint="default" w:ascii="Times New Roman" w:hAnsi="Times New Roman" w:cs="Times New Roman"/>
          <w:color w:val="auto"/>
        </w:rPr>
      </w:pPr>
      <w:r>
        <w:rPr>
          <w:rFonts w:hint="default" w:ascii="Times New Roman" w:hAnsi="Times New Roman" w:cs="Times New Roman"/>
          <w:color w:val="auto"/>
        </w:rPr>
        <w:t>表4.2.1-9      项目废气自行监测情况一览表</w:t>
      </w:r>
    </w:p>
    <w:tbl>
      <w:tblPr>
        <w:tblStyle w:val="45"/>
        <w:tblW w:w="48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695"/>
        <w:gridCol w:w="927"/>
        <w:gridCol w:w="1292"/>
        <w:gridCol w:w="1171"/>
        <w:gridCol w:w="3574"/>
      </w:tblGrid>
      <w:tr w14:paraId="1875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vAlign w:val="center"/>
          </w:tcPr>
          <w:p w14:paraId="0215B1A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名称</w:t>
            </w:r>
          </w:p>
        </w:tc>
        <w:tc>
          <w:tcPr>
            <w:tcW w:w="1622" w:type="dxa"/>
            <w:gridSpan w:val="2"/>
            <w:vAlign w:val="center"/>
          </w:tcPr>
          <w:p w14:paraId="05F88E4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监测点位</w:t>
            </w:r>
          </w:p>
        </w:tc>
        <w:tc>
          <w:tcPr>
            <w:tcW w:w="1292" w:type="dxa"/>
            <w:vAlign w:val="center"/>
          </w:tcPr>
          <w:p w14:paraId="5E3BA60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监测项目</w:t>
            </w:r>
          </w:p>
        </w:tc>
        <w:tc>
          <w:tcPr>
            <w:tcW w:w="1171" w:type="dxa"/>
            <w:vAlign w:val="center"/>
          </w:tcPr>
          <w:p w14:paraId="2D7F966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监测频率</w:t>
            </w:r>
          </w:p>
        </w:tc>
        <w:tc>
          <w:tcPr>
            <w:tcW w:w="3574" w:type="dxa"/>
            <w:vAlign w:val="center"/>
          </w:tcPr>
          <w:p w14:paraId="7C923D2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执行排放标准</w:t>
            </w:r>
          </w:p>
        </w:tc>
      </w:tr>
      <w:tr w14:paraId="5E90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vMerge w:val="restart"/>
            <w:vAlign w:val="center"/>
          </w:tcPr>
          <w:p w14:paraId="46BB469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废气</w:t>
            </w:r>
          </w:p>
        </w:tc>
        <w:tc>
          <w:tcPr>
            <w:tcW w:w="695" w:type="dxa"/>
            <w:vMerge w:val="restart"/>
            <w:vAlign w:val="center"/>
          </w:tcPr>
          <w:p w14:paraId="2759E64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有组织</w:t>
            </w:r>
          </w:p>
        </w:tc>
        <w:tc>
          <w:tcPr>
            <w:tcW w:w="927" w:type="dxa"/>
            <w:vMerge w:val="restart"/>
            <w:vAlign w:val="center"/>
          </w:tcPr>
          <w:p w14:paraId="42C483B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1#排气筒</w:t>
            </w:r>
          </w:p>
        </w:tc>
        <w:tc>
          <w:tcPr>
            <w:tcW w:w="1292" w:type="dxa"/>
            <w:vAlign w:val="center"/>
          </w:tcPr>
          <w:p w14:paraId="667A46F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非甲烷总烃</w:t>
            </w:r>
          </w:p>
        </w:tc>
        <w:tc>
          <w:tcPr>
            <w:tcW w:w="1171" w:type="dxa"/>
            <w:vAlign w:val="center"/>
          </w:tcPr>
          <w:p w14:paraId="0655C55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1次/半年</w:t>
            </w:r>
          </w:p>
        </w:tc>
        <w:tc>
          <w:tcPr>
            <w:tcW w:w="3574" w:type="dxa"/>
            <w:vMerge w:val="restart"/>
            <w:vAlign w:val="center"/>
          </w:tcPr>
          <w:p w14:paraId="14FDFD1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0"/>
                <w:szCs w:val="15"/>
              </w:rPr>
              <w:t>《合成树脂工业污染物排放标准》（GB31572-2015）表5大气污染物特别排放限值</w:t>
            </w:r>
          </w:p>
        </w:tc>
      </w:tr>
      <w:tr w14:paraId="2460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vMerge w:val="continue"/>
            <w:vAlign w:val="center"/>
          </w:tcPr>
          <w:p w14:paraId="677E0FB9">
            <w:pPr>
              <w:spacing w:line="240" w:lineRule="auto"/>
              <w:ind w:firstLine="0" w:firstLineChars="0"/>
              <w:jc w:val="center"/>
              <w:rPr>
                <w:rFonts w:hint="default" w:ascii="Times New Roman" w:hAnsi="Times New Roman" w:cs="Times New Roman"/>
                <w:color w:val="auto"/>
                <w:kern w:val="2"/>
                <w:sz w:val="21"/>
                <w:szCs w:val="21"/>
              </w:rPr>
            </w:pPr>
          </w:p>
        </w:tc>
        <w:tc>
          <w:tcPr>
            <w:tcW w:w="695" w:type="dxa"/>
            <w:vMerge w:val="continue"/>
            <w:vAlign w:val="center"/>
          </w:tcPr>
          <w:p w14:paraId="02BFD376">
            <w:pPr>
              <w:spacing w:line="240" w:lineRule="auto"/>
              <w:ind w:firstLine="0" w:firstLineChars="0"/>
              <w:jc w:val="center"/>
              <w:rPr>
                <w:rFonts w:hint="default" w:ascii="Times New Roman" w:hAnsi="Times New Roman" w:cs="Times New Roman"/>
                <w:color w:val="auto"/>
                <w:kern w:val="2"/>
                <w:sz w:val="21"/>
                <w:szCs w:val="21"/>
              </w:rPr>
            </w:pPr>
          </w:p>
        </w:tc>
        <w:tc>
          <w:tcPr>
            <w:tcW w:w="927" w:type="dxa"/>
            <w:vMerge w:val="continue"/>
            <w:vAlign w:val="center"/>
          </w:tcPr>
          <w:p w14:paraId="1B961136">
            <w:pPr>
              <w:spacing w:line="240" w:lineRule="auto"/>
              <w:ind w:firstLine="0" w:firstLineChars="0"/>
              <w:jc w:val="center"/>
              <w:rPr>
                <w:rFonts w:hint="default" w:ascii="Times New Roman" w:hAnsi="Times New Roman" w:cs="Times New Roman"/>
                <w:color w:val="auto"/>
                <w:kern w:val="2"/>
                <w:sz w:val="21"/>
                <w:szCs w:val="21"/>
              </w:rPr>
            </w:pPr>
          </w:p>
        </w:tc>
        <w:tc>
          <w:tcPr>
            <w:tcW w:w="1292" w:type="dxa"/>
            <w:vAlign w:val="center"/>
          </w:tcPr>
          <w:p w14:paraId="3F111BC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酚类、丙烯腈、苯乙烯、乙苯、甲苯、1,3-丁二烯、氨*</w:t>
            </w:r>
          </w:p>
        </w:tc>
        <w:tc>
          <w:tcPr>
            <w:tcW w:w="1171" w:type="dxa"/>
            <w:vAlign w:val="center"/>
          </w:tcPr>
          <w:p w14:paraId="642C3DD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1次/年</w:t>
            </w:r>
          </w:p>
        </w:tc>
        <w:tc>
          <w:tcPr>
            <w:tcW w:w="3574" w:type="dxa"/>
            <w:vMerge w:val="continue"/>
            <w:vAlign w:val="center"/>
          </w:tcPr>
          <w:p w14:paraId="58ACB6A0">
            <w:pPr>
              <w:spacing w:line="240" w:lineRule="auto"/>
              <w:ind w:firstLine="0" w:firstLineChars="0"/>
              <w:jc w:val="center"/>
              <w:rPr>
                <w:rFonts w:hint="default" w:ascii="Times New Roman" w:hAnsi="Times New Roman" w:cs="Times New Roman"/>
                <w:color w:val="auto"/>
                <w:kern w:val="2"/>
                <w:sz w:val="20"/>
                <w:szCs w:val="15"/>
              </w:rPr>
            </w:pPr>
          </w:p>
        </w:tc>
      </w:tr>
      <w:tr w14:paraId="73EB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vMerge w:val="continue"/>
            <w:vAlign w:val="center"/>
          </w:tcPr>
          <w:p w14:paraId="42A76769">
            <w:pPr>
              <w:spacing w:line="240" w:lineRule="auto"/>
              <w:ind w:firstLine="0" w:firstLineChars="0"/>
              <w:jc w:val="center"/>
              <w:rPr>
                <w:rFonts w:hint="default" w:ascii="Times New Roman" w:hAnsi="Times New Roman" w:cs="Times New Roman"/>
                <w:color w:val="auto"/>
                <w:kern w:val="2"/>
                <w:sz w:val="21"/>
                <w:szCs w:val="21"/>
              </w:rPr>
            </w:pPr>
          </w:p>
        </w:tc>
        <w:tc>
          <w:tcPr>
            <w:tcW w:w="695" w:type="dxa"/>
            <w:vAlign w:val="center"/>
          </w:tcPr>
          <w:p w14:paraId="40316B7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有组织</w:t>
            </w:r>
          </w:p>
        </w:tc>
        <w:tc>
          <w:tcPr>
            <w:tcW w:w="927" w:type="dxa"/>
            <w:vAlign w:val="center"/>
          </w:tcPr>
          <w:p w14:paraId="2B81A42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2#排气筒</w:t>
            </w:r>
          </w:p>
        </w:tc>
        <w:tc>
          <w:tcPr>
            <w:tcW w:w="1292" w:type="dxa"/>
            <w:vAlign w:val="center"/>
          </w:tcPr>
          <w:p w14:paraId="5569365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颗粒物</w:t>
            </w:r>
          </w:p>
        </w:tc>
        <w:tc>
          <w:tcPr>
            <w:tcW w:w="1171" w:type="dxa"/>
            <w:vAlign w:val="center"/>
          </w:tcPr>
          <w:p w14:paraId="6AD92C5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1次/年</w:t>
            </w:r>
          </w:p>
        </w:tc>
        <w:tc>
          <w:tcPr>
            <w:tcW w:w="3574" w:type="dxa"/>
            <w:vAlign w:val="center"/>
          </w:tcPr>
          <w:p w14:paraId="65A7FD0C">
            <w:pPr>
              <w:spacing w:line="240" w:lineRule="auto"/>
              <w:ind w:firstLine="0" w:firstLineChars="0"/>
              <w:jc w:val="center"/>
              <w:rPr>
                <w:rFonts w:hint="default" w:ascii="Times New Roman" w:hAnsi="Times New Roman" w:cs="Times New Roman"/>
                <w:color w:val="auto"/>
                <w:kern w:val="2"/>
                <w:sz w:val="20"/>
                <w:szCs w:val="15"/>
              </w:rPr>
            </w:pPr>
            <w:r>
              <w:rPr>
                <w:rFonts w:hint="default" w:ascii="Times New Roman" w:hAnsi="Times New Roman" w:cs="Times New Roman"/>
                <w:color w:val="auto"/>
                <w:kern w:val="2"/>
                <w:sz w:val="20"/>
                <w:szCs w:val="15"/>
              </w:rPr>
              <w:t>《合成树脂工业污染物排放标准》（GB31572-2015）表5大气污染物特别排放限值</w:t>
            </w:r>
          </w:p>
        </w:tc>
      </w:tr>
      <w:tr w14:paraId="2B34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vMerge w:val="continue"/>
            <w:vAlign w:val="center"/>
          </w:tcPr>
          <w:p w14:paraId="4BF12EDC">
            <w:pPr>
              <w:spacing w:line="240" w:lineRule="auto"/>
              <w:ind w:firstLine="0" w:firstLineChars="0"/>
              <w:jc w:val="center"/>
              <w:rPr>
                <w:rFonts w:hint="default" w:ascii="Times New Roman" w:hAnsi="Times New Roman" w:cs="Times New Roman"/>
                <w:color w:val="auto"/>
                <w:kern w:val="2"/>
                <w:sz w:val="21"/>
                <w:szCs w:val="21"/>
              </w:rPr>
            </w:pPr>
          </w:p>
        </w:tc>
        <w:tc>
          <w:tcPr>
            <w:tcW w:w="695" w:type="dxa"/>
            <w:vAlign w:val="center"/>
          </w:tcPr>
          <w:p w14:paraId="29B262F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无组织</w:t>
            </w:r>
          </w:p>
        </w:tc>
        <w:tc>
          <w:tcPr>
            <w:tcW w:w="927" w:type="dxa"/>
            <w:vAlign w:val="center"/>
          </w:tcPr>
          <w:p w14:paraId="19BDB0D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厂界上风向、下风向</w:t>
            </w:r>
          </w:p>
        </w:tc>
        <w:tc>
          <w:tcPr>
            <w:tcW w:w="1292" w:type="dxa"/>
            <w:vAlign w:val="center"/>
          </w:tcPr>
          <w:p w14:paraId="4608E108">
            <w:pPr>
              <w:spacing w:line="240" w:lineRule="auto"/>
              <w:ind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rPr>
              <w:t>非甲烷总烃</w:t>
            </w:r>
            <w:r>
              <w:rPr>
                <w:rFonts w:hint="eastAsia" w:cs="Times New Roman"/>
                <w:color w:val="auto"/>
                <w:kern w:val="2"/>
                <w:sz w:val="21"/>
                <w:szCs w:val="21"/>
                <w:lang w:eastAsia="zh-CN"/>
              </w:rPr>
              <w:t>、</w:t>
            </w:r>
            <w:r>
              <w:rPr>
                <w:rFonts w:hint="eastAsia" w:cs="Times New Roman"/>
                <w:color w:val="auto"/>
                <w:kern w:val="2"/>
                <w:sz w:val="21"/>
                <w:szCs w:val="21"/>
                <w:lang w:val="en-US" w:eastAsia="zh-CN"/>
              </w:rPr>
              <w:t>臭气浓度、苯乙烯</w:t>
            </w:r>
          </w:p>
        </w:tc>
        <w:tc>
          <w:tcPr>
            <w:tcW w:w="1171" w:type="dxa"/>
            <w:vAlign w:val="center"/>
          </w:tcPr>
          <w:p w14:paraId="1120834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1次/年</w:t>
            </w:r>
          </w:p>
        </w:tc>
        <w:tc>
          <w:tcPr>
            <w:tcW w:w="3574" w:type="dxa"/>
            <w:vAlign w:val="center"/>
          </w:tcPr>
          <w:p w14:paraId="0DE2AC9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0"/>
                <w:szCs w:val="15"/>
              </w:rPr>
              <w:t>《合成树脂工业污染物排放标准》（GB31572-2015）表9企业边界大气污染物浓度限值</w:t>
            </w:r>
          </w:p>
        </w:tc>
      </w:tr>
    </w:tbl>
    <w:p w14:paraId="425AD71A">
      <w:pPr>
        <w:spacing w:line="240" w:lineRule="auto"/>
        <w:ind w:firstLine="420"/>
        <w:rPr>
          <w:rFonts w:hint="default" w:ascii="Times New Roman" w:hAnsi="Times New Roman" w:cs="Times New Roman"/>
          <w:color w:val="auto"/>
          <w:sz w:val="21"/>
          <w:szCs w:val="16"/>
        </w:rPr>
      </w:pPr>
      <w:r>
        <w:rPr>
          <w:rFonts w:hint="default" w:ascii="Times New Roman" w:hAnsi="Times New Roman" w:cs="Times New Roman"/>
          <w:color w:val="auto"/>
          <w:sz w:val="21"/>
          <w:szCs w:val="16"/>
        </w:rPr>
        <w:t>*根据《合成树脂工业污染物排放标准》（GB31572-2015（含2024年修改单）），聚酰胺涉及氨，但相关论文显示，热解产物不会产生氨单体，因此仅将其纳入监控因子。</w:t>
      </w:r>
    </w:p>
    <w:p w14:paraId="72144785">
      <w:pPr>
        <w:pStyle w:val="258"/>
        <w:rPr>
          <w:rFonts w:hint="default" w:ascii="Times New Roman" w:hAnsi="Times New Roman" w:cs="Times New Roman"/>
          <w:color w:val="auto"/>
        </w:rPr>
      </w:pPr>
      <w:r>
        <w:rPr>
          <w:rFonts w:hint="default" w:ascii="Times New Roman" w:hAnsi="Times New Roman" w:eastAsia="宋体" w:cs="Times New Roman"/>
          <w:color w:val="auto"/>
        </w:rPr>
        <w:t>4</w:t>
      </w:r>
      <w:r>
        <w:rPr>
          <w:rFonts w:hint="default" w:ascii="Times New Roman" w:hAnsi="Times New Roman" w:cs="Times New Roman"/>
          <w:color w:val="auto"/>
        </w:rPr>
        <w:t>.2.2</w:t>
      </w:r>
      <w:r>
        <w:rPr>
          <w:rFonts w:hint="default" w:ascii="Times New Roman" w:hAnsi="Times New Roman" w:eastAsia="宋体" w:cs="Times New Roman"/>
          <w:color w:val="auto"/>
        </w:rPr>
        <w:t xml:space="preserve"> 废水</w:t>
      </w:r>
    </w:p>
    <w:p w14:paraId="45AC24AA">
      <w:pPr>
        <w:ind w:firstLine="480"/>
        <w:rPr>
          <w:rFonts w:hint="default" w:ascii="Times New Roman" w:hAnsi="Times New Roman" w:cs="Times New Roman"/>
          <w:color w:val="auto"/>
        </w:rPr>
      </w:pPr>
      <w:r>
        <w:rPr>
          <w:rFonts w:hint="default" w:ascii="Times New Roman" w:hAnsi="Times New Roman" w:cs="Times New Roman"/>
          <w:color w:val="auto"/>
        </w:rPr>
        <w:t>（1）污水来源及分析</w:t>
      </w:r>
    </w:p>
    <w:p w14:paraId="1E3CD755">
      <w:pPr>
        <w:ind w:firstLine="480"/>
        <w:rPr>
          <w:rFonts w:hint="default" w:ascii="Times New Roman" w:hAnsi="Times New Roman" w:cs="Times New Roman"/>
          <w:color w:val="auto"/>
        </w:rPr>
      </w:pPr>
      <w:r>
        <w:rPr>
          <w:rFonts w:hint="default" w:ascii="Times New Roman" w:hAnsi="Times New Roman" w:cs="Times New Roman"/>
          <w:color w:val="auto"/>
        </w:rPr>
        <w:t>本项目生产废水平均每日产生量为</w:t>
      </w:r>
      <w:r>
        <w:rPr>
          <w:rFonts w:hint="eastAsia" w:cs="Times New Roman"/>
          <w:color w:val="auto"/>
          <w:lang w:eastAsia="zh-CN"/>
        </w:rPr>
        <w:t>3.15</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/d需经过自带过滤器预处理并冷却到常温达到《合成树脂工业污染物排放标准》（GB31572-2015（含2024年修改单））表2间接排放标准；生活污水产生量约0.72m</w:t>
      </w:r>
      <w:r>
        <w:rPr>
          <w:rFonts w:hint="default" w:ascii="Times New Roman" w:hAnsi="Times New Roman" w:cs="Times New Roman"/>
          <w:color w:val="auto"/>
          <w:vertAlign w:val="superscript"/>
        </w:rPr>
        <w:t>3</w:t>
      </w:r>
      <w:r>
        <w:rPr>
          <w:rFonts w:hint="default" w:ascii="Times New Roman" w:hAnsi="Times New Roman" w:cs="Times New Roman"/>
          <w:color w:val="auto"/>
        </w:rPr>
        <w:t>/d，全部进入</w:t>
      </w:r>
      <w:r>
        <w:rPr>
          <w:rFonts w:hint="default" w:ascii="Times New Roman" w:hAnsi="Times New Roman" w:cs="Times New Roman"/>
          <w:color w:val="auto"/>
          <w:kern w:val="2"/>
          <w:szCs w:val="24"/>
        </w:rPr>
        <w:t>中铁二局集团物资有限公司重庆分公司</w:t>
      </w:r>
      <w:r>
        <w:rPr>
          <w:rFonts w:hint="default" w:ascii="Times New Roman" w:hAnsi="Times New Roman" w:cs="Times New Roman"/>
          <w:color w:val="auto"/>
        </w:rPr>
        <w:t>已建生化池处理达《污水综合排放标准》（GB8978-1996）三级标准（其中NH</w:t>
      </w:r>
      <w:r>
        <w:rPr>
          <w:rFonts w:hint="default" w:ascii="Times New Roman" w:hAnsi="Times New Roman" w:cs="Times New Roman"/>
          <w:color w:val="auto"/>
          <w:vertAlign w:val="subscript"/>
        </w:rPr>
        <w:t>3</w:t>
      </w:r>
      <w:r>
        <w:rPr>
          <w:rFonts w:hint="default" w:ascii="Times New Roman" w:hAnsi="Times New Roman" w:cs="Times New Roman"/>
          <w:color w:val="auto"/>
        </w:rPr>
        <w:t>-N执行《污水排入城镇下水道水质标准》（GB/T31962-2015）B等级标准），</w:t>
      </w:r>
      <w:r>
        <w:rPr>
          <w:rFonts w:hint="default" w:ascii="Times New Roman" w:hAnsi="Times New Roman" w:cs="Times New Roman"/>
          <w:color w:val="auto"/>
          <w:lang w:val="en-GB"/>
        </w:rPr>
        <w:t>排入</w:t>
      </w:r>
      <w:r>
        <w:rPr>
          <w:rFonts w:hint="default" w:ascii="Times New Roman" w:hAnsi="Times New Roman" w:cs="Times New Roman"/>
          <w:color w:val="auto"/>
        </w:rPr>
        <w:t>陶家工业污水处理厂</w:t>
      </w:r>
      <w:r>
        <w:rPr>
          <w:rFonts w:hint="default" w:ascii="Times New Roman" w:hAnsi="Times New Roman" w:cs="Times New Roman"/>
          <w:color w:val="auto"/>
          <w:lang w:val="en-GB"/>
        </w:rPr>
        <w:t>，进一步处理</w:t>
      </w:r>
      <w:r>
        <w:rPr>
          <w:rFonts w:hint="default" w:ascii="Times New Roman" w:hAnsi="Times New Roman" w:cs="Times New Roman"/>
          <w:color w:val="auto"/>
        </w:rPr>
        <w:t>达《城镇污水处理厂污染物排放标准》（GB18918-2002）一级A标，其中COD、NH</w:t>
      </w:r>
      <w:r>
        <w:rPr>
          <w:rFonts w:hint="default" w:ascii="Times New Roman" w:hAnsi="Times New Roman" w:cs="Times New Roman"/>
          <w:color w:val="auto"/>
          <w:vertAlign w:val="subscript"/>
        </w:rPr>
        <w:t>3</w:t>
      </w:r>
      <w:r>
        <w:rPr>
          <w:rFonts w:hint="default" w:ascii="Times New Roman" w:hAnsi="Times New Roman" w:cs="Times New Roman"/>
          <w:color w:val="auto"/>
        </w:rPr>
        <w:t>-N、TP等主要指标达《地表水环境质量标准》（GB3838-2002）Ⅳ类标准后，排入杨柳曲河，再汇入大溪河。</w:t>
      </w:r>
    </w:p>
    <w:p w14:paraId="1AD433A5">
      <w:pPr>
        <w:ind w:firstLine="480"/>
        <w:rPr>
          <w:rFonts w:hint="default" w:ascii="Times New Roman" w:hAnsi="Times New Roman" w:cs="Times New Roman"/>
          <w:color w:val="auto"/>
        </w:rPr>
      </w:pPr>
      <w:r>
        <w:rPr>
          <w:rFonts w:hint="default" w:ascii="Times New Roman" w:hAnsi="Times New Roman" w:cs="Times New Roman"/>
          <w:color w:val="auto"/>
        </w:rPr>
        <w:t>（2）废水产排情况统计</w:t>
      </w:r>
    </w:p>
    <w:p w14:paraId="384B9347">
      <w:pPr>
        <w:ind w:firstLine="480"/>
        <w:rPr>
          <w:rFonts w:hint="default" w:ascii="Times New Roman" w:hAnsi="Times New Roman" w:cs="Times New Roman"/>
          <w:color w:val="auto"/>
        </w:rPr>
        <w:sectPr>
          <w:headerReference r:id="rId23" w:type="default"/>
          <w:pgSz w:w="11907" w:h="16840"/>
          <w:pgMar w:top="1440" w:right="1797" w:bottom="1440" w:left="1797" w:header="851" w:footer="992" w:gutter="0"/>
          <w:cols w:space="720" w:num="1"/>
          <w:docGrid w:type="lines" w:linePitch="312" w:charSpace="0"/>
        </w:sectPr>
      </w:pPr>
      <w:r>
        <w:rPr>
          <w:rFonts w:hint="default" w:ascii="Times New Roman" w:hAnsi="Times New Roman" w:cs="Times New Roman"/>
          <w:color w:val="auto"/>
        </w:rPr>
        <w:t>本项目污废水排放情况见下表4.2.2-1。</w:t>
      </w:r>
    </w:p>
    <w:p w14:paraId="5F74A30D">
      <w:pPr>
        <w:pStyle w:val="93"/>
        <w:rPr>
          <w:rFonts w:hint="default" w:ascii="Times New Roman" w:hAnsi="Times New Roman" w:cs="Times New Roman"/>
          <w:color w:val="auto"/>
        </w:rPr>
      </w:pPr>
      <w:r>
        <w:rPr>
          <w:rFonts w:hint="default" w:ascii="Times New Roman" w:hAnsi="Times New Roman" w:cs="Times New Roman"/>
          <w:color w:val="auto"/>
        </w:rPr>
        <w:t>表4.2.2-1    本项目污废水排放情况一览表</w:t>
      </w:r>
    </w:p>
    <w:tbl>
      <w:tblPr>
        <w:tblStyle w:val="44"/>
        <w:tblW w:w="4899" w:type="pct"/>
        <w:jc w:val="center"/>
        <w:tblLayout w:type="autofit"/>
        <w:tblCellMar>
          <w:top w:w="0" w:type="dxa"/>
          <w:left w:w="108" w:type="dxa"/>
          <w:bottom w:w="0" w:type="dxa"/>
          <w:right w:w="108" w:type="dxa"/>
        </w:tblCellMar>
      </w:tblPr>
      <w:tblGrid>
        <w:gridCol w:w="1393"/>
        <w:gridCol w:w="1140"/>
        <w:gridCol w:w="1141"/>
        <w:gridCol w:w="1236"/>
        <w:gridCol w:w="1943"/>
        <w:gridCol w:w="1141"/>
        <w:gridCol w:w="1236"/>
        <w:gridCol w:w="1141"/>
        <w:gridCol w:w="1141"/>
        <w:gridCol w:w="1141"/>
        <w:gridCol w:w="1237"/>
      </w:tblGrid>
      <w:tr w14:paraId="38CEA844">
        <w:tblPrEx>
          <w:tblCellMar>
            <w:top w:w="0" w:type="dxa"/>
            <w:left w:w="108" w:type="dxa"/>
            <w:bottom w:w="0" w:type="dxa"/>
            <w:right w:w="108" w:type="dxa"/>
          </w:tblCellMar>
        </w:tblPrEx>
        <w:trPr>
          <w:trHeight w:val="270" w:hRule="atLeast"/>
          <w:jc w:val="center"/>
        </w:trPr>
        <w:tc>
          <w:tcPr>
            <w:tcW w:w="13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38F38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废水量（m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/d）</w:t>
            </w:r>
          </w:p>
        </w:tc>
        <w:tc>
          <w:tcPr>
            <w:tcW w:w="1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A1CBD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污染物</w:t>
            </w:r>
          </w:p>
        </w:tc>
        <w:tc>
          <w:tcPr>
            <w:tcW w:w="23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2903B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污染物产生情况</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E959C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治理措施</w:t>
            </w:r>
          </w:p>
        </w:tc>
        <w:tc>
          <w:tcPr>
            <w:tcW w:w="23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73B6F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污染物排放情况</w:t>
            </w:r>
          </w:p>
        </w:tc>
        <w:tc>
          <w:tcPr>
            <w:tcW w:w="1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56C8E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排放规律</w:t>
            </w:r>
          </w:p>
        </w:tc>
        <w:tc>
          <w:tcPr>
            <w:tcW w:w="1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5888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排放去向</w:t>
            </w:r>
          </w:p>
        </w:tc>
        <w:tc>
          <w:tcPr>
            <w:tcW w:w="23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1FC74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排入外环境</w:t>
            </w:r>
          </w:p>
        </w:tc>
      </w:tr>
      <w:tr w14:paraId="67C013E0">
        <w:tblPrEx>
          <w:tblCellMar>
            <w:top w:w="0" w:type="dxa"/>
            <w:left w:w="108" w:type="dxa"/>
            <w:bottom w:w="0" w:type="dxa"/>
            <w:right w:w="108" w:type="dxa"/>
          </w:tblCellMar>
        </w:tblPrEx>
        <w:trPr>
          <w:trHeight w:val="540" w:hRule="atLeast"/>
          <w:jc w:val="center"/>
        </w:trPr>
        <w:tc>
          <w:tcPr>
            <w:tcW w:w="13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8F4F9">
            <w:pPr>
              <w:widowControl/>
              <w:spacing w:line="240" w:lineRule="auto"/>
              <w:ind w:firstLine="0" w:firstLineChars="0"/>
              <w:jc w:val="center"/>
              <w:rPr>
                <w:rFonts w:hint="default" w:ascii="Times New Roman" w:hAnsi="Times New Roman" w:cs="Times New Roman"/>
                <w:color w:val="auto"/>
                <w:sz w:val="21"/>
                <w:szCs w:val="21"/>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EDCCF">
            <w:pPr>
              <w:widowControl/>
              <w:spacing w:line="240" w:lineRule="auto"/>
              <w:ind w:firstLine="0" w:firstLineChars="0"/>
              <w:jc w:val="center"/>
              <w:rPr>
                <w:rFonts w:hint="default" w:ascii="Times New Roman" w:hAnsi="Times New Roman" w:cs="Times New Roman"/>
                <w:color w:val="auto"/>
                <w:sz w:val="21"/>
                <w:szCs w:val="21"/>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74FB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浓度(mg/L)</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163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产生量(t/a)</w:t>
            </w: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1A2D5">
            <w:pPr>
              <w:widowControl/>
              <w:spacing w:line="240" w:lineRule="auto"/>
              <w:ind w:firstLine="0" w:firstLineChars="0"/>
              <w:jc w:val="center"/>
              <w:rPr>
                <w:rFonts w:hint="default" w:ascii="Times New Roman" w:hAnsi="Times New Roman" w:cs="Times New Roman"/>
                <w:color w:val="auto"/>
                <w:sz w:val="21"/>
                <w:szCs w:val="21"/>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3559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浓度(mg/L)</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0D21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排放量(t/a)</w:t>
            </w: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374C0">
            <w:pPr>
              <w:widowControl/>
              <w:spacing w:line="240" w:lineRule="auto"/>
              <w:ind w:firstLine="0" w:firstLineChars="0"/>
              <w:jc w:val="center"/>
              <w:rPr>
                <w:rFonts w:hint="default" w:ascii="Times New Roman" w:hAnsi="Times New Roman" w:cs="Times New Roman"/>
                <w:color w:val="auto"/>
                <w:sz w:val="21"/>
                <w:szCs w:val="21"/>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522B0">
            <w:pPr>
              <w:widowControl/>
              <w:spacing w:line="240" w:lineRule="auto"/>
              <w:ind w:firstLine="0" w:firstLineChars="0"/>
              <w:jc w:val="center"/>
              <w:rPr>
                <w:rFonts w:hint="default" w:ascii="Times New Roman" w:hAnsi="Times New Roman" w:cs="Times New Roman"/>
                <w:color w:val="auto"/>
                <w:sz w:val="21"/>
                <w:szCs w:val="21"/>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93C2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浓度 (mg/L)</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06B7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排放量(t/a)</w:t>
            </w:r>
          </w:p>
        </w:tc>
      </w:tr>
      <w:tr w14:paraId="3351BF8D">
        <w:tblPrEx>
          <w:tblCellMar>
            <w:top w:w="0" w:type="dxa"/>
            <w:left w:w="108" w:type="dxa"/>
            <w:bottom w:w="0" w:type="dxa"/>
            <w:right w:w="108" w:type="dxa"/>
          </w:tblCellMar>
        </w:tblPrEx>
        <w:trPr>
          <w:trHeight w:val="270" w:hRule="atLeast"/>
          <w:jc w:val="center"/>
        </w:trPr>
        <w:tc>
          <w:tcPr>
            <w:tcW w:w="13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EDB3E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生产废水</w:t>
            </w:r>
            <w:r>
              <w:rPr>
                <w:rFonts w:hint="eastAsia" w:cs="Times New Roman"/>
                <w:color w:val="auto"/>
                <w:sz w:val="21"/>
                <w:szCs w:val="21"/>
                <w:lang w:eastAsia="zh-CN" w:bidi="ar"/>
              </w:rPr>
              <w:t>3.15</w:t>
            </w:r>
            <w:r>
              <w:rPr>
                <w:rFonts w:hint="default" w:ascii="Times New Roman" w:hAnsi="Times New Roman" w:cs="Times New Roman"/>
                <w:color w:val="auto"/>
                <w:sz w:val="21"/>
                <w:szCs w:val="21"/>
                <w:lang w:bidi="ar"/>
              </w:rPr>
              <w:t>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/d（80</w:t>
            </w:r>
            <w:r>
              <w:rPr>
                <w:rFonts w:hint="eastAsia" w:cs="Times New Roman"/>
                <w:color w:val="auto"/>
                <w:sz w:val="21"/>
                <w:szCs w:val="21"/>
                <w:lang w:val="en-US" w:eastAsia="zh-CN" w:bidi="ar"/>
              </w:rPr>
              <w:t>7</w:t>
            </w:r>
            <w:r>
              <w:rPr>
                <w:rFonts w:hint="default" w:ascii="Times New Roman" w:hAnsi="Times New Roman" w:cs="Times New Roman"/>
                <w:color w:val="auto"/>
                <w:sz w:val="21"/>
                <w:szCs w:val="21"/>
                <w:lang w:bidi="ar"/>
              </w:rPr>
              <w:t>t/a）</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CC83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COD</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7FB3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400</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4288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0.323</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5FF11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生产废水经自带过滤器预处理并冷却到常温后与生活污水依托中铁二局集团物资有限公司重庆分公司已建生化池处理达《污水综合排放标准》（GB8978-1996）三级标准</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7661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400</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5C41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0.323</w:t>
            </w:r>
          </w:p>
        </w:tc>
        <w:tc>
          <w:tcPr>
            <w:tcW w:w="1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7BF2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间歇</w:t>
            </w:r>
          </w:p>
        </w:tc>
        <w:tc>
          <w:tcPr>
            <w:tcW w:w="1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806BF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陶家工业污水处理厂</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F59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30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D22F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0.024</w:t>
            </w:r>
          </w:p>
        </w:tc>
      </w:tr>
      <w:tr w14:paraId="455C5646">
        <w:tblPrEx>
          <w:tblCellMar>
            <w:top w:w="0" w:type="dxa"/>
            <w:left w:w="108" w:type="dxa"/>
            <w:bottom w:w="0" w:type="dxa"/>
            <w:right w:w="108" w:type="dxa"/>
          </w:tblCellMar>
        </w:tblPrEx>
        <w:trPr>
          <w:trHeight w:val="270" w:hRule="atLeast"/>
          <w:jc w:val="center"/>
        </w:trPr>
        <w:tc>
          <w:tcPr>
            <w:tcW w:w="13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A12C7">
            <w:pPr>
              <w:widowControl/>
              <w:spacing w:line="240" w:lineRule="auto"/>
              <w:ind w:firstLine="0" w:firstLineChars="0"/>
              <w:jc w:val="center"/>
              <w:rPr>
                <w:rFonts w:hint="default" w:ascii="Times New Roman" w:hAnsi="Times New Roman" w:cs="Times New Roman"/>
                <w:color w:val="auto"/>
                <w:sz w:val="21"/>
                <w:szCs w:val="21"/>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4BCE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SS</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726A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100</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5C11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0.081</w:t>
            </w: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D6047">
            <w:pPr>
              <w:widowControl/>
              <w:spacing w:line="240" w:lineRule="auto"/>
              <w:ind w:firstLine="0" w:firstLineChars="0"/>
              <w:jc w:val="center"/>
              <w:rPr>
                <w:rFonts w:hint="default" w:ascii="Times New Roman" w:hAnsi="Times New Roman" w:cs="Times New Roman"/>
                <w:color w:val="auto"/>
                <w:sz w:val="21"/>
                <w:szCs w:val="21"/>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6102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50</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0F9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0.040</w:t>
            </w: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F0DCA">
            <w:pPr>
              <w:widowControl/>
              <w:spacing w:line="240" w:lineRule="auto"/>
              <w:ind w:firstLine="0" w:firstLineChars="0"/>
              <w:jc w:val="center"/>
              <w:rPr>
                <w:rFonts w:hint="default" w:ascii="Times New Roman" w:hAnsi="Times New Roman" w:cs="Times New Roman"/>
                <w:color w:val="auto"/>
                <w:sz w:val="21"/>
                <w:szCs w:val="21"/>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FDE4A">
            <w:pPr>
              <w:widowControl/>
              <w:spacing w:line="240" w:lineRule="auto"/>
              <w:ind w:firstLine="0" w:firstLineChars="0"/>
              <w:jc w:val="center"/>
              <w:rPr>
                <w:rFonts w:hint="default" w:ascii="Times New Roman" w:hAnsi="Times New Roman" w:cs="Times New Roman"/>
                <w:color w:val="auto"/>
                <w:sz w:val="21"/>
                <w:szCs w:val="21"/>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DC3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1</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90A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val="en-US" w:eastAsia="zh-CN" w:bidi="ar"/>
              </w:rPr>
              <w:t>0.001</w:t>
            </w:r>
          </w:p>
        </w:tc>
      </w:tr>
      <w:tr w14:paraId="0E027039">
        <w:tblPrEx>
          <w:tblCellMar>
            <w:top w:w="0" w:type="dxa"/>
            <w:left w:w="108" w:type="dxa"/>
            <w:bottom w:w="0" w:type="dxa"/>
            <w:right w:w="108" w:type="dxa"/>
          </w:tblCellMar>
        </w:tblPrEx>
        <w:trPr>
          <w:trHeight w:val="270" w:hRule="atLeast"/>
          <w:jc w:val="center"/>
        </w:trPr>
        <w:tc>
          <w:tcPr>
            <w:tcW w:w="13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11E19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生活污水0.72m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/d（187.2t/a）</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97A2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COD</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90F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500</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42FB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0.094</w:t>
            </w: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895B0">
            <w:pPr>
              <w:widowControl/>
              <w:spacing w:line="240" w:lineRule="auto"/>
              <w:ind w:firstLine="0" w:firstLineChars="0"/>
              <w:jc w:val="center"/>
              <w:rPr>
                <w:rFonts w:hint="default" w:ascii="Times New Roman" w:hAnsi="Times New Roman" w:cs="Times New Roman"/>
                <w:color w:val="auto"/>
                <w:sz w:val="21"/>
                <w:szCs w:val="21"/>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ACB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450</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191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0.084</w:t>
            </w: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A4593">
            <w:pPr>
              <w:widowControl/>
              <w:spacing w:line="240" w:lineRule="auto"/>
              <w:ind w:firstLine="0" w:firstLineChars="0"/>
              <w:jc w:val="center"/>
              <w:rPr>
                <w:rFonts w:hint="default" w:ascii="Times New Roman" w:hAnsi="Times New Roman" w:cs="Times New Roman"/>
                <w:color w:val="auto"/>
                <w:sz w:val="21"/>
                <w:szCs w:val="21"/>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CDAED">
            <w:pPr>
              <w:widowControl/>
              <w:spacing w:line="240" w:lineRule="auto"/>
              <w:ind w:firstLine="0" w:firstLineChars="0"/>
              <w:jc w:val="center"/>
              <w:rPr>
                <w:rFonts w:hint="default" w:ascii="Times New Roman" w:hAnsi="Times New Roman" w:cs="Times New Roman"/>
                <w:color w:val="auto"/>
                <w:sz w:val="21"/>
                <w:szCs w:val="21"/>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4E6F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E648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0.006</w:t>
            </w:r>
          </w:p>
        </w:tc>
      </w:tr>
      <w:tr w14:paraId="636068C5">
        <w:tblPrEx>
          <w:tblCellMar>
            <w:top w:w="0" w:type="dxa"/>
            <w:left w:w="108" w:type="dxa"/>
            <w:bottom w:w="0" w:type="dxa"/>
            <w:right w:w="108" w:type="dxa"/>
          </w:tblCellMar>
        </w:tblPrEx>
        <w:trPr>
          <w:trHeight w:val="345" w:hRule="atLeast"/>
          <w:jc w:val="center"/>
        </w:trPr>
        <w:tc>
          <w:tcPr>
            <w:tcW w:w="13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7A054">
            <w:pPr>
              <w:widowControl/>
              <w:spacing w:line="240" w:lineRule="auto"/>
              <w:ind w:firstLine="0" w:firstLineChars="0"/>
              <w:jc w:val="center"/>
              <w:rPr>
                <w:rFonts w:hint="default" w:ascii="Times New Roman" w:hAnsi="Times New Roman" w:cs="Times New Roman"/>
                <w:color w:val="auto"/>
                <w:sz w:val="21"/>
                <w:szCs w:val="21"/>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C502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BOD</w:t>
            </w:r>
            <w:r>
              <w:rPr>
                <w:rFonts w:hint="default" w:ascii="Times New Roman" w:hAnsi="Times New Roman" w:cs="Times New Roman"/>
                <w:color w:val="auto"/>
                <w:sz w:val="21"/>
                <w:szCs w:val="21"/>
                <w:vertAlign w:val="subscript"/>
                <w:lang w:bidi="ar"/>
              </w:rPr>
              <w:t>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DEC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300</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C564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0.056</w:t>
            </w: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E5E04">
            <w:pPr>
              <w:widowControl/>
              <w:spacing w:line="240" w:lineRule="auto"/>
              <w:ind w:firstLine="0" w:firstLineChars="0"/>
              <w:jc w:val="center"/>
              <w:rPr>
                <w:rFonts w:hint="default" w:ascii="Times New Roman" w:hAnsi="Times New Roman" w:cs="Times New Roman"/>
                <w:color w:val="auto"/>
                <w:sz w:val="21"/>
                <w:szCs w:val="21"/>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EE0B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250</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CA43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0.047</w:t>
            </w: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6D801">
            <w:pPr>
              <w:widowControl/>
              <w:spacing w:line="240" w:lineRule="auto"/>
              <w:ind w:firstLine="0" w:firstLineChars="0"/>
              <w:jc w:val="center"/>
              <w:rPr>
                <w:rFonts w:hint="default" w:ascii="Times New Roman" w:hAnsi="Times New Roman" w:cs="Times New Roman"/>
                <w:color w:val="auto"/>
                <w:sz w:val="21"/>
                <w:szCs w:val="21"/>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D1742">
            <w:pPr>
              <w:widowControl/>
              <w:spacing w:line="240" w:lineRule="auto"/>
              <w:ind w:firstLine="0" w:firstLineChars="0"/>
              <w:jc w:val="center"/>
              <w:rPr>
                <w:rFonts w:hint="default" w:ascii="Times New Roman" w:hAnsi="Times New Roman" w:cs="Times New Roman"/>
                <w:color w:val="auto"/>
                <w:sz w:val="21"/>
                <w:szCs w:val="21"/>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070A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D36D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0.002</w:t>
            </w:r>
          </w:p>
        </w:tc>
      </w:tr>
      <w:tr w14:paraId="4A5B1356">
        <w:tblPrEx>
          <w:tblCellMar>
            <w:top w:w="0" w:type="dxa"/>
            <w:left w:w="108" w:type="dxa"/>
            <w:bottom w:w="0" w:type="dxa"/>
            <w:right w:w="108" w:type="dxa"/>
          </w:tblCellMar>
        </w:tblPrEx>
        <w:trPr>
          <w:trHeight w:val="270" w:hRule="atLeast"/>
          <w:jc w:val="center"/>
        </w:trPr>
        <w:tc>
          <w:tcPr>
            <w:tcW w:w="13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8AD6C">
            <w:pPr>
              <w:widowControl/>
              <w:spacing w:line="240" w:lineRule="auto"/>
              <w:ind w:firstLine="0" w:firstLineChars="0"/>
              <w:jc w:val="center"/>
              <w:rPr>
                <w:rFonts w:hint="default" w:ascii="Times New Roman" w:hAnsi="Times New Roman" w:cs="Times New Roman"/>
                <w:color w:val="auto"/>
                <w:sz w:val="21"/>
                <w:szCs w:val="21"/>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A8F2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SS</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7215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400</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E7D3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0.075</w:t>
            </w: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E60EA">
            <w:pPr>
              <w:widowControl/>
              <w:spacing w:line="240" w:lineRule="auto"/>
              <w:ind w:firstLine="0" w:firstLineChars="0"/>
              <w:jc w:val="center"/>
              <w:rPr>
                <w:rFonts w:hint="default" w:ascii="Times New Roman" w:hAnsi="Times New Roman" w:cs="Times New Roman"/>
                <w:color w:val="auto"/>
                <w:sz w:val="21"/>
                <w:szCs w:val="21"/>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7D72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300</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A085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0.056</w:t>
            </w: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7F693">
            <w:pPr>
              <w:widowControl/>
              <w:spacing w:line="240" w:lineRule="auto"/>
              <w:ind w:firstLine="0" w:firstLineChars="0"/>
              <w:jc w:val="center"/>
              <w:rPr>
                <w:rFonts w:hint="default" w:ascii="Times New Roman" w:hAnsi="Times New Roman" w:cs="Times New Roman"/>
                <w:color w:val="auto"/>
                <w:sz w:val="21"/>
                <w:szCs w:val="21"/>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189AB">
            <w:pPr>
              <w:widowControl/>
              <w:spacing w:line="240" w:lineRule="auto"/>
              <w:ind w:firstLine="0" w:firstLineChars="0"/>
              <w:jc w:val="center"/>
              <w:rPr>
                <w:rFonts w:hint="default" w:ascii="Times New Roman" w:hAnsi="Times New Roman" w:cs="Times New Roman"/>
                <w:color w:val="auto"/>
                <w:sz w:val="21"/>
                <w:szCs w:val="21"/>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52A7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5EA7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0.002</w:t>
            </w:r>
          </w:p>
        </w:tc>
      </w:tr>
      <w:tr w14:paraId="22F8529F">
        <w:tblPrEx>
          <w:tblCellMar>
            <w:top w:w="0" w:type="dxa"/>
            <w:left w:w="108" w:type="dxa"/>
            <w:bottom w:w="0" w:type="dxa"/>
            <w:right w:w="108" w:type="dxa"/>
          </w:tblCellMar>
        </w:tblPrEx>
        <w:trPr>
          <w:trHeight w:val="270" w:hRule="atLeast"/>
          <w:jc w:val="center"/>
        </w:trPr>
        <w:tc>
          <w:tcPr>
            <w:tcW w:w="13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41D48">
            <w:pPr>
              <w:widowControl/>
              <w:spacing w:line="240" w:lineRule="auto"/>
              <w:ind w:firstLine="0" w:firstLineChars="0"/>
              <w:jc w:val="center"/>
              <w:rPr>
                <w:rFonts w:hint="default" w:ascii="Times New Roman" w:hAnsi="Times New Roman" w:cs="Times New Roman"/>
                <w:color w:val="auto"/>
                <w:sz w:val="21"/>
                <w:szCs w:val="21"/>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6D7F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氨氮</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A44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45</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6657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0.008</w:t>
            </w: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C2FFD">
            <w:pPr>
              <w:widowControl/>
              <w:spacing w:line="240" w:lineRule="auto"/>
              <w:ind w:firstLine="0" w:firstLineChars="0"/>
              <w:jc w:val="center"/>
              <w:rPr>
                <w:rFonts w:hint="default" w:ascii="Times New Roman" w:hAnsi="Times New Roman" w:cs="Times New Roman"/>
                <w:color w:val="auto"/>
                <w:sz w:val="21"/>
                <w:szCs w:val="21"/>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558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45</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D0A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0.008</w:t>
            </w: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D6EBC">
            <w:pPr>
              <w:widowControl/>
              <w:spacing w:line="240" w:lineRule="auto"/>
              <w:ind w:firstLine="0" w:firstLineChars="0"/>
              <w:jc w:val="center"/>
              <w:rPr>
                <w:rFonts w:hint="default" w:ascii="Times New Roman" w:hAnsi="Times New Roman" w:cs="Times New Roman"/>
                <w:color w:val="auto"/>
                <w:sz w:val="21"/>
                <w:szCs w:val="21"/>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010BA">
            <w:pPr>
              <w:widowControl/>
              <w:spacing w:line="240" w:lineRule="auto"/>
              <w:ind w:firstLine="0" w:firstLineChars="0"/>
              <w:jc w:val="center"/>
              <w:rPr>
                <w:rFonts w:hint="default" w:ascii="Times New Roman" w:hAnsi="Times New Roman" w:cs="Times New Roman"/>
                <w:color w:val="auto"/>
                <w:sz w:val="21"/>
                <w:szCs w:val="21"/>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5CE8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1.5</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6289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0.0003</w:t>
            </w:r>
          </w:p>
        </w:tc>
      </w:tr>
    </w:tbl>
    <w:p w14:paraId="23AAE8DC">
      <w:pPr>
        <w:ind w:firstLine="480"/>
        <w:rPr>
          <w:rFonts w:hint="default" w:ascii="Times New Roman" w:hAnsi="Times New Roman" w:cs="Times New Roman"/>
          <w:color w:val="auto"/>
        </w:rPr>
        <w:sectPr>
          <w:headerReference r:id="rId24" w:type="default"/>
          <w:pgSz w:w="16840" w:h="11907" w:orient="landscape"/>
          <w:pgMar w:top="1797" w:right="1440" w:bottom="1797" w:left="1440" w:header="851" w:footer="992" w:gutter="0"/>
          <w:cols w:space="720" w:num="1"/>
          <w:docGrid w:type="lines" w:linePitch="326" w:charSpace="0"/>
        </w:sectPr>
      </w:pPr>
    </w:p>
    <w:p w14:paraId="5501A925">
      <w:pPr>
        <w:ind w:firstLine="480"/>
        <w:rPr>
          <w:rFonts w:hint="default" w:ascii="Times New Roman" w:hAnsi="Times New Roman" w:cs="Times New Roman"/>
          <w:color w:val="auto"/>
        </w:rPr>
      </w:pPr>
      <w:r>
        <w:rPr>
          <w:rFonts w:hint="default" w:ascii="Times New Roman" w:hAnsi="Times New Roman" w:cs="Times New Roman"/>
          <w:color w:val="auto"/>
        </w:rPr>
        <w:t>（3）废水治理措施</w:t>
      </w:r>
    </w:p>
    <w:p w14:paraId="642409E6">
      <w:pPr>
        <w:ind w:firstLine="0" w:firstLineChars="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5271770" cy="2245995"/>
            <wp:effectExtent l="0" t="0" r="5080" b="1905"/>
            <wp:docPr id="27" name="图片 27" descr="废水处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废水处理"/>
                    <pic:cNvPicPr>
                      <a:picLocks noChangeAspect="1"/>
                    </pic:cNvPicPr>
                  </pic:nvPicPr>
                  <pic:blipFill>
                    <a:blip r:embed="rId49"/>
                    <a:stretch>
                      <a:fillRect/>
                    </a:stretch>
                  </pic:blipFill>
                  <pic:spPr>
                    <a:xfrm>
                      <a:off x="0" y="0"/>
                      <a:ext cx="5271770" cy="2245995"/>
                    </a:xfrm>
                    <a:prstGeom prst="rect">
                      <a:avLst/>
                    </a:prstGeom>
                  </pic:spPr>
                </pic:pic>
              </a:graphicData>
            </a:graphic>
          </wp:inline>
        </w:drawing>
      </w:r>
    </w:p>
    <w:p w14:paraId="71B1BB2A">
      <w:pPr>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图4.2.2-1   废水处理措施</w:t>
      </w:r>
    </w:p>
    <w:p w14:paraId="1EA55759">
      <w:pPr>
        <w:ind w:firstLine="480"/>
        <w:rPr>
          <w:rFonts w:hint="default" w:ascii="Times New Roman" w:hAnsi="Times New Roman" w:cs="Times New Roman"/>
          <w:color w:val="auto"/>
        </w:rPr>
      </w:pPr>
      <w:r>
        <w:rPr>
          <w:rFonts w:hint="default" w:ascii="Times New Roman" w:hAnsi="Times New Roman" w:cs="Times New Roman"/>
          <w:color w:val="auto"/>
        </w:rPr>
        <w:t>1）污水处理措施</w:t>
      </w:r>
    </w:p>
    <w:p w14:paraId="11FEBC13">
      <w:pPr>
        <w:ind w:firstLine="480"/>
        <w:rPr>
          <w:rFonts w:hint="default" w:ascii="Times New Roman" w:hAnsi="Times New Roman" w:cs="Times New Roman"/>
          <w:color w:val="auto"/>
        </w:rPr>
      </w:pPr>
      <w:r>
        <w:rPr>
          <w:rFonts w:hint="default" w:ascii="Times New Roman" w:hAnsi="Times New Roman" w:cs="Times New Roman"/>
          <w:color w:val="auto"/>
        </w:rPr>
        <w:t>本项目生产废水主要为挤出机冷却废水、废气</w:t>
      </w:r>
      <w:r>
        <w:rPr>
          <w:rFonts w:hint="eastAsia" w:cs="Times New Roman"/>
          <w:color w:val="auto"/>
          <w:lang w:val="en-US" w:eastAsia="zh-CN"/>
        </w:rPr>
        <w:t>碱</w:t>
      </w:r>
      <w:r>
        <w:rPr>
          <w:rFonts w:hint="default" w:ascii="Times New Roman" w:hAnsi="Times New Roman" w:cs="Times New Roman"/>
          <w:color w:val="auto"/>
        </w:rPr>
        <w:t>洗除雾废水</w:t>
      </w:r>
      <w:r>
        <w:rPr>
          <w:rFonts w:hint="eastAsia" w:cs="Times New Roman"/>
          <w:color w:val="auto"/>
          <w:lang w:eastAsia="zh-CN"/>
        </w:rPr>
        <w:t>（</w:t>
      </w:r>
      <w:r>
        <w:rPr>
          <w:rFonts w:hint="eastAsia" w:cs="Times New Roman"/>
          <w:color w:val="auto"/>
          <w:lang w:val="en-US" w:eastAsia="zh-CN"/>
        </w:rPr>
        <w:t>需中和处理</w:t>
      </w:r>
      <w:r>
        <w:rPr>
          <w:rFonts w:hint="eastAsia" w:cs="Times New Roman"/>
          <w:color w:val="auto"/>
          <w:lang w:eastAsia="zh-CN"/>
        </w:rPr>
        <w:t>）</w:t>
      </w:r>
      <w:r>
        <w:rPr>
          <w:rFonts w:hint="default" w:ascii="Times New Roman" w:hAnsi="Times New Roman" w:cs="Times New Roman"/>
          <w:color w:val="auto"/>
        </w:rPr>
        <w:t>和真空泵冷却废水。改性塑料为稳定物质，溶于水中的有机物单体物质含量极低，因此仅在出水口采取自带过滤器进行塑料碎屑的过滤；废气</w:t>
      </w:r>
      <w:r>
        <w:rPr>
          <w:rFonts w:hint="eastAsia" w:cs="Times New Roman"/>
          <w:color w:val="auto"/>
          <w:lang w:val="en-US" w:eastAsia="zh-CN"/>
        </w:rPr>
        <w:t>碱</w:t>
      </w:r>
      <w:r>
        <w:rPr>
          <w:rFonts w:hint="default" w:ascii="Times New Roman" w:hAnsi="Times New Roman" w:cs="Times New Roman"/>
          <w:color w:val="auto"/>
        </w:rPr>
        <w:t>洗除雾废水和真空泵冷却废水中有机物含量极低，均可直接排入中铁二局集团物资有限公司重庆分公司已建生化池处理。</w:t>
      </w:r>
    </w:p>
    <w:p w14:paraId="6A859A67">
      <w:pPr>
        <w:ind w:firstLine="480"/>
        <w:rPr>
          <w:rFonts w:hint="default" w:ascii="Times New Roman" w:hAnsi="Times New Roman" w:cs="Times New Roman"/>
          <w:color w:val="auto"/>
        </w:rPr>
      </w:pPr>
      <w:r>
        <w:rPr>
          <w:rFonts w:hint="default" w:ascii="Times New Roman" w:hAnsi="Times New Roman" w:cs="Times New Roman"/>
          <w:color w:val="auto"/>
        </w:rPr>
        <w:t>2）依托生化池可行性分析</w:t>
      </w:r>
    </w:p>
    <w:p w14:paraId="1316CD84">
      <w:pPr>
        <w:ind w:firstLine="480"/>
        <w:rPr>
          <w:rFonts w:hint="default" w:ascii="Times New Roman" w:hAnsi="Times New Roman" w:cs="Times New Roman"/>
          <w:color w:val="auto"/>
        </w:rPr>
      </w:pPr>
      <w:r>
        <w:rPr>
          <w:rFonts w:hint="default" w:ascii="Times New Roman" w:hAnsi="Times New Roman" w:cs="Times New Roman"/>
          <w:color w:val="auto"/>
        </w:rPr>
        <w:t>根据业主提供资料，项目生产生活污废水依托中铁二局集团物资有限公司重庆分公司已建处理规模10.8m</w:t>
      </w:r>
      <w:r>
        <w:rPr>
          <w:rFonts w:hint="default" w:ascii="Times New Roman" w:hAnsi="Times New Roman" w:cs="Times New Roman"/>
          <w:color w:val="auto"/>
          <w:vertAlign w:val="superscript"/>
        </w:rPr>
        <w:t>3</w:t>
      </w:r>
      <w:r>
        <w:rPr>
          <w:rFonts w:hint="default" w:ascii="Times New Roman" w:hAnsi="Times New Roman" w:cs="Times New Roman"/>
          <w:color w:val="auto"/>
        </w:rPr>
        <w:t>/d的生化池进行处理。</w:t>
      </w:r>
    </w:p>
    <w:p w14:paraId="70499709">
      <w:pPr>
        <w:ind w:firstLine="480"/>
        <w:rPr>
          <w:rFonts w:hint="default" w:ascii="Times New Roman" w:hAnsi="Times New Roman" w:cs="Times New Roman"/>
          <w:color w:val="auto"/>
        </w:rPr>
      </w:pPr>
      <w:r>
        <w:rPr>
          <w:rFonts w:hint="default" w:ascii="Times New Roman" w:hAnsi="Times New Roman" w:cs="Times New Roman"/>
          <w:color w:val="auto"/>
        </w:rPr>
        <w:t>本项目依托中铁二局集团物资有限公司重庆分公司现有生化池可行性分析见表4.2.2-2。</w:t>
      </w:r>
    </w:p>
    <w:p w14:paraId="36800203">
      <w:pPr>
        <w:pStyle w:val="93"/>
        <w:rPr>
          <w:rFonts w:hint="default" w:ascii="Times New Roman" w:hAnsi="Times New Roman" w:cs="Times New Roman"/>
          <w:color w:val="auto"/>
        </w:rPr>
      </w:pPr>
      <w:r>
        <w:rPr>
          <w:rFonts w:hint="default" w:ascii="Times New Roman" w:hAnsi="Times New Roman" w:cs="Times New Roman"/>
          <w:color w:val="auto"/>
        </w:rPr>
        <w:t>表4.2.2-2    已建生化池可行性分析</w:t>
      </w:r>
    </w:p>
    <w:tbl>
      <w:tblPr>
        <w:tblStyle w:val="44"/>
        <w:tblW w:w="48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4"/>
        <w:gridCol w:w="1686"/>
        <w:gridCol w:w="2692"/>
        <w:gridCol w:w="1665"/>
      </w:tblGrid>
      <w:tr w14:paraId="6F46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314" w:type="dxa"/>
            <w:tcBorders>
              <w:top w:val="single" w:color="auto" w:sz="4" w:space="0"/>
              <w:left w:val="single" w:color="auto" w:sz="4" w:space="0"/>
              <w:bottom w:val="single" w:color="auto" w:sz="4" w:space="0"/>
              <w:right w:val="single" w:color="auto" w:sz="4" w:space="0"/>
            </w:tcBorders>
            <w:vAlign w:val="center"/>
          </w:tcPr>
          <w:p w14:paraId="475E8C70">
            <w:pPr>
              <w:autoSpaceDE w:val="0"/>
              <w:autoSpaceDN w:val="0"/>
              <w:spacing w:line="240" w:lineRule="auto"/>
              <w:ind w:firstLine="0" w:firstLineChars="0"/>
              <w:jc w:val="center"/>
              <w:rPr>
                <w:rFonts w:hint="default" w:ascii="Times New Roman" w:hAnsi="Times New Roman" w:cs="Times New Roman"/>
                <w:color w:val="auto"/>
                <w:kern w:val="2"/>
                <w:sz w:val="21"/>
                <w:szCs w:val="21"/>
                <w:lang w:val="zh-CN"/>
              </w:rPr>
            </w:pPr>
            <w:r>
              <w:rPr>
                <w:rFonts w:hint="default" w:ascii="Times New Roman" w:hAnsi="Times New Roman" w:cs="Times New Roman"/>
                <w:color w:val="auto"/>
                <w:kern w:val="2"/>
                <w:sz w:val="21"/>
                <w:szCs w:val="21"/>
                <w:lang w:val="zh-CN"/>
              </w:rPr>
              <w:t>处理设施</w:t>
            </w:r>
          </w:p>
        </w:tc>
        <w:tc>
          <w:tcPr>
            <w:tcW w:w="1686" w:type="dxa"/>
            <w:tcBorders>
              <w:top w:val="single" w:color="auto" w:sz="4" w:space="0"/>
              <w:left w:val="single" w:color="auto" w:sz="4" w:space="0"/>
              <w:bottom w:val="single" w:color="auto" w:sz="4" w:space="0"/>
              <w:right w:val="single" w:color="auto" w:sz="4" w:space="0"/>
            </w:tcBorders>
            <w:vAlign w:val="center"/>
          </w:tcPr>
          <w:p w14:paraId="437AD4EE">
            <w:pPr>
              <w:autoSpaceDE w:val="0"/>
              <w:autoSpaceDN w:val="0"/>
              <w:spacing w:line="240" w:lineRule="auto"/>
              <w:ind w:firstLine="0" w:firstLineChars="0"/>
              <w:jc w:val="center"/>
              <w:rPr>
                <w:rFonts w:hint="default" w:ascii="Times New Roman" w:hAnsi="Times New Roman" w:cs="Times New Roman"/>
                <w:color w:val="auto"/>
                <w:kern w:val="2"/>
                <w:sz w:val="21"/>
                <w:szCs w:val="21"/>
                <w:lang w:val="zh-CN"/>
              </w:rPr>
            </w:pPr>
            <w:r>
              <w:rPr>
                <w:rFonts w:hint="default" w:ascii="Times New Roman" w:hAnsi="Times New Roman" w:cs="Times New Roman"/>
                <w:color w:val="auto"/>
                <w:kern w:val="2"/>
                <w:sz w:val="21"/>
                <w:szCs w:val="21"/>
                <w:lang w:val="zh-CN"/>
              </w:rPr>
              <w:t>处理能力（</w:t>
            </w:r>
            <w:r>
              <w:rPr>
                <w:rFonts w:hint="default" w:ascii="Times New Roman" w:hAnsi="Times New Roman" w:cs="Times New Roman"/>
                <w:color w:val="auto"/>
                <w:kern w:val="2"/>
                <w:sz w:val="21"/>
                <w:szCs w:val="21"/>
              </w:rPr>
              <w:t>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/d</w:t>
            </w:r>
            <w:r>
              <w:rPr>
                <w:rFonts w:hint="default" w:ascii="Times New Roman" w:hAnsi="Times New Roman" w:cs="Times New Roman"/>
                <w:color w:val="auto"/>
                <w:kern w:val="2"/>
                <w:sz w:val="21"/>
                <w:szCs w:val="21"/>
                <w:lang w:val="zh-CN"/>
              </w:rPr>
              <w:t>）</w:t>
            </w:r>
          </w:p>
        </w:tc>
        <w:tc>
          <w:tcPr>
            <w:tcW w:w="2692" w:type="dxa"/>
            <w:tcBorders>
              <w:top w:val="single" w:color="auto" w:sz="4" w:space="0"/>
              <w:left w:val="single" w:color="auto" w:sz="4" w:space="0"/>
              <w:bottom w:val="single" w:color="auto" w:sz="4" w:space="0"/>
              <w:right w:val="single" w:color="auto" w:sz="4" w:space="0"/>
            </w:tcBorders>
            <w:vAlign w:val="center"/>
          </w:tcPr>
          <w:p w14:paraId="2D338CC6">
            <w:pPr>
              <w:autoSpaceDE w:val="0"/>
              <w:autoSpaceDN w:val="0"/>
              <w:spacing w:line="240" w:lineRule="auto"/>
              <w:ind w:firstLine="0" w:firstLineChars="0"/>
              <w:jc w:val="center"/>
              <w:rPr>
                <w:rFonts w:hint="default" w:ascii="Times New Roman" w:hAnsi="Times New Roman" w:cs="Times New Roman"/>
                <w:color w:val="auto"/>
                <w:kern w:val="2"/>
                <w:sz w:val="21"/>
                <w:szCs w:val="21"/>
                <w:lang w:val="zh-CN"/>
              </w:rPr>
            </w:pPr>
            <w:r>
              <w:rPr>
                <w:rFonts w:hint="default" w:ascii="Times New Roman" w:hAnsi="Times New Roman" w:cs="Times New Roman"/>
                <w:color w:val="auto"/>
                <w:kern w:val="2"/>
                <w:sz w:val="21"/>
                <w:szCs w:val="21"/>
                <w:lang w:val="zh-CN"/>
              </w:rPr>
              <w:t>服务单位</w:t>
            </w:r>
          </w:p>
        </w:tc>
        <w:tc>
          <w:tcPr>
            <w:tcW w:w="1665" w:type="dxa"/>
            <w:tcBorders>
              <w:top w:val="single" w:color="auto" w:sz="4" w:space="0"/>
              <w:left w:val="single" w:color="auto" w:sz="4" w:space="0"/>
              <w:bottom w:val="single" w:color="auto" w:sz="4" w:space="0"/>
              <w:right w:val="single" w:color="auto" w:sz="4" w:space="0"/>
            </w:tcBorders>
            <w:vAlign w:val="center"/>
          </w:tcPr>
          <w:p w14:paraId="001DE62B">
            <w:pPr>
              <w:autoSpaceDE w:val="0"/>
              <w:autoSpaceDN w:val="0"/>
              <w:spacing w:line="240" w:lineRule="auto"/>
              <w:ind w:firstLine="0" w:firstLineChars="0"/>
              <w:jc w:val="center"/>
              <w:rPr>
                <w:rFonts w:hint="default" w:ascii="Times New Roman" w:hAnsi="Times New Roman" w:cs="Times New Roman"/>
                <w:color w:val="auto"/>
                <w:kern w:val="2"/>
                <w:sz w:val="21"/>
                <w:szCs w:val="21"/>
                <w:lang w:val="zh-CN"/>
              </w:rPr>
            </w:pPr>
            <w:r>
              <w:rPr>
                <w:rFonts w:hint="default" w:ascii="Times New Roman" w:hAnsi="Times New Roman" w:cs="Times New Roman"/>
                <w:color w:val="auto"/>
                <w:kern w:val="2"/>
                <w:sz w:val="21"/>
                <w:szCs w:val="21"/>
                <w:lang w:val="zh-CN"/>
              </w:rPr>
              <w:t>处理规模（</w:t>
            </w:r>
            <w:r>
              <w:rPr>
                <w:rFonts w:hint="default" w:ascii="Times New Roman" w:hAnsi="Times New Roman" w:cs="Times New Roman"/>
                <w:color w:val="auto"/>
                <w:kern w:val="2"/>
                <w:sz w:val="21"/>
                <w:szCs w:val="21"/>
              </w:rPr>
              <w:t>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/d</w:t>
            </w:r>
            <w:r>
              <w:rPr>
                <w:rFonts w:hint="default" w:ascii="Times New Roman" w:hAnsi="Times New Roman" w:cs="Times New Roman"/>
                <w:color w:val="auto"/>
                <w:kern w:val="2"/>
                <w:sz w:val="21"/>
                <w:szCs w:val="21"/>
                <w:lang w:val="zh-CN"/>
              </w:rPr>
              <w:t>）</w:t>
            </w:r>
          </w:p>
        </w:tc>
      </w:tr>
      <w:tr w14:paraId="10F52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314" w:type="dxa"/>
            <w:vMerge w:val="restart"/>
            <w:tcBorders>
              <w:top w:val="single" w:color="auto" w:sz="4" w:space="0"/>
              <w:left w:val="single" w:color="auto" w:sz="4" w:space="0"/>
              <w:right w:val="single" w:color="auto" w:sz="4" w:space="0"/>
            </w:tcBorders>
            <w:vAlign w:val="center"/>
          </w:tcPr>
          <w:p w14:paraId="6CA8773A">
            <w:pPr>
              <w:autoSpaceDE w:val="0"/>
              <w:autoSpaceDN w:val="0"/>
              <w:spacing w:line="240" w:lineRule="auto"/>
              <w:ind w:firstLine="0" w:firstLineChars="0"/>
              <w:jc w:val="center"/>
              <w:rPr>
                <w:rFonts w:hint="default" w:ascii="Times New Roman" w:hAnsi="Times New Roman" w:cs="Times New Roman"/>
                <w:color w:val="auto"/>
                <w:kern w:val="2"/>
                <w:sz w:val="21"/>
                <w:szCs w:val="21"/>
              </w:rPr>
            </w:pPr>
            <w:bookmarkStart w:id="19" w:name="OLE_LINK1" w:colFirst="3" w:colLast="4"/>
            <w:r>
              <w:rPr>
                <w:rFonts w:hint="default" w:ascii="Times New Roman" w:hAnsi="Times New Roman" w:cs="Times New Roman"/>
                <w:color w:val="auto"/>
                <w:kern w:val="2"/>
                <w:sz w:val="21"/>
                <w:szCs w:val="21"/>
              </w:rPr>
              <w:t>中铁二局集团物资有限公司重庆分公司生化池</w:t>
            </w:r>
          </w:p>
        </w:tc>
        <w:tc>
          <w:tcPr>
            <w:tcW w:w="1686" w:type="dxa"/>
            <w:vMerge w:val="restart"/>
            <w:tcBorders>
              <w:top w:val="single" w:color="auto" w:sz="4" w:space="0"/>
              <w:left w:val="single" w:color="auto" w:sz="4" w:space="0"/>
              <w:right w:val="single" w:color="auto" w:sz="4" w:space="0"/>
            </w:tcBorders>
            <w:vAlign w:val="center"/>
          </w:tcPr>
          <w:p w14:paraId="0CEC9090">
            <w:pPr>
              <w:autoSpaceDE w:val="0"/>
              <w:autoSpaceDN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10.8</w:t>
            </w:r>
          </w:p>
        </w:tc>
        <w:tc>
          <w:tcPr>
            <w:tcW w:w="2692" w:type="dxa"/>
            <w:tcBorders>
              <w:top w:val="single" w:color="auto" w:sz="4" w:space="0"/>
              <w:left w:val="single" w:color="auto" w:sz="4" w:space="0"/>
              <w:bottom w:val="single" w:color="auto" w:sz="4" w:space="0"/>
              <w:right w:val="single" w:color="auto" w:sz="4" w:space="0"/>
            </w:tcBorders>
            <w:vAlign w:val="center"/>
          </w:tcPr>
          <w:p w14:paraId="322A3242">
            <w:pPr>
              <w:autoSpaceDE w:val="0"/>
              <w:autoSpaceDN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中铁二局集团物资有限公司重庆分公司</w:t>
            </w:r>
          </w:p>
        </w:tc>
        <w:tc>
          <w:tcPr>
            <w:tcW w:w="1665" w:type="dxa"/>
            <w:tcBorders>
              <w:top w:val="single" w:color="auto" w:sz="4" w:space="0"/>
              <w:left w:val="single" w:color="auto" w:sz="4" w:space="0"/>
              <w:bottom w:val="single" w:color="auto" w:sz="4" w:space="0"/>
              <w:right w:val="single" w:color="auto" w:sz="4" w:space="0"/>
            </w:tcBorders>
            <w:vAlign w:val="center"/>
          </w:tcPr>
          <w:p w14:paraId="7F5B59FC">
            <w:pPr>
              <w:autoSpaceDE w:val="0"/>
              <w:autoSpaceDN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0.68</w:t>
            </w:r>
          </w:p>
        </w:tc>
      </w:tr>
      <w:bookmarkEnd w:id="19"/>
      <w:tr w14:paraId="162A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314" w:type="dxa"/>
            <w:vMerge w:val="continue"/>
            <w:tcBorders>
              <w:left w:val="single" w:color="auto" w:sz="4" w:space="0"/>
              <w:right w:val="single" w:color="auto" w:sz="4" w:space="0"/>
            </w:tcBorders>
            <w:vAlign w:val="center"/>
          </w:tcPr>
          <w:p w14:paraId="6F46FAA4">
            <w:pPr>
              <w:autoSpaceDE w:val="0"/>
              <w:autoSpaceDN w:val="0"/>
              <w:spacing w:line="240" w:lineRule="auto"/>
              <w:ind w:firstLine="0" w:firstLineChars="0"/>
              <w:jc w:val="center"/>
              <w:rPr>
                <w:rFonts w:hint="default" w:ascii="Times New Roman" w:hAnsi="Times New Roman" w:cs="Times New Roman"/>
                <w:color w:val="auto"/>
                <w:kern w:val="2"/>
                <w:sz w:val="21"/>
                <w:szCs w:val="21"/>
              </w:rPr>
            </w:pPr>
          </w:p>
        </w:tc>
        <w:tc>
          <w:tcPr>
            <w:tcW w:w="1686" w:type="dxa"/>
            <w:vMerge w:val="continue"/>
            <w:tcBorders>
              <w:left w:val="single" w:color="auto" w:sz="4" w:space="0"/>
              <w:right w:val="single" w:color="auto" w:sz="4" w:space="0"/>
            </w:tcBorders>
            <w:vAlign w:val="center"/>
          </w:tcPr>
          <w:p w14:paraId="519D6D26">
            <w:pPr>
              <w:autoSpaceDE w:val="0"/>
              <w:autoSpaceDN w:val="0"/>
              <w:spacing w:line="240" w:lineRule="auto"/>
              <w:ind w:firstLine="0" w:firstLineChars="0"/>
              <w:jc w:val="center"/>
              <w:rPr>
                <w:rFonts w:hint="default" w:ascii="Times New Roman" w:hAnsi="Times New Roman" w:cs="Times New Roman"/>
                <w:color w:val="auto"/>
                <w:kern w:val="2"/>
                <w:sz w:val="21"/>
                <w:szCs w:val="21"/>
              </w:rPr>
            </w:pP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14:paraId="311CDEFA">
            <w:pPr>
              <w:autoSpaceDE w:val="0"/>
              <w:autoSpaceDN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w:t>
            </w:r>
          </w:p>
        </w:tc>
        <w:tc>
          <w:tcPr>
            <w:tcW w:w="1665" w:type="dxa"/>
            <w:tcBorders>
              <w:top w:val="single" w:color="auto" w:sz="4" w:space="0"/>
              <w:left w:val="single" w:color="auto" w:sz="4" w:space="0"/>
              <w:bottom w:val="single" w:color="auto" w:sz="4" w:space="0"/>
              <w:right w:val="single" w:color="auto" w:sz="4" w:space="0"/>
            </w:tcBorders>
            <w:shd w:val="clear" w:color="auto" w:fill="auto"/>
            <w:vAlign w:val="center"/>
          </w:tcPr>
          <w:p w14:paraId="22A2481D">
            <w:pPr>
              <w:autoSpaceDE w:val="0"/>
              <w:autoSpaceDN w:val="0"/>
              <w:spacing w:line="240" w:lineRule="auto"/>
              <w:ind w:firstLine="0" w:firstLineChars="0"/>
              <w:jc w:val="center"/>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3.87</w:t>
            </w:r>
          </w:p>
        </w:tc>
      </w:tr>
      <w:tr w14:paraId="1F0D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314" w:type="dxa"/>
            <w:vMerge w:val="continue"/>
            <w:tcBorders>
              <w:left w:val="single" w:color="auto" w:sz="4" w:space="0"/>
              <w:bottom w:val="single" w:color="auto" w:sz="4" w:space="0"/>
              <w:right w:val="single" w:color="auto" w:sz="4" w:space="0"/>
            </w:tcBorders>
            <w:vAlign w:val="center"/>
          </w:tcPr>
          <w:p w14:paraId="568180DE">
            <w:pPr>
              <w:autoSpaceDE w:val="0"/>
              <w:autoSpaceDN w:val="0"/>
              <w:spacing w:line="240" w:lineRule="auto"/>
              <w:ind w:firstLine="0" w:firstLineChars="0"/>
              <w:jc w:val="center"/>
              <w:rPr>
                <w:rFonts w:hint="default" w:ascii="Times New Roman" w:hAnsi="Times New Roman" w:cs="Times New Roman"/>
                <w:color w:val="auto"/>
                <w:kern w:val="2"/>
                <w:sz w:val="21"/>
                <w:szCs w:val="21"/>
              </w:rPr>
            </w:pPr>
          </w:p>
        </w:tc>
        <w:tc>
          <w:tcPr>
            <w:tcW w:w="1686" w:type="dxa"/>
            <w:vMerge w:val="continue"/>
            <w:tcBorders>
              <w:left w:val="single" w:color="auto" w:sz="4" w:space="0"/>
              <w:bottom w:val="single" w:color="auto" w:sz="4" w:space="0"/>
              <w:right w:val="single" w:color="auto" w:sz="4" w:space="0"/>
            </w:tcBorders>
            <w:vAlign w:val="center"/>
          </w:tcPr>
          <w:p w14:paraId="6B20424A">
            <w:pPr>
              <w:autoSpaceDE w:val="0"/>
              <w:autoSpaceDN w:val="0"/>
              <w:spacing w:line="240" w:lineRule="auto"/>
              <w:ind w:firstLine="0" w:firstLineChars="0"/>
              <w:jc w:val="center"/>
              <w:rPr>
                <w:rFonts w:hint="default" w:ascii="Times New Roman" w:hAnsi="Times New Roman" w:cs="Times New Roman"/>
                <w:color w:val="auto"/>
                <w:kern w:val="2"/>
                <w:sz w:val="21"/>
                <w:szCs w:val="21"/>
              </w:rPr>
            </w:pPr>
          </w:p>
        </w:tc>
        <w:tc>
          <w:tcPr>
            <w:tcW w:w="2692" w:type="dxa"/>
            <w:tcBorders>
              <w:top w:val="single" w:color="auto" w:sz="4" w:space="0"/>
              <w:left w:val="single" w:color="auto" w:sz="4" w:space="0"/>
              <w:bottom w:val="single" w:color="auto" w:sz="4" w:space="0"/>
              <w:right w:val="single" w:color="auto" w:sz="4" w:space="0"/>
            </w:tcBorders>
            <w:vAlign w:val="center"/>
          </w:tcPr>
          <w:p w14:paraId="0036EC47">
            <w:pPr>
              <w:autoSpaceDE w:val="0"/>
              <w:autoSpaceDN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小计</w:t>
            </w:r>
          </w:p>
        </w:tc>
        <w:tc>
          <w:tcPr>
            <w:tcW w:w="1665" w:type="dxa"/>
            <w:tcBorders>
              <w:top w:val="single" w:color="auto" w:sz="4" w:space="0"/>
              <w:left w:val="single" w:color="auto" w:sz="4" w:space="0"/>
              <w:bottom w:val="single" w:color="auto" w:sz="4" w:space="0"/>
              <w:right w:val="single" w:color="auto" w:sz="4" w:space="0"/>
            </w:tcBorders>
            <w:vAlign w:val="center"/>
          </w:tcPr>
          <w:p w14:paraId="5F5F3FCD">
            <w:pPr>
              <w:autoSpaceDE w:val="0"/>
              <w:autoSpaceDN w:val="0"/>
              <w:spacing w:line="240" w:lineRule="auto"/>
              <w:ind w:firstLine="0" w:firstLineChars="0"/>
              <w:jc w:val="center"/>
              <w:rPr>
                <w:rFonts w:hint="eastAsia" w:ascii="Times New Roman" w:hAnsi="Times New Roman" w:eastAsia="宋体" w:cs="Times New Roman"/>
                <w:color w:val="auto"/>
                <w:kern w:val="2"/>
                <w:sz w:val="21"/>
                <w:szCs w:val="21"/>
                <w:lang w:eastAsia="zh-CN"/>
              </w:rPr>
            </w:pPr>
            <w:r>
              <w:rPr>
                <w:rFonts w:hint="default" w:ascii="Times New Roman" w:hAnsi="Times New Roman" w:cs="Times New Roman"/>
                <w:color w:val="auto"/>
                <w:kern w:val="2"/>
                <w:sz w:val="21"/>
                <w:szCs w:val="21"/>
              </w:rPr>
              <w:t>4.5</w:t>
            </w:r>
            <w:r>
              <w:rPr>
                <w:rFonts w:hint="eastAsia" w:cs="Times New Roman"/>
                <w:color w:val="auto"/>
                <w:kern w:val="2"/>
                <w:sz w:val="21"/>
                <w:szCs w:val="21"/>
                <w:lang w:val="en-US" w:eastAsia="zh-CN"/>
              </w:rPr>
              <w:t>5</w:t>
            </w:r>
          </w:p>
        </w:tc>
      </w:tr>
    </w:tbl>
    <w:p w14:paraId="3A92D222">
      <w:pPr>
        <w:ind w:firstLine="480"/>
        <w:rPr>
          <w:rFonts w:hint="default" w:ascii="Times New Roman" w:hAnsi="Times New Roman" w:cs="Times New Roman"/>
          <w:color w:val="auto"/>
        </w:rPr>
      </w:pPr>
      <w:r>
        <w:rPr>
          <w:rFonts w:hint="default" w:ascii="Times New Roman" w:hAnsi="Times New Roman" w:cs="Times New Roman"/>
          <w:color w:val="auto"/>
        </w:rPr>
        <w:t>从上表分析，中铁二局集团物资有限公司重庆分公司生化池能够完全容纳本项目生产生活污废水，依托现有生化池处理合理可行。</w:t>
      </w:r>
    </w:p>
    <w:p w14:paraId="1CC0F8BB">
      <w:pPr>
        <w:ind w:firstLine="480"/>
        <w:rPr>
          <w:rFonts w:hint="default" w:ascii="Times New Roman" w:hAnsi="Times New Roman" w:cs="Times New Roman"/>
          <w:color w:val="auto"/>
        </w:rPr>
      </w:pPr>
      <w:r>
        <w:rPr>
          <w:rFonts w:hint="default" w:ascii="Times New Roman" w:hAnsi="Times New Roman" w:cs="Times New Roman"/>
          <w:color w:val="auto"/>
        </w:rPr>
        <w:t>3）进入污水处理厂可行性分析</w:t>
      </w:r>
    </w:p>
    <w:p w14:paraId="21C2837F">
      <w:pPr>
        <w:ind w:firstLine="480"/>
        <w:rPr>
          <w:rFonts w:hint="default" w:ascii="Times New Roman" w:hAnsi="Times New Roman" w:cs="Times New Roman"/>
          <w:color w:val="auto"/>
        </w:rPr>
      </w:pPr>
      <w:r>
        <w:rPr>
          <w:rFonts w:hint="default" w:ascii="Times New Roman" w:hAnsi="Times New Roman" w:cs="Times New Roman"/>
          <w:color w:val="auto"/>
        </w:rPr>
        <w:t>陶家工业污水处理厂设计总处理规模为1.0万m</w:t>
      </w:r>
      <w:r>
        <w:rPr>
          <w:rFonts w:hint="default" w:ascii="Times New Roman" w:hAnsi="Times New Roman" w:cs="Times New Roman"/>
          <w:color w:val="auto"/>
          <w:vertAlign w:val="superscript"/>
        </w:rPr>
        <w:t>3</w:t>
      </w:r>
      <w:r>
        <w:rPr>
          <w:rFonts w:hint="default" w:ascii="Times New Roman" w:hAnsi="Times New Roman" w:cs="Times New Roman"/>
          <w:color w:val="auto"/>
        </w:rPr>
        <w:t>/d，分期建设。其中一期设计处理规模为0.5万m</w:t>
      </w:r>
      <w:r>
        <w:rPr>
          <w:rFonts w:hint="default" w:ascii="Times New Roman" w:hAnsi="Times New Roman" w:cs="Times New Roman"/>
          <w:color w:val="auto"/>
          <w:vertAlign w:val="superscript"/>
        </w:rPr>
        <w:t>3</w:t>
      </w:r>
      <w:r>
        <w:rPr>
          <w:rFonts w:hint="default" w:ascii="Times New Roman" w:hAnsi="Times New Roman" w:cs="Times New Roman"/>
          <w:color w:val="auto"/>
        </w:rPr>
        <w:t>/d，现状处理规模约为0.027万m</w:t>
      </w:r>
      <w:r>
        <w:rPr>
          <w:rFonts w:hint="default" w:ascii="Times New Roman" w:hAnsi="Times New Roman" w:cs="Times New Roman"/>
          <w:color w:val="auto"/>
          <w:vertAlign w:val="superscript"/>
        </w:rPr>
        <w:t>3</w:t>
      </w:r>
      <w:r>
        <w:rPr>
          <w:rFonts w:hint="default" w:ascii="Times New Roman" w:hAnsi="Times New Roman" w:cs="Times New Roman"/>
          <w:color w:val="auto"/>
        </w:rPr>
        <w:t>/d，采用“预处理+水解酸化+改良型A</w:t>
      </w:r>
      <w:r>
        <w:rPr>
          <w:rFonts w:hint="default" w:ascii="Times New Roman" w:hAnsi="Times New Roman" w:cs="Times New Roman"/>
          <w:color w:val="auto"/>
          <w:vertAlign w:val="superscript"/>
        </w:rPr>
        <w:t>2</w:t>
      </w:r>
      <w:r>
        <w:rPr>
          <w:rFonts w:hint="default" w:ascii="Times New Roman" w:hAnsi="Times New Roman" w:cs="Times New Roman"/>
          <w:color w:val="auto"/>
        </w:rPr>
        <w:t>/O+深度处理”的污水处理工艺，现状服务范围为原九龙园区C区工业区污废水。尾水中COD、NH</w:t>
      </w:r>
      <w:r>
        <w:rPr>
          <w:rFonts w:hint="default" w:ascii="Times New Roman" w:hAnsi="Times New Roman" w:cs="Times New Roman"/>
          <w:color w:val="auto"/>
          <w:vertAlign w:val="subscript"/>
        </w:rPr>
        <w:t>3</w:t>
      </w:r>
      <w:r>
        <w:rPr>
          <w:rFonts w:hint="default" w:ascii="Times New Roman" w:hAnsi="Times New Roman" w:cs="Times New Roman"/>
          <w:color w:val="auto"/>
        </w:rPr>
        <w:t>-N、TP等主要指标达《地表水环境质量标准》（GB3838-2002）Ⅳ类标准，其余指标达《城镇污水处理厂污染物排放标准》（GB18918-2002）一级A标后，排入杨柳曲河，再汇入大溪河。陶家工业污水处理厂已安装在线监控及在线监测设备，并连接生态环境主管部门内部网络，现状尾水COD、NH</w:t>
      </w:r>
      <w:r>
        <w:rPr>
          <w:rFonts w:hint="default" w:ascii="Times New Roman" w:hAnsi="Times New Roman" w:cs="Times New Roman"/>
          <w:color w:val="auto"/>
          <w:vertAlign w:val="subscript"/>
        </w:rPr>
        <w:t>3</w:t>
      </w:r>
      <w:r>
        <w:rPr>
          <w:rFonts w:hint="default" w:ascii="Times New Roman" w:hAnsi="Times New Roman" w:cs="Times New Roman"/>
          <w:color w:val="auto"/>
        </w:rPr>
        <w:t>-N、TP等主要指标可达《地表水环境质量标准》（GB3838-2002）IV类标准，其余指标可达《城镇污水处理厂污染物排放标准》（GB18918-2002）一级A标，运行稳定。</w:t>
      </w:r>
    </w:p>
    <w:p w14:paraId="01E36BA1">
      <w:pPr>
        <w:ind w:firstLine="480"/>
        <w:rPr>
          <w:rFonts w:hint="default" w:ascii="Times New Roman" w:hAnsi="Times New Roman" w:cs="Times New Roman"/>
          <w:color w:val="auto"/>
        </w:rPr>
      </w:pPr>
      <w:r>
        <w:rPr>
          <w:rFonts w:hint="default" w:ascii="Times New Roman" w:hAnsi="Times New Roman" w:cs="Times New Roman"/>
          <w:color w:val="auto"/>
        </w:rPr>
        <w:t>本项目属于陶家工业污水处理厂的服务范围。本项目生产生活污废水经厂区生化池预处理达《污水综合排放标准》（GB8978-1996）三级标准后，再排入陶家工业污水处理厂处理，满足该污水处理厂的处理能力及进水水质要求，项目新增废水排放量（</w:t>
      </w:r>
      <w:r>
        <w:rPr>
          <w:rFonts w:hint="eastAsia" w:cs="Times New Roman"/>
          <w:color w:val="auto"/>
          <w:lang w:val="en-US" w:eastAsia="zh-CN"/>
        </w:rPr>
        <w:t>3.87</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/d）远小于污水处理厂剩余处理规模（0.473万m</w:t>
      </w:r>
      <w:r>
        <w:rPr>
          <w:rFonts w:hint="default" w:ascii="Times New Roman" w:hAnsi="Times New Roman" w:cs="Times New Roman"/>
          <w:color w:val="auto"/>
          <w:vertAlign w:val="superscript"/>
        </w:rPr>
        <w:t>3</w:t>
      </w:r>
      <w:r>
        <w:rPr>
          <w:rFonts w:hint="default" w:ascii="Times New Roman" w:hAnsi="Times New Roman" w:cs="Times New Roman"/>
          <w:color w:val="auto"/>
        </w:rPr>
        <w:t>/d），对污水处理厂的正常运行影响很小。</w:t>
      </w:r>
    </w:p>
    <w:p w14:paraId="3B353889">
      <w:pPr>
        <w:ind w:firstLine="480"/>
        <w:rPr>
          <w:rFonts w:hint="default" w:ascii="Times New Roman" w:hAnsi="Times New Roman" w:cs="Times New Roman"/>
          <w:color w:val="auto"/>
        </w:rPr>
      </w:pPr>
      <w:r>
        <w:rPr>
          <w:rFonts w:hint="default" w:ascii="Times New Roman" w:hAnsi="Times New Roman" w:cs="Times New Roman"/>
          <w:color w:val="auto"/>
        </w:rPr>
        <w:t>由此可见，本项目采取以上废水污染防治措施后，将有效减轻对地表水环境的影响，对水环境影响较小。</w:t>
      </w:r>
    </w:p>
    <w:p w14:paraId="55A9FBC2">
      <w:pPr>
        <w:ind w:firstLine="480"/>
        <w:rPr>
          <w:rFonts w:hint="default" w:ascii="Times New Roman" w:hAnsi="Times New Roman" w:cs="Times New Roman"/>
          <w:color w:val="auto"/>
        </w:rPr>
      </w:pPr>
      <w:r>
        <w:rPr>
          <w:rFonts w:hint="default" w:ascii="Times New Roman" w:hAnsi="Times New Roman" w:cs="Times New Roman"/>
          <w:color w:val="auto"/>
        </w:rPr>
        <w:t>（4）排放口基本信息</w:t>
      </w:r>
    </w:p>
    <w:p w14:paraId="0BACF092">
      <w:pPr>
        <w:ind w:firstLine="480"/>
        <w:rPr>
          <w:rFonts w:hint="default" w:ascii="Times New Roman" w:hAnsi="Times New Roman" w:cs="Times New Roman"/>
          <w:color w:val="auto"/>
        </w:rPr>
      </w:pPr>
      <w:r>
        <w:rPr>
          <w:rFonts w:hint="default" w:ascii="Times New Roman" w:hAnsi="Times New Roman" w:cs="Times New Roman"/>
          <w:color w:val="auto"/>
        </w:rPr>
        <w:t>本项目排污口基本信息见下表。</w:t>
      </w:r>
    </w:p>
    <w:p w14:paraId="48AD52A1">
      <w:pPr>
        <w:pStyle w:val="133"/>
        <w:spacing w:line="360" w:lineRule="auto"/>
        <w:ind w:firstLine="480"/>
        <w:jc w:val="left"/>
        <w:rPr>
          <w:rFonts w:hint="default" w:ascii="Times New Roman" w:hAnsi="Times New Roman" w:cs="Times New Roman"/>
          <w:bCs/>
          <w:color w:val="auto"/>
          <w:sz w:val="24"/>
          <w:szCs w:val="24"/>
        </w:rPr>
        <w:sectPr>
          <w:headerReference r:id="rId25" w:type="default"/>
          <w:pgSz w:w="11907" w:h="16840"/>
          <w:pgMar w:top="1440" w:right="1797" w:bottom="1440" w:left="1797" w:header="851" w:footer="992" w:gutter="0"/>
          <w:cols w:space="720" w:num="1"/>
          <w:docGrid w:type="lines" w:linePitch="312" w:charSpace="0"/>
        </w:sectPr>
      </w:pPr>
    </w:p>
    <w:p w14:paraId="19820C64">
      <w:pPr>
        <w:pStyle w:val="93"/>
        <w:rPr>
          <w:rFonts w:hint="default" w:ascii="Times New Roman" w:hAnsi="Times New Roman" w:cs="Times New Roman"/>
          <w:color w:val="auto"/>
        </w:rPr>
      </w:pPr>
      <w:r>
        <w:rPr>
          <w:rFonts w:hint="default" w:ascii="Times New Roman" w:hAnsi="Times New Roman" w:cs="Times New Roman"/>
          <w:color w:val="auto"/>
        </w:rPr>
        <w:t>表4.2.2-3    废水治理设施及排放口情况表</w:t>
      </w:r>
    </w:p>
    <w:tbl>
      <w:tblPr>
        <w:tblStyle w:val="4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1321"/>
        <w:gridCol w:w="889"/>
        <w:gridCol w:w="889"/>
        <w:gridCol w:w="1601"/>
        <w:gridCol w:w="1151"/>
        <w:gridCol w:w="1100"/>
        <w:gridCol w:w="913"/>
        <w:gridCol w:w="2891"/>
        <w:gridCol w:w="1179"/>
        <w:gridCol w:w="1574"/>
      </w:tblGrid>
      <w:tr w14:paraId="39442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7" w:type="dxa"/>
            <w:vMerge w:val="restart"/>
            <w:vAlign w:val="center"/>
          </w:tcPr>
          <w:p w14:paraId="51C6AA7E">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类别</w:t>
            </w:r>
          </w:p>
        </w:tc>
        <w:tc>
          <w:tcPr>
            <w:tcW w:w="4700" w:type="dxa"/>
            <w:gridSpan w:val="4"/>
            <w:vAlign w:val="center"/>
          </w:tcPr>
          <w:p w14:paraId="14243F31">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治理设施基本情况</w:t>
            </w:r>
          </w:p>
        </w:tc>
        <w:tc>
          <w:tcPr>
            <w:tcW w:w="1151" w:type="dxa"/>
            <w:vMerge w:val="restart"/>
            <w:vAlign w:val="center"/>
          </w:tcPr>
          <w:p w14:paraId="1EB9E9E8">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排放去向</w:t>
            </w:r>
          </w:p>
        </w:tc>
        <w:tc>
          <w:tcPr>
            <w:tcW w:w="1100" w:type="dxa"/>
            <w:vMerge w:val="restart"/>
            <w:vAlign w:val="center"/>
          </w:tcPr>
          <w:p w14:paraId="098E84C3">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排放规律</w:t>
            </w:r>
          </w:p>
        </w:tc>
        <w:tc>
          <w:tcPr>
            <w:tcW w:w="4983" w:type="dxa"/>
            <w:gridSpan w:val="3"/>
            <w:vAlign w:val="center"/>
          </w:tcPr>
          <w:p w14:paraId="0C7702B7">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排放口</w:t>
            </w:r>
          </w:p>
        </w:tc>
        <w:tc>
          <w:tcPr>
            <w:tcW w:w="1574" w:type="dxa"/>
            <w:vMerge w:val="restart"/>
            <w:vAlign w:val="center"/>
          </w:tcPr>
          <w:p w14:paraId="46369DD1">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排放标准</w:t>
            </w:r>
          </w:p>
        </w:tc>
      </w:tr>
      <w:tr w14:paraId="69A2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7" w:type="dxa"/>
            <w:vMerge w:val="continue"/>
            <w:vAlign w:val="center"/>
          </w:tcPr>
          <w:p w14:paraId="35C389AB">
            <w:pPr>
              <w:spacing w:line="240" w:lineRule="auto"/>
              <w:ind w:firstLine="0" w:firstLineChars="0"/>
              <w:jc w:val="center"/>
              <w:rPr>
                <w:rFonts w:hint="default" w:ascii="Times New Roman" w:hAnsi="Times New Roman" w:cs="Times New Roman"/>
                <w:bCs/>
                <w:color w:val="auto"/>
                <w:kern w:val="2"/>
                <w:sz w:val="21"/>
                <w:szCs w:val="21"/>
              </w:rPr>
            </w:pPr>
          </w:p>
        </w:tc>
        <w:tc>
          <w:tcPr>
            <w:tcW w:w="1321" w:type="dxa"/>
            <w:vAlign w:val="center"/>
          </w:tcPr>
          <w:p w14:paraId="6A590D39">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名称</w:t>
            </w:r>
          </w:p>
        </w:tc>
        <w:tc>
          <w:tcPr>
            <w:tcW w:w="889" w:type="dxa"/>
            <w:vAlign w:val="center"/>
          </w:tcPr>
          <w:p w14:paraId="06B95A1B">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处理能力</w:t>
            </w:r>
          </w:p>
        </w:tc>
        <w:tc>
          <w:tcPr>
            <w:tcW w:w="889" w:type="dxa"/>
            <w:vAlign w:val="center"/>
          </w:tcPr>
          <w:p w14:paraId="440FCFD9">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工艺</w:t>
            </w:r>
          </w:p>
        </w:tc>
        <w:tc>
          <w:tcPr>
            <w:tcW w:w="1601" w:type="dxa"/>
            <w:vAlign w:val="center"/>
          </w:tcPr>
          <w:p w14:paraId="4B887102">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是否为可行技术</w:t>
            </w:r>
          </w:p>
        </w:tc>
        <w:tc>
          <w:tcPr>
            <w:tcW w:w="1151" w:type="dxa"/>
            <w:vMerge w:val="continue"/>
            <w:vAlign w:val="center"/>
          </w:tcPr>
          <w:p w14:paraId="5C0BA53D">
            <w:pPr>
              <w:spacing w:line="240" w:lineRule="auto"/>
              <w:ind w:firstLine="0" w:firstLineChars="0"/>
              <w:jc w:val="center"/>
              <w:rPr>
                <w:rFonts w:hint="default" w:ascii="Times New Roman" w:hAnsi="Times New Roman" w:cs="Times New Roman"/>
                <w:bCs/>
                <w:color w:val="auto"/>
                <w:kern w:val="2"/>
                <w:sz w:val="21"/>
                <w:szCs w:val="21"/>
              </w:rPr>
            </w:pPr>
          </w:p>
        </w:tc>
        <w:tc>
          <w:tcPr>
            <w:tcW w:w="1100" w:type="dxa"/>
            <w:vMerge w:val="continue"/>
            <w:vAlign w:val="center"/>
          </w:tcPr>
          <w:p w14:paraId="354B6326">
            <w:pPr>
              <w:spacing w:line="240" w:lineRule="auto"/>
              <w:ind w:firstLine="0" w:firstLineChars="0"/>
              <w:jc w:val="center"/>
              <w:rPr>
                <w:rFonts w:hint="default" w:ascii="Times New Roman" w:hAnsi="Times New Roman" w:cs="Times New Roman"/>
                <w:bCs/>
                <w:color w:val="auto"/>
                <w:kern w:val="2"/>
                <w:sz w:val="21"/>
                <w:szCs w:val="21"/>
              </w:rPr>
            </w:pPr>
          </w:p>
        </w:tc>
        <w:tc>
          <w:tcPr>
            <w:tcW w:w="913" w:type="dxa"/>
            <w:vAlign w:val="center"/>
          </w:tcPr>
          <w:p w14:paraId="606C75E2">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编号</w:t>
            </w:r>
          </w:p>
        </w:tc>
        <w:tc>
          <w:tcPr>
            <w:tcW w:w="2891" w:type="dxa"/>
            <w:vAlign w:val="center"/>
          </w:tcPr>
          <w:p w14:paraId="01534F88">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color w:val="auto"/>
                <w:kern w:val="2"/>
                <w:sz w:val="21"/>
                <w:szCs w:val="21"/>
              </w:rPr>
              <w:t>排放口类型</w:t>
            </w:r>
          </w:p>
        </w:tc>
        <w:tc>
          <w:tcPr>
            <w:tcW w:w="1179" w:type="dxa"/>
            <w:vAlign w:val="center"/>
          </w:tcPr>
          <w:p w14:paraId="72A7DCE4">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地理坐标</w:t>
            </w:r>
          </w:p>
        </w:tc>
        <w:tc>
          <w:tcPr>
            <w:tcW w:w="1574" w:type="dxa"/>
            <w:vMerge w:val="continue"/>
            <w:vAlign w:val="center"/>
          </w:tcPr>
          <w:p w14:paraId="630023BD">
            <w:pPr>
              <w:spacing w:line="240" w:lineRule="auto"/>
              <w:ind w:firstLine="0" w:firstLineChars="0"/>
              <w:jc w:val="center"/>
              <w:rPr>
                <w:rFonts w:hint="default" w:ascii="Times New Roman" w:hAnsi="Times New Roman" w:cs="Times New Roman"/>
                <w:bCs/>
                <w:color w:val="auto"/>
                <w:kern w:val="2"/>
                <w:sz w:val="21"/>
                <w:szCs w:val="21"/>
              </w:rPr>
            </w:pPr>
          </w:p>
        </w:tc>
      </w:tr>
      <w:tr w14:paraId="7B07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7" w:type="dxa"/>
            <w:vAlign w:val="center"/>
          </w:tcPr>
          <w:p w14:paraId="206138ED">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生产、生活废水</w:t>
            </w:r>
          </w:p>
        </w:tc>
        <w:tc>
          <w:tcPr>
            <w:tcW w:w="1321" w:type="dxa"/>
            <w:vAlign w:val="center"/>
          </w:tcPr>
          <w:p w14:paraId="1A8E5970">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中铁二局集团物资有限公司重庆分公司生化池</w:t>
            </w:r>
          </w:p>
        </w:tc>
        <w:tc>
          <w:tcPr>
            <w:tcW w:w="889" w:type="dxa"/>
            <w:vAlign w:val="center"/>
          </w:tcPr>
          <w:p w14:paraId="6DB57CFA">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10.8m</w:t>
            </w:r>
            <w:r>
              <w:rPr>
                <w:rFonts w:hint="default" w:ascii="Times New Roman" w:hAnsi="Times New Roman" w:cs="Times New Roman"/>
                <w:bCs/>
                <w:color w:val="auto"/>
                <w:kern w:val="2"/>
                <w:sz w:val="21"/>
                <w:szCs w:val="21"/>
                <w:vertAlign w:val="superscript"/>
              </w:rPr>
              <w:t>3</w:t>
            </w:r>
            <w:r>
              <w:rPr>
                <w:rFonts w:hint="default" w:ascii="Times New Roman" w:hAnsi="Times New Roman" w:cs="Times New Roman"/>
                <w:bCs/>
                <w:color w:val="auto"/>
                <w:kern w:val="2"/>
                <w:sz w:val="21"/>
                <w:szCs w:val="21"/>
              </w:rPr>
              <w:t>/d</w:t>
            </w:r>
          </w:p>
        </w:tc>
        <w:tc>
          <w:tcPr>
            <w:tcW w:w="889" w:type="dxa"/>
            <w:vAlign w:val="center"/>
          </w:tcPr>
          <w:p w14:paraId="2844D2A3">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厌氧</w:t>
            </w:r>
          </w:p>
        </w:tc>
        <w:tc>
          <w:tcPr>
            <w:tcW w:w="1601" w:type="dxa"/>
            <w:vAlign w:val="center"/>
          </w:tcPr>
          <w:p w14:paraId="3F8BDEF9">
            <w:pPr>
              <w:spacing w:line="240" w:lineRule="auto"/>
              <w:ind w:firstLine="0" w:firstLineChars="0"/>
              <w:rPr>
                <w:rFonts w:hint="default" w:ascii="Times New Roman" w:hAnsi="Times New Roman" w:cs="Times New Roman"/>
                <w:bCs/>
                <w:color w:val="auto"/>
                <w:kern w:val="2"/>
                <w:sz w:val="21"/>
                <w:szCs w:val="21"/>
              </w:rPr>
            </w:pPr>
            <w:r>
              <w:rPr>
                <w:rFonts w:hint="default" w:ascii="Times New Roman" w:hAnsi="Times New Roman" w:cs="Times New Roman"/>
                <w:color w:val="auto"/>
                <w:kern w:val="2"/>
                <w:sz w:val="21"/>
                <w:szCs w:val="21"/>
              </w:rPr>
              <w:t>☑</w:t>
            </w:r>
            <w:r>
              <w:rPr>
                <w:rFonts w:hint="default" w:ascii="Times New Roman" w:hAnsi="Times New Roman" w:cs="Times New Roman"/>
                <w:bCs/>
                <w:color w:val="auto"/>
                <w:kern w:val="2"/>
                <w:sz w:val="21"/>
                <w:szCs w:val="21"/>
              </w:rPr>
              <w:t>是（推荐技术）</w:t>
            </w:r>
          </w:p>
          <w:p w14:paraId="62AB4BE5">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r>
              <w:rPr>
                <w:rFonts w:hint="default" w:ascii="Times New Roman" w:hAnsi="Times New Roman" w:cs="Times New Roman"/>
                <w:bCs/>
                <w:color w:val="auto"/>
                <w:kern w:val="2"/>
                <w:sz w:val="21"/>
                <w:szCs w:val="21"/>
              </w:rPr>
              <w:t>否</w:t>
            </w:r>
          </w:p>
        </w:tc>
        <w:tc>
          <w:tcPr>
            <w:tcW w:w="1151" w:type="dxa"/>
            <w:vAlign w:val="center"/>
          </w:tcPr>
          <w:p w14:paraId="61302F6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陶家工业污水处理厂</w:t>
            </w:r>
          </w:p>
        </w:tc>
        <w:tc>
          <w:tcPr>
            <w:tcW w:w="1100" w:type="dxa"/>
            <w:vAlign w:val="center"/>
          </w:tcPr>
          <w:p w14:paraId="3F1EE77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连续排放，流量稳定</w:t>
            </w:r>
          </w:p>
        </w:tc>
        <w:tc>
          <w:tcPr>
            <w:tcW w:w="913" w:type="dxa"/>
            <w:vAlign w:val="center"/>
          </w:tcPr>
          <w:p w14:paraId="0F915222">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DW001</w:t>
            </w:r>
          </w:p>
        </w:tc>
        <w:tc>
          <w:tcPr>
            <w:tcW w:w="2891" w:type="dxa"/>
            <w:vAlign w:val="center"/>
          </w:tcPr>
          <w:p w14:paraId="549D3B15">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sym w:font="Wingdings 2" w:char="0052"/>
            </w:r>
            <w:r>
              <w:rPr>
                <w:rFonts w:hint="default" w:ascii="Times New Roman" w:hAnsi="Times New Roman" w:cs="Times New Roman"/>
                <w:color w:val="auto"/>
                <w:kern w:val="2"/>
                <w:sz w:val="21"/>
                <w:szCs w:val="21"/>
              </w:rPr>
              <w:t xml:space="preserve"> 企业总排</w:t>
            </w:r>
          </w:p>
          <w:p w14:paraId="79C5F244">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 雨水排放</w:t>
            </w:r>
          </w:p>
          <w:p w14:paraId="3D86E3B1">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 清净下水排放</w:t>
            </w:r>
          </w:p>
          <w:p w14:paraId="6995F8C8">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 温排水排放</w:t>
            </w:r>
          </w:p>
          <w:p w14:paraId="476B39EE">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 车间或车间处理设施排放口</w:t>
            </w:r>
          </w:p>
        </w:tc>
        <w:tc>
          <w:tcPr>
            <w:tcW w:w="1179" w:type="dxa"/>
            <w:vAlign w:val="center"/>
          </w:tcPr>
          <w:p w14:paraId="26FD46B4">
            <w:pPr>
              <w:spacing w:line="240" w:lineRule="auto"/>
              <w:ind w:firstLine="0" w:firstLineChars="0"/>
              <w:jc w:val="left"/>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u w:color="000000"/>
              </w:rPr>
              <w:t>106°21′13.016″,29°20′59.129″</w:t>
            </w:r>
          </w:p>
        </w:tc>
        <w:tc>
          <w:tcPr>
            <w:tcW w:w="1574" w:type="dxa"/>
            <w:vAlign w:val="center"/>
          </w:tcPr>
          <w:p w14:paraId="705135F1">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《污水综合排放标准》（GB8978-96）中三级标准</w:t>
            </w:r>
          </w:p>
        </w:tc>
      </w:tr>
      <w:tr w14:paraId="2585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7" w:type="dxa"/>
            <w:vAlign w:val="center"/>
          </w:tcPr>
          <w:p w14:paraId="130C1119">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生产废水</w:t>
            </w:r>
          </w:p>
        </w:tc>
        <w:tc>
          <w:tcPr>
            <w:tcW w:w="1321" w:type="dxa"/>
            <w:vAlign w:val="center"/>
          </w:tcPr>
          <w:p w14:paraId="34CE5EEC">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过滤+冷却</w:t>
            </w:r>
          </w:p>
        </w:tc>
        <w:tc>
          <w:tcPr>
            <w:tcW w:w="889" w:type="dxa"/>
            <w:vAlign w:val="center"/>
          </w:tcPr>
          <w:p w14:paraId="268F325A">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color w:val="auto"/>
                <w:sz w:val="21"/>
                <w:szCs w:val="21"/>
                <w:lang w:bidi="ar"/>
              </w:rPr>
              <w:t>1m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/d</w:t>
            </w:r>
          </w:p>
        </w:tc>
        <w:tc>
          <w:tcPr>
            <w:tcW w:w="889" w:type="dxa"/>
            <w:vAlign w:val="center"/>
          </w:tcPr>
          <w:p w14:paraId="247B5523">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过滤+自然冷却</w:t>
            </w:r>
          </w:p>
        </w:tc>
        <w:tc>
          <w:tcPr>
            <w:tcW w:w="1601" w:type="dxa"/>
            <w:vAlign w:val="center"/>
          </w:tcPr>
          <w:p w14:paraId="0F70A356">
            <w:pPr>
              <w:spacing w:line="240" w:lineRule="auto"/>
              <w:ind w:firstLine="0" w:firstLineChars="0"/>
              <w:rPr>
                <w:rFonts w:hint="default" w:ascii="Times New Roman" w:hAnsi="Times New Roman" w:cs="Times New Roman"/>
                <w:bCs/>
                <w:color w:val="auto"/>
                <w:kern w:val="2"/>
                <w:sz w:val="21"/>
                <w:szCs w:val="21"/>
              </w:rPr>
            </w:pPr>
            <w:r>
              <w:rPr>
                <w:rFonts w:hint="default" w:ascii="Times New Roman" w:hAnsi="Times New Roman" w:cs="Times New Roman"/>
                <w:color w:val="auto"/>
                <w:kern w:val="2"/>
                <w:sz w:val="21"/>
                <w:szCs w:val="21"/>
              </w:rPr>
              <w:t>☑</w:t>
            </w:r>
            <w:r>
              <w:rPr>
                <w:rFonts w:hint="default" w:ascii="Times New Roman" w:hAnsi="Times New Roman" w:cs="Times New Roman"/>
                <w:bCs/>
                <w:color w:val="auto"/>
                <w:kern w:val="2"/>
                <w:sz w:val="21"/>
                <w:szCs w:val="21"/>
              </w:rPr>
              <w:t>是（推荐技术）</w:t>
            </w:r>
          </w:p>
          <w:p w14:paraId="1CB4690A">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w:t>
            </w:r>
            <w:r>
              <w:rPr>
                <w:rFonts w:hint="default" w:ascii="Times New Roman" w:hAnsi="Times New Roman" w:cs="Times New Roman"/>
                <w:bCs/>
                <w:color w:val="auto"/>
                <w:kern w:val="2"/>
                <w:sz w:val="21"/>
                <w:szCs w:val="21"/>
              </w:rPr>
              <w:t>否</w:t>
            </w:r>
          </w:p>
        </w:tc>
        <w:tc>
          <w:tcPr>
            <w:tcW w:w="1151" w:type="dxa"/>
            <w:vAlign w:val="center"/>
          </w:tcPr>
          <w:p w14:paraId="2F6D890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生化池</w:t>
            </w:r>
          </w:p>
        </w:tc>
        <w:tc>
          <w:tcPr>
            <w:tcW w:w="1100" w:type="dxa"/>
            <w:vAlign w:val="center"/>
          </w:tcPr>
          <w:p w14:paraId="27B4378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间歇</w:t>
            </w:r>
          </w:p>
        </w:tc>
        <w:tc>
          <w:tcPr>
            <w:tcW w:w="913" w:type="dxa"/>
            <w:vAlign w:val="center"/>
          </w:tcPr>
          <w:p w14:paraId="4CF7AD33">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DW002</w:t>
            </w:r>
          </w:p>
        </w:tc>
        <w:tc>
          <w:tcPr>
            <w:tcW w:w="2891" w:type="dxa"/>
            <w:vAlign w:val="center"/>
          </w:tcPr>
          <w:p w14:paraId="7AC31543">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sym w:font="Wingdings 2" w:char="00A3"/>
            </w:r>
            <w:r>
              <w:rPr>
                <w:rFonts w:hint="default" w:ascii="Times New Roman" w:hAnsi="Times New Roman" w:cs="Times New Roman"/>
                <w:color w:val="auto"/>
                <w:kern w:val="2"/>
                <w:sz w:val="21"/>
                <w:szCs w:val="21"/>
              </w:rPr>
              <w:t xml:space="preserve"> 企业总排</w:t>
            </w:r>
          </w:p>
          <w:p w14:paraId="6B9FD857">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 雨水排放</w:t>
            </w:r>
          </w:p>
          <w:p w14:paraId="7EA7ABA0">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 清净下水排放</w:t>
            </w:r>
          </w:p>
          <w:p w14:paraId="510993C9">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 温排水排放</w:t>
            </w:r>
          </w:p>
          <w:p w14:paraId="00E7E7F4">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 车间或车间处理设施排放口</w:t>
            </w:r>
          </w:p>
        </w:tc>
        <w:tc>
          <w:tcPr>
            <w:tcW w:w="1179" w:type="dxa"/>
            <w:vAlign w:val="center"/>
          </w:tcPr>
          <w:p w14:paraId="374FC70F">
            <w:pPr>
              <w:spacing w:line="240" w:lineRule="auto"/>
              <w:ind w:firstLine="0" w:firstLineChars="0"/>
              <w:jc w:val="left"/>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u w:color="000000"/>
              </w:rPr>
              <w:t>106°21′14.194″,29°20′56.377″</w:t>
            </w:r>
          </w:p>
        </w:tc>
        <w:tc>
          <w:tcPr>
            <w:tcW w:w="1574" w:type="dxa"/>
            <w:vAlign w:val="center"/>
          </w:tcPr>
          <w:p w14:paraId="190B5727">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color w:val="auto"/>
                <w:kern w:val="2"/>
                <w:sz w:val="21"/>
                <w:szCs w:val="21"/>
              </w:rPr>
              <w:t>《合成树脂工业污染物排放标准》（GB31572-2015（含2024年修改单））</w:t>
            </w:r>
          </w:p>
        </w:tc>
      </w:tr>
      <w:tr w14:paraId="5D1A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165" w:type="dxa"/>
            <w:gridSpan w:val="11"/>
            <w:vAlign w:val="center"/>
          </w:tcPr>
          <w:p w14:paraId="14C1608B">
            <w:pPr>
              <w:spacing w:line="240" w:lineRule="auto"/>
              <w:ind w:firstLine="0" w:firstLineChars="0"/>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注：生产废水排入生化池，最终进入陶家工业污水处理厂，属于间接排放；均为一般排放口。</w:t>
            </w:r>
          </w:p>
        </w:tc>
      </w:tr>
    </w:tbl>
    <w:p w14:paraId="116DD236">
      <w:pPr>
        <w:pStyle w:val="133"/>
        <w:spacing w:line="360" w:lineRule="auto"/>
        <w:ind w:firstLine="480"/>
        <w:jc w:val="left"/>
        <w:rPr>
          <w:rFonts w:hint="default" w:ascii="Times New Roman" w:hAnsi="Times New Roman" w:cs="Times New Roman"/>
          <w:bCs/>
          <w:color w:val="auto"/>
          <w:sz w:val="24"/>
          <w:szCs w:val="24"/>
        </w:rPr>
        <w:sectPr>
          <w:headerReference r:id="rId26" w:type="default"/>
          <w:pgSz w:w="16840" w:h="11907" w:orient="landscape"/>
          <w:pgMar w:top="1797" w:right="1440" w:bottom="1797" w:left="1440" w:header="851" w:footer="992" w:gutter="0"/>
          <w:cols w:space="720" w:num="1"/>
          <w:docGrid w:type="lines" w:linePitch="312" w:charSpace="0"/>
        </w:sectPr>
      </w:pPr>
    </w:p>
    <w:p w14:paraId="32D079F9">
      <w:pPr>
        <w:ind w:firstLine="480"/>
        <w:rPr>
          <w:rFonts w:hint="default" w:ascii="Times New Roman" w:hAnsi="Times New Roman" w:cs="Times New Roman"/>
          <w:color w:val="auto"/>
        </w:rPr>
      </w:pPr>
      <w:r>
        <w:rPr>
          <w:rFonts w:hint="default" w:ascii="Times New Roman" w:hAnsi="Times New Roman" w:cs="Times New Roman"/>
          <w:color w:val="auto"/>
        </w:rPr>
        <w:t>（4）环境监测</w:t>
      </w:r>
    </w:p>
    <w:p w14:paraId="3BE03816">
      <w:pPr>
        <w:ind w:firstLine="480"/>
        <w:rPr>
          <w:rFonts w:hint="default" w:ascii="Times New Roman" w:hAnsi="Times New Roman" w:cs="Times New Roman"/>
          <w:color w:val="auto"/>
        </w:rPr>
      </w:pPr>
      <w:r>
        <w:rPr>
          <w:rFonts w:hint="default" w:ascii="Times New Roman" w:hAnsi="Times New Roman" w:cs="Times New Roman"/>
          <w:color w:val="auto"/>
        </w:rPr>
        <w:t>根据《排污单位自行监测技术指南 总则》（HJ819-2017）、《排污单位自行监测技术指南 橡胶和塑料制品》（HJ1207-2021）本项目废水监测计划如下。</w:t>
      </w:r>
    </w:p>
    <w:p w14:paraId="4C0D2633">
      <w:pPr>
        <w:pStyle w:val="93"/>
        <w:rPr>
          <w:rFonts w:hint="default" w:ascii="Times New Roman" w:hAnsi="Times New Roman" w:cs="Times New Roman"/>
          <w:color w:val="auto"/>
        </w:rPr>
      </w:pPr>
      <w:r>
        <w:rPr>
          <w:rFonts w:hint="default" w:ascii="Times New Roman" w:hAnsi="Times New Roman" w:cs="Times New Roman"/>
          <w:color w:val="auto"/>
        </w:rPr>
        <w:t>表4.2.2-4   污染源排放监测计划</w:t>
      </w:r>
    </w:p>
    <w:tbl>
      <w:tblPr>
        <w:tblStyle w:val="44"/>
        <w:tblW w:w="48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979"/>
        <w:gridCol w:w="1159"/>
        <w:gridCol w:w="2195"/>
        <w:gridCol w:w="1208"/>
        <w:gridCol w:w="2018"/>
      </w:tblGrid>
      <w:tr w14:paraId="32D50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798" w:type="dxa"/>
            <w:noWrap/>
            <w:vAlign w:val="center"/>
          </w:tcPr>
          <w:p w14:paraId="0B0FCC41">
            <w:pPr>
              <w:spacing w:line="240" w:lineRule="auto"/>
              <w:ind w:firstLine="0" w:firstLineChars="0"/>
              <w:jc w:val="center"/>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rPr>
              <w:t>监测类别</w:t>
            </w:r>
          </w:p>
        </w:tc>
        <w:tc>
          <w:tcPr>
            <w:tcW w:w="979" w:type="dxa"/>
            <w:noWrap/>
            <w:vAlign w:val="center"/>
          </w:tcPr>
          <w:p w14:paraId="5E624DDB">
            <w:pPr>
              <w:spacing w:line="240" w:lineRule="auto"/>
              <w:ind w:firstLine="0" w:firstLineChars="0"/>
              <w:jc w:val="center"/>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rPr>
              <w:t>污染源</w:t>
            </w:r>
          </w:p>
        </w:tc>
        <w:tc>
          <w:tcPr>
            <w:tcW w:w="1159" w:type="dxa"/>
            <w:noWrap/>
            <w:vAlign w:val="center"/>
          </w:tcPr>
          <w:p w14:paraId="237B4558">
            <w:pPr>
              <w:spacing w:line="240" w:lineRule="auto"/>
              <w:ind w:firstLine="0" w:firstLineChars="0"/>
              <w:jc w:val="center"/>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rPr>
              <w:t>监测点</w:t>
            </w:r>
          </w:p>
        </w:tc>
        <w:tc>
          <w:tcPr>
            <w:tcW w:w="2195" w:type="dxa"/>
            <w:noWrap/>
            <w:vAlign w:val="center"/>
          </w:tcPr>
          <w:p w14:paraId="63FD08E0">
            <w:pPr>
              <w:spacing w:line="240" w:lineRule="auto"/>
              <w:ind w:firstLine="0" w:firstLineChars="0"/>
              <w:jc w:val="center"/>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rPr>
              <w:t>监测指标</w:t>
            </w:r>
          </w:p>
        </w:tc>
        <w:tc>
          <w:tcPr>
            <w:tcW w:w="1208" w:type="dxa"/>
            <w:noWrap/>
            <w:vAlign w:val="center"/>
          </w:tcPr>
          <w:p w14:paraId="2C3CB4F3">
            <w:pPr>
              <w:spacing w:line="240" w:lineRule="auto"/>
              <w:ind w:firstLine="0" w:firstLineChars="0"/>
              <w:jc w:val="center"/>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rPr>
              <w:t>监测频次</w:t>
            </w:r>
          </w:p>
        </w:tc>
        <w:tc>
          <w:tcPr>
            <w:tcW w:w="2018" w:type="dxa"/>
            <w:vAlign w:val="center"/>
          </w:tcPr>
          <w:p w14:paraId="6B737247">
            <w:pPr>
              <w:spacing w:line="240" w:lineRule="auto"/>
              <w:ind w:firstLine="0" w:firstLineChars="0"/>
              <w:jc w:val="center"/>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rPr>
              <w:t>执行排放标准</w:t>
            </w:r>
          </w:p>
        </w:tc>
      </w:tr>
      <w:tr w14:paraId="53537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798" w:type="dxa"/>
            <w:vMerge w:val="restart"/>
            <w:noWrap/>
            <w:vAlign w:val="center"/>
          </w:tcPr>
          <w:p w14:paraId="376FF234">
            <w:pPr>
              <w:spacing w:line="240" w:lineRule="auto"/>
              <w:ind w:firstLine="0" w:firstLineChars="0"/>
              <w:jc w:val="center"/>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rPr>
              <w:t>废水</w:t>
            </w:r>
          </w:p>
        </w:tc>
        <w:tc>
          <w:tcPr>
            <w:tcW w:w="979" w:type="dxa"/>
            <w:vAlign w:val="center"/>
          </w:tcPr>
          <w:p w14:paraId="414C96DA">
            <w:pPr>
              <w:spacing w:line="240" w:lineRule="auto"/>
              <w:ind w:firstLine="0" w:firstLineChars="0"/>
              <w:jc w:val="center"/>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u w:color="000000"/>
              </w:rPr>
              <w:t>生活污水</w:t>
            </w:r>
          </w:p>
        </w:tc>
        <w:tc>
          <w:tcPr>
            <w:tcW w:w="1159" w:type="dxa"/>
            <w:vAlign w:val="center"/>
          </w:tcPr>
          <w:p w14:paraId="25D94103">
            <w:pPr>
              <w:spacing w:line="240" w:lineRule="auto"/>
              <w:ind w:firstLine="0" w:firstLineChars="0"/>
              <w:jc w:val="center"/>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u w:color="000000"/>
              </w:rPr>
              <w:t>生化池出口</w:t>
            </w:r>
          </w:p>
        </w:tc>
        <w:tc>
          <w:tcPr>
            <w:tcW w:w="2195" w:type="dxa"/>
            <w:noWrap/>
            <w:vAlign w:val="center"/>
          </w:tcPr>
          <w:p w14:paraId="35725914">
            <w:pPr>
              <w:spacing w:line="240" w:lineRule="auto"/>
              <w:ind w:firstLine="0" w:firstLineChars="0"/>
              <w:jc w:val="center"/>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u w:color="000000"/>
              </w:rPr>
              <w:t>流量、pH、SS、COD、BOD</w:t>
            </w:r>
            <w:r>
              <w:rPr>
                <w:rFonts w:hint="default" w:ascii="Times New Roman" w:hAnsi="Times New Roman" w:cs="Times New Roman"/>
                <w:color w:val="auto"/>
                <w:kern w:val="2"/>
                <w:sz w:val="21"/>
                <w:szCs w:val="21"/>
                <w:u w:color="000000"/>
                <w:vertAlign w:val="subscript"/>
              </w:rPr>
              <w:t>5</w:t>
            </w:r>
            <w:r>
              <w:rPr>
                <w:rFonts w:hint="default" w:ascii="Times New Roman" w:hAnsi="Times New Roman" w:cs="Times New Roman"/>
                <w:color w:val="auto"/>
                <w:kern w:val="2"/>
                <w:sz w:val="21"/>
                <w:szCs w:val="21"/>
                <w:u w:color="000000"/>
              </w:rPr>
              <w:t>、氨氮、总磷、总氮</w:t>
            </w:r>
          </w:p>
        </w:tc>
        <w:tc>
          <w:tcPr>
            <w:tcW w:w="1208" w:type="dxa"/>
            <w:vAlign w:val="center"/>
          </w:tcPr>
          <w:p w14:paraId="2279A883">
            <w:pPr>
              <w:spacing w:line="240" w:lineRule="auto"/>
              <w:ind w:firstLine="0" w:firstLineChars="0"/>
              <w:jc w:val="center"/>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u w:color="000000"/>
              </w:rPr>
              <w:t>/</w:t>
            </w:r>
          </w:p>
        </w:tc>
        <w:tc>
          <w:tcPr>
            <w:tcW w:w="2018" w:type="dxa"/>
            <w:vAlign w:val="center"/>
          </w:tcPr>
          <w:p w14:paraId="236E6B04">
            <w:pPr>
              <w:spacing w:line="240" w:lineRule="auto"/>
              <w:ind w:firstLine="0" w:firstLineChars="0"/>
              <w:jc w:val="center"/>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u w:color="000000"/>
              </w:rPr>
              <w:t>《污水综合排放标准》(GB8978-1996)三级标准</w:t>
            </w:r>
          </w:p>
        </w:tc>
      </w:tr>
      <w:tr w14:paraId="41104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798" w:type="dxa"/>
            <w:vMerge w:val="continue"/>
            <w:noWrap/>
            <w:vAlign w:val="center"/>
          </w:tcPr>
          <w:p w14:paraId="5B3154F1">
            <w:pPr>
              <w:spacing w:line="240" w:lineRule="auto"/>
              <w:ind w:firstLine="0" w:firstLineChars="0"/>
              <w:jc w:val="center"/>
              <w:rPr>
                <w:rFonts w:hint="default" w:ascii="Times New Roman" w:hAnsi="Times New Roman" w:cs="Times New Roman"/>
                <w:color w:val="auto"/>
                <w:kern w:val="2"/>
                <w:sz w:val="21"/>
                <w:szCs w:val="21"/>
              </w:rPr>
            </w:pPr>
          </w:p>
        </w:tc>
        <w:tc>
          <w:tcPr>
            <w:tcW w:w="979" w:type="dxa"/>
            <w:vAlign w:val="center"/>
          </w:tcPr>
          <w:p w14:paraId="075A2BFB">
            <w:pPr>
              <w:spacing w:line="240" w:lineRule="auto"/>
              <w:ind w:firstLine="0" w:firstLineChars="0"/>
              <w:jc w:val="center"/>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u w:color="000000"/>
              </w:rPr>
              <w:t>生产废水</w:t>
            </w:r>
          </w:p>
        </w:tc>
        <w:tc>
          <w:tcPr>
            <w:tcW w:w="1159" w:type="dxa"/>
            <w:vAlign w:val="center"/>
          </w:tcPr>
          <w:p w14:paraId="1194E515">
            <w:pPr>
              <w:spacing w:line="240" w:lineRule="auto"/>
              <w:ind w:firstLine="0" w:firstLineChars="0"/>
              <w:jc w:val="center"/>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u w:color="000000"/>
              </w:rPr>
              <w:t>直接冷却废水出口</w:t>
            </w:r>
          </w:p>
        </w:tc>
        <w:tc>
          <w:tcPr>
            <w:tcW w:w="2195" w:type="dxa"/>
            <w:noWrap/>
            <w:vAlign w:val="center"/>
          </w:tcPr>
          <w:p w14:paraId="13F12BCE">
            <w:pPr>
              <w:spacing w:line="240" w:lineRule="auto"/>
              <w:ind w:firstLine="0" w:firstLineChars="0"/>
              <w:jc w:val="center"/>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u w:color="000000"/>
              </w:rPr>
              <w:t>流量、pH、SS、COD、BOD</w:t>
            </w:r>
            <w:r>
              <w:rPr>
                <w:rFonts w:hint="default" w:ascii="Times New Roman" w:hAnsi="Times New Roman" w:cs="Times New Roman"/>
                <w:color w:val="auto"/>
                <w:kern w:val="2"/>
                <w:sz w:val="21"/>
                <w:szCs w:val="21"/>
                <w:u w:color="000000"/>
                <w:vertAlign w:val="subscript"/>
              </w:rPr>
              <w:t>5</w:t>
            </w:r>
            <w:r>
              <w:rPr>
                <w:rFonts w:hint="default" w:ascii="Times New Roman" w:hAnsi="Times New Roman" w:cs="Times New Roman"/>
                <w:color w:val="auto"/>
                <w:kern w:val="2"/>
                <w:sz w:val="21"/>
                <w:szCs w:val="21"/>
                <w:u w:color="000000"/>
              </w:rPr>
              <w:t>、氨氮、总磷、总氮、可吸附有机卤化物、苯乙烯、丙烯腈、甲苯、乙苯、</w:t>
            </w:r>
            <w:r>
              <w:rPr>
                <w:rFonts w:hint="default" w:ascii="Times New Roman" w:hAnsi="Times New Roman" w:cs="Times New Roman"/>
                <w:color w:val="auto"/>
                <w:kern w:val="2"/>
                <w:sz w:val="21"/>
                <w:szCs w:val="21"/>
              </w:rPr>
              <w:t>双酚A</w:t>
            </w:r>
          </w:p>
        </w:tc>
        <w:tc>
          <w:tcPr>
            <w:tcW w:w="1208" w:type="dxa"/>
            <w:vAlign w:val="center"/>
          </w:tcPr>
          <w:p w14:paraId="48C74141">
            <w:pPr>
              <w:spacing w:line="240" w:lineRule="auto"/>
              <w:ind w:firstLine="0" w:firstLineChars="0"/>
              <w:jc w:val="center"/>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u w:color="000000"/>
              </w:rPr>
              <w:t>年</w:t>
            </w:r>
          </w:p>
        </w:tc>
        <w:tc>
          <w:tcPr>
            <w:tcW w:w="2018" w:type="dxa"/>
            <w:vAlign w:val="center"/>
          </w:tcPr>
          <w:p w14:paraId="776427BF">
            <w:pPr>
              <w:spacing w:line="240" w:lineRule="auto"/>
              <w:ind w:firstLine="0" w:firstLineChars="0"/>
              <w:jc w:val="center"/>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rPr>
              <w:t>《合成树脂工业污染物排放标准》（GB31572-2015（含2024年修改单））间接排放标准</w:t>
            </w:r>
          </w:p>
        </w:tc>
      </w:tr>
    </w:tbl>
    <w:p w14:paraId="180F6BB8">
      <w:pPr>
        <w:pStyle w:val="258"/>
        <w:rPr>
          <w:rFonts w:hint="default" w:ascii="Times New Roman" w:hAnsi="Times New Roman" w:cs="Times New Roman"/>
          <w:color w:val="auto"/>
        </w:rPr>
      </w:pPr>
      <w:r>
        <w:rPr>
          <w:rFonts w:hint="default" w:ascii="Times New Roman" w:hAnsi="Times New Roman" w:cs="Times New Roman"/>
          <w:color w:val="auto"/>
        </w:rPr>
        <w:t>4.2.3 噪声</w:t>
      </w:r>
    </w:p>
    <w:p w14:paraId="413282E9">
      <w:pPr>
        <w:ind w:firstLine="480"/>
        <w:rPr>
          <w:rFonts w:hint="default" w:ascii="Times New Roman" w:hAnsi="Times New Roman" w:cs="Times New Roman"/>
          <w:color w:val="auto"/>
        </w:rPr>
      </w:pPr>
      <w:r>
        <w:rPr>
          <w:rFonts w:hint="default" w:ascii="Times New Roman" w:hAnsi="Times New Roman" w:cs="Times New Roman"/>
          <w:color w:val="auto"/>
        </w:rPr>
        <w:t>（1）噪声预测</w:t>
      </w:r>
    </w:p>
    <w:p w14:paraId="5C8374EA">
      <w:pPr>
        <w:ind w:firstLine="480"/>
        <w:rPr>
          <w:rFonts w:hint="default" w:ascii="Times New Roman" w:hAnsi="Times New Roman" w:cs="Times New Roman"/>
          <w:color w:val="auto"/>
        </w:rPr>
      </w:pPr>
      <w:r>
        <w:rPr>
          <w:rFonts w:hint="default" w:ascii="Times New Roman" w:hAnsi="Times New Roman" w:cs="Times New Roman"/>
          <w:color w:val="auto"/>
        </w:rPr>
        <w:t>本项目运营期间主要设备的噪声源强调查清单见表4.2.3-1、表4.2.3-2。其他</w:t>
      </w:r>
    </w:p>
    <w:p w14:paraId="2D5A0E2E">
      <w:pPr>
        <w:ind w:firstLine="480"/>
        <w:rPr>
          <w:rFonts w:hint="default" w:ascii="Times New Roman" w:hAnsi="Times New Roman" w:cs="Times New Roman"/>
          <w:color w:val="auto"/>
        </w:rPr>
      </w:pPr>
      <w:r>
        <w:rPr>
          <w:rFonts w:hint="default" w:ascii="Times New Roman" w:hAnsi="Times New Roman" w:cs="Times New Roman"/>
          <w:color w:val="auto"/>
        </w:rPr>
        <w:t>对于项目噪声的防治，一是从源头上控制噪声的产生，选用低噪声设备，并采取减振等措施；二是从传播过程中加以控制，采用封闭式厂房，利用建筑物墙壁等来阻隔声波的传播。经过治理后，项目设备噪声可降噪10~15dB。</w:t>
      </w:r>
    </w:p>
    <w:p w14:paraId="36254952">
      <w:pPr>
        <w:ind w:firstLine="480"/>
        <w:rPr>
          <w:rFonts w:hint="default" w:ascii="Times New Roman" w:hAnsi="Times New Roman" w:cs="Times New Roman"/>
          <w:color w:val="auto"/>
        </w:rPr>
        <w:sectPr>
          <w:headerReference r:id="rId27" w:type="default"/>
          <w:pgSz w:w="11907" w:h="16840"/>
          <w:pgMar w:top="1440" w:right="1797" w:bottom="1440" w:left="1797" w:header="851" w:footer="992" w:gutter="0"/>
          <w:cols w:space="720" w:num="1"/>
          <w:docGrid w:type="lines" w:linePitch="312" w:charSpace="0"/>
        </w:sectPr>
      </w:pPr>
    </w:p>
    <w:p w14:paraId="529A786C">
      <w:pPr>
        <w:pStyle w:val="93"/>
        <w:rPr>
          <w:rFonts w:hint="default" w:ascii="Times New Roman" w:hAnsi="Times New Roman" w:cs="Times New Roman"/>
          <w:color w:val="auto"/>
        </w:rPr>
      </w:pPr>
      <w:r>
        <w:rPr>
          <w:rFonts w:hint="default" w:ascii="Times New Roman" w:hAnsi="Times New Roman" w:cs="Times New Roman"/>
          <w:color w:val="auto"/>
        </w:rPr>
        <w:t>表4.2.3-1    本项目噪声源强调查清单（室外声源）   单位dB(A)</w:t>
      </w:r>
    </w:p>
    <w:tbl>
      <w:tblPr>
        <w:tblStyle w:val="44"/>
        <w:tblW w:w="50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1"/>
        <w:gridCol w:w="2804"/>
        <w:gridCol w:w="832"/>
        <w:gridCol w:w="2461"/>
        <w:gridCol w:w="669"/>
        <w:gridCol w:w="744"/>
        <w:gridCol w:w="713"/>
        <w:gridCol w:w="2178"/>
        <w:gridCol w:w="1695"/>
        <w:gridCol w:w="1382"/>
      </w:tblGrid>
      <w:tr w14:paraId="74D3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580" w:type="dxa"/>
            <w:vMerge w:val="restart"/>
            <w:vAlign w:val="center"/>
          </w:tcPr>
          <w:p w14:paraId="4E10C6B5">
            <w:pPr>
              <w:pStyle w:val="271"/>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序号</w:t>
            </w:r>
          </w:p>
        </w:tc>
        <w:tc>
          <w:tcPr>
            <w:tcW w:w="2802" w:type="dxa"/>
            <w:vMerge w:val="restart"/>
            <w:vAlign w:val="center"/>
          </w:tcPr>
          <w:p w14:paraId="68F7A789">
            <w:pPr>
              <w:pStyle w:val="271"/>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声源名称</w:t>
            </w:r>
          </w:p>
        </w:tc>
        <w:tc>
          <w:tcPr>
            <w:tcW w:w="831" w:type="dxa"/>
            <w:vMerge w:val="restart"/>
            <w:vAlign w:val="center"/>
          </w:tcPr>
          <w:p w14:paraId="4DA6D632">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数量/台</w:t>
            </w:r>
          </w:p>
        </w:tc>
        <w:tc>
          <w:tcPr>
            <w:tcW w:w="2459" w:type="dxa"/>
            <w:vMerge w:val="restart"/>
            <w:vAlign w:val="center"/>
          </w:tcPr>
          <w:p w14:paraId="67782901">
            <w:pPr>
              <w:pStyle w:val="271"/>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型号</w:t>
            </w:r>
          </w:p>
        </w:tc>
        <w:tc>
          <w:tcPr>
            <w:tcW w:w="2126" w:type="dxa"/>
            <w:gridSpan w:val="3"/>
            <w:vAlign w:val="center"/>
          </w:tcPr>
          <w:p w14:paraId="122152BA">
            <w:pPr>
              <w:pStyle w:val="271"/>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空间相对位置/m</w:t>
            </w:r>
          </w:p>
        </w:tc>
        <w:tc>
          <w:tcPr>
            <w:tcW w:w="2177" w:type="dxa"/>
            <w:vAlign w:val="center"/>
          </w:tcPr>
          <w:p w14:paraId="20DC8060">
            <w:pPr>
              <w:pStyle w:val="271"/>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声源源强</w:t>
            </w:r>
          </w:p>
        </w:tc>
        <w:tc>
          <w:tcPr>
            <w:tcW w:w="1694" w:type="dxa"/>
            <w:vMerge w:val="restart"/>
            <w:vAlign w:val="center"/>
          </w:tcPr>
          <w:p w14:paraId="43EED1D2">
            <w:pPr>
              <w:pStyle w:val="271"/>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声源控制措施</w:t>
            </w:r>
          </w:p>
        </w:tc>
        <w:tc>
          <w:tcPr>
            <w:tcW w:w="1381" w:type="dxa"/>
            <w:vMerge w:val="restart"/>
            <w:vAlign w:val="center"/>
          </w:tcPr>
          <w:p w14:paraId="69BF853B">
            <w:pPr>
              <w:pStyle w:val="271"/>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运行时段</w:t>
            </w:r>
          </w:p>
        </w:tc>
      </w:tr>
      <w:tr w14:paraId="0C0D1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4" w:hRule="atLeast"/>
          <w:jc w:val="center"/>
        </w:trPr>
        <w:tc>
          <w:tcPr>
            <w:tcW w:w="580" w:type="dxa"/>
            <w:vMerge w:val="continue"/>
            <w:vAlign w:val="center"/>
          </w:tcPr>
          <w:p w14:paraId="41253058">
            <w:pPr>
              <w:spacing w:line="240" w:lineRule="auto"/>
              <w:ind w:firstLine="0" w:firstLineChars="0"/>
              <w:rPr>
                <w:rFonts w:hint="default" w:ascii="Times New Roman" w:hAnsi="Times New Roman" w:cs="Times New Roman"/>
                <w:color w:val="auto"/>
                <w:kern w:val="2"/>
                <w:sz w:val="21"/>
                <w:szCs w:val="21"/>
              </w:rPr>
            </w:pPr>
          </w:p>
        </w:tc>
        <w:tc>
          <w:tcPr>
            <w:tcW w:w="2802" w:type="dxa"/>
            <w:vMerge w:val="continue"/>
            <w:vAlign w:val="center"/>
          </w:tcPr>
          <w:p w14:paraId="1ABDFED1">
            <w:pPr>
              <w:spacing w:line="240" w:lineRule="auto"/>
              <w:ind w:firstLine="0" w:firstLineChars="0"/>
              <w:rPr>
                <w:rFonts w:hint="default" w:ascii="Times New Roman" w:hAnsi="Times New Roman" w:cs="Times New Roman"/>
                <w:color w:val="auto"/>
                <w:kern w:val="2"/>
                <w:sz w:val="21"/>
                <w:szCs w:val="21"/>
              </w:rPr>
            </w:pPr>
          </w:p>
        </w:tc>
        <w:tc>
          <w:tcPr>
            <w:tcW w:w="831" w:type="dxa"/>
            <w:vMerge w:val="continue"/>
            <w:vAlign w:val="center"/>
          </w:tcPr>
          <w:p w14:paraId="5F8D732A">
            <w:pPr>
              <w:spacing w:line="240" w:lineRule="auto"/>
              <w:ind w:firstLine="0" w:firstLineChars="0"/>
              <w:rPr>
                <w:rFonts w:hint="default" w:ascii="Times New Roman" w:hAnsi="Times New Roman" w:cs="Times New Roman"/>
                <w:color w:val="auto"/>
                <w:kern w:val="2"/>
                <w:sz w:val="21"/>
                <w:szCs w:val="21"/>
              </w:rPr>
            </w:pPr>
          </w:p>
        </w:tc>
        <w:tc>
          <w:tcPr>
            <w:tcW w:w="2459" w:type="dxa"/>
            <w:vMerge w:val="continue"/>
            <w:vAlign w:val="center"/>
          </w:tcPr>
          <w:p w14:paraId="50F0BEB0">
            <w:pPr>
              <w:spacing w:line="240" w:lineRule="auto"/>
              <w:ind w:firstLine="0" w:firstLineChars="0"/>
              <w:rPr>
                <w:rFonts w:hint="default" w:ascii="Times New Roman" w:hAnsi="Times New Roman" w:cs="Times New Roman"/>
                <w:color w:val="auto"/>
                <w:kern w:val="2"/>
                <w:sz w:val="21"/>
                <w:szCs w:val="21"/>
              </w:rPr>
            </w:pPr>
          </w:p>
        </w:tc>
        <w:tc>
          <w:tcPr>
            <w:tcW w:w="669" w:type="dxa"/>
            <w:vAlign w:val="center"/>
          </w:tcPr>
          <w:p w14:paraId="40E55AC3">
            <w:pPr>
              <w:pStyle w:val="271"/>
              <w:rPr>
                <w:rFonts w:hint="default" w:ascii="Times New Roman" w:hAnsi="Times New Roman" w:cs="Times New Roman"/>
                <w:i/>
                <w:color w:val="auto"/>
                <w:kern w:val="2"/>
                <w:sz w:val="21"/>
                <w:szCs w:val="21"/>
              </w:rPr>
            </w:pPr>
            <w:r>
              <w:rPr>
                <w:rFonts w:hint="default" w:ascii="Times New Roman" w:hAnsi="Times New Roman" w:cs="Times New Roman"/>
                <w:i/>
                <w:color w:val="auto"/>
                <w:kern w:val="2"/>
                <w:sz w:val="21"/>
                <w:szCs w:val="21"/>
              </w:rPr>
              <w:t>X</w:t>
            </w:r>
          </w:p>
        </w:tc>
        <w:tc>
          <w:tcPr>
            <w:tcW w:w="744" w:type="dxa"/>
            <w:vAlign w:val="center"/>
          </w:tcPr>
          <w:p w14:paraId="45C84BE5">
            <w:pPr>
              <w:pStyle w:val="271"/>
              <w:rPr>
                <w:rFonts w:hint="default" w:ascii="Times New Roman" w:hAnsi="Times New Roman" w:cs="Times New Roman"/>
                <w:i/>
                <w:color w:val="auto"/>
                <w:kern w:val="2"/>
                <w:sz w:val="21"/>
                <w:szCs w:val="21"/>
              </w:rPr>
            </w:pPr>
            <w:r>
              <w:rPr>
                <w:rFonts w:hint="default" w:ascii="Times New Roman" w:hAnsi="Times New Roman" w:cs="Times New Roman"/>
                <w:i/>
                <w:color w:val="auto"/>
                <w:kern w:val="2"/>
                <w:sz w:val="21"/>
                <w:szCs w:val="21"/>
              </w:rPr>
              <w:t>Y</w:t>
            </w:r>
          </w:p>
        </w:tc>
        <w:tc>
          <w:tcPr>
            <w:tcW w:w="713" w:type="dxa"/>
            <w:vAlign w:val="center"/>
          </w:tcPr>
          <w:p w14:paraId="695C8546">
            <w:pPr>
              <w:pStyle w:val="271"/>
              <w:rPr>
                <w:rFonts w:hint="default" w:ascii="Times New Roman" w:hAnsi="Times New Roman" w:cs="Times New Roman"/>
                <w:i/>
                <w:color w:val="auto"/>
                <w:kern w:val="2"/>
                <w:sz w:val="21"/>
                <w:szCs w:val="21"/>
              </w:rPr>
            </w:pPr>
            <w:r>
              <w:rPr>
                <w:rFonts w:hint="default" w:ascii="Times New Roman" w:hAnsi="Times New Roman" w:cs="Times New Roman"/>
                <w:i/>
                <w:color w:val="auto"/>
                <w:kern w:val="2"/>
                <w:sz w:val="21"/>
                <w:szCs w:val="21"/>
              </w:rPr>
              <w:t>Z</w:t>
            </w:r>
          </w:p>
        </w:tc>
        <w:tc>
          <w:tcPr>
            <w:tcW w:w="2177" w:type="dxa"/>
            <w:vAlign w:val="center"/>
          </w:tcPr>
          <w:p w14:paraId="391CFA8B">
            <w:pPr>
              <w:pStyle w:val="271"/>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（声压级/距声源距离）/（dB(A)/m）</w:t>
            </w:r>
          </w:p>
        </w:tc>
        <w:tc>
          <w:tcPr>
            <w:tcW w:w="1694" w:type="dxa"/>
            <w:vMerge w:val="continue"/>
            <w:vAlign w:val="center"/>
          </w:tcPr>
          <w:p w14:paraId="529FD927">
            <w:pPr>
              <w:spacing w:line="240" w:lineRule="auto"/>
              <w:ind w:firstLine="0" w:firstLineChars="0"/>
              <w:rPr>
                <w:rFonts w:hint="default" w:ascii="Times New Roman" w:hAnsi="Times New Roman" w:cs="Times New Roman"/>
                <w:color w:val="auto"/>
                <w:kern w:val="2"/>
                <w:sz w:val="21"/>
                <w:szCs w:val="21"/>
              </w:rPr>
            </w:pPr>
          </w:p>
        </w:tc>
        <w:tc>
          <w:tcPr>
            <w:tcW w:w="1381" w:type="dxa"/>
            <w:vMerge w:val="continue"/>
            <w:vAlign w:val="center"/>
          </w:tcPr>
          <w:p w14:paraId="6C1E8422">
            <w:pPr>
              <w:spacing w:line="240" w:lineRule="auto"/>
              <w:ind w:firstLine="0" w:firstLineChars="0"/>
              <w:rPr>
                <w:rFonts w:hint="default" w:ascii="Times New Roman" w:hAnsi="Times New Roman" w:cs="Times New Roman"/>
                <w:color w:val="auto"/>
                <w:kern w:val="2"/>
                <w:sz w:val="21"/>
                <w:szCs w:val="21"/>
              </w:rPr>
            </w:pPr>
          </w:p>
        </w:tc>
      </w:tr>
      <w:tr w14:paraId="5B7B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atLeast"/>
          <w:jc w:val="center"/>
        </w:trPr>
        <w:tc>
          <w:tcPr>
            <w:tcW w:w="580" w:type="dxa"/>
            <w:vAlign w:val="center"/>
          </w:tcPr>
          <w:p w14:paraId="4B306A42">
            <w:pPr>
              <w:pStyle w:val="271"/>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2802" w:type="dxa"/>
            <w:vAlign w:val="center"/>
          </w:tcPr>
          <w:p w14:paraId="19DFE18C">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布袋除尘器风机</w:t>
            </w:r>
          </w:p>
        </w:tc>
        <w:tc>
          <w:tcPr>
            <w:tcW w:w="831" w:type="dxa"/>
            <w:vAlign w:val="center"/>
          </w:tcPr>
          <w:p w14:paraId="4562DDA8">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1</w:t>
            </w:r>
          </w:p>
        </w:tc>
        <w:tc>
          <w:tcPr>
            <w:tcW w:w="2459" w:type="dxa"/>
            <w:vAlign w:val="center"/>
          </w:tcPr>
          <w:p w14:paraId="0C795C41">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w:t>
            </w:r>
          </w:p>
        </w:tc>
        <w:tc>
          <w:tcPr>
            <w:tcW w:w="669" w:type="dxa"/>
            <w:vAlign w:val="center"/>
          </w:tcPr>
          <w:p w14:paraId="20F0E047">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-1</w:t>
            </w:r>
          </w:p>
        </w:tc>
        <w:tc>
          <w:tcPr>
            <w:tcW w:w="744" w:type="dxa"/>
            <w:vAlign w:val="center"/>
          </w:tcPr>
          <w:p w14:paraId="080746A8">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12</w:t>
            </w:r>
          </w:p>
        </w:tc>
        <w:tc>
          <w:tcPr>
            <w:tcW w:w="713" w:type="dxa"/>
            <w:vAlign w:val="center"/>
          </w:tcPr>
          <w:p w14:paraId="1555D607">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1</w:t>
            </w:r>
          </w:p>
        </w:tc>
        <w:tc>
          <w:tcPr>
            <w:tcW w:w="2177" w:type="dxa"/>
            <w:vAlign w:val="center"/>
          </w:tcPr>
          <w:p w14:paraId="67291C5F">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80/1</w:t>
            </w:r>
          </w:p>
        </w:tc>
        <w:tc>
          <w:tcPr>
            <w:tcW w:w="1694" w:type="dxa"/>
            <w:vAlign w:val="center"/>
          </w:tcPr>
          <w:p w14:paraId="26C92933">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消声</w:t>
            </w:r>
          </w:p>
        </w:tc>
        <w:tc>
          <w:tcPr>
            <w:tcW w:w="1381" w:type="dxa"/>
            <w:vAlign w:val="center"/>
          </w:tcPr>
          <w:p w14:paraId="2CD509E2">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昼间</w:t>
            </w:r>
          </w:p>
        </w:tc>
      </w:tr>
      <w:tr w14:paraId="20DC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atLeast"/>
          <w:jc w:val="center"/>
        </w:trPr>
        <w:tc>
          <w:tcPr>
            <w:tcW w:w="580" w:type="dxa"/>
            <w:vAlign w:val="center"/>
          </w:tcPr>
          <w:p w14:paraId="7CE762D2">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2</w:t>
            </w:r>
          </w:p>
        </w:tc>
        <w:tc>
          <w:tcPr>
            <w:tcW w:w="2802" w:type="dxa"/>
            <w:vAlign w:val="center"/>
          </w:tcPr>
          <w:p w14:paraId="7D05BBA1">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二级活性炭吸附处理风机</w:t>
            </w:r>
          </w:p>
        </w:tc>
        <w:tc>
          <w:tcPr>
            <w:tcW w:w="831" w:type="dxa"/>
            <w:vAlign w:val="center"/>
          </w:tcPr>
          <w:p w14:paraId="3F2F8F50">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1</w:t>
            </w:r>
          </w:p>
        </w:tc>
        <w:tc>
          <w:tcPr>
            <w:tcW w:w="2459" w:type="dxa"/>
            <w:vAlign w:val="center"/>
          </w:tcPr>
          <w:p w14:paraId="76C74853">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w:t>
            </w:r>
          </w:p>
        </w:tc>
        <w:tc>
          <w:tcPr>
            <w:tcW w:w="669" w:type="dxa"/>
            <w:vAlign w:val="center"/>
          </w:tcPr>
          <w:p w14:paraId="749D94F1">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-1</w:t>
            </w:r>
          </w:p>
        </w:tc>
        <w:tc>
          <w:tcPr>
            <w:tcW w:w="744" w:type="dxa"/>
            <w:vAlign w:val="center"/>
          </w:tcPr>
          <w:p w14:paraId="5475BC8F">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21</w:t>
            </w:r>
          </w:p>
        </w:tc>
        <w:tc>
          <w:tcPr>
            <w:tcW w:w="713" w:type="dxa"/>
            <w:vAlign w:val="center"/>
          </w:tcPr>
          <w:p w14:paraId="7B18847C">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1</w:t>
            </w:r>
          </w:p>
        </w:tc>
        <w:tc>
          <w:tcPr>
            <w:tcW w:w="2177" w:type="dxa"/>
            <w:vAlign w:val="center"/>
          </w:tcPr>
          <w:p w14:paraId="36CAD55B">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80/1</w:t>
            </w:r>
          </w:p>
        </w:tc>
        <w:tc>
          <w:tcPr>
            <w:tcW w:w="1694" w:type="dxa"/>
            <w:vAlign w:val="center"/>
          </w:tcPr>
          <w:p w14:paraId="6FAC6061">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消声</w:t>
            </w:r>
          </w:p>
        </w:tc>
        <w:tc>
          <w:tcPr>
            <w:tcW w:w="1381" w:type="dxa"/>
            <w:vAlign w:val="center"/>
          </w:tcPr>
          <w:p w14:paraId="3A4B4FA5">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昼间</w:t>
            </w:r>
          </w:p>
        </w:tc>
      </w:tr>
      <w:tr w14:paraId="485D7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atLeast"/>
          <w:jc w:val="center"/>
        </w:trPr>
        <w:tc>
          <w:tcPr>
            <w:tcW w:w="580" w:type="dxa"/>
            <w:vAlign w:val="center"/>
          </w:tcPr>
          <w:p w14:paraId="315F290A">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3</w:t>
            </w:r>
          </w:p>
        </w:tc>
        <w:tc>
          <w:tcPr>
            <w:tcW w:w="2802" w:type="dxa"/>
            <w:vAlign w:val="center"/>
          </w:tcPr>
          <w:p w14:paraId="6496DF77">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冷却塔</w:t>
            </w:r>
          </w:p>
        </w:tc>
        <w:tc>
          <w:tcPr>
            <w:tcW w:w="831" w:type="dxa"/>
            <w:vAlign w:val="center"/>
          </w:tcPr>
          <w:p w14:paraId="67DF6025">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1</w:t>
            </w:r>
          </w:p>
        </w:tc>
        <w:tc>
          <w:tcPr>
            <w:tcW w:w="2459" w:type="dxa"/>
            <w:vAlign w:val="center"/>
          </w:tcPr>
          <w:p w14:paraId="2456418F">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w:t>
            </w:r>
          </w:p>
        </w:tc>
        <w:tc>
          <w:tcPr>
            <w:tcW w:w="669" w:type="dxa"/>
            <w:vAlign w:val="center"/>
          </w:tcPr>
          <w:p w14:paraId="376E59CC">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1</w:t>
            </w:r>
          </w:p>
        </w:tc>
        <w:tc>
          <w:tcPr>
            <w:tcW w:w="744" w:type="dxa"/>
            <w:vAlign w:val="center"/>
          </w:tcPr>
          <w:p w14:paraId="3E37AB77">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38</w:t>
            </w:r>
          </w:p>
        </w:tc>
        <w:tc>
          <w:tcPr>
            <w:tcW w:w="713" w:type="dxa"/>
            <w:vAlign w:val="center"/>
          </w:tcPr>
          <w:p w14:paraId="6367B80A">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2</w:t>
            </w:r>
          </w:p>
        </w:tc>
        <w:tc>
          <w:tcPr>
            <w:tcW w:w="2177" w:type="dxa"/>
            <w:vAlign w:val="center"/>
          </w:tcPr>
          <w:p w14:paraId="3CA96DDA">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75/1</w:t>
            </w:r>
          </w:p>
        </w:tc>
        <w:tc>
          <w:tcPr>
            <w:tcW w:w="1694" w:type="dxa"/>
            <w:vAlign w:val="center"/>
          </w:tcPr>
          <w:p w14:paraId="4442689D">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消声</w:t>
            </w:r>
          </w:p>
        </w:tc>
        <w:tc>
          <w:tcPr>
            <w:tcW w:w="1381" w:type="dxa"/>
            <w:vAlign w:val="center"/>
          </w:tcPr>
          <w:p w14:paraId="15A138E2">
            <w:pPr>
              <w:pStyle w:val="271"/>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昼间</w:t>
            </w:r>
          </w:p>
        </w:tc>
      </w:tr>
    </w:tbl>
    <w:p w14:paraId="59AC4D5C">
      <w:pPr>
        <w:ind w:firstLine="42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注：X、Y、Z的原点（0，0，0）为本项目租用厂房西南角。</w:t>
      </w:r>
    </w:p>
    <w:p w14:paraId="0243A266">
      <w:pPr>
        <w:ind w:firstLine="480"/>
        <w:rPr>
          <w:rFonts w:hint="default" w:ascii="Times New Roman" w:hAnsi="Times New Roman" w:cs="Times New Roman"/>
          <w:color w:val="auto"/>
        </w:rPr>
      </w:pPr>
      <w:r>
        <w:rPr>
          <w:rFonts w:hint="default" w:ascii="Times New Roman" w:hAnsi="Times New Roman" w:cs="Times New Roman"/>
          <w:color w:val="auto"/>
        </w:rPr>
        <w:br w:type="page"/>
      </w:r>
    </w:p>
    <w:p w14:paraId="234494B8">
      <w:pPr>
        <w:pStyle w:val="93"/>
        <w:rPr>
          <w:rFonts w:hint="default" w:ascii="Times New Roman" w:hAnsi="Times New Roman" w:cs="Times New Roman"/>
          <w:color w:val="auto"/>
        </w:rPr>
      </w:pPr>
      <w:r>
        <w:rPr>
          <w:rFonts w:hint="default" w:ascii="Times New Roman" w:hAnsi="Times New Roman" w:cs="Times New Roman"/>
          <w:color w:val="auto"/>
        </w:rPr>
        <w:t>表4.2.3-2     本项目噪声源强调查清单（室内声源）</w:t>
      </w:r>
    </w:p>
    <w:tbl>
      <w:tblPr>
        <w:tblStyle w:val="44"/>
        <w:tblW w:w="5028" w:type="pct"/>
        <w:jc w:val="center"/>
        <w:tblLayout w:type="fixed"/>
        <w:tblCellMar>
          <w:top w:w="0" w:type="dxa"/>
          <w:left w:w="108" w:type="dxa"/>
          <w:bottom w:w="0" w:type="dxa"/>
          <w:right w:w="108" w:type="dxa"/>
        </w:tblCellMar>
      </w:tblPr>
      <w:tblGrid>
        <w:gridCol w:w="586"/>
        <w:gridCol w:w="788"/>
        <w:gridCol w:w="876"/>
        <w:gridCol w:w="1035"/>
        <w:gridCol w:w="1421"/>
        <w:gridCol w:w="902"/>
        <w:gridCol w:w="704"/>
        <w:gridCol w:w="703"/>
        <w:gridCol w:w="677"/>
        <w:gridCol w:w="956"/>
        <w:gridCol w:w="982"/>
        <w:gridCol w:w="1173"/>
        <w:gridCol w:w="810"/>
        <w:gridCol w:w="982"/>
        <w:gridCol w:w="783"/>
        <w:gridCol w:w="877"/>
      </w:tblGrid>
      <w:tr w14:paraId="091F4E14">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7AE4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序号</w:t>
            </w:r>
          </w:p>
        </w:tc>
        <w:tc>
          <w:tcPr>
            <w:tcW w:w="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696A6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建筑物名称</w:t>
            </w: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504F7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声源名称</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B2D3D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型号</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689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声源源强</w:t>
            </w:r>
          </w:p>
        </w:tc>
        <w:tc>
          <w:tcPr>
            <w:tcW w:w="9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128F2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声源控制措施</w:t>
            </w:r>
          </w:p>
        </w:tc>
        <w:tc>
          <w:tcPr>
            <w:tcW w:w="20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39772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空间相对位置/m</w:t>
            </w:r>
          </w:p>
        </w:tc>
        <w:tc>
          <w:tcPr>
            <w:tcW w:w="19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87D9B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距室内边界距离/m</w:t>
            </w:r>
          </w:p>
        </w:tc>
        <w:tc>
          <w:tcPr>
            <w:tcW w:w="11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ABF85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室内边界声级/dB(A)</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26394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运行时段</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EBD6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建筑物插入损失/dB(A)</w:t>
            </w:r>
          </w:p>
        </w:tc>
        <w:tc>
          <w:tcPr>
            <w:tcW w:w="16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22BBF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建筑物外噪声</w:t>
            </w:r>
          </w:p>
        </w:tc>
      </w:tr>
      <w:tr w14:paraId="388E2324">
        <w:tblPrEx>
          <w:tblCellMar>
            <w:top w:w="0" w:type="dxa"/>
            <w:left w:w="108" w:type="dxa"/>
            <w:bottom w:w="0" w:type="dxa"/>
            <w:right w:w="108" w:type="dxa"/>
          </w:tblCellMar>
        </w:tblPrEx>
        <w:trPr>
          <w:trHeight w:val="1365"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CDC7D">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2A51C">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844E5">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967AB">
            <w:pPr>
              <w:widowControl/>
              <w:spacing w:line="240" w:lineRule="auto"/>
              <w:ind w:firstLine="0" w:firstLineChars="0"/>
              <w:jc w:val="center"/>
              <w:rPr>
                <w:rFonts w:hint="default" w:ascii="Times New Roman" w:hAnsi="Times New Roman" w:cs="Times New Roman"/>
                <w:color w:val="auto"/>
                <w:sz w:val="21"/>
                <w:szCs w:val="21"/>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E62E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（声压级/距声源距离）/（dB(A)/m）</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A836C">
            <w:pPr>
              <w:widowControl/>
              <w:spacing w:line="240" w:lineRule="auto"/>
              <w:ind w:firstLine="0" w:firstLineChars="0"/>
              <w:jc w:val="center"/>
              <w:rPr>
                <w:rFonts w:hint="default" w:ascii="Times New Roman" w:hAnsi="Times New Roman" w:cs="Times New Roman"/>
                <w:color w:val="auto"/>
                <w:sz w:val="21"/>
                <w:szCs w:val="21"/>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6962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X</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B18D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Y</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B09D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Z</w:t>
            </w:r>
          </w:p>
        </w:tc>
        <w:tc>
          <w:tcPr>
            <w:tcW w:w="193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4FA2C">
            <w:pPr>
              <w:widowControl/>
              <w:spacing w:line="240" w:lineRule="auto"/>
              <w:ind w:firstLine="0" w:firstLineChars="0"/>
              <w:jc w:val="center"/>
              <w:rPr>
                <w:rFonts w:hint="default" w:ascii="Times New Roman" w:hAnsi="Times New Roman" w:cs="Times New Roman"/>
                <w:color w:val="auto"/>
                <w:sz w:val="21"/>
                <w:szCs w:val="21"/>
              </w:rPr>
            </w:pPr>
          </w:p>
        </w:tc>
        <w:tc>
          <w:tcPr>
            <w:tcW w:w="11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9FE12">
            <w:pPr>
              <w:widowControl/>
              <w:spacing w:line="240" w:lineRule="auto"/>
              <w:ind w:firstLine="0" w:firstLineChars="0"/>
              <w:jc w:val="center"/>
              <w:rPr>
                <w:rFonts w:hint="default" w:ascii="Times New Roman" w:hAnsi="Times New Roman" w:cs="Times New Roman"/>
                <w:color w:val="auto"/>
                <w:sz w:val="21"/>
                <w:szCs w:val="21"/>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87921">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4A46B">
            <w:pPr>
              <w:widowControl/>
              <w:spacing w:line="240" w:lineRule="auto"/>
              <w:ind w:firstLine="0" w:firstLineChars="0"/>
              <w:jc w:val="center"/>
              <w:rPr>
                <w:rFonts w:hint="default" w:ascii="Times New Roman" w:hAnsi="Times New Roman" w:cs="Times New Roman"/>
                <w:color w:val="auto"/>
                <w:sz w:val="21"/>
                <w:szCs w:val="21"/>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1F878">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建筑物外距离</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3A4F">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声压级</w:t>
            </w:r>
          </w:p>
          <w:p w14:paraId="010026DE">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/dB(A)</w:t>
            </w:r>
          </w:p>
        </w:tc>
      </w:tr>
      <w:tr w14:paraId="65E966D5">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2858E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C0021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厂房</w:t>
            </w: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E38C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挤出机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E36F3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SHJ-65</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3D5DE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E7321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减振</w:t>
            </w: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CE653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E979F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2D400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D066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B97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35</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A3B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44.1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7FC03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FB5A2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5235E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3A48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34.1</w:t>
            </w:r>
          </w:p>
        </w:tc>
      </w:tr>
      <w:tr w14:paraId="7C392FD3">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9E172">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FD57F">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D4778">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8F4AF">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DA922">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72751">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B308A">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8C69B">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D072D">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8B51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64B3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77F0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56.9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CB83F">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BA88D">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0EF09">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FB0F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46.9</w:t>
            </w:r>
          </w:p>
        </w:tc>
      </w:tr>
      <w:tr w14:paraId="02CA3FEC">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0AB72">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84954">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D59E6">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7050F">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FB597">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8EDED">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B182A">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837A9">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2935F">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CB1D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A479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C8D0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59.4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376CB">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43F8C">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B5B14">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4ABB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49.4</w:t>
            </w:r>
          </w:p>
        </w:tc>
      </w:tr>
      <w:tr w14:paraId="2CF67A9E">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C30EB">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91149">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DB309">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15395">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45BD3">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A0E60">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0EB93">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28460">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A345A">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4F5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4F7B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77</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0F94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37.3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BC6FE">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3C10B">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78277">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F3A3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27.3</w:t>
            </w:r>
          </w:p>
        </w:tc>
      </w:tr>
      <w:tr w14:paraId="4F4B2090">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24C36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03F83">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B727C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挤出机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9AD3B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ZSM-65D</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B5C46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25171">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8481F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F7F04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12</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13D84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7ABC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7920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CD5C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43.9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93F97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707B8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DA1F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8EB7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33.9</w:t>
            </w:r>
          </w:p>
        </w:tc>
      </w:tr>
      <w:tr w14:paraId="18C85215">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0EB68">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7C120">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2BD6A">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34B77">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92887">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9ACD6">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DC75B">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0F55A">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61B1C">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B820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5136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F77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53.4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356F0">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2D485">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4439E">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81E9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43.4</w:t>
            </w:r>
          </w:p>
        </w:tc>
      </w:tr>
      <w:tr w14:paraId="09261062">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B81C6">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71CE2">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993BD">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B9D4B">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F16C3">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43F5E">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EB822">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3C9C2">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B2852">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A851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580A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45A3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59.4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E50E3">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F3477">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A83E8">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4F2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49.4</w:t>
            </w:r>
          </w:p>
        </w:tc>
      </w:tr>
      <w:tr w14:paraId="42A12FD9">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86364">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25C7C">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77AE8">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468F9">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72FFE">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EDE52">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34BDC">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11AB3">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F1621">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509B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000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73</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E8F9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37.7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F5727">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15B45">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59F48">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EC4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27.7</w:t>
            </w:r>
          </w:p>
        </w:tc>
      </w:tr>
      <w:tr w14:paraId="23138BBA">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39CAD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13D09">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AF91C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挤出机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3B9EA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ZSM-65D</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137E9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9B527">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42B51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42B48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19</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2EFE9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B967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66E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12E9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43.9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04726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AE28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6E5B0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AB1A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33.9</w:t>
            </w:r>
          </w:p>
        </w:tc>
      </w:tr>
      <w:tr w14:paraId="610E955F">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0A866">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DBFB1">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56B02">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5D9FF">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8A92F">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E99E6">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D50DF">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FFB40">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8CF2E">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1CA2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173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19</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01FC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49.4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D51C5">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D2DBD">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AB806">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1D93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39.4</w:t>
            </w:r>
          </w:p>
        </w:tc>
      </w:tr>
      <w:tr w14:paraId="3B62D15A">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31568">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F088F">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52489">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8ED72">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5DFC0">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96C03">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D17A4">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49731">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940FD">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0D91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AB7F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D623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59.4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CACDA">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772F0">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BC98B">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56E8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49.4</w:t>
            </w:r>
          </w:p>
        </w:tc>
      </w:tr>
      <w:tr w14:paraId="4BE852EF">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14AFA">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8122E">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2A660">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24AAC">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DE77D">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BBA3E">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F18CF">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356BF">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3442C">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5794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2FDF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0C8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38.6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44544">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E6A78">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9548C">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931A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28.6</w:t>
            </w:r>
          </w:p>
        </w:tc>
      </w:tr>
      <w:tr w14:paraId="7D4977AF">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F36E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C13DA">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7A701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挤出机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7A26E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ZSM-65D</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F18C8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02F20">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5F07E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6469A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24</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C8B66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9EF4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A826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4180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43.9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B89B9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CA7A1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27F0E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50D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33.9</w:t>
            </w:r>
          </w:p>
        </w:tc>
      </w:tr>
      <w:tr w14:paraId="4BDFDCCD">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8E963">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1F4DF">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8E66C">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C72B3">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EDA8E">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588B0">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52E6C">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623BD">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079FB">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0A3E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69C2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24</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E063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47.4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9C7EC">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4951A">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FAE36">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E7E5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37.4</w:t>
            </w:r>
          </w:p>
        </w:tc>
      </w:tr>
      <w:tr w14:paraId="1C98C892">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EEFD2">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2C295">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92A8E">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87A9D">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7F206">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E059C">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12850">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CA545">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F74C4">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C6FC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9E01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B1E7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61.0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3BE49">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11CDE">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AA2E5">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5C9C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51.0</w:t>
            </w:r>
          </w:p>
        </w:tc>
      </w:tr>
      <w:tr w14:paraId="7D79471C">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47A31">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3802A">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269BC">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76900">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F488E">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99C3A">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3FF6B">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FF9E6">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CBF07">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74F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5E8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61</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1987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39.3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1858D">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7054F">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88CBF">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74A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29.3</w:t>
            </w:r>
          </w:p>
        </w:tc>
      </w:tr>
      <w:tr w14:paraId="2516C535">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F6ED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3EB9A">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52D78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挤出机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9084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ZSM-65D</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26CCA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4F5DC">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7F8BE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47A4A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30</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9082C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DF92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83E5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35</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4E94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44.1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FCA38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A08A4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24FCD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64F5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34.1</w:t>
            </w:r>
          </w:p>
        </w:tc>
      </w:tr>
      <w:tr w14:paraId="0C6315A5">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87B87">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E9F0A">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C5678">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4FC58">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4FCDB">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0EE5E">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2D310">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EF221">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712B0">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0870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BAE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F66B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45.5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99499">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AFBC8">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C9DCB">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90E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35.5</w:t>
            </w:r>
          </w:p>
        </w:tc>
      </w:tr>
      <w:tr w14:paraId="789F0174">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5D503">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FC13E">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C7106">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3FEED">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986BF">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C99DC">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C2CD6">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4090F">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C6AE1">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6685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C010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9367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59.4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A15D2">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B99BC">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C8A9D">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4075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49.4</w:t>
            </w:r>
          </w:p>
        </w:tc>
      </w:tr>
      <w:tr w14:paraId="7D728CC6">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715B1">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693CF">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4ACE7">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21818">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B56FC">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C963C">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ED1B9">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D3C1B">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F57E2">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ED5B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E7A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55</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2D01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40.2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F060C">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C8F91">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2BE24">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CC45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30.2</w:t>
            </w:r>
          </w:p>
        </w:tc>
      </w:tr>
      <w:tr w14:paraId="56B51FEA">
        <w:tblPrEx>
          <w:tblCellMar>
            <w:top w:w="0" w:type="dxa"/>
            <w:left w:w="108" w:type="dxa"/>
            <w:bottom w:w="0" w:type="dxa"/>
            <w:right w:w="108" w:type="dxa"/>
          </w:tblCellMar>
        </w:tblPrEx>
        <w:trPr>
          <w:trHeight w:val="30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ED01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C97F6">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441E5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挤出机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D4F26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JWP-75</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D5219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C8529">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354B8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E4F72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35</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E9F49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0C9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796C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35</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4CD9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44.1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5D3A7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1B37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561AD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0A18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34.1</w:t>
            </w:r>
          </w:p>
        </w:tc>
      </w:tr>
      <w:tr w14:paraId="793FD067">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1DA84">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054A3">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B796E">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67266">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1F3E7">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FFA72">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72C5E">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E2FE6">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E4B62">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BA57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BE0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35</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9C2E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44.1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6CB19">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42B30">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3D528">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34D4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34.1</w:t>
            </w:r>
          </w:p>
        </w:tc>
      </w:tr>
      <w:tr w14:paraId="1C5BB27D">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4085C">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E500E">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6E6BD">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B4E3B">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F5DE7">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E4FFB">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7E4E8">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0DE48">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5582A">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A2E5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03C6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179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59.4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D5CB8">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3AB93">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489B1">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BD65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49.4</w:t>
            </w:r>
          </w:p>
        </w:tc>
      </w:tr>
      <w:tr w14:paraId="22163C61">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AB8BA">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D028F">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6F121">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DDEDC">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6F115">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8E1B1">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24B2D">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9B83E">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783E3">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DD5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54C6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EBE1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 xml:space="preserve">41.0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533AC">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D666A">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D0F4F">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4CFB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31.0</w:t>
            </w:r>
          </w:p>
        </w:tc>
      </w:tr>
      <w:tr w14:paraId="41227C4A">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4A74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D2234">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500A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立式拌料机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C2F8A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1DEDB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870FF">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ED71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E6E60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64B75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0060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7D76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B2A5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43.9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D956A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5123E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EB048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100B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33.9</w:t>
            </w:r>
          </w:p>
        </w:tc>
      </w:tr>
      <w:tr w14:paraId="163667E9">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8477C">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208EF">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CB80A">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33715">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48650">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896DA">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56C61">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DCEB8">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9E54B">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6910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8E74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9</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2E0D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55.9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94DE5">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5F5CE">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A620A">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AA45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45.9</w:t>
            </w:r>
          </w:p>
        </w:tc>
      </w:tr>
      <w:tr w14:paraId="4D776155">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26375">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5E5DF">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16304">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A43D6">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17767">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3F3E0">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AC1A2">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497A2">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F4A8D">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59C4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2AD2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AC2D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59.4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28A64">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C3CD2">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804A5">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84B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49.4</w:t>
            </w:r>
          </w:p>
        </w:tc>
      </w:tr>
      <w:tr w14:paraId="59B8F746">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EDF2A">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5DDE3">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2019D">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3BC83">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B83A7">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C0DBA">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5EEE8">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F615F">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6F323">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5D15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1F6F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4BDF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37.5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F3BF8">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37559">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B954B">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073E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27.5</w:t>
            </w:r>
          </w:p>
        </w:tc>
      </w:tr>
      <w:tr w14:paraId="2E310B9E">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2304B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A49E8">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5D577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立式拌料机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6C1D9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53FB2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BB7DB">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65205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4FBC8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12</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8BA6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22B6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6885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B6AC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43.9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ECD88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A7A35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03983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7E48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33.9</w:t>
            </w:r>
          </w:p>
        </w:tc>
      </w:tr>
      <w:tr w14:paraId="3A1FCEFD">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AD66A">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4E812">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51981">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E7A4E">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0C68B">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97495">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B9F1C">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C62A4">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A888D">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8202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390F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14</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AD3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52.1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4B8F5">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439AB">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83FE4">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7D15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42.1</w:t>
            </w:r>
          </w:p>
        </w:tc>
      </w:tr>
      <w:tr w14:paraId="11EFC2A5">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FD49C">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94FBD">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963CD">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14866">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D62B2">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9C683">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572F6">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8301A">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14E72">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2432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3A59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69E0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59.4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BFBC8">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A9034">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AF14B">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128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49.4</w:t>
            </w:r>
          </w:p>
        </w:tc>
      </w:tr>
      <w:tr w14:paraId="3B34D9A0">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5BB42">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02942">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D27A1">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8AFDB">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3CE28">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32671">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3F976">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E361D">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8E85C">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0A5C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A99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AB36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38.1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99B2F">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9D48B">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592ED">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68EF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28.1</w:t>
            </w:r>
          </w:p>
        </w:tc>
      </w:tr>
      <w:tr w14:paraId="0C2CF6CA">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83FB6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9</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23524">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25F3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混料机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28B33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HF-WSJ-300</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F303E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B0868">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EC1A3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A8A8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19</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310D2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3EEB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42D8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98AB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43.9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E7928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6B4D4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ABC77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D285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33.9</w:t>
            </w:r>
          </w:p>
        </w:tc>
      </w:tr>
      <w:tr w14:paraId="0CEC040B">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9929C">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0D9B5">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5CE90">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432B1">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B8E85">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4CFFC">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2E818">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66427">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CFE66">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CAB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122A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941C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49.0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47C68">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CDDEF">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4BB55">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FA93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39.0</w:t>
            </w:r>
          </w:p>
        </w:tc>
      </w:tr>
      <w:tr w14:paraId="7573D9EA">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7560B">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E90F3">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633CE">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E0ABF">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BB831">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68185">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B484A">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CC75A">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BFA4A">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422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AE11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F765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59.4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15F16">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0DD6F">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B9826">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E8C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49.4</w:t>
            </w:r>
          </w:p>
        </w:tc>
      </w:tr>
      <w:tr w14:paraId="76267571">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DB61B">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B516D">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2726B">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F8479">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D665D">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8CEA1">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C100E">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32749">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056CA">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F5F2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101E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64</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2EB2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38.9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6DA87">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DC2D0">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07404">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47E1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28.9</w:t>
            </w:r>
          </w:p>
        </w:tc>
      </w:tr>
      <w:tr w14:paraId="1AC885CE">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F2F63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A18BD">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00D34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混料机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4A24E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HF-WSJ-300</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767C4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DE870">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C35F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DFCA3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24</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0E609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BDF6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BF7A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2A5C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43.9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8DA6C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970D0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A4FA8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F547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33.9</w:t>
            </w:r>
          </w:p>
        </w:tc>
      </w:tr>
      <w:tr w14:paraId="28739C84">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974C1">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07EFF">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1614B">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309D8">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D07C2">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2C6D5">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0198B">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BF18D">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A4FD8">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5A2E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776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B2A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46.7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77F00">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54796">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D384F">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21D8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36.7</w:t>
            </w:r>
          </w:p>
        </w:tc>
      </w:tr>
      <w:tr w14:paraId="38E35874">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AC8AA">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1A676">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42651">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98394">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36B9A">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32756">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81BCF">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6E638">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F5691">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CB45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A30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7102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59.4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6BB8B">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8E047">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18D00">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A74D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49.4</w:t>
            </w:r>
          </w:p>
        </w:tc>
      </w:tr>
      <w:tr w14:paraId="5D53A1A7">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34F41">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EEC82">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0EC48">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CF1F9">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8E4EF">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FD671">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E301B">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FBEC0">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6CA75">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AE90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4AB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58</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23E0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39.7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ACCE3">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A1512">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2BCF0">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47FF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29.7</w:t>
            </w:r>
          </w:p>
        </w:tc>
      </w:tr>
      <w:tr w14:paraId="06E40F2D">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350B4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11</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7245E">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DDFFD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混料机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E91A3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HF-WSJ-300</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EE58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EC165">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3F1A1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A8338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30</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1E7A3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5C33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0D5D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112D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43.9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05FDD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D6410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B80E1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B296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33.9</w:t>
            </w:r>
          </w:p>
        </w:tc>
      </w:tr>
      <w:tr w14:paraId="3BA290D2">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0DEC2">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DEE7B">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8EFDF">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BDDFF">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2CF9B">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C992B">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41E74">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FF03E">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93D25">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12DD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8B8B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31</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2479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45.2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31A89">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8F3CB">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EA07F">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0FEC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35.2</w:t>
            </w:r>
          </w:p>
        </w:tc>
      </w:tr>
      <w:tr w14:paraId="43B8719A">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795AA">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AF816">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5C521">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D8A05">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C55A9">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8EDCF">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5A9F6">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EAADF">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61BD3">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5BD6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6F9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382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59.4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2C546">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C6B4A">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43168">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B7B7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49.4</w:t>
            </w:r>
          </w:p>
        </w:tc>
      </w:tr>
      <w:tr w14:paraId="3EA82C5E">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45205">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76C60">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0DF10">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AC460">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6A6F8">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557C5">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AC1ED">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9D079">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D14E4">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A948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3B4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53</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1989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40.5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5A4B0">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DC0AE">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D6B30">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5454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30.5</w:t>
            </w:r>
          </w:p>
        </w:tc>
      </w:tr>
      <w:tr w14:paraId="51A29FB8">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2A2E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12</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6B376">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34C72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立式拌料机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77F09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CBF59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FAE42">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AC9E4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4496D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35</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E69BC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D70F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7F5E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39</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6F72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43.2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B5CC0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6C045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ACE21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A77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33.2</w:t>
            </w:r>
          </w:p>
        </w:tc>
      </w:tr>
      <w:tr w14:paraId="3E257BC5">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5EEEB">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C4AE4">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61249">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BE4DB">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45FB5">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6B5D6">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5EA7B">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B320C">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A206E">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85B4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66C5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38</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C324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43.4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FF72B">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C6E8F">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E6268">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F35E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33.4</w:t>
            </w:r>
          </w:p>
        </w:tc>
      </w:tr>
      <w:tr w14:paraId="0AB5D629">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FD75C">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7B515">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40F5D">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11A0A">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22119">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4C203">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27730">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A69ED">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AC25E">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DE9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5E9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CFC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65.5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B4756">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1243E">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EC736">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748C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55.5</w:t>
            </w:r>
          </w:p>
        </w:tc>
      </w:tr>
      <w:tr w14:paraId="52495553">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088A6">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C72A5">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5968F">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AA2BE">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A2BA4">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CE072">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D8976">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58E3B">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769EB">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8C82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E768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F4B6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41.7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DDA58">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6B9EA">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C1910">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52C4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31.7</w:t>
            </w:r>
          </w:p>
        </w:tc>
      </w:tr>
      <w:tr w14:paraId="331C79F1">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F7C7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13</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10A78">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38FF6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立式拌料机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E218A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A829D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9757C">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99F3A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32</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A3BC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36</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4CD2D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5682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A179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3DB8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55.0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5A752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4F531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DF8CB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3CD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45.0</w:t>
            </w:r>
          </w:p>
        </w:tc>
      </w:tr>
      <w:tr w14:paraId="12870E8B">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9C127">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7F777">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10B7E">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ACD6A">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6D2DD">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54BFE">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1D431">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6D51F">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DA0B8">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DCF8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0E1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4CDE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43.9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C5355">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F6B28">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C183F">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7966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33.9</w:t>
            </w:r>
          </w:p>
        </w:tc>
      </w:tr>
      <w:tr w14:paraId="0261382A">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B718C">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7A4BF">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E8874">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408FF">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B7378">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B1D92">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77803">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CA2A9">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3AFB7">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6D85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E68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E3FD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44.9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F0A3B">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8273C">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C3160">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3A7F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34.9</w:t>
            </w:r>
          </w:p>
        </w:tc>
      </w:tr>
      <w:tr w14:paraId="2DCB0B7D">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426A8">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B907D">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7CDB9">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BEC52">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4EB5D">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3C60C">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EDBB3">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20822">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BFA0B">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1FE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B2B8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49</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D9BD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41.2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CC2A3">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A3F2F">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5D916">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EA36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31.2</w:t>
            </w:r>
          </w:p>
        </w:tc>
      </w:tr>
      <w:tr w14:paraId="7B1BF7CA">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B17C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14</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2B2B0">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639A3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切料机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41546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BFAA4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80</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25C6D">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08E2F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17</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290D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CA639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4D58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CA47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BF35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50.5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00B59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87566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FBA1D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B57F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40.5</w:t>
            </w:r>
          </w:p>
        </w:tc>
      </w:tr>
      <w:tr w14:paraId="2BCB13D7">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C2FC0">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85436">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04F85">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1A762">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607F8">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CF548">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6D6FE">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42FA5">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2CB91">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C306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E01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EF70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61.9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A17EE">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4C80D">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0964E">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AE4F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51.9</w:t>
            </w:r>
          </w:p>
        </w:tc>
      </w:tr>
      <w:tr w14:paraId="49CDD3C3">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CC8F5">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20BFB">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4E49C">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9A761">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AD42F">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18207">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68703">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E7066">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55F5B">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6C65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205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17</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989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55.4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55375">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75670">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19848">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3FF8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45.4</w:t>
            </w:r>
          </w:p>
        </w:tc>
      </w:tr>
      <w:tr w14:paraId="652EA237">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62EC9">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2E2E1">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742B6">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AE4E8">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0C32A">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62E26">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1801E">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1C3EC">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4F725">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E803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A699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78</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8128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42.2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1EBE8">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ED551">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15EBE">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955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32.2</w:t>
            </w:r>
          </w:p>
        </w:tc>
      </w:tr>
      <w:tr w14:paraId="6D53FCB6">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040DC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15</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9D06E">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4D9D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切料机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45D2F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C30A1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80</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C55D9">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EE6C6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21</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54822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12</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68485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4B39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5BB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3D9D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54.0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929AE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A46BE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E0F71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7A59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44.0</w:t>
            </w:r>
          </w:p>
        </w:tc>
      </w:tr>
      <w:tr w14:paraId="2CB4EDCA">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963A5">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27DD0">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03D81">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024A8">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95EE0">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912FF">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2F3F6">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82185">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9CC41">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C989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4F48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686C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58.4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6D857">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86DA6">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26CD5">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073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48.4</w:t>
            </w:r>
          </w:p>
        </w:tc>
      </w:tr>
      <w:tr w14:paraId="1E6F800C">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6395A">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1FB40">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6D042">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DA2EB">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F64DD">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4DEBC">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D0C11">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2C81D">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645BD">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F5AD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3803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21</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DEBD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53.6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40F90">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F6822">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0A910">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DF12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43.6</w:t>
            </w:r>
          </w:p>
        </w:tc>
      </w:tr>
      <w:tr w14:paraId="697AD62C">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7D947">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BCCB9">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F51E9">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9F8DF">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CDE30">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DBD62">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5F933">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5E678">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A31A3">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EB2D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223D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73</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45F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42.7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6ABCC">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FF659">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D3395">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F22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32.7</w:t>
            </w:r>
          </w:p>
        </w:tc>
      </w:tr>
      <w:tr w14:paraId="056269DE">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23734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16</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4898A">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768C4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切料机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1BD55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94F9D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80</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FFB6A">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184A2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21</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69985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19</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7B23A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1CC5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972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E4BF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54.0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6185C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A0CD0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0FF72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5150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44.0</w:t>
            </w:r>
          </w:p>
        </w:tc>
      </w:tr>
      <w:tr w14:paraId="41AAFE7B">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56149">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7B394">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48BB7">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F7389">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6AA55">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87B4E">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598D5">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8AD04">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16EBB">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5B4C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DBE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19</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BCD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54.4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9B458">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9D492">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19C83">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D9B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44.4</w:t>
            </w:r>
          </w:p>
        </w:tc>
      </w:tr>
      <w:tr w14:paraId="541368B7">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1C3C2">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9974D">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F5D6D">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C1C7E">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3BD6C">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E402B">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B2573">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0ED1E">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CB46D">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D2FD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8CE0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21</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1A63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53.6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7F262">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044BF">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73EE5">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214C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43.6</w:t>
            </w:r>
          </w:p>
        </w:tc>
      </w:tr>
      <w:tr w14:paraId="65C2612F">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6429C">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B202E">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F61DD">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70259">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BE148">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4F73D">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1D133">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2EA5E">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C2AA9">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191D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B5B0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A3C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43.6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FD9CA">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BF6CA">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A690E">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A840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33.6</w:t>
            </w:r>
          </w:p>
        </w:tc>
      </w:tr>
      <w:tr w14:paraId="390F8EEB">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0A557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17</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3BF2A">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9C6C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切料机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2EB21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0A4A5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80</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A75E9">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B0F46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21</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96A35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25</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12341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E083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E81B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40C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54.0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42655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3F9BB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57354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34D2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44.0</w:t>
            </w:r>
          </w:p>
        </w:tc>
      </w:tr>
      <w:tr w14:paraId="37AFD941">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B1B5B">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16E68">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39B67">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D75D7">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26FBA">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26496">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6C75B">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E7088">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58EF4">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21AA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3333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25</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F398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52.0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7AAB4">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CEBE8">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D1E9A">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B937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42.0</w:t>
            </w:r>
          </w:p>
        </w:tc>
      </w:tr>
      <w:tr w14:paraId="74F15B41">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88CED">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76226">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B0160">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C813B">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EC3F6">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4FD5A">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AE885">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2E3E5">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9EDA3">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F0E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4403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21</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834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53.6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9742E">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3F1DB">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1540A">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E14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43.6</w:t>
            </w:r>
          </w:p>
        </w:tc>
      </w:tr>
      <w:tr w14:paraId="05ECD7E8">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712BD">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80AAD">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280CF">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B1641">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AC06E">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EE98D">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881C2">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CE7D1">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49696">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FD4F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B307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61</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CEBA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44.3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D7475">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FF890">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3B9D0">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4509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34.3</w:t>
            </w:r>
          </w:p>
        </w:tc>
      </w:tr>
      <w:tr w14:paraId="3D8AE6BA">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198C5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18</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8929B">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9F422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切料机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C0145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20106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80</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3027E">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5A4AA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21</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5B73A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30</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2C2D3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2CDF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4ADE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4519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54.0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F871E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3803E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F2082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EAC6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44.0</w:t>
            </w:r>
          </w:p>
        </w:tc>
      </w:tr>
      <w:tr w14:paraId="34D59B62">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F3B87">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9A32C">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BB01A">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79E5C">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936AE">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66D1A">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B7598">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E6D1F">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EBC46">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2FE7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3FFB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E7A0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50.5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CB212">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A05E8">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ED6F5">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FA00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40.5</w:t>
            </w:r>
          </w:p>
        </w:tc>
      </w:tr>
      <w:tr w14:paraId="15181660">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83328">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08485">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FEECF">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453EF">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761AA">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2AC6E">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DB79A">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E02C0">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5215C">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2EA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809C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21</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ACA3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53.6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1BAFE">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2F5CF">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418B4">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02ED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43.6</w:t>
            </w:r>
          </w:p>
        </w:tc>
      </w:tr>
      <w:tr w14:paraId="64F4BCFE">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7FB34">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93BB2">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93463">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9D2B9">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83787">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B4C7A">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CB6BD">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4ACB2">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6E255">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FD0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0D1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55</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80E9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45.2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39BE4">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B36CA">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F6774">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391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35.2</w:t>
            </w:r>
          </w:p>
        </w:tc>
      </w:tr>
      <w:tr w14:paraId="1A9D2781">
        <w:tblPrEx>
          <w:tblCellMar>
            <w:top w:w="0" w:type="dxa"/>
            <w:left w:w="108" w:type="dxa"/>
            <w:bottom w:w="0" w:type="dxa"/>
            <w:right w:w="108" w:type="dxa"/>
          </w:tblCellMar>
        </w:tblPrEx>
        <w:trPr>
          <w:trHeight w:val="30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09AB3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19</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B0F9E">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06C9F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切料机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92FA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1C21A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80</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BBCB8">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A34D5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21</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6C34B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35</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14103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8136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9D1F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2DB9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54.0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84FAF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E3699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3A4A5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816A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44.0</w:t>
            </w:r>
          </w:p>
        </w:tc>
      </w:tr>
      <w:tr w14:paraId="772ECD3D">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000D0">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0E903">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E67A9">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4BF9A">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FA205">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EE227">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176E2">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06720">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77B5D">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4B6C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182A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CB99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48.9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C2443">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69899">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19DBD">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B9E5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38.9</w:t>
            </w:r>
          </w:p>
        </w:tc>
      </w:tr>
      <w:tr w14:paraId="6AE34249">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3C20C">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8EE9E">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BA650">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DF940">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E8761">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A2D14">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8CC92">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A800A">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109D6">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22B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519D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21</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039D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53.6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4C3B4">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A3D36">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6AA7C">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8B5F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43.6</w:t>
            </w:r>
          </w:p>
        </w:tc>
      </w:tr>
      <w:tr w14:paraId="0D2A4A6A">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65370">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6C216">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3E40F">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F83F2">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7AF19">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FAEE8">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5B309">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75E34">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E19BC">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E853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F5D8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1504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46.0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3416C">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36411">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15954">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7FB8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36.0</w:t>
            </w:r>
          </w:p>
        </w:tc>
      </w:tr>
      <w:tr w14:paraId="7D3578B3">
        <w:tblPrEx>
          <w:tblCellMar>
            <w:top w:w="0" w:type="dxa"/>
            <w:left w:w="108" w:type="dxa"/>
            <w:bottom w:w="0" w:type="dxa"/>
            <w:right w:w="108" w:type="dxa"/>
          </w:tblCellMar>
        </w:tblPrEx>
        <w:trPr>
          <w:trHeight w:val="30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9E057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20</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53C99">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6C4F5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空压机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58DE2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60B8B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80</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0AF64">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D847E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B2204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41</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64F1C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BE81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7683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38</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183E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48.4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93CF5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A1D7D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FCCE5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A86C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38.4</w:t>
            </w:r>
          </w:p>
        </w:tc>
      </w:tr>
      <w:tr w14:paraId="7FBEE888">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906C6">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2AC53">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04D0C">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511A2">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D0959">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D015D">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850DD">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5FC1A">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60849">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5D2F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361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41</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430C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47.7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810D8">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19253">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EB67C">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A6F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37.7</w:t>
            </w:r>
          </w:p>
        </w:tc>
      </w:tr>
      <w:tr w14:paraId="589916FF">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56742">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68C1A">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8AC9F">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E906B">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3ED9E">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B93EE">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C9E64">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6DE7A">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9ED7E">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2C47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4DE6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97A5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70.5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A4DB2">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08B0F">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0305C">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DDC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60.5</w:t>
            </w:r>
          </w:p>
        </w:tc>
      </w:tr>
      <w:tr w14:paraId="352787F2">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A02F1">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98F50">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9980E">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CB929">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6F4A7">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DB06A">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22968">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CDEAA">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4A8CC">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AA28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D086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44</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5F69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47.1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31563">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08B96">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8682F">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7B89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37.1</w:t>
            </w:r>
          </w:p>
        </w:tc>
      </w:tr>
      <w:tr w14:paraId="0A7A98C9">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55E4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21</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5C9DA">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B3B42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真空处理器</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2DFF76">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1C0C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863DF">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A4F60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E6647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42280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B6F8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2B56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C6C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53.0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AA399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9D19A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257F2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E53B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43.0</w:t>
            </w:r>
          </w:p>
        </w:tc>
      </w:tr>
      <w:tr w14:paraId="532E40C9">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E48F1">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29104">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8C367">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B4DC7">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D64D5">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2152A">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E9BC6">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7C9D7">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DB853">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4431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7F1B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37B8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73.0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5F334">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26998">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66E36">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4578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63.0</w:t>
            </w:r>
          </w:p>
        </w:tc>
      </w:tr>
      <w:tr w14:paraId="3838584F">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F449F">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852CE">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39533">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8E95C">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BAFF4">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1D6A9">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088DC">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AAC46">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49F71">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6072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F48A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0A3E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79.0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C8209">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B7368">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C16B8">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C4C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69.0</w:t>
            </w:r>
          </w:p>
        </w:tc>
      </w:tr>
      <w:tr w14:paraId="2171DAB7">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AB672">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48EC6">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906EB">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16D44">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20040">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C0782">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37AD4">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21A17">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20193">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A85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A251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FED9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46.9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499C4">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05639">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70870">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45D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36.9</w:t>
            </w:r>
          </w:p>
        </w:tc>
      </w:tr>
      <w:tr w14:paraId="21505375">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DB06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22</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D15F4">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94ACC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破碎机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953C4">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7F0B5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80</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AF968">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F49B5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14</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33BC2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797B6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5CB3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6521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28</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61F3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51.1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A5127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0B707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F74EA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0E3D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41.1</w:t>
            </w:r>
          </w:p>
        </w:tc>
      </w:tr>
      <w:tr w14:paraId="38069F30">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62EC5">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37AA5">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03099">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29046">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7CBBF">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D38A7">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C3CA8">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6F847">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2BA45">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3D2B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578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D332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74.0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83202">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F8181">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A19CB">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C9B6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64.0</w:t>
            </w:r>
          </w:p>
        </w:tc>
      </w:tr>
      <w:tr w14:paraId="2EFB5C45">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3D87C">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27F12">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6EDC4">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42AF8">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11125">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766A6">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ADFC2">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7211C">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61604">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C85F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47E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14</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E512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57.1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9CFFF">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CB88E">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2147E">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D51F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47.1</w:t>
            </w:r>
          </w:p>
        </w:tc>
      </w:tr>
      <w:tr w14:paraId="571869D6">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A1A0D">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A9805">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D42C3">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98F30">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5CBE5">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64131">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5EAF5">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6E826">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DF64C">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84B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2E8C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83</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5AB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41.6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02013">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98A6B">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A146F">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48C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31.6</w:t>
            </w:r>
          </w:p>
        </w:tc>
      </w:tr>
      <w:tr w14:paraId="3DC7C84E">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9DEC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23</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1641B">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7D617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破碎机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9502DE">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01F72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80</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33999">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5677B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17</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9152E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25D6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729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D64D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25</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84F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52.0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1CCE9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80301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859B9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8057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42.0</w:t>
            </w:r>
          </w:p>
        </w:tc>
      </w:tr>
      <w:tr w14:paraId="5FEF489C">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AB9B6">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C3773">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08E31">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17491">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BB54E">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E331F">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6B93C">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77664">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25FF8">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AA30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7C8E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7BB9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74.0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15DA8">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71692">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CCB71">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6E52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64.0</w:t>
            </w:r>
          </w:p>
        </w:tc>
      </w:tr>
      <w:tr w14:paraId="1E47774B">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6A9D7">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350C7">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A91D3">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9231B">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A7350">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262EE">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F1FE5">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A2D4C">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56BF3">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91A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0029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17</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007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55.4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5EFED">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F6CAD">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2F345">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3D4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45.4</w:t>
            </w:r>
          </w:p>
        </w:tc>
      </w:tr>
      <w:tr w14:paraId="15FDC68C">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6EF17">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1A285">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2CF07">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658A1">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564E6">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2892C">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DB15B">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F2A39">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4CFE0">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629F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AAF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F0C2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41.7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BABBB">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0343C">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49990">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C217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31.7</w:t>
            </w:r>
          </w:p>
        </w:tc>
      </w:tr>
      <w:tr w14:paraId="46EFFD14">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E02C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24</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9F17B">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E69CF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破碎机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8D8C3A">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E5AAF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80</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374A3">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F4D5F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21</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9FCE9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0</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7C985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1340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3338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21</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49E8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53.6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42B8F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8A470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BD1D5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F590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43.6</w:t>
            </w:r>
          </w:p>
        </w:tc>
      </w:tr>
      <w:tr w14:paraId="1A2E795F">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F59C4">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FAA58">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1A8EC">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A721E">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ED1B5">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1EED3">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241E5">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8786C">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D9D77">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58CE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36E5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3B6B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74.0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5141C">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4BF57">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B417B">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6BB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64.0</w:t>
            </w:r>
          </w:p>
        </w:tc>
      </w:tr>
      <w:tr w14:paraId="1A2B2188">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0811C">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A9FA1">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3A58B">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2A445">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EF8F5">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4ABE4">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B3F77">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9EC72">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650F2">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CE1F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067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E3EF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54.0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6B471">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245AF">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01A86">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BC53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44.0</w:t>
            </w:r>
          </w:p>
        </w:tc>
      </w:tr>
      <w:tr w14:paraId="0DBD01E9">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195AF">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226AB">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6001C">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5CEF0">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02F92">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59F1A">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E5370">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CC98E">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81479">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B216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9F7C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83</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321C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41.6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A6841">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0B5EF">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152E5">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F975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31.6</w:t>
            </w:r>
          </w:p>
        </w:tc>
      </w:tr>
      <w:tr w14:paraId="4D200260">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81D30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25</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30C4A">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9891B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真空吸料机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CD364D">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A545D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63046">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DB5B3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28</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C8B2C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17</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D4C3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CFCB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D78E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14</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5D03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52.1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06662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6271E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DE1C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460F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42.1</w:t>
            </w:r>
          </w:p>
        </w:tc>
      </w:tr>
      <w:tr w14:paraId="2BB7B6B0">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04DFE">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F6188">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9031F">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606AD">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8F40B">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AF1E9">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81DAC">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EDFEA">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1AAE3">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57F6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E58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17</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F620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50.4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BDDC6">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EAF71">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0B8CC">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9D40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40.4</w:t>
            </w:r>
          </w:p>
        </w:tc>
      </w:tr>
      <w:tr w14:paraId="3390FDD9">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E447F">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4A123">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47F2A">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1A2C3">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9235B">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EB8D3">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921A9">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B3F9B">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973F6">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2F12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3D9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28</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8B67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46.1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2B96B">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95649">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6E220">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F78D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36.1</w:t>
            </w:r>
          </w:p>
        </w:tc>
      </w:tr>
      <w:tr w14:paraId="6C1FC186">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D7260">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E471C">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A5AB2">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D9E4E">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3CA63">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CE0C8">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5A0AE">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62E4A">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DDF7F">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AD5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4631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68</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23F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38.3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0290D">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B67F2">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7D9A7">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1151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28.3</w:t>
            </w:r>
          </w:p>
        </w:tc>
      </w:tr>
      <w:tr w14:paraId="04A084B9">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CA1F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26</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8923C">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BC38B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真空吸料机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FF28E3">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4A71F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07846">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EB75E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28</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E91BE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23</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20C1D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A15B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088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14</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E831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52.1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9307B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DDDE2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062AB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6F0B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42.1</w:t>
            </w:r>
          </w:p>
        </w:tc>
      </w:tr>
      <w:tr w14:paraId="3A082624">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C0713">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F4FA4">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C7D1F">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4A0DF">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1AF7D">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01072">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FA2C0">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4119E">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93A6D">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8C60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B25C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23</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5630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47.8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8FCC3">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DB419">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D90FD">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6476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37.8</w:t>
            </w:r>
          </w:p>
        </w:tc>
      </w:tr>
      <w:tr w14:paraId="3EBB7A58">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1F161">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0467D">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5A63D">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C3D57">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457DB">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1F0D9">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74581">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045D0">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60631">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DEF0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5CA6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28</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5773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46.1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2D69A">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9C5CB">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00DB1">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0432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36.1</w:t>
            </w:r>
          </w:p>
        </w:tc>
      </w:tr>
      <w:tr w14:paraId="28A8774B">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E50E2">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00A8F">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9C268">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D1BDD">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95E0A">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EB78B">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9AB78">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0F40B">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1638A">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664B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01E5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2815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39.2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212FC">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1B334">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D9939">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C090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29.2</w:t>
            </w:r>
          </w:p>
        </w:tc>
      </w:tr>
      <w:tr w14:paraId="281B409C">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C1494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27</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E5463">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A6EFF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真空吸料机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AFCCB0">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B2F5B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A16B6">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ED3F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28</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F9596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30</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F67E4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5F16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2E0E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13</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0DB2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52.7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772C6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7BFE8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0040F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F5F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42.7</w:t>
            </w:r>
          </w:p>
        </w:tc>
      </w:tr>
      <w:tr w14:paraId="343589EC">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C39BF">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D4666">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82796">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1E75F">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A2F68">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2E4F4">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60353">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12B73">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6C7F3">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AAB1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6725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E14D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45.5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4B302">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1E8EE">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EE367">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D6DA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35.5</w:t>
            </w:r>
          </w:p>
        </w:tc>
      </w:tr>
      <w:tr w14:paraId="2184E63D">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D9B22">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CFE01">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EB55C">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66546">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2075A">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5E690">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B3D1D">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8FB89">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E8A3A">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2B6F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E304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28</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B00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46.1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F18B6">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BF95E">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A2912">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6FF7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36.1</w:t>
            </w:r>
          </w:p>
        </w:tc>
      </w:tr>
      <w:tr w14:paraId="7B139D69">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E7BAD">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26655">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4D1A5">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999CA">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AC3AF">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89D69">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7D2ED">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1C9AB">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BC478">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7A9E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8B4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4854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40.0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3BA66">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A4921">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5D3FC">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CA07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30.0</w:t>
            </w:r>
          </w:p>
        </w:tc>
      </w:tr>
      <w:tr w14:paraId="3E56EFA8">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CE8C8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28</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D678A">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51C6F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真空吸料机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E9AA8E">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6A5AB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CA6BE">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87B92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19DAA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26</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CFFEA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033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18B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13</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B27E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52.7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4F2C2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BF1D9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FF0B1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69B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42.7</w:t>
            </w:r>
          </w:p>
        </w:tc>
      </w:tr>
      <w:tr w14:paraId="136D6AD2">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74C23">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C3E98">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E207D">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D8C48">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2BCFD">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D9561">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4C735">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ECE4E">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1025E">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F2C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D411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C92A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43.9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CFE89">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87C5D">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63F56">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C2CB1">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33.9</w:t>
            </w:r>
          </w:p>
        </w:tc>
      </w:tr>
      <w:tr w14:paraId="676B4017">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A88E1">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48570">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7A337">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5BEBC">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3B018">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EA721">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FEA1E">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427BE">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4684A">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7D3E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275A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28</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C623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46.1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62163">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D0B29">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E054F">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364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36.1</w:t>
            </w:r>
          </w:p>
        </w:tc>
      </w:tr>
      <w:tr w14:paraId="443492A2">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87FC9">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CBC52">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38C34">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DF4AB">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D364B">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575AE">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948B5">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41C4F">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8C201">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10B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1DA2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49</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66D7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41.2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83508">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91459">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0F2CF">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3102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31.2</w:t>
            </w:r>
          </w:p>
        </w:tc>
      </w:tr>
      <w:tr w14:paraId="215E023C">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6A81F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29</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4C752">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011A4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真空吸料机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1A455E">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41B8C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1A07E">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3DD1F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32</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2F32D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33</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04581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ED04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C833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0DE6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55.0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BEA3E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814DB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97DB1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3940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45.0</w:t>
            </w:r>
          </w:p>
        </w:tc>
      </w:tr>
      <w:tr w14:paraId="29EA0E21">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A1DFA">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943CE">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593F4">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05607">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6E0B6">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B42DD">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8030F">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3D8A8">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46627">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2A75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F21C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33</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648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44.6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E0C30">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20019">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33EAC">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357D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34.6</w:t>
            </w:r>
          </w:p>
        </w:tc>
      </w:tr>
      <w:tr w14:paraId="69143162">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B9008">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F1182">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2C11D">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D528E">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B524A">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FF9E5">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16D9F">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4FCF4">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C780D">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3A30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0A6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C418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44.9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FF172">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E0D0D">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54BD7">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512C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34.9</w:t>
            </w:r>
          </w:p>
        </w:tc>
      </w:tr>
      <w:tr w14:paraId="7D2D5433">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6EE04">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7969C">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C01EC">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487CB">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179A1">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1FA6D">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0FE8F">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5D4D5">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7A7BB">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04EE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C32D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05F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40.7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FFBE9">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F2E7A">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DCA97">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916E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30.7</w:t>
            </w:r>
          </w:p>
        </w:tc>
      </w:tr>
      <w:tr w14:paraId="699E0E05">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2E2C0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30</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0B07B">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6EB3B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真空吸料机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8F79C">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2D04D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5BA46">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638AB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36</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6811E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33</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F8BB9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FBDB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EC74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8910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59.4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85258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92DCC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D92C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3B79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49.4</w:t>
            </w:r>
          </w:p>
        </w:tc>
      </w:tr>
      <w:tr w14:paraId="616E6CB6">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15151">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E1B46">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76274">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41909">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81C44">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549A9">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915B9">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F3FDA">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766A4">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F61B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F5C5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33</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50A6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44.6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58CBB">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66A0A">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E4973">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3707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34.6</w:t>
            </w:r>
          </w:p>
        </w:tc>
      </w:tr>
      <w:tr w14:paraId="329749BE">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2BE6C">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895A1">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BA4D2">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04C1F">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54711">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7A204">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A12EE">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8FA5F">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1A01A">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7C5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EFD1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7F7A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43.9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F24DF">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616FF">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BAC14">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82B9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33.9</w:t>
            </w:r>
          </w:p>
        </w:tc>
      </w:tr>
      <w:tr w14:paraId="0B44AC2A">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BFAC7">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448DB">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AC534">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E24CC">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941F8">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AC90F">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3E329">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6DFC1">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EEAA5">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7E25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AA47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9821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40.7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EE8D6">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2726A">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13FA3">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E6DF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30.7</w:t>
            </w:r>
          </w:p>
        </w:tc>
      </w:tr>
      <w:tr w14:paraId="417BE8DF">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4D5A4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31</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0D1A5">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61324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真空吸料机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E8FB67">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46C5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53791">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04A54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31</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36208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18</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0E0D3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8B25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96A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8ABA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55.0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0C47A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00FC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19940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9B17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45.0</w:t>
            </w:r>
          </w:p>
        </w:tc>
      </w:tr>
      <w:tr w14:paraId="122C2E9E">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A5B4C">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ED85D">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657FA">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79A79">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D05BA">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DA63B">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84267">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A34E6">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7E542">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A49C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3B6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18</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866C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49.9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FB63D">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A303E">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E27F3">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E37D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39.9</w:t>
            </w:r>
          </w:p>
        </w:tc>
      </w:tr>
      <w:tr w14:paraId="1C6251D3">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E0DEE">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47D4B">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14F60">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BFDFC">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33569">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B02F7">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F3401">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8879A">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2A3A0">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1976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4B4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31</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4CEC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45.2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D0DA0">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26546">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FC326">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F101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35.2</w:t>
            </w:r>
          </w:p>
        </w:tc>
      </w:tr>
      <w:tr w14:paraId="2B35A0CF">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0720E">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C18F9">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D3A2D">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3EF79">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2ED5B">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43169">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2D447">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991E0">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14BF1">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3CC9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0394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67</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F92F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38.5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58C39">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384B4">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0CA4A">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4368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28.5</w:t>
            </w:r>
          </w:p>
        </w:tc>
      </w:tr>
      <w:tr w14:paraId="7034973D">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5A05C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32</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38C08">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9C6C3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真空吸料机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877DB2">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FE82A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A7A37">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D4707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36</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3C930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18</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28119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C52A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4083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643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61.0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8C342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E66EB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ED5A3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276A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51.0</w:t>
            </w:r>
          </w:p>
        </w:tc>
      </w:tr>
      <w:tr w14:paraId="7A958D2F">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08D19">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971F8">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B713E">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1502A">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C0F6A">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E6DBD">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03C74">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7807B">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ABE38">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49C8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45C3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18</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033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49.9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A57C4">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9D8E0">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E30FA">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BE7A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39.9</w:t>
            </w:r>
          </w:p>
        </w:tc>
      </w:tr>
      <w:tr w14:paraId="62CA7192">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DCB61">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2D378">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051EE">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B48E6">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93976">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6EF90">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9F0DF">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9E7F1">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9872E">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D799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91C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A21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43.9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1CC68">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D8905">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B513F">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7432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33.9</w:t>
            </w:r>
          </w:p>
        </w:tc>
      </w:tr>
      <w:tr w14:paraId="33A75E21">
        <w:tblPrEx>
          <w:tblCellMar>
            <w:top w:w="0" w:type="dxa"/>
            <w:left w:w="108" w:type="dxa"/>
            <w:bottom w:w="0" w:type="dxa"/>
            <w:right w:w="108" w:type="dxa"/>
          </w:tblCellMar>
        </w:tblPrEx>
        <w:trPr>
          <w:trHeight w:val="30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D6E2E">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7EF15">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1AE23">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DB4A8">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77583">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2218A">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3A8DE">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423C3">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10C68">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292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750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67</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10A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38.5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42846">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67EFE">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61FB6">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F98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28.5</w:t>
            </w:r>
          </w:p>
        </w:tc>
      </w:tr>
      <w:tr w14:paraId="3C80D619">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07EB0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33</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80AAE">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A3498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真空吸料机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D9863D">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65D0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9A29E">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B11C0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22</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8D51A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AE81E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3B01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3CD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19</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F695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49.4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18DEF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DF20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6FD5B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BB667">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39.4</w:t>
            </w:r>
          </w:p>
        </w:tc>
      </w:tr>
      <w:tr w14:paraId="477A70DA">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7702E">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D43D5">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A1F2A">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E6F58">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42C6D">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B4834">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6249F">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B813B">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933F0">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23F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0A57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D54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59.4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2577A">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D0C5E">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38EE7">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34EB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49.4</w:t>
            </w:r>
          </w:p>
        </w:tc>
      </w:tr>
      <w:tr w14:paraId="217FF1EB">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F42B0">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685E3">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9B674">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05387">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0DA32">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4A7B2">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3567E">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2848F">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D969E">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DC7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E4E1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875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48.2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78AB4">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3BE2F">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5D0C3">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8B39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38.2</w:t>
            </w:r>
          </w:p>
        </w:tc>
      </w:tr>
      <w:tr w14:paraId="07179EAE">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3F68C">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D69EC">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69607">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F274C">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91124">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EA5FF">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42074">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4FDC9">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6638B">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920E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4022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9F72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36.9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87E12">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3398E">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F83FA">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27DD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26.9</w:t>
            </w:r>
          </w:p>
        </w:tc>
      </w:tr>
      <w:tr w14:paraId="1D7D5A46">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76A12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34</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5D773">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1CC1B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均化料仓</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B7AA7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HF-LS-JBJ-1000</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F2A4C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A8BA3">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82DAF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21</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AF73B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05B37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F96A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67CB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21</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7D31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48.6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E792C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BF00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086C4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61AA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38.6</w:t>
            </w:r>
          </w:p>
        </w:tc>
      </w:tr>
      <w:tr w14:paraId="6E072669">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F3C43">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8A6BE">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552A5">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1E6D4">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2E894">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A84D3">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E161B">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EC300">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5B543">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DB0B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515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9</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4D81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55.9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86A6A">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45E72">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AF4F9">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1E75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45.9</w:t>
            </w:r>
          </w:p>
        </w:tc>
      </w:tr>
      <w:tr w14:paraId="7016CDAD">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98DF9">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AA322">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92BF1">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B2B1D">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0F964">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66B05">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40283">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BC990">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27A64">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192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E083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21</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EF6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48.6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DC059">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64FBC">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3ECDC">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48F8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38.6</w:t>
            </w:r>
          </w:p>
        </w:tc>
      </w:tr>
      <w:tr w14:paraId="502AC2BD">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64C7A">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02B3D">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910BB">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96B2D">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2C1FD">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280BB">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084AF">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8BBD1">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4C2F2">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69E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815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531C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37.5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2B4CE">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4437C">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43D4B">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C8F3F">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27.5</w:t>
            </w:r>
          </w:p>
        </w:tc>
      </w:tr>
      <w:tr w14:paraId="6599D23B">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25317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35</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370D3">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865D2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均化料仓</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B5E3E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HF-LS-JBJ-3000</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D5ABE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C01E1">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9A70C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24</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C6B6B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8</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071A3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FB3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E221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18</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0204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49.9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10E10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34EF8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C75D9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ED26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39.9</w:t>
            </w:r>
          </w:p>
        </w:tc>
      </w:tr>
      <w:tr w14:paraId="301DFCD7">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FF3DF">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800C8">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CB4F6">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51EEF">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004E7">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AC662">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F02C5">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A7D9A">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B8461">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7396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740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9</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1A13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55.9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A1763">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77EC5">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4826D">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1154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45.9</w:t>
            </w:r>
          </w:p>
        </w:tc>
      </w:tr>
      <w:tr w14:paraId="13F658D1">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AE958">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97B7F">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AA86A">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1D521">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8BB8D">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ED13C">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95EBC">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C2CFD">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BA5BF">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257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19CA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24</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42A3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47.4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16095">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7153F">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D2813">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E51B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37.4</w:t>
            </w:r>
          </w:p>
        </w:tc>
      </w:tr>
      <w:tr w14:paraId="0A9B59D5">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899E2">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5AD22">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C3CAE">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16A33">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C26A1">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69B37">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EC77B">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566E3">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098C4">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F5C0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435E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F0B2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37.5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62EFE">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A5FE5">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F4094">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1E8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27.5</w:t>
            </w:r>
          </w:p>
        </w:tc>
      </w:tr>
      <w:tr w14:paraId="39C0CFA9">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A6572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36</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F928F">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97C41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均化料仓</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58BF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HF-LS-JBJ-3000</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92589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2D072">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F0BCD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32</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2CBC6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9</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4E6A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755D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A23E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0F34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55.0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2B6DD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2DF8E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C2B06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A907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45.0</w:t>
            </w:r>
          </w:p>
        </w:tc>
      </w:tr>
      <w:tr w14:paraId="320F6068">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A2BFF">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1E1C7">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ECBF7">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976C6">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13273">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BD58E">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0707C">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CC36B">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07E93">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E29B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712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5420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55.0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A4E51">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89453">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24704">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ACFE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45.0</w:t>
            </w:r>
          </w:p>
        </w:tc>
      </w:tr>
      <w:tr w14:paraId="04F830AD">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C47F7">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2200A">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0E917">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DFF1D">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A64B6">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93A2A">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99421">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A3410">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4BC32">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DC95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B0C5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4879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44.9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8F562">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D3D1E">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AA49D">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B66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34.9</w:t>
            </w:r>
          </w:p>
        </w:tc>
      </w:tr>
      <w:tr w14:paraId="574C1621">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D40F7">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7BBF2">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6F5B8">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C4484">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086B9">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80230">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62606">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FD3AD">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7A182">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D28E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BFC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74</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DDD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37.6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E2567">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9B0B0">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37D52">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CD24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27.6</w:t>
            </w:r>
          </w:p>
        </w:tc>
      </w:tr>
      <w:tr w14:paraId="6A3207FD">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6079E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37</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A993D">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589C5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均化料仓</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69E62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HF-LS-JBJ-5000</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6202D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F5794">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EA54D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33</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962D9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14</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26F04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819F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59DF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DB52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55.0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20E0F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FE2BA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6A299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3600E">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45.0</w:t>
            </w:r>
          </w:p>
        </w:tc>
      </w:tr>
      <w:tr w14:paraId="565451AF">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F806D">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DBAF3">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21650">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91B49">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0DE27">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4A1B1">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EFC1B">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87F09">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E8B8B">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ED58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063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7EA7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50.9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13EAB">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24D4B">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79466">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061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40.9</w:t>
            </w:r>
          </w:p>
        </w:tc>
      </w:tr>
      <w:tr w14:paraId="5AEF2E44">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C62FF">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2B9C5">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C8FE0">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E6561">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F7231">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E5F4F">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24F18">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14B2C">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03681">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8A4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850A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B4D5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44.9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59404">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81E23">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EBF2D">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3C646">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34.9</w:t>
            </w:r>
          </w:p>
        </w:tc>
      </w:tr>
      <w:tr w14:paraId="2E50B6B9">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CAFD3">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E5D72">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A1351">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424E5">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2FEDC">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5E873">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B028E">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F7207">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B7C6C">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2F5C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6EA9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68</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D8E3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38.3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60643">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B255A">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8DE4B">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04B3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28.3</w:t>
            </w:r>
          </w:p>
        </w:tc>
      </w:tr>
      <w:tr w14:paraId="03D6A722">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E28D3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38</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81CE5">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AF6A9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均化料仓</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F20FA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HF-LS-JBJ-5000</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77695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5E93F">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C373D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33</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BA44B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19</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0C87C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FC82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BD46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E50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55.0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6CE25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A1AF1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1F3D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B301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45.0</w:t>
            </w:r>
          </w:p>
        </w:tc>
      </w:tr>
      <w:tr w14:paraId="01F2B352">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91577">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AC4E8">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746DC">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06B8E">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AC312">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18684">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35B91">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D9CA9">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8C747">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1B9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429F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21</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8FDA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48.6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1CA57">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3884A">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59315">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838F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38.6</w:t>
            </w:r>
          </w:p>
        </w:tc>
      </w:tr>
      <w:tr w14:paraId="5320CC98">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91B39">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A9399">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B1EEF">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21319">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7A575">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49DB7">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2EBC4">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D3F59">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4E244">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5FED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8ED6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9DA7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44.9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078EE">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9F27F">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C50E6">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89E0">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34.9</w:t>
            </w:r>
          </w:p>
        </w:tc>
      </w:tr>
      <w:tr w14:paraId="50DFA6F6">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A9870">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06240">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93230">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D20A8">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44C38">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13E54">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30698">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912E1">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A297A">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1D06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81E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63</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4D5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39.0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B9DAD">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44FF6">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77FBA">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E4AB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29.0</w:t>
            </w:r>
          </w:p>
        </w:tc>
      </w:tr>
      <w:tr w14:paraId="34D1268B">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9EC72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39</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76877">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47A00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均化料仓</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CE346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HF-LS-JBJ-5000</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996FF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11CF6">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BFDD2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33</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DD343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25</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396A4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4C34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3A78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EDB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55.0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B401B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986C1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C351C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E87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45.0</w:t>
            </w:r>
          </w:p>
        </w:tc>
      </w:tr>
      <w:tr w14:paraId="54C26AAC">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8E2F0">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4C80F">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07607">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9396B">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66268">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2993A">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37C90">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8B7EA">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CD87A">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9DA6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55E1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BB9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46.7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E6076">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83D1D">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7900F">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5EC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36.7</w:t>
            </w:r>
          </w:p>
        </w:tc>
      </w:tr>
      <w:tr w14:paraId="5A4E0229">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458AF">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789D9">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DA65F">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44AE7">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F5BF9">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16CCB">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0BB11">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55E94">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18322">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4881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5866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065A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44.9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B5E67">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954C8">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C4ECD">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0992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34.9</w:t>
            </w:r>
          </w:p>
        </w:tc>
      </w:tr>
      <w:tr w14:paraId="37958CB0">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3AE6D">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D8D6F">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EC9D1">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422DB">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8ACBA">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FE249">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52702">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9A398">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67190">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C93A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E868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58</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55CC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39.7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FB3DD">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F2C3F">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D0A3E">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6A44">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29.7</w:t>
            </w:r>
          </w:p>
        </w:tc>
      </w:tr>
      <w:tr w14:paraId="02B13D7B">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7FCA9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40</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E8A78">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5E6C3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均化料仓</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0B944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HF-LS-JBJ-5000</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1DCED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3D9C2">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66D89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33</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0A52F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29</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06168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DB3B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828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F046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55.0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8DBAC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FF31F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6193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90AB5">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45.0</w:t>
            </w:r>
          </w:p>
        </w:tc>
      </w:tr>
      <w:tr w14:paraId="74B4F2E3">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69AEE">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6BD35">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54731">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22386">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8BF19">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85208">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BBBF9">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732E1">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391E5">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FA44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DF2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31</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D1BD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45.2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26D7C">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D5306">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7B6BC">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15E9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35.2</w:t>
            </w:r>
          </w:p>
        </w:tc>
      </w:tr>
      <w:tr w14:paraId="02428798">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4D173">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31A4C">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42C2A">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85B3B">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63CE8">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C3945">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724BA">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1A0A8">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09C65">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2A60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1C3F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5DA6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44.9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3A85C">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AF7AD">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0DB9D">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BC3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34.9</w:t>
            </w:r>
          </w:p>
        </w:tc>
      </w:tr>
      <w:tr w14:paraId="19EB8534">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B44DE">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BBC74">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32462">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8DC3B">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726B1">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1A140">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CBC81">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F3C8C">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F809F">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9008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A480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53</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1BEA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40.5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8C07B">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67C2A">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34C76">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D1668">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30.5</w:t>
            </w:r>
          </w:p>
        </w:tc>
      </w:tr>
      <w:tr w14:paraId="508C7487">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00345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41</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34962">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85628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吨袋装袋机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8D3D6">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F9F7D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3C976">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FC6F5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39</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A0955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2DC33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DFBE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B42B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8FF0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69.0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1FF8E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99A63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CE1C5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E843C">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59.0</w:t>
            </w:r>
          </w:p>
        </w:tc>
      </w:tr>
      <w:tr w14:paraId="3D4329DC">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D25EA">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EF7BB">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9DC40">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53A2F">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438E8">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EBC56">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1734C">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7B67A">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D1CA1">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E6B8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190F8">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9560B">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59.4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C5066">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86664">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6B9B8">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353F9">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49.4</w:t>
            </w:r>
          </w:p>
        </w:tc>
      </w:tr>
      <w:tr w14:paraId="35644402">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8C37B">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2471A">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7E620">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7FFAD">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FB3F3">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5B6C3">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AE63D">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26B13">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7C96C">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670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CDF7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39</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2C95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43.2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8A816">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4D48B">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94AFD">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4820D">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33.2</w:t>
            </w:r>
          </w:p>
        </w:tc>
      </w:tr>
      <w:tr w14:paraId="270F3B25">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4CE70">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D85A3">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5F313">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5F68C">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AAEA1">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F6277">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B58A2">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33331">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DD418">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25E3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446A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79</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EC69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37.0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1068F">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9B573">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A619D">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CB81B">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27.0</w:t>
            </w:r>
          </w:p>
        </w:tc>
      </w:tr>
      <w:tr w14:paraId="6FE80154">
        <w:tblPrEx>
          <w:tblCellMar>
            <w:top w:w="0" w:type="dxa"/>
            <w:left w:w="108" w:type="dxa"/>
            <w:bottom w:w="0" w:type="dxa"/>
            <w:right w:w="108" w:type="dxa"/>
          </w:tblCellMar>
        </w:tblPrEx>
        <w:trPr>
          <w:trHeight w:val="270" w:hRule="atLeast"/>
          <w:jc w:val="center"/>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76713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42</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4F267">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547CD2">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自动缠绕膜</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40DBE4">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902BE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75</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214AB">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5D3AA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35</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B5794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66FF4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93F45">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东</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E7DC4">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DD5C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59.4 </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8A151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昼间</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9D22F6">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10</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D4011A">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39972">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49.4</w:t>
            </w:r>
          </w:p>
        </w:tc>
      </w:tr>
      <w:tr w14:paraId="176B3694">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AA235">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A7326">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8678B">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CDD7B">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64B8B">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773D4">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F243C">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00564">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5F7FA">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41DE">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BA009">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6AAEC">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59.4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AF9E7">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0C79B">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F11D1">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10EC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49.4</w:t>
            </w:r>
          </w:p>
        </w:tc>
      </w:tr>
      <w:tr w14:paraId="01ED5EB7">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07651">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15A6C">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1CF22">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68BA5">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4E51F">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50E66">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08A51">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7C80C">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208A9">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C58D3">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西</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6D91">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35</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236C0">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44.1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91E69">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2C8A1">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E126A">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873C3">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34.1</w:t>
            </w:r>
          </w:p>
        </w:tc>
      </w:tr>
      <w:tr w14:paraId="2E75EA70">
        <w:tblPrEx>
          <w:tblCellMar>
            <w:top w:w="0" w:type="dxa"/>
            <w:left w:w="108" w:type="dxa"/>
            <w:bottom w:w="0" w:type="dxa"/>
            <w:right w:w="108" w:type="dxa"/>
          </w:tblCellMar>
        </w:tblPrEx>
        <w:trPr>
          <w:trHeight w:val="270" w:hRule="atLeast"/>
          <w:jc w:val="center"/>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000BF">
            <w:pPr>
              <w:widowControl/>
              <w:spacing w:line="240" w:lineRule="auto"/>
              <w:ind w:firstLine="0" w:firstLineChars="0"/>
              <w:jc w:val="center"/>
              <w:rPr>
                <w:rFonts w:hint="default" w:ascii="Times New Roman" w:hAnsi="Times New Roman" w:cs="Times New Roman"/>
                <w:color w:val="auto"/>
                <w:sz w:val="21"/>
                <w:szCs w:val="21"/>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72C25">
            <w:pPr>
              <w:widowControl/>
              <w:spacing w:line="240" w:lineRule="auto"/>
              <w:ind w:firstLine="0" w:firstLineChars="0"/>
              <w:jc w:val="center"/>
              <w:rPr>
                <w:rFonts w:hint="default" w:ascii="Times New Roman" w:hAnsi="Times New Roman" w:cs="Times New Roman"/>
                <w:color w:val="auto"/>
                <w:sz w:val="21"/>
                <w:szCs w:val="21"/>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793A0">
            <w:pPr>
              <w:widowControl/>
              <w:spacing w:line="240" w:lineRule="auto"/>
              <w:ind w:firstLine="0" w:firstLineChars="0"/>
              <w:jc w:val="center"/>
              <w:rPr>
                <w:rFonts w:hint="default" w:ascii="Times New Roman" w:hAnsi="Times New Roman" w:cs="Times New Roman"/>
                <w:color w:val="auto"/>
                <w:sz w:val="21"/>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BBA5D">
            <w:pPr>
              <w:widowControl/>
              <w:spacing w:line="240" w:lineRule="auto"/>
              <w:ind w:firstLine="0" w:firstLineChars="0"/>
              <w:jc w:val="center"/>
              <w:rPr>
                <w:rFonts w:hint="default" w:ascii="Times New Roman" w:hAnsi="Times New Roman" w:cs="Times New Roman"/>
                <w:color w:val="auto"/>
                <w:sz w:val="21"/>
                <w:szCs w:val="21"/>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3B903">
            <w:pPr>
              <w:widowControl/>
              <w:spacing w:line="240" w:lineRule="auto"/>
              <w:ind w:firstLine="0" w:firstLineChars="0"/>
              <w:jc w:val="center"/>
              <w:rPr>
                <w:rFonts w:hint="default" w:ascii="Times New Roman" w:hAnsi="Times New Roman" w:cs="Times New Roman"/>
                <w:color w:val="auto"/>
                <w:sz w:val="21"/>
                <w:szCs w:val="21"/>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FC231">
            <w:pPr>
              <w:widowControl/>
              <w:spacing w:line="240" w:lineRule="auto"/>
              <w:ind w:firstLine="0" w:firstLineChars="0"/>
              <w:jc w:val="center"/>
              <w:rPr>
                <w:rFonts w:hint="default" w:ascii="Times New Roman" w:hAnsi="Times New Roman" w:cs="Times New Roman"/>
                <w:color w:val="auto"/>
                <w:sz w:val="21"/>
                <w:szCs w:val="21"/>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632CE">
            <w:pPr>
              <w:widowControl/>
              <w:spacing w:line="240" w:lineRule="auto"/>
              <w:ind w:firstLine="0" w:firstLineChars="0"/>
              <w:jc w:val="center"/>
              <w:rPr>
                <w:rFonts w:hint="default" w:ascii="Times New Roman" w:hAnsi="Times New Roman" w:cs="Times New Roman"/>
                <w:color w:val="auto"/>
                <w:sz w:val="21"/>
                <w:szCs w:val="21"/>
              </w:rP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EB19D">
            <w:pPr>
              <w:widowControl/>
              <w:spacing w:line="240" w:lineRule="auto"/>
              <w:ind w:firstLine="0" w:firstLineChars="0"/>
              <w:jc w:val="center"/>
              <w:rPr>
                <w:rFonts w:hint="default" w:ascii="Times New Roman" w:hAnsi="Times New Roman" w:cs="Times New Roman"/>
                <w:color w:val="auto"/>
                <w:sz w:val="21"/>
                <w:szCs w:val="21"/>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49129">
            <w:pPr>
              <w:widowControl/>
              <w:spacing w:line="240" w:lineRule="auto"/>
              <w:ind w:firstLine="0" w:firstLineChars="0"/>
              <w:jc w:val="center"/>
              <w:rPr>
                <w:rFonts w:hint="default" w:ascii="Times New Roman" w:hAnsi="Times New Roman" w:cs="Times New Roman"/>
                <w:color w:val="auto"/>
                <w:sz w:val="21"/>
                <w:szCs w:val="21"/>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28B3F">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977FD">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79</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1187">
            <w:pPr>
              <w:widowControl/>
              <w:spacing w:line="240" w:lineRule="auto"/>
              <w:ind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 xml:space="preserve">37.0 </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B44F3">
            <w:pPr>
              <w:widowControl/>
              <w:spacing w:line="240" w:lineRule="auto"/>
              <w:ind w:firstLine="0" w:firstLineChars="0"/>
              <w:jc w:val="center"/>
              <w:rPr>
                <w:rFonts w:hint="default" w:ascii="Times New Roman" w:hAnsi="Times New Roman" w:cs="Times New Roman"/>
                <w:color w:val="auto"/>
                <w:sz w:val="21"/>
                <w:szCs w:val="21"/>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A39D0">
            <w:pPr>
              <w:widowControl/>
              <w:spacing w:line="240" w:lineRule="auto"/>
              <w:ind w:firstLine="0" w:firstLineChars="0"/>
              <w:jc w:val="center"/>
              <w:rPr>
                <w:rFonts w:hint="default" w:ascii="Times New Roman" w:hAnsi="Times New Roman" w:cs="Times New Roman"/>
                <w:color w:val="auto"/>
                <w:sz w:val="21"/>
                <w:szCs w:val="21"/>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86D30">
            <w:pPr>
              <w:widowControl/>
              <w:spacing w:line="240" w:lineRule="auto"/>
              <w:ind w:firstLine="0" w:firstLineChars="0"/>
              <w:jc w:val="center"/>
              <w:rPr>
                <w:rFonts w:hint="default" w:ascii="Times New Roman" w:hAnsi="Times New Roman" w:cs="Times New Roman"/>
                <w:color w:val="auto"/>
                <w:sz w:val="21"/>
                <w:szCs w:val="21"/>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4E90A">
            <w:pPr>
              <w:widowControl/>
              <w:spacing w:line="240" w:lineRule="auto"/>
              <w:ind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27.0</w:t>
            </w:r>
          </w:p>
        </w:tc>
      </w:tr>
    </w:tbl>
    <w:p w14:paraId="3575E3A5">
      <w:pPr>
        <w:ind w:firstLine="480"/>
        <w:rPr>
          <w:rFonts w:hint="default" w:ascii="Times New Roman" w:hAnsi="Times New Roman" w:cs="Times New Roman"/>
          <w:color w:val="auto"/>
        </w:rPr>
      </w:pPr>
    </w:p>
    <w:p w14:paraId="06F86F56">
      <w:pPr>
        <w:ind w:firstLine="480"/>
        <w:rPr>
          <w:rFonts w:hint="default" w:ascii="Times New Roman" w:hAnsi="Times New Roman" w:cs="Times New Roman"/>
          <w:color w:val="auto"/>
        </w:rPr>
        <w:sectPr>
          <w:headerReference r:id="rId28" w:type="default"/>
          <w:pgSz w:w="16840" w:h="11907" w:orient="landscape"/>
          <w:pgMar w:top="1797" w:right="1440" w:bottom="1797" w:left="1440" w:header="851" w:footer="992" w:gutter="0"/>
          <w:cols w:space="720" w:num="1"/>
          <w:docGrid w:type="lines" w:linePitch="312" w:charSpace="0"/>
        </w:sectPr>
      </w:pPr>
    </w:p>
    <w:p w14:paraId="72138BF5">
      <w:pPr>
        <w:ind w:firstLine="480"/>
        <w:rPr>
          <w:rFonts w:hint="default" w:ascii="Times New Roman" w:hAnsi="Times New Roman" w:cs="Times New Roman"/>
          <w:color w:val="auto"/>
        </w:rPr>
      </w:pPr>
      <w:r>
        <w:rPr>
          <w:rFonts w:hint="default" w:ascii="Times New Roman" w:hAnsi="Times New Roman" w:cs="Times New Roman"/>
          <w:color w:val="auto"/>
        </w:rPr>
        <w:t>厂界噪声预测值见表4.2.3-3。</w:t>
      </w:r>
    </w:p>
    <w:p w14:paraId="78A2B154">
      <w:pPr>
        <w:pStyle w:val="93"/>
        <w:rPr>
          <w:rFonts w:hint="default" w:ascii="Times New Roman" w:hAnsi="Times New Roman" w:cs="Times New Roman"/>
          <w:color w:val="auto"/>
        </w:rPr>
      </w:pPr>
      <w:r>
        <w:rPr>
          <w:rFonts w:hint="default" w:ascii="Times New Roman" w:hAnsi="Times New Roman" w:cs="Times New Roman"/>
          <w:color w:val="auto"/>
        </w:rPr>
        <w:t xml:space="preserve">表4.2.3-3     厂界噪声预测结果    </w:t>
      </w:r>
      <w:r>
        <w:rPr>
          <w:rFonts w:hint="default" w:ascii="Times New Roman" w:hAnsi="Times New Roman" w:cs="Times New Roman"/>
          <w:color w:val="auto"/>
          <w:sz w:val="21"/>
        </w:rPr>
        <w:t>dB(A)</w:t>
      </w:r>
    </w:p>
    <w:tbl>
      <w:tblPr>
        <w:tblStyle w:val="44"/>
        <w:tblW w:w="4899" w:type="pct"/>
        <w:jc w:val="center"/>
        <w:tblLayout w:type="autofit"/>
        <w:tblCellMar>
          <w:top w:w="0" w:type="dxa"/>
          <w:left w:w="108" w:type="dxa"/>
          <w:bottom w:w="0" w:type="dxa"/>
          <w:right w:w="108" w:type="dxa"/>
        </w:tblCellMar>
      </w:tblPr>
      <w:tblGrid>
        <w:gridCol w:w="1339"/>
        <w:gridCol w:w="1340"/>
        <w:gridCol w:w="1340"/>
        <w:gridCol w:w="1657"/>
        <w:gridCol w:w="1340"/>
        <w:gridCol w:w="1341"/>
      </w:tblGrid>
      <w:tr w14:paraId="78B391BF">
        <w:tblPrEx>
          <w:tblCellMar>
            <w:top w:w="0" w:type="dxa"/>
            <w:left w:w="108" w:type="dxa"/>
            <w:bottom w:w="0" w:type="dxa"/>
            <w:right w:w="108" w:type="dxa"/>
          </w:tblCellMar>
        </w:tblPrEx>
        <w:trPr>
          <w:trHeight w:val="510" w:hRule="atLeast"/>
          <w:jc w:val="center"/>
        </w:trPr>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867B2">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序号</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ED5D7">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预测点</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5EB41">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预测时段</w:t>
            </w:r>
          </w:p>
        </w:tc>
        <w:tc>
          <w:tcPr>
            <w:tcW w:w="1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DFF8A">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预测值</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4577B">
            <w:pPr>
              <w:widowControl/>
              <w:spacing w:line="240" w:lineRule="auto"/>
              <w:ind w:firstLine="0" w:firstLineChars="0"/>
              <w:jc w:val="center"/>
              <w:textAlignment w:val="top"/>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标准值</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56615">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达标分析</w:t>
            </w:r>
          </w:p>
        </w:tc>
      </w:tr>
      <w:tr w14:paraId="5818D795">
        <w:tblPrEx>
          <w:tblCellMar>
            <w:top w:w="0" w:type="dxa"/>
            <w:left w:w="108" w:type="dxa"/>
            <w:bottom w:w="0" w:type="dxa"/>
            <w:right w:w="108" w:type="dxa"/>
          </w:tblCellMar>
        </w:tblPrEx>
        <w:trPr>
          <w:trHeight w:val="270" w:hRule="atLeast"/>
          <w:jc w:val="center"/>
        </w:trPr>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609A">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1</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BE56D">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东</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3B5CB">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昼间</w:t>
            </w:r>
          </w:p>
        </w:tc>
        <w:tc>
          <w:tcPr>
            <w:tcW w:w="1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C9C30">
            <w:pPr>
              <w:widowControl/>
              <w:spacing w:line="240" w:lineRule="auto"/>
              <w:ind w:firstLine="0" w:firstLineChars="0"/>
              <w:jc w:val="center"/>
              <w:textAlignment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40.1</w:t>
            </w:r>
          </w:p>
        </w:tc>
        <w:tc>
          <w:tcPr>
            <w:tcW w:w="13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65EB7A">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昼间65</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41506">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达标</w:t>
            </w:r>
          </w:p>
        </w:tc>
      </w:tr>
      <w:tr w14:paraId="6427CF83">
        <w:tblPrEx>
          <w:tblCellMar>
            <w:top w:w="0" w:type="dxa"/>
            <w:left w:w="108" w:type="dxa"/>
            <w:bottom w:w="0" w:type="dxa"/>
            <w:right w:w="108" w:type="dxa"/>
          </w:tblCellMar>
        </w:tblPrEx>
        <w:trPr>
          <w:trHeight w:val="270" w:hRule="atLeast"/>
          <w:jc w:val="center"/>
        </w:trPr>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8F2B0">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2</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A9CCF">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南</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C1097">
            <w:pPr>
              <w:widowControl/>
              <w:spacing w:line="240" w:lineRule="auto"/>
              <w:ind w:firstLine="0" w:firstLineChars="0"/>
              <w:jc w:val="center"/>
              <w:rPr>
                <w:rFonts w:hint="default" w:ascii="Times New Roman" w:hAnsi="Times New Roman" w:cs="Times New Roman"/>
                <w:color w:val="auto"/>
                <w:kern w:val="2"/>
                <w:sz w:val="21"/>
                <w:szCs w:val="21"/>
              </w:rPr>
            </w:pPr>
          </w:p>
        </w:tc>
        <w:tc>
          <w:tcPr>
            <w:tcW w:w="1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772DC">
            <w:pPr>
              <w:widowControl/>
              <w:spacing w:line="240" w:lineRule="auto"/>
              <w:ind w:firstLine="0" w:firstLineChars="0"/>
              <w:jc w:val="center"/>
              <w:textAlignment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54.1</w:t>
            </w:r>
          </w:p>
        </w:tc>
        <w:tc>
          <w:tcPr>
            <w:tcW w:w="13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D50C8">
            <w:pPr>
              <w:widowControl/>
              <w:spacing w:line="240" w:lineRule="auto"/>
              <w:ind w:firstLine="0" w:firstLineChars="0"/>
              <w:jc w:val="center"/>
              <w:rPr>
                <w:rFonts w:hint="default" w:ascii="Times New Roman" w:hAnsi="Times New Roman" w:cs="Times New Roman"/>
                <w:color w:val="auto"/>
                <w:kern w:val="2"/>
                <w:sz w:val="21"/>
                <w:szCs w:val="21"/>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B55F5">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达标</w:t>
            </w:r>
          </w:p>
        </w:tc>
      </w:tr>
      <w:tr w14:paraId="220C5D03">
        <w:tblPrEx>
          <w:tblCellMar>
            <w:top w:w="0" w:type="dxa"/>
            <w:left w:w="108" w:type="dxa"/>
            <w:bottom w:w="0" w:type="dxa"/>
            <w:right w:w="108" w:type="dxa"/>
          </w:tblCellMar>
        </w:tblPrEx>
        <w:trPr>
          <w:trHeight w:val="270" w:hRule="atLeast"/>
          <w:jc w:val="center"/>
        </w:trPr>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1C51">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3</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4F18">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西</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15706">
            <w:pPr>
              <w:widowControl/>
              <w:spacing w:line="240" w:lineRule="auto"/>
              <w:ind w:firstLine="0" w:firstLineChars="0"/>
              <w:jc w:val="center"/>
              <w:rPr>
                <w:rFonts w:hint="default" w:ascii="Times New Roman" w:hAnsi="Times New Roman" w:cs="Times New Roman"/>
                <w:color w:val="auto"/>
                <w:kern w:val="2"/>
                <w:sz w:val="21"/>
                <w:szCs w:val="21"/>
              </w:rPr>
            </w:pPr>
          </w:p>
        </w:tc>
        <w:tc>
          <w:tcPr>
            <w:tcW w:w="1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37981">
            <w:pPr>
              <w:widowControl/>
              <w:spacing w:line="240" w:lineRule="auto"/>
              <w:ind w:firstLine="0" w:firstLineChars="0"/>
              <w:jc w:val="center"/>
              <w:textAlignment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57.3</w:t>
            </w:r>
          </w:p>
        </w:tc>
        <w:tc>
          <w:tcPr>
            <w:tcW w:w="13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3CC4E">
            <w:pPr>
              <w:widowControl/>
              <w:spacing w:line="240" w:lineRule="auto"/>
              <w:ind w:firstLine="0" w:firstLineChars="0"/>
              <w:jc w:val="center"/>
              <w:rPr>
                <w:rFonts w:hint="default" w:ascii="Times New Roman" w:hAnsi="Times New Roman" w:cs="Times New Roman"/>
                <w:color w:val="auto"/>
                <w:kern w:val="2"/>
                <w:sz w:val="21"/>
                <w:szCs w:val="21"/>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C3FAB">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达标</w:t>
            </w:r>
          </w:p>
        </w:tc>
      </w:tr>
      <w:tr w14:paraId="2139789F">
        <w:tblPrEx>
          <w:tblCellMar>
            <w:top w:w="0" w:type="dxa"/>
            <w:left w:w="108" w:type="dxa"/>
            <w:bottom w:w="0" w:type="dxa"/>
            <w:right w:w="108" w:type="dxa"/>
          </w:tblCellMar>
        </w:tblPrEx>
        <w:trPr>
          <w:trHeight w:val="270" w:hRule="atLeast"/>
          <w:jc w:val="center"/>
        </w:trPr>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2F912">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4</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8DF2">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北</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C648F">
            <w:pPr>
              <w:widowControl/>
              <w:spacing w:line="240" w:lineRule="auto"/>
              <w:ind w:firstLine="0" w:firstLineChars="0"/>
              <w:jc w:val="center"/>
              <w:rPr>
                <w:rFonts w:hint="default" w:ascii="Times New Roman" w:hAnsi="Times New Roman" w:cs="Times New Roman"/>
                <w:color w:val="auto"/>
                <w:kern w:val="2"/>
                <w:sz w:val="21"/>
                <w:szCs w:val="21"/>
              </w:rPr>
            </w:pPr>
          </w:p>
        </w:tc>
        <w:tc>
          <w:tcPr>
            <w:tcW w:w="1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A2366">
            <w:pPr>
              <w:widowControl/>
              <w:spacing w:line="240" w:lineRule="auto"/>
              <w:ind w:firstLine="0" w:firstLineChars="0"/>
              <w:jc w:val="center"/>
              <w:textAlignment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43.6</w:t>
            </w:r>
          </w:p>
        </w:tc>
        <w:tc>
          <w:tcPr>
            <w:tcW w:w="13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975C8">
            <w:pPr>
              <w:widowControl/>
              <w:spacing w:line="240" w:lineRule="auto"/>
              <w:ind w:firstLine="0" w:firstLineChars="0"/>
              <w:jc w:val="center"/>
              <w:rPr>
                <w:rFonts w:hint="default" w:ascii="Times New Roman" w:hAnsi="Times New Roman" w:cs="Times New Roman"/>
                <w:color w:val="auto"/>
                <w:kern w:val="2"/>
                <w:sz w:val="21"/>
                <w:szCs w:val="21"/>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F9B42">
            <w:pPr>
              <w:widowControl/>
              <w:spacing w:line="240" w:lineRule="auto"/>
              <w:ind w:firstLine="0" w:firstLineChars="0"/>
              <w:jc w:val="center"/>
              <w:textAlignment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bidi="ar"/>
              </w:rPr>
              <w:t>达标</w:t>
            </w:r>
          </w:p>
        </w:tc>
      </w:tr>
    </w:tbl>
    <w:p w14:paraId="22ED1D29">
      <w:pPr>
        <w:ind w:firstLine="480"/>
        <w:rPr>
          <w:rFonts w:hint="default" w:ascii="Times New Roman" w:hAnsi="Times New Roman" w:cs="Times New Roman"/>
          <w:color w:val="auto"/>
        </w:rPr>
      </w:pPr>
      <w:r>
        <w:rPr>
          <w:rFonts w:hint="default" w:ascii="Times New Roman" w:hAnsi="Times New Roman" w:cs="Times New Roman"/>
          <w:color w:val="auto"/>
        </w:rPr>
        <w:t>由上表可见，本项目通过采取有效的减振、隔声和消声措施后，四个厂界处噪声昼夜间均满足《工业企业厂界环境噪声排放标准》（GB12348-2008）中3类标准要求。</w:t>
      </w:r>
    </w:p>
    <w:p w14:paraId="788F45B3">
      <w:pPr>
        <w:ind w:firstLine="480"/>
        <w:rPr>
          <w:rFonts w:hint="default" w:ascii="Times New Roman" w:hAnsi="Times New Roman" w:cs="Times New Roman"/>
          <w:color w:val="auto"/>
        </w:rPr>
      </w:pPr>
      <w:r>
        <w:rPr>
          <w:rFonts w:hint="default" w:ascii="Times New Roman" w:hAnsi="Times New Roman" w:cs="Times New Roman"/>
          <w:color w:val="auto"/>
        </w:rPr>
        <w:t>（2）噪声污染防治措施</w:t>
      </w:r>
    </w:p>
    <w:p w14:paraId="5F5E57DF">
      <w:pPr>
        <w:ind w:firstLine="480"/>
        <w:rPr>
          <w:rFonts w:hint="default" w:ascii="Times New Roman" w:hAnsi="Times New Roman" w:cs="Times New Roman"/>
          <w:color w:val="auto"/>
        </w:rPr>
      </w:pPr>
      <w:r>
        <w:rPr>
          <w:rFonts w:hint="default" w:ascii="Times New Roman" w:hAnsi="Times New Roman" w:cs="Times New Roman"/>
          <w:color w:val="auto"/>
        </w:rPr>
        <w:t>本工程采取的噪声控制措施主要为采取隔声、消声、减振措施；加强噪声设备的维护管理，确保设备处于良好的运转状态，杜绝因设备不正常运行所导致的高噪声现象，同时夜间不生产。</w:t>
      </w:r>
    </w:p>
    <w:p w14:paraId="37C487FE">
      <w:pPr>
        <w:ind w:firstLine="480"/>
        <w:rPr>
          <w:rFonts w:hint="default" w:ascii="Times New Roman" w:hAnsi="Times New Roman" w:cs="Times New Roman"/>
          <w:color w:val="auto"/>
        </w:rPr>
      </w:pPr>
      <w:r>
        <w:rPr>
          <w:rFonts w:hint="default" w:ascii="Times New Roman" w:hAnsi="Times New Roman" w:cs="Times New Roman"/>
          <w:color w:val="auto"/>
        </w:rPr>
        <w:t>（3）噪声监测计划</w:t>
      </w:r>
    </w:p>
    <w:p w14:paraId="2E59ADC2">
      <w:pPr>
        <w:ind w:firstLine="480"/>
        <w:rPr>
          <w:rFonts w:hint="default" w:ascii="Times New Roman" w:hAnsi="Times New Roman" w:cs="Times New Roman"/>
          <w:color w:val="auto"/>
        </w:rPr>
      </w:pPr>
      <w:r>
        <w:rPr>
          <w:rFonts w:hint="default" w:ascii="Times New Roman" w:hAnsi="Times New Roman" w:cs="Times New Roman"/>
          <w:color w:val="auto"/>
        </w:rPr>
        <w:t>根据《排污单位自行监测技术指南 总则》（HJ819-2017）、《排污单位自行监测技术指南 橡胶和塑料制品》（HJ1207-2021），项目污染源监测计划见表4.2.3-4。</w:t>
      </w:r>
    </w:p>
    <w:p w14:paraId="6C1BD165">
      <w:pPr>
        <w:pStyle w:val="93"/>
        <w:rPr>
          <w:rFonts w:hint="default" w:ascii="Times New Roman" w:hAnsi="Times New Roman" w:cs="Times New Roman"/>
          <w:color w:val="auto"/>
        </w:rPr>
      </w:pPr>
      <w:r>
        <w:rPr>
          <w:rFonts w:hint="default" w:ascii="Times New Roman" w:hAnsi="Times New Roman" w:cs="Times New Roman"/>
          <w:color w:val="auto"/>
        </w:rPr>
        <w:t>表4.2.3-4     污染源排放监测计划</w:t>
      </w:r>
    </w:p>
    <w:tbl>
      <w:tblPr>
        <w:tblStyle w:val="44"/>
        <w:tblW w:w="7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5"/>
        <w:gridCol w:w="969"/>
        <w:gridCol w:w="1249"/>
        <w:gridCol w:w="2638"/>
        <w:gridCol w:w="2040"/>
      </w:tblGrid>
      <w:tr w14:paraId="58B0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1045" w:type="dxa"/>
            <w:noWrap/>
            <w:vAlign w:val="center"/>
          </w:tcPr>
          <w:p w14:paraId="64CA1CD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污染源</w:t>
            </w:r>
          </w:p>
        </w:tc>
        <w:tc>
          <w:tcPr>
            <w:tcW w:w="969" w:type="dxa"/>
            <w:noWrap/>
            <w:vAlign w:val="center"/>
          </w:tcPr>
          <w:p w14:paraId="2B4B03F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监测点</w:t>
            </w:r>
          </w:p>
        </w:tc>
        <w:tc>
          <w:tcPr>
            <w:tcW w:w="1249" w:type="dxa"/>
            <w:noWrap/>
            <w:vAlign w:val="center"/>
          </w:tcPr>
          <w:p w14:paraId="285A1C9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监测指标</w:t>
            </w:r>
          </w:p>
        </w:tc>
        <w:tc>
          <w:tcPr>
            <w:tcW w:w="2638" w:type="dxa"/>
            <w:noWrap/>
            <w:vAlign w:val="center"/>
          </w:tcPr>
          <w:p w14:paraId="69B0050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监测频次</w:t>
            </w:r>
          </w:p>
        </w:tc>
        <w:tc>
          <w:tcPr>
            <w:tcW w:w="2040" w:type="dxa"/>
            <w:vAlign w:val="center"/>
          </w:tcPr>
          <w:p w14:paraId="2813B07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执行排放标准</w:t>
            </w:r>
          </w:p>
        </w:tc>
      </w:tr>
      <w:tr w14:paraId="1860B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45" w:type="dxa"/>
            <w:noWrap/>
            <w:vAlign w:val="center"/>
          </w:tcPr>
          <w:p w14:paraId="0E0EDFC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厂区</w:t>
            </w:r>
          </w:p>
        </w:tc>
        <w:tc>
          <w:tcPr>
            <w:tcW w:w="969" w:type="dxa"/>
            <w:vAlign w:val="center"/>
          </w:tcPr>
          <w:p w14:paraId="5B5B418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厂界</w:t>
            </w:r>
          </w:p>
        </w:tc>
        <w:tc>
          <w:tcPr>
            <w:tcW w:w="1249" w:type="dxa"/>
            <w:noWrap/>
            <w:vAlign w:val="center"/>
          </w:tcPr>
          <w:p w14:paraId="2922B2B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昼间等效A声级</w:t>
            </w:r>
          </w:p>
        </w:tc>
        <w:tc>
          <w:tcPr>
            <w:tcW w:w="2638" w:type="dxa"/>
            <w:vAlign w:val="center"/>
          </w:tcPr>
          <w:p w14:paraId="0908F6D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1次/季度</w:t>
            </w:r>
          </w:p>
        </w:tc>
        <w:tc>
          <w:tcPr>
            <w:tcW w:w="2040" w:type="dxa"/>
            <w:vAlign w:val="center"/>
          </w:tcPr>
          <w:p w14:paraId="6EBB8F7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《工业企业厂界环境噪声排放标准》3类标准</w:t>
            </w:r>
          </w:p>
        </w:tc>
      </w:tr>
    </w:tbl>
    <w:p w14:paraId="38F905CA">
      <w:pPr>
        <w:pStyle w:val="258"/>
        <w:rPr>
          <w:rFonts w:hint="default" w:ascii="Times New Roman" w:hAnsi="Times New Roman" w:cs="Times New Roman"/>
          <w:color w:val="auto"/>
        </w:rPr>
      </w:pPr>
      <w:r>
        <w:rPr>
          <w:rFonts w:hint="default" w:ascii="Times New Roman" w:hAnsi="Times New Roman" w:eastAsia="宋体" w:cs="Times New Roman"/>
          <w:color w:val="auto"/>
        </w:rPr>
        <w:t>4</w:t>
      </w:r>
      <w:r>
        <w:rPr>
          <w:rFonts w:hint="default" w:ascii="Times New Roman" w:hAnsi="Times New Roman" w:cs="Times New Roman"/>
          <w:color w:val="auto"/>
        </w:rPr>
        <w:t>.2.4</w:t>
      </w:r>
      <w:r>
        <w:rPr>
          <w:rFonts w:hint="default" w:ascii="Times New Roman" w:hAnsi="Times New Roman" w:eastAsia="宋体" w:cs="Times New Roman"/>
          <w:color w:val="auto"/>
        </w:rPr>
        <w:t xml:space="preserve"> 固体废物</w:t>
      </w:r>
    </w:p>
    <w:p w14:paraId="04F5F4AA">
      <w:pPr>
        <w:ind w:firstLine="480"/>
        <w:rPr>
          <w:rFonts w:hint="default" w:ascii="Times New Roman" w:hAnsi="Times New Roman" w:cs="Times New Roman"/>
          <w:color w:val="auto"/>
        </w:rPr>
      </w:pPr>
      <w:r>
        <w:rPr>
          <w:rFonts w:hint="default" w:ascii="Times New Roman" w:hAnsi="Times New Roman" w:cs="Times New Roman"/>
          <w:color w:val="auto"/>
        </w:rPr>
        <w:t>（1）固废产生情况</w:t>
      </w:r>
    </w:p>
    <w:p w14:paraId="25F2F2BA">
      <w:pPr>
        <w:ind w:firstLine="480"/>
        <w:rPr>
          <w:rFonts w:hint="default" w:ascii="Times New Roman" w:hAnsi="Times New Roman" w:cs="Times New Roman"/>
          <w:color w:val="auto"/>
        </w:rPr>
      </w:pPr>
      <w:r>
        <w:rPr>
          <w:rFonts w:hint="default" w:ascii="Times New Roman" w:hAnsi="Times New Roman" w:cs="Times New Roman"/>
          <w:color w:val="auto"/>
        </w:rPr>
        <w:t>本项目固体废物包括一般工业固废和危废。</w:t>
      </w:r>
    </w:p>
    <w:p w14:paraId="738353E6">
      <w:pPr>
        <w:ind w:firstLine="480"/>
        <w:rPr>
          <w:rFonts w:hint="default" w:ascii="Times New Roman" w:hAnsi="Times New Roman" w:cs="Times New Roman"/>
          <w:color w:val="auto"/>
        </w:rPr>
      </w:pPr>
      <w:r>
        <w:rPr>
          <w:rFonts w:hint="default" w:ascii="Times New Roman" w:hAnsi="Times New Roman" w:cs="Times New Roman"/>
          <w:color w:val="auto"/>
        </w:rPr>
        <w:t>1）一般工业固废</w:t>
      </w:r>
    </w:p>
    <w:p w14:paraId="265B1520">
      <w:pPr>
        <w:ind w:firstLine="480"/>
        <w:rPr>
          <w:rFonts w:hint="default" w:ascii="Times New Roman" w:hAnsi="Times New Roman" w:cs="Times New Roman"/>
          <w:color w:val="auto"/>
        </w:rPr>
      </w:pPr>
      <w:r>
        <w:rPr>
          <w:rFonts w:hint="default" w:ascii="Times New Roman" w:hAnsi="Times New Roman" w:cs="Times New Roman"/>
          <w:color w:val="auto"/>
        </w:rPr>
        <w:t>A、废塑料</w:t>
      </w:r>
    </w:p>
    <w:p w14:paraId="1F5B96B1">
      <w:pPr>
        <w:ind w:firstLine="480"/>
        <w:rPr>
          <w:rFonts w:hint="default" w:ascii="Times New Roman" w:hAnsi="Times New Roman" w:cs="Times New Roman"/>
          <w:color w:val="auto"/>
        </w:rPr>
      </w:pPr>
      <w:r>
        <w:rPr>
          <w:rFonts w:hint="default" w:ascii="Times New Roman" w:hAnsi="Times New Roman" w:cs="Times New Roman"/>
          <w:color w:val="auto"/>
        </w:rPr>
        <w:t>本项目检验检测产生的废料、检测包装产生的废品、挤出机机头料、生产废水过滤预处理产生的废塑料渣，</w:t>
      </w:r>
      <w:r>
        <w:rPr>
          <w:rFonts w:hint="eastAsia" w:cs="Times New Roman"/>
          <w:color w:val="auto"/>
          <w:lang w:val="en-US" w:eastAsia="zh-CN"/>
        </w:rPr>
        <w:t>色母更换产生的洗机料，</w:t>
      </w:r>
      <w:r>
        <w:rPr>
          <w:rFonts w:hint="default" w:ascii="Times New Roman" w:hAnsi="Times New Roman" w:cs="Times New Roman"/>
          <w:color w:val="auto"/>
        </w:rPr>
        <w:t>产生量约2.5t/a，外售处置。挤出机清膛料产生量约4t/a全部破碎后回用于生产。</w:t>
      </w:r>
    </w:p>
    <w:p w14:paraId="76674B9B">
      <w:pPr>
        <w:ind w:firstLine="480"/>
        <w:rPr>
          <w:rFonts w:hint="default" w:ascii="Times New Roman" w:hAnsi="Times New Roman" w:cs="Times New Roman"/>
          <w:color w:val="auto"/>
        </w:rPr>
      </w:pPr>
      <w:r>
        <w:rPr>
          <w:rFonts w:hint="default" w:ascii="Times New Roman" w:hAnsi="Times New Roman" w:cs="Times New Roman"/>
          <w:color w:val="auto"/>
        </w:rPr>
        <w:t>D、废包装材料</w:t>
      </w:r>
    </w:p>
    <w:p w14:paraId="5D02A173">
      <w:pPr>
        <w:ind w:firstLine="480"/>
        <w:rPr>
          <w:rFonts w:hint="default" w:ascii="Times New Roman" w:hAnsi="Times New Roman" w:cs="Times New Roman"/>
          <w:color w:val="auto"/>
        </w:rPr>
      </w:pPr>
      <w:r>
        <w:rPr>
          <w:rFonts w:hint="default" w:ascii="Times New Roman" w:hAnsi="Times New Roman" w:cs="Times New Roman"/>
          <w:color w:val="auto"/>
        </w:rPr>
        <w:t>原材料拆袋和产品包装过程中产生废包装材料，产生量约为5t/a，全部外售处置。</w:t>
      </w:r>
    </w:p>
    <w:p w14:paraId="4779873B">
      <w:pPr>
        <w:ind w:firstLine="480"/>
        <w:rPr>
          <w:rFonts w:hint="default" w:ascii="Times New Roman" w:hAnsi="Times New Roman" w:cs="Times New Roman"/>
          <w:color w:val="auto"/>
        </w:rPr>
      </w:pPr>
      <w:r>
        <w:rPr>
          <w:rFonts w:hint="default" w:ascii="Times New Roman" w:hAnsi="Times New Roman" w:cs="Times New Roman"/>
          <w:color w:val="auto"/>
        </w:rPr>
        <w:t>C、布袋粉尘</w:t>
      </w:r>
    </w:p>
    <w:p w14:paraId="171130F9">
      <w:pPr>
        <w:ind w:firstLine="480"/>
        <w:rPr>
          <w:rFonts w:hint="default" w:ascii="Times New Roman" w:hAnsi="Times New Roman" w:cs="Times New Roman"/>
          <w:color w:val="auto"/>
        </w:rPr>
      </w:pPr>
      <w:r>
        <w:rPr>
          <w:rFonts w:hint="default" w:ascii="Times New Roman" w:hAnsi="Times New Roman" w:cs="Times New Roman"/>
          <w:color w:val="auto"/>
        </w:rPr>
        <w:t>投料粉尘采取布袋除尘器收集处理，布袋粉尘均为滑石粉，产生量约0.018t/a，全部回用于生产。</w:t>
      </w:r>
    </w:p>
    <w:p w14:paraId="07007889">
      <w:pPr>
        <w:ind w:firstLine="480"/>
        <w:rPr>
          <w:rFonts w:hint="default" w:ascii="Times New Roman" w:hAnsi="Times New Roman" w:cs="Times New Roman"/>
          <w:color w:val="auto"/>
        </w:rPr>
      </w:pPr>
      <w:r>
        <w:rPr>
          <w:rFonts w:hint="default" w:ascii="Times New Roman" w:hAnsi="Times New Roman" w:cs="Times New Roman"/>
          <w:color w:val="auto"/>
        </w:rPr>
        <w:t>2）危险废物</w:t>
      </w:r>
    </w:p>
    <w:p w14:paraId="5742C728">
      <w:pPr>
        <w:ind w:firstLine="480"/>
        <w:rPr>
          <w:rFonts w:hint="default" w:ascii="Times New Roman" w:hAnsi="Times New Roman" w:cs="Times New Roman"/>
          <w:color w:val="auto"/>
        </w:rPr>
      </w:pPr>
      <w:r>
        <w:rPr>
          <w:rFonts w:hint="default" w:ascii="Times New Roman" w:hAnsi="Times New Roman" w:cs="Times New Roman"/>
          <w:color w:val="auto"/>
        </w:rPr>
        <w:t>A、废润滑油</w:t>
      </w:r>
    </w:p>
    <w:p w14:paraId="4C1832BE">
      <w:pPr>
        <w:ind w:firstLine="480"/>
        <w:rPr>
          <w:rFonts w:hint="default" w:ascii="Times New Roman" w:hAnsi="Times New Roman" w:cs="Times New Roman"/>
          <w:color w:val="auto"/>
        </w:rPr>
      </w:pPr>
      <w:r>
        <w:rPr>
          <w:rFonts w:hint="default" w:ascii="Times New Roman" w:hAnsi="Times New Roman" w:cs="Times New Roman"/>
          <w:color w:val="auto"/>
        </w:rPr>
        <w:t>本项目机油用量0.35t/a。润滑油约一年更换一次，废机油产生量为0.1t/a。废机油属于危废，在危废贮存库暂存，定期由有资质单位收运处置。</w:t>
      </w:r>
    </w:p>
    <w:p w14:paraId="4E677FB8">
      <w:pPr>
        <w:ind w:firstLine="480"/>
        <w:rPr>
          <w:rFonts w:hint="default" w:ascii="Times New Roman" w:hAnsi="Times New Roman" w:cs="Times New Roman"/>
          <w:color w:val="auto"/>
        </w:rPr>
      </w:pPr>
      <w:r>
        <w:rPr>
          <w:rFonts w:hint="default" w:ascii="Times New Roman" w:hAnsi="Times New Roman" w:cs="Times New Roman"/>
          <w:color w:val="auto"/>
        </w:rPr>
        <w:t>B、废油桶</w:t>
      </w:r>
    </w:p>
    <w:p w14:paraId="15EBE81D">
      <w:pPr>
        <w:ind w:firstLine="480"/>
        <w:rPr>
          <w:rFonts w:hint="default" w:ascii="Times New Roman" w:hAnsi="Times New Roman" w:cs="Times New Roman"/>
          <w:color w:val="auto"/>
        </w:rPr>
      </w:pPr>
      <w:r>
        <w:rPr>
          <w:rFonts w:hint="default" w:ascii="Times New Roman" w:hAnsi="Times New Roman" w:cs="Times New Roman"/>
          <w:color w:val="auto"/>
        </w:rPr>
        <w:t>本项目废润滑油产生废油桶约0.06t/a。废油桶属于危废，在危废贮存库暂存，定期由有资质单位收运处置。</w:t>
      </w:r>
    </w:p>
    <w:p w14:paraId="20F694FA">
      <w:pPr>
        <w:ind w:firstLine="480"/>
        <w:rPr>
          <w:rFonts w:hint="default" w:ascii="Times New Roman" w:hAnsi="Times New Roman" w:cs="Times New Roman"/>
          <w:color w:val="auto"/>
        </w:rPr>
      </w:pPr>
      <w:r>
        <w:rPr>
          <w:rFonts w:hint="default" w:ascii="Times New Roman" w:hAnsi="Times New Roman" w:cs="Times New Roman"/>
          <w:color w:val="auto"/>
        </w:rPr>
        <w:t>C、废含油抹布/劳保用品</w:t>
      </w:r>
    </w:p>
    <w:p w14:paraId="0BD5B733">
      <w:pPr>
        <w:ind w:firstLine="480"/>
        <w:rPr>
          <w:rFonts w:hint="default" w:ascii="Times New Roman" w:hAnsi="Times New Roman" w:cs="Times New Roman"/>
          <w:color w:val="auto"/>
        </w:rPr>
      </w:pPr>
      <w:r>
        <w:rPr>
          <w:rFonts w:hint="default" w:ascii="Times New Roman" w:hAnsi="Times New Roman" w:cs="Times New Roman"/>
          <w:color w:val="auto"/>
        </w:rPr>
        <w:t>本项目废含油抹布/劳保用品产生量为0.2t/a，在危废贮存库暂存，定期由有资质单位收运处置。</w:t>
      </w:r>
    </w:p>
    <w:p w14:paraId="52FF4BC4">
      <w:pPr>
        <w:ind w:firstLine="480"/>
        <w:rPr>
          <w:rFonts w:hint="default" w:ascii="Times New Roman" w:hAnsi="Times New Roman" w:cs="Times New Roman"/>
          <w:color w:val="auto"/>
        </w:rPr>
      </w:pPr>
      <w:r>
        <w:rPr>
          <w:rFonts w:hint="default" w:ascii="Times New Roman" w:hAnsi="Times New Roman" w:cs="Times New Roman"/>
          <w:color w:val="auto"/>
        </w:rPr>
        <w:t>D、废活性炭</w:t>
      </w:r>
    </w:p>
    <w:p w14:paraId="2408FB55">
      <w:pPr>
        <w:ind w:firstLine="480"/>
        <w:rPr>
          <w:rFonts w:hint="default" w:ascii="Times New Roman" w:hAnsi="Times New Roman" w:cs="Times New Roman"/>
          <w:color w:val="auto"/>
        </w:rPr>
      </w:pPr>
      <w:r>
        <w:rPr>
          <w:rFonts w:hint="default" w:ascii="Times New Roman" w:hAnsi="Times New Roman" w:cs="Times New Roman"/>
          <w:color w:val="auto"/>
        </w:rPr>
        <w:t>根据《重庆市生态环境局关于做好2026年夏秋季空气质量提升工作的通知》（渝环〔2026〕43号），1吨VOCs产生量需5吨活性炭用于吸附。本项目非甲烷总烃处理量约为</w:t>
      </w:r>
      <w:r>
        <w:rPr>
          <w:rFonts w:hint="eastAsia" w:cs="Times New Roman"/>
          <w:color w:val="auto"/>
          <w:lang w:val="en-US" w:eastAsia="zh-CN"/>
        </w:rPr>
        <w:t>7.9</w:t>
      </w:r>
      <w:r>
        <w:rPr>
          <w:rFonts w:hint="default" w:ascii="Times New Roman" w:hAnsi="Times New Roman" w:cs="Times New Roman"/>
          <w:color w:val="auto"/>
        </w:rPr>
        <w:t>5t，则年活性炭用量为</w:t>
      </w:r>
      <w:r>
        <w:rPr>
          <w:rFonts w:hint="eastAsia" w:cs="Times New Roman"/>
          <w:color w:val="auto"/>
          <w:lang w:val="en-US" w:eastAsia="zh-CN"/>
        </w:rPr>
        <w:t>39.75</w:t>
      </w:r>
      <w:r>
        <w:rPr>
          <w:rFonts w:hint="default" w:ascii="Times New Roman" w:hAnsi="Times New Roman" w:cs="Times New Roman"/>
          <w:color w:val="auto"/>
        </w:rPr>
        <w:t>t。</w:t>
      </w:r>
      <w:r>
        <w:rPr>
          <w:rFonts w:hint="eastAsia" w:cs="Times New Roman"/>
          <w:color w:val="auto"/>
          <w:lang w:val="en-US" w:eastAsia="zh-CN"/>
        </w:rPr>
        <w:t>则</w:t>
      </w:r>
      <w:r>
        <w:rPr>
          <w:rFonts w:hint="default" w:ascii="Times New Roman" w:hAnsi="Times New Roman" w:cs="Times New Roman"/>
          <w:color w:val="auto"/>
        </w:rPr>
        <w:t>废活性炭产生量为</w:t>
      </w:r>
      <w:r>
        <w:rPr>
          <w:rFonts w:hint="eastAsia" w:cs="Times New Roman"/>
          <w:color w:val="auto"/>
          <w:lang w:eastAsia="zh-CN"/>
        </w:rPr>
        <w:t>47.7</w:t>
      </w:r>
      <w:r>
        <w:rPr>
          <w:rFonts w:hint="default" w:ascii="Times New Roman" w:hAnsi="Times New Roman" w:cs="Times New Roman"/>
          <w:color w:val="auto"/>
        </w:rPr>
        <w:t>t/a（考虑吸附的VOCs）</w:t>
      </w:r>
      <w:r>
        <w:rPr>
          <w:rFonts w:hint="eastAsia" w:cs="Times New Roman"/>
          <w:color w:val="auto"/>
          <w:lang w:eastAsia="zh-CN"/>
        </w:rPr>
        <w:t>。</w:t>
      </w:r>
      <w:r>
        <w:rPr>
          <w:rFonts w:hint="eastAsia" w:cs="Times New Roman"/>
          <w:color w:val="auto"/>
          <w:lang w:val="en-US" w:eastAsia="zh-CN"/>
        </w:rPr>
        <w:t>另根据环保要求，活性炭需三个月更换一次。</w:t>
      </w:r>
      <w:r>
        <w:rPr>
          <w:rFonts w:hint="default" w:ascii="Times New Roman" w:hAnsi="Times New Roman" w:cs="Times New Roman"/>
          <w:color w:val="auto"/>
        </w:rPr>
        <w:t>二级活性炭吸附采用两个活性炭箱串联的方式进行布置，2个活性炭箱填料量为24.8m</w:t>
      </w:r>
      <w:r>
        <w:rPr>
          <w:rFonts w:hint="default" w:ascii="Times New Roman" w:hAnsi="Times New Roman" w:cs="Times New Roman"/>
          <w:color w:val="auto"/>
          <w:vertAlign w:val="superscript"/>
        </w:rPr>
        <w:t>3</w:t>
      </w:r>
      <w:r>
        <w:rPr>
          <w:rFonts w:hint="default" w:ascii="Times New Roman" w:hAnsi="Times New Roman" w:cs="Times New Roman"/>
          <w:color w:val="auto"/>
        </w:rPr>
        <w:t>，则重量约13.6t，三个月更换一次，则废活性炭更换量为54.4t/a。</w:t>
      </w:r>
    </w:p>
    <w:p w14:paraId="0A3D6144">
      <w:pPr>
        <w:ind w:firstLine="480"/>
        <w:rPr>
          <w:rFonts w:hint="default" w:ascii="Times New Roman" w:hAnsi="Times New Roman" w:cs="Times New Roman"/>
          <w:color w:val="auto"/>
        </w:rPr>
      </w:pPr>
      <w:r>
        <w:rPr>
          <w:rFonts w:hint="eastAsia" w:cs="Times New Roman"/>
          <w:color w:val="auto"/>
          <w:lang w:val="en-US" w:eastAsia="zh-CN"/>
        </w:rPr>
        <w:t>因此本项目废活性炭最终产生量约</w:t>
      </w:r>
      <w:r>
        <w:rPr>
          <w:rFonts w:hint="default" w:ascii="Times New Roman" w:hAnsi="Times New Roman" w:cs="Times New Roman"/>
          <w:color w:val="auto"/>
        </w:rPr>
        <w:t>54.4t/a</w:t>
      </w:r>
      <w:r>
        <w:rPr>
          <w:rFonts w:hint="eastAsia" w:cs="Times New Roman"/>
          <w:color w:val="auto"/>
          <w:lang w:eastAsia="zh-CN"/>
        </w:rPr>
        <w:t>，</w:t>
      </w:r>
      <w:r>
        <w:rPr>
          <w:rFonts w:hint="default" w:ascii="Times New Roman" w:hAnsi="Times New Roman" w:cs="Times New Roman"/>
          <w:color w:val="auto"/>
        </w:rPr>
        <w:t>交有危废处理资质的单位处置。</w:t>
      </w:r>
    </w:p>
    <w:p w14:paraId="7A422E76">
      <w:pPr>
        <w:ind w:firstLine="480"/>
        <w:rPr>
          <w:rFonts w:hint="default" w:ascii="Times New Roman" w:hAnsi="Times New Roman" w:cs="Times New Roman"/>
          <w:color w:val="auto"/>
        </w:rPr>
      </w:pPr>
      <w:r>
        <w:rPr>
          <w:rFonts w:hint="default" w:ascii="Times New Roman" w:hAnsi="Times New Roman" w:cs="Times New Roman"/>
          <w:color w:val="auto"/>
        </w:rPr>
        <w:t>E、空压机油水混合物</w:t>
      </w:r>
    </w:p>
    <w:p w14:paraId="5EB272DE">
      <w:pPr>
        <w:ind w:firstLine="480"/>
        <w:rPr>
          <w:rFonts w:hint="default" w:ascii="Times New Roman" w:hAnsi="Times New Roman" w:cs="Times New Roman"/>
          <w:color w:val="auto"/>
          <w:szCs w:val="24"/>
        </w:rPr>
      </w:pPr>
      <w:r>
        <w:rPr>
          <w:rFonts w:hint="default" w:ascii="Times New Roman" w:hAnsi="Times New Roman" w:cs="Times New Roman"/>
          <w:color w:val="auto"/>
        </w:rPr>
        <w:t>本项目</w:t>
      </w:r>
      <w:r>
        <w:rPr>
          <w:rFonts w:hint="default" w:ascii="Times New Roman" w:hAnsi="Times New Roman" w:cs="Times New Roman"/>
          <w:color w:val="auto"/>
          <w:szCs w:val="24"/>
        </w:rPr>
        <w:t>空压机需要使用润滑油对螺杆处进行润滑，空压机工作过程中，润滑油被压缩空气挟带到中冷器、后冷器和储气罐，与空气冷凝水混杂在一起，空压机经配套的油水分离装置处理后，会排出冷凝废液，主要为油类物质，经类比调查，产生的空压机</w:t>
      </w:r>
      <w:r>
        <w:rPr>
          <w:rFonts w:hint="default" w:ascii="Times New Roman" w:hAnsi="Times New Roman" w:cs="Times New Roman"/>
          <w:color w:val="auto"/>
        </w:rPr>
        <w:t>油水混合物</w:t>
      </w:r>
      <w:r>
        <w:rPr>
          <w:rFonts w:hint="default" w:ascii="Times New Roman" w:hAnsi="Times New Roman" w:cs="Times New Roman"/>
          <w:color w:val="auto"/>
          <w:szCs w:val="24"/>
        </w:rPr>
        <w:t>约0.45t/a。该部分含油废液作为危险废物处置，交由有资质的单位处置。</w:t>
      </w:r>
    </w:p>
    <w:p w14:paraId="3C0CB7F6">
      <w:pPr>
        <w:ind w:firstLine="480"/>
        <w:rPr>
          <w:rFonts w:hint="default" w:ascii="Times New Roman" w:hAnsi="Times New Roman" w:cs="Times New Roman"/>
          <w:color w:val="auto"/>
        </w:rPr>
      </w:pPr>
      <w:r>
        <w:rPr>
          <w:rFonts w:hint="default" w:ascii="Times New Roman" w:hAnsi="Times New Roman" w:cs="Times New Roman"/>
          <w:color w:val="auto"/>
        </w:rPr>
        <w:t>本项目固体废物产生情况汇总详见表4.2.4-1。</w:t>
      </w:r>
    </w:p>
    <w:p w14:paraId="4234555A">
      <w:pPr>
        <w:pStyle w:val="93"/>
        <w:rPr>
          <w:rFonts w:hint="default" w:ascii="Times New Roman" w:hAnsi="Times New Roman" w:cs="Times New Roman"/>
          <w:color w:val="auto"/>
        </w:rPr>
      </w:pPr>
      <w:r>
        <w:rPr>
          <w:rFonts w:hint="default" w:ascii="Times New Roman" w:hAnsi="Times New Roman" w:cs="Times New Roman"/>
          <w:color w:val="auto"/>
        </w:rPr>
        <w:t>表4.2.4-1    固体废物产生及处置情况一览表</w:t>
      </w:r>
    </w:p>
    <w:tbl>
      <w:tblPr>
        <w:tblStyle w:val="44"/>
        <w:tblW w:w="4831"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60"/>
        <w:gridCol w:w="741"/>
        <w:gridCol w:w="1844"/>
        <w:gridCol w:w="995"/>
        <w:gridCol w:w="699"/>
        <w:gridCol w:w="969"/>
        <w:gridCol w:w="2433"/>
      </w:tblGrid>
      <w:tr w14:paraId="7C06D5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83" w:hRule="atLeast"/>
          <w:jc w:val="center"/>
        </w:trPr>
        <w:tc>
          <w:tcPr>
            <w:tcW w:w="560" w:type="dxa"/>
            <w:vAlign w:val="center"/>
          </w:tcPr>
          <w:p w14:paraId="17F903B3">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序号</w:t>
            </w:r>
          </w:p>
        </w:tc>
        <w:tc>
          <w:tcPr>
            <w:tcW w:w="741" w:type="dxa"/>
            <w:vAlign w:val="center"/>
          </w:tcPr>
          <w:p w14:paraId="1DF4E625">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固废分类</w:t>
            </w:r>
          </w:p>
        </w:tc>
        <w:tc>
          <w:tcPr>
            <w:tcW w:w="1844" w:type="dxa"/>
            <w:vAlign w:val="center"/>
          </w:tcPr>
          <w:p w14:paraId="3BF2FFE3">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污染物名称</w:t>
            </w:r>
          </w:p>
        </w:tc>
        <w:tc>
          <w:tcPr>
            <w:tcW w:w="995" w:type="dxa"/>
            <w:vAlign w:val="center"/>
          </w:tcPr>
          <w:p w14:paraId="6D2B3A43">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产生工序</w:t>
            </w:r>
          </w:p>
        </w:tc>
        <w:tc>
          <w:tcPr>
            <w:tcW w:w="699" w:type="dxa"/>
            <w:vAlign w:val="center"/>
          </w:tcPr>
          <w:p w14:paraId="0E82E590">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形态</w:t>
            </w:r>
          </w:p>
        </w:tc>
        <w:tc>
          <w:tcPr>
            <w:tcW w:w="969" w:type="dxa"/>
            <w:vAlign w:val="center"/>
          </w:tcPr>
          <w:p w14:paraId="13937E9E">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预计产生量（t/a）</w:t>
            </w:r>
          </w:p>
        </w:tc>
        <w:tc>
          <w:tcPr>
            <w:tcW w:w="2433" w:type="dxa"/>
            <w:vAlign w:val="center"/>
          </w:tcPr>
          <w:p w14:paraId="7DB15832">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处置措施</w:t>
            </w:r>
          </w:p>
        </w:tc>
      </w:tr>
      <w:tr w14:paraId="73F1F5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1" w:hRule="atLeast"/>
          <w:jc w:val="center"/>
        </w:trPr>
        <w:tc>
          <w:tcPr>
            <w:tcW w:w="560" w:type="dxa"/>
            <w:vAlign w:val="center"/>
          </w:tcPr>
          <w:p w14:paraId="5C3B5B97">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741" w:type="dxa"/>
            <w:vMerge w:val="restart"/>
            <w:vAlign w:val="center"/>
          </w:tcPr>
          <w:p w14:paraId="38E3F40B">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危险废物</w:t>
            </w:r>
          </w:p>
        </w:tc>
        <w:tc>
          <w:tcPr>
            <w:tcW w:w="1844" w:type="dxa"/>
            <w:vAlign w:val="center"/>
          </w:tcPr>
          <w:p w14:paraId="70EBA95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废润滑油</w:t>
            </w:r>
          </w:p>
        </w:tc>
        <w:tc>
          <w:tcPr>
            <w:tcW w:w="995" w:type="dxa"/>
            <w:vAlign w:val="center"/>
          </w:tcPr>
          <w:p w14:paraId="072B144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生产过程</w:t>
            </w:r>
          </w:p>
        </w:tc>
        <w:tc>
          <w:tcPr>
            <w:tcW w:w="699" w:type="dxa"/>
            <w:vAlign w:val="center"/>
          </w:tcPr>
          <w:p w14:paraId="0CE63BC7">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液态</w:t>
            </w:r>
          </w:p>
        </w:tc>
        <w:tc>
          <w:tcPr>
            <w:tcW w:w="969" w:type="dxa"/>
            <w:vAlign w:val="center"/>
          </w:tcPr>
          <w:p w14:paraId="4DD211F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0.35</w:t>
            </w:r>
          </w:p>
        </w:tc>
        <w:tc>
          <w:tcPr>
            <w:tcW w:w="2433" w:type="dxa"/>
            <w:vAlign w:val="center"/>
          </w:tcPr>
          <w:p w14:paraId="135A167A">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危废贮存库贮存后委托有资质单位进行处置</w:t>
            </w:r>
          </w:p>
        </w:tc>
      </w:tr>
      <w:tr w14:paraId="5678D6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1" w:hRule="atLeast"/>
          <w:jc w:val="center"/>
        </w:trPr>
        <w:tc>
          <w:tcPr>
            <w:tcW w:w="560" w:type="dxa"/>
            <w:shd w:val="clear" w:color="auto" w:fill="auto"/>
            <w:vAlign w:val="center"/>
          </w:tcPr>
          <w:p w14:paraId="0B8A6E41">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w:t>
            </w:r>
          </w:p>
        </w:tc>
        <w:tc>
          <w:tcPr>
            <w:tcW w:w="741" w:type="dxa"/>
            <w:vMerge w:val="continue"/>
            <w:vAlign w:val="center"/>
          </w:tcPr>
          <w:p w14:paraId="46FBBF9F">
            <w:pPr>
              <w:pStyle w:val="93"/>
              <w:spacing w:before="0" w:line="240" w:lineRule="auto"/>
              <w:rPr>
                <w:rFonts w:hint="default" w:ascii="Times New Roman" w:hAnsi="Times New Roman" w:cs="Times New Roman"/>
                <w:color w:val="auto"/>
                <w:kern w:val="2"/>
                <w:sz w:val="21"/>
                <w:szCs w:val="21"/>
              </w:rPr>
            </w:pPr>
          </w:p>
        </w:tc>
        <w:tc>
          <w:tcPr>
            <w:tcW w:w="1844" w:type="dxa"/>
            <w:vAlign w:val="center"/>
          </w:tcPr>
          <w:p w14:paraId="3A84F10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废油桶</w:t>
            </w:r>
          </w:p>
        </w:tc>
        <w:tc>
          <w:tcPr>
            <w:tcW w:w="995" w:type="dxa"/>
            <w:vAlign w:val="center"/>
          </w:tcPr>
          <w:p w14:paraId="0ECD718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生产过程</w:t>
            </w:r>
          </w:p>
        </w:tc>
        <w:tc>
          <w:tcPr>
            <w:tcW w:w="699" w:type="dxa"/>
            <w:vAlign w:val="center"/>
          </w:tcPr>
          <w:p w14:paraId="5686585A">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固态</w:t>
            </w:r>
          </w:p>
        </w:tc>
        <w:tc>
          <w:tcPr>
            <w:tcW w:w="969" w:type="dxa"/>
            <w:vAlign w:val="center"/>
          </w:tcPr>
          <w:p w14:paraId="39EDFE3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0.06</w:t>
            </w:r>
          </w:p>
        </w:tc>
        <w:tc>
          <w:tcPr>
            <w:tcW w:w="2433" w:type="dxa"/>
            <w:vAlign w:val="center"/>
          </w:tcPr>
          <w:p w14:paraId="4AFB3630">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危废贮存库贮存后委托有资质单位进行处置</w:t>
            </w:r>
          </w:p>
        </w:tc>
      </w:tr>
      <w:tr w14:paraId="32D1C2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1" w:hRule="atLeast"/>
          <w:jc w:val="center"/>
        </w:trPr>
        <w:tc>
          <w:tcPr>
            <w:tcW w:w="560" w:type="dxa"/>
            <w:shd w:val="clear" w:color="auto" w:fill="auto"/>
            <w:vAlign w:val="center"/>
          </w:tcPr>
          <w:p w14:paraId="0F4A484A">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w:t>
            </w:r>
          </w:p>
        </w:tc>
        <w:tc>
          <w:tcPr>
            <w:tcW w:w="741" w:type="dxa"/>
            <w:vMerge w:val="continue"/>
            <w:vAlign w:val="center"/>
          </w:tcPr>
          <w:p w14:paraId="660E9ED2">
            <w:pPr>
              <w:pStyle w:val="93"/>
              <w:spacing w:before="0" w:line="240" w:lineRule="auto"/>
              <w:rPr>
                <w:rFonts w:hint="default" w:ascii="Times New Roman" w:hAnsi="Times New Roman" w:cs="Times New Roman"/>
                <w:color w:val="auto"/>
                <w:kern w:val="2"/>
                <w:sz w:val="21"/>
                <w:szCs w:val="21"/>
              </w:rPr>
            </w:pPr>
          </w:p>
        </w:tc>
        <w:tc>
          <w:tcPr>
            <w:tcW w:w="1844" w:type="dxa"/>
            <w:vAlign w:val="center"/>
          </w:tcPr>
          <w:p w14:paraId="06E2D44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废含油抹布/劳保用品</w:t>
            </w:r>
          </w:p>
        </w:tc>
        <w:tc>
          <w:tcPr>
            <w:tcW w:w="995" w:type="dxa"/>
            <w:vAlign w:val="center"/>
          </w:tcPr>
          <w:p w14:paraId="5AECEC2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生产过程</w:t>
            </w:r>
          </w:p>
        </w:tc>
        <w:tc>
          <w:tcPr>
            <w:tcW w:w="699" w:type="dxa"/>
            <w:vAlign w:val="center"/>
          </w:tcPr>
          <w:p w14:paraId="7EF8DBD7">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固态</w:t>
            </w:r>
          </w:p>
        </w:tc>
        <w:tc>
          <w:tcPr>
            <w:tcW w:w="969" w:type="dxa"/>
            <w:vAlign w:val="center"/>
          </w:tcPr>
          <w:p w14:paraId="7F153A6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0.2</w:t>
            </w:r>
          </w:p>
        </w:tc>
        <w:tc>
          <w:tcPr>
            <w:tcW w:w="2433" w:type="dxa"/>
            <w:vAlign w:val="center"/>
          </w:tcPr>
          <w:p w14:paraId="5373B027">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危废贮存库贮存后委托有资质单位进行处置</w:t>
            </w:r>
          </w:p>
        </w:tc>
      </w:tr>
      <w:tr w14:paraId="0274B7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1" w:hRule="atLeast"/>
          <w:jc w:val="center"/>
        </w:trPr>
        <w:tc>
          <w:tcPr>
            <w:tcW w:w="560" w:type="dxa"/>
            <w:shd w:val="clear" w:color="auto" w:fill="auto"/>
            <w:vAlign w:val="center"/>
          </w:tcPr>
          <w:p w14:paraId="7F074FB3">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w:t>
            </w:r>
          </w:p>
        </w:tc>
        <w:tc>
          <w:tcPr>
            <w:tcW w:w="741" w:type="dxa"/>
            <w:vMerge w:val="continue"/>
            <w:vAlign w:val="center"/>
          </w:tcPr>
          <w:p w14:paraId="27E99221">
            <w:pPr>
              <w:pStyle w:val="93"/>
              <w:spacing w:before="0" w:line="240" w:lineRule="auto"/>
              <w:rPr>
                <w:rFonts w:hint="default" w:ascii="Times New Roman" w:hAnsi="Times New Roman" w:cs="Times New Roman"/>
                <w:color w:val="auto"/>
                <w:kern w:val="2"/>
                <w:sz w:val="21"/>
                <w:szCs w:val="21"/>
              </w:rPr>
            </w:pPr>
          </w:p>
        </w:tc>
        <w:tc>
          <w:tcPr>
            <w:tcW w:w="1844" w:type="dxa"/>
            <w:vAlign w:val="center"/>
          </w:tcPr>
          <w:p w14:paraId="203C7A4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废活性炭</w:t>
            </w:r>
          </w:p>
        </w:tc>
        <w:tc>
          <w:tcPr>
            <w:tcW w:w="995" w:type="dxa"/>
            <w:vAlign w:val="center"/>
          </w:tcPr>
          <w:p w14:paraId="0BFA77F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废气处理过程</w:t>
            </w:r>
          </w:p>
        </w:tc>
        <w:tc>
          <w:tcPr>
            <w:tcW w:w="699" w:type="dxa"/>
            <w:vAlign w:val="center"/>
          </w:tcPr>
          <w:p w14:paraId="1E9F07DC">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固态</w:t>
            </w:r>
          </w:p>
        </w:tc>
        <w:tc>
          <w:tcPr>
            <w:tcW w:w="969" w:type="dxa"/>
            <w:vAlign w:val="center"/>
          </w:tcPr>
          <w:p w14:paraId="4FCAE9AE">
            <w:pPr>
              <w:spacing w:line="240" w:lineRule="auto"/>
              <w:ind w:firstLine="0" w:firstLineChars="0"/>
              <w:jc w:val="center"/>
              <w:rPr>
                <w:rFonts w:hint="eastAsia" w:ascii="Times New Roman" w:hAnsi="Times New Roman" w:eastAsia="宋体" w:cs="Times New Roman"/>
                <w:color w:val="auto"/>
                <w:kern w:val="2"/>
                <w:sz w:val="21"/>
                <w:szCs w:val="21"/>
                <w:lang w:eastAsia="zh-CN"/>
              </w:rPr>
            </w:pPr>
            <w:r>
              <w:rPr>
                <w:rFonts w:hint="eastAsia" w:cs="Times New Roman"/>
                <w:color w:val="auto"/>
                <w:kern w:val="2"/>
                <w:sz w:val="21"/>
                <w:szCs w:val="21"/>
                <w:lang w:eastAsia="zh-CN"/>
              </w:rPr>
              <w:t>54.4</w:t>
            </w:r>
          </w:p>
        </w:tc>
        <w:tc>
          <w:tcPr>
            <w:tcW w:w="2433" w:type="dxa"/>
            <w:vAlign w:val="center"/>
          </w:tcPr>
          <w:p w14:paraId="6CE345D9">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危废贮存库贮存后委托有资质单位进行处置</w:t>
            </w:r>
          </w:p>
        </w:tc>
      </w:tr>
      <w:tr w14:paraId="364D8C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1" w:hRule="atLeast"/>
          <w:jc w:val="center"/>
        </w:trPr>
        <w:tc>
          <w:tcPr>
            <w:tcW w:w="560" w:type="dxa"/>
            <w:vAlign w:val="center"/>
          </w:tcPr>
          <w:p w14:paraId="0FA2E200">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w:t>
            </w:r>
          </w:p>
        </w:tc>
        <w:tc>
          <w:tcPr>
            <w:tcW w:w="741" w:type="dxa"/>
            <w:vMerge w:val="continue"/>
            <w:vAlign w:val="center"/>
          </w:tcPr>
          <w:p w14:paraId="0856732F">
            <w:pPr>
              <w:pStyle w:val="93"/>
              <w:spacing w:before="0" w:line="240" w:lineRule="auto"/>
              <w:rPr>
                <w:rFonts w:hint="default" w:ascii="Times New Roman" w:hAnsi="Times New Roman" w:cs="Times New Roman"/>
                <w:color w:val="auto"/>
                <w:kern w:val="2"/>
                <w:sz w:val="21"/>
                <w:szCs w:val="21"/>
              </w:rPr>
            </w:pPr>
          </w:p>
        </w:tc>
        <w:tc>
          <w:tcPr>
            <w:tcW w:w="1844" w:type="dxa"/>
            <w:vAlign w:val="center"/>
          </w:tcPr>
          <w:p w14:paraId="3669B7E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空压机油水混合物</w:t>
            </w:r>
          </w:p>
        </w:tc>
        <w:tc>
          <w:tcPr>
            <w:tcW w:w="995" w:type="dxa"/>
            <w:vAlign w:val="center"/>
          </w:tcPr>
          <w:p w14:paraId="2527384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空压机使用过程</w:t>
            </w:r>
          </w:p>
        </w:tc>
        <w:tc>
          <w:tcPr>
            <w:tcW w:w="699" w:type="dxa"/>
            <w:vAlign w:val="center"/>
          </w:tcPr>
          <w:p w14:paraId="059441D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液态</w:t>
            </w:r>
          </w:p>
        </w:tc>
        <w:tc>
          <w:tcPr>
            <w:tcW w:w="969" w:type="dxa"/>
            <w:vAlign w:val="center"/>
          </w:tcPr>
          <w:p w14:paraId="118FA7D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0.45</w:t>
            </w:r>
          </w:p>
        </w:tc>
        <w:tc>
          <w:tcPr>
            <w:tcW w:w="2433" w:type="dxa"/>
            <w:vAlign w:val="center"/>
          </w:tcPr>
          <w:p w14:paraId="3AE232C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危废贮存库贮存后委托有资质单位进行处置</w:t>
            </w:r>
          </w:p>
        </w:tc>
      </w:tr>
      <w:tr w14:paraId="5A0609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3" w:hRule="atLeast"/>
          <w:jc w:val="center"/>
        </w:trPr>
        <w:tc>
          <w:tcPr>
            <w:tcW w:w="560" w:type="dxa"/>
            <w:shd w:val="clear" w:color="auto" w:fill="auto"/>
            <w:vAlign w:val="center"/>
          </w:tcPr>
          <w:p w14:paraId="64B90A4C">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6</w:t>
            </w:r>
          </w:p>
        </w:tc>
        <w:tc>
          <w:tcPr>
            <w:tcW w:w="741" w:type="dxa"/>
            <w:vMerge w:val="restart"/>
            <w:vAlign w:val="center"/>
          </w:tcPr>
          <w:p w14:paraId="081AFC5F">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一般固废</w:t>
            </w:r>
          </w:p>
        </w:tc>
        <w:tc>
          <w:tcPr>
            <w:tcW w:w="1844" w:type="dxa"/>
            <w:vAlign w:val="center"/>
          </w:tcPr>
          <w:p w14:paraId="631CE37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废塑料</w:t>
            </w:r>
          </w:p>
        </w:tc>
        <w:tc>
          <w:tcPr>
            <w:tcW w:w="995" w:type="dxa"/>
            <w:vAlign w:val="center"/>
          </w:tcPr>
          <w:p w14:paraId="7F6C8E4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生产过程</w:t>
            </w:r>
          </w:p>
        </w:tc>
        <w:tc>
          <w:tcPr>
            <w:tcW w:w="699" w:type="dxa"/>
            <w:vAlign w:val="center"/>
          </w:tcPr>
          <w:p w14:paraId="534471C0">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固态</w:t>
            </w:r>
          </w:p>
        </w:tc>
        <w:tc>
          <w:tcPr>
            <w:tcW w:w="969" w:type="dxa"/>
            <w:vAlign w:val="center"/>
          </w:tcPr>
          <w:p w14:paraId="450778F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2.5</w:t>
            </w:r>
          </w:p>
        </w:tc>
        <w:tc>
          <w:tcPr>
            <w:tcW w:w="2433" w:type="dxa"/>
            <w:vAlign w:val="center"/>
          </w:tcPr>
          <w:p w14:paraId="51B33302">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外售处置</w:t>
            </w:r>
          </w:p>
        </w:tc>
      </w:tr>
      <w:tr w14:paraId="345413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3" w:hRule="atLeast"/>
          <w:jc w:val="center"/>
        </w:trPr>
        <w:tc>
          <w:tcPr>
            <w:tcW w:w="560" w:type="dxa"/>
            <w:shd w:val="clear" w:color="auto" w:fill="auto"/>
            <w:vAlign w:val="center"/>
          </w:tcPr>
          <w:p w14:paraId="378D116E">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7</w:t>
            </w:r>
          </w:p>
        </w:tc>
        <w:tc>
          <w:tcPr>
            <w:tcW w:w="741" w:type="dxa"/>
            <w:vMerge w:val="continue"/>
            <w:vAlign w:val="center"/>
          </w:tcPr>
          <w:p w14:paraId="2B8CA960">
            <w:pPr>
              <w:pStyle w:val="93"/>
              <w:spacing w:before="0" w:line="240" w:lineRule="auto"/>
              <w:rPr>
                <w:rFonts w:hint="default" w:ascii="Times New Roman" w:hAnsi="Times New Roman" w:cs="Times New Roman"/>
                <w:color w:val="auto"/>
                <w:kern w:val="2"/>
                <w:sz w:val="21"/>
                <w:szCs w:val="21"/>
              </w:rPr>
            </w:pPr>
          </w:p>
        </w:tc>
        <w:tc>
          <w:tcPr>
            <w:tcW w:w="1844" w:type="dxa"/>
            <w:vAlign w:val="center"/>
          </w:tcPr>
          <w:p w14:paraId="41CF519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塑料清膛料</w:t>
            </w:r>
          </w:p>
        </w:tc>
        <w:tc>
          <w:tcPr>
            <w:tcW w:w="995" w:type="dxa"/>
            <w:vAlign w:val="center"/>
          </w:tcPr>
          <w:p w14:paraId="1687651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生产过程</w:t>
            </w:r>
          </w:p>
        </w:tc>
        <w:tc>
          <w:tcPr>
            <w:tcW w:w="699" w:type="dxa"/>
            <w:vAlign w:val="center"/>
          </w:tcPr>
          <w:p w14:paraId="4ED7ACF5">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固态</w:t>
            </w:r>
          </w:p>
        </w:tc>
        <w:tc>
          <w:tcPr>
            <w:tcW w:w="969" w:type="dxa"/>
            <w:vAlign w:val="center"/>
          </w:tcPr>
          <w:p w14:paraId="6971909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w:t>
            </w:r>
          </w:p>
        </w:tc>
        <w:tc>
          <w:tcPr>
            <w:tcW w:w="2433" w:type="dxa"/>
            <w:vAlign w:val="center"/>
          </w:tcPr>
          <w:p w14:paraId="4BF7EEC4">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全部回用</w:t>
            </w:r>
          </w:p>
        </w:tc>
      </w:tr>
      <w:tr w14:paraId="759CA6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3" w:hRule="atLeast"/>
          <w:jc w:val="center"/>
        </w:trPr>
        <w:tc>
          <w:tcPr>
            <w:tcW w:w="560" w:type="dxa"/>
            <w:shd w:val="clear" w:color="auto" w:fill="auto"/>
            <w:vAlign w:val="center"/>
          </w:tcPr>
          <w:p w14:paraId="4D23B280">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8</w:t>
            </w:r>
          </w:p>
        </w:tc>
        <w:tc>
          <w:tcPr>
            <w:tcW w:w="741" w:type="dxa"/>
            <w:vMerge w:val="continue"/>
            <w:vAlign w:val="center"/>
          </w:tcPr>
          <w:p w14:paraId="6CBEF373">
            <w:pPr>
              <w:pStyle w:val="93"/>
              <w:spacing w:before="0" w:line="240" w:lineRule="auto"/>
              <w:rPr>
                <w:rFonts w:hint="default" w:ascii="Times New Roman" w:hAnsi="Times New Roman" w:cs="Times New Roman"/>
                <w:color w:val="auto"/>
                <w:kern w:val="2"/>
                <w:sz w:val="21"/>
                <w:szCs w:val="21"/>
              </w:rPr>
            </w:pPr>
          </w:p>
        </w:tc>
        <w:tc>
          <w:tcPr>
            <w:tcW w:w="1844" w:type="dxa"/>
            <w:vAlign w:val="center"/>
          </w:tcPr>
          <w:p w14:paraId="16BEAD4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废包装材料</w:t>
            </w:r>
          </w:p>
        </w:tc>
        <w:tc>
          <w:tcPr>
            <w:tcW w:w="995" w:type="dxa"/>
            <w:vAlign w:val="center"/>
          </w:tcPr>
          <w:p w14:paraId="07A43DA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生产过程</w:t>
            </w:r>
          </w:p>
        </w:tc>
        <w:tc>
          <w:tcPr>
            <w:tcW w:w="699" w:type="dxa"/>
            <w:vAlign w:val="center"/>
          </w:tcPr>
          <w:p w14:paraId="66AAF9F3">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固态</w:t>
            </w:r>
          </w:p>
        </w:tc>
        <w:tc>
          <w:tcPr>
            <w:tcW w:w="969" w:type="dxa"/>
            <w:vAlign w:val="center"/>
          </w:tcPr>
          <w:p w14:paraId="79435A2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w:t>
            </w:r>
          </w:p>
        </w:tc>
        <w:tc>
          <w:tcPr>
            <w:tcW w:w="2433" w:type="dxa"/>
            <w:vAlign w:val="center"/>
          </w:tcPr>
          <w:p w14:paraId="0B16809D">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外售处置</w:t>
            </w:r>
          </w:p>
        </w:tc>
      </w:tr>
      <w:tr w14:paraId="068D4A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3" w:hRule="atLeast"/>
          <w:jc w:val="center"/>
        </w:trPr>
        <w:tc>
          <w:tcPr>
            <w:tcW w:w="560" w:type="dxa"/>
            <w:shd w:val="clear" w:color="auto" w:fill="auto"/>
            <w:vAlign w:val="center"/>
          </w:tcPr>
          <w:p w14:paraId="229DD759">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w:t>
            </w:r>
          </w:p>
        </w:tc>
        <w:tc>
          <w:tcPr>
            <w:tcW w:w="741" w:type="dxa"/>
            <w:vMerge w:val="continue"/>
            <w:vAlign w:val="center"/>
          </w:tcPr>
          <w:p w14:paraId="3AE6C931">
            <w:pPr>
              <w:pStyle w:val="93"/>
              <w:spacing w:before="0" w:line="240" w:lineRule="auto"/>
              <w:rPr>
                <w:rFonts w:hint="default" w:ascii="Times New Roman" w:hAnsi="Times New Roman" w:cs="Times New Roman"/>
                <w:color w:val="auto"/>
                <w:kern w:val="2"/>
                <w:sz w:val="21"/>
                <w:szCs w:val="21"/>
              </w:rPr>
            </w:pPr>
          </w:p>
        </w:tc>
        <w:tc>
          <w:tcPr>
            <w:tcW w:w="1844" w:type="dxa"/>
            <w:vAlign w:val="center"/>
          </w:tcPr>
          <w:p w14:paraId="63A4FD0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布袋粉尘</w:t>
            </w:r>
          </w:p>
        </w:tc>
        <w:tc>
          <w:tcPr>
            <w:tcW w:w="995" w:type="dxa"/>
            <w:vAlign w:val="center"/>
          </w:tcPr>
          <w:p w14:paraId="0826633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废气处理</w:t>
            </w:r>
          </w:p>
        </w:tc>
        <w:tc>
          <w:tcPr>
            <w:tcW w:w="699" w:type="dxa"/>
            <w:vAlign w:val="center"/>
          </w:tcPr>
          <w:p w14:paraId="4D3D2F98">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固态</w:t>
            </w:r>
          </w:p>
        </w:tc>
        <w:tc>
          <w:tcPr>
            <w:tcW w:w="969" w:type="dxa"/>
            <w:vAlign w:val="center"/>
          </w:tcPr>
          <w:p w14:paraId="64776B1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0.018</w:t>
            </w:r>
          </w:p>
        </w:tc>
        <w:tc>
          <w:tcPr>
            <w:tcW w:w="2433" w:type="dxa"/>
            <w:vAlign w:val="center"/>
          </w:tcPr>
          <w:p w14:paraId="10521873">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全部回用</w:t>
            </w:r>
          </w:p>
        </w:tc>
      </w:tr>
    </w:tbl>
    <w:p w14:paraId="11D1DFF8">
      <w:pPr>
        <w:pStyle w:val="93"/>
        <w:rPr>
          <w:rFonts w:hint="default" w:ascii="Times New Roman" w:hAnsi="Times New Roman" w:cs="Times New Roman"/>
          <w:color w:val="auto"/>
        </w:rPr>
      </w:pPr>
      <w:r>
        <w:rPr>
          <w:rFonts w:hint="default" w:ascii="Times New Roman" w:hAnsi="Times New Roman" w:cs="Times New Roman"/>
          <w:color w:val="auto"/>
        </w:rPr>
        <w:t>表4.2.4-2      危险废物一览表</w:t>
      </w:r>
    </w:p>
    <w:tbl>
      <w:tblPr>
        <w:tblStyle w:val="44"/>
        <w:tblW w:w="496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03"/>
        <w:gridCol w:w="913"/>
        <w:gridCol w:w="719"/>
        <w:gridCol w:w="854"/>
        <w:gridCol w:w="744"/>
        <w:gridCol w:w="890"/>
        <w:gridCol w:w="426"/>
        <w:gridCol w:w="679"/>
        <w:gridCol w:w="698"/>
        <w:gridCol w:w="600"/>
        <w:gridCol w:w="522"/>
        <w:gridCol w:w="925"/>
      </w:tblGrid>
      <w:tr w14:paraId="5CCD32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503" w:type="dxa"/>
            <w:vAlign w:val="center"/>
          </w:tcPr>
          <w:p w14:paraId="0AB4EE35">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序号</w:t>
            </w:r>
          </w:p>
        </w:tc>
        <w:tc>
          <w:tcPr>
            <w:tcW w:w="913" w:type="dxa"/>
            <w:vAlign w:val="center"/>
          </w:tcPr>
          <w:p w14:paraId="1A8A534C">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危险废物名称</w:t>
            </w:r>
          </w:p>
        </w:tc>
        <w:tc>
          <w:tcPr>
            <w:tcW w:w="719" w:type="dxa"/>
            <w:vAlign w:val="center"/>
          </w:tcPr>
          <w:p w14:paraId="2181C289">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危险废物类别</w:t>
            </w:r>
          </w:p>
        </w:tc>
        <w:tc>
          <w:tcPr>
            <w:tcW w:w="854" w:type="dxa"/>
            <w:vAlign w:val="center"/>
          </w:tcPr>
          <w:p w14:paraId="0CE16E20">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危险废物代码</w:t>
            </w:r>
          </w:p>
        </w:tc>
        <w:tc>
          <w:tcPr>
            <w:tcW w:w="744" w:type="dxa"/>
            <w:vAlign w:val="center"/>
          </w:tcPr>
          <w:p w14:paraId="27A6CC8B">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产生量（t/a）</w:t>
            </w:r>
          </w:p>
        </w:tc>
        <w:tc>
          <w:tcPr>
            <w:tcW w:w="890" w:type="dxa"/>
            <w:vAlign w:val="center"/>
          </w:tcPr>
          <w:p w14:paraId="52DD2080">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产生工序及装置</w:t>
            </w:r>
          </w:p>
        </w:tc>
        <w:tc>
          <w:tcPr>
            <w:tcW w:w="426" w:type="dxa"/>
            <w:vAlign w:val="center"/>
          </w:tcPr>
          <w:p w14:paraId="7A327432">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形态</w:t>
            </w:r>
          </w:p>
        </w:tc>
        <w:tc>
          <w:tcPr>
            <w:tcW w:w="679" w:type="dxa"/>
            <w:vAlign w:val="center"/>
          </w:tcPr>
          <w:p w14:paraId="13C30AB2">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主要</w:t>
            </w:r>
          </w:p>
          <w:p w14:paraId="16452265">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成分</w:t>
            </w:r>
          </w:p>
        </w:tc>
        <w:tc>
          <w:tcPr>
            <w:tcW w:w="698" w:type="dxa"/>
            <w:vAlign w:val="center"/>
          </w:tcPr>
          <w:p w14:paraId="3239BE88">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有害</w:t>
            </w:r>
          </w:p>
          <w:p w14:paraId="62E18675">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成分</w:t>
            </w:r>
          </w:p>
        </w:tc>
        <w:tc>
          <w:tcPr>
            <w:tcW w:w="600" w:type="dxa"/>
            <w:vAlign w:val="center"/>
          </w:tcPr>
          <w:p w14:paraId="12F50A5D">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产废周期</w:t>
            </w:r>
          </w:p>
        </w:tc>
        <w:tc>
          <w:tcPr>
            <w:tcW w:w="522" w:type="dxa"/>
            <w:vAlign w:val="center"/>
          </w:tcPr>
          <w:p w14:paraId="5AAE2902">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危险</w:t>
            </w:r>
          </w:p>
          <w:p w14:paraId="0757B9D4">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特性</w:t>
            </w:r>
          </w:p>
        </w:tc>
        <w:tc>
          <w:tcPr>
            <w:tcW w:w="925" w:type="dxa"/>
            <w:vAlign w:val="center"/>
          </w:tcPr>
          <w:p w14:paraId="4E8D7B22">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污染防治措施</w:t>
            </w:r>
          </w:p>
        </w:tc>
      </w:tr>
      <w:tr w14:paraId="6978B6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3" w:type="dxa"/>
            <w:vAlign w:val="center"/>
          </w:tcPr>
          <w:p w14:paraId="03D4EE7B">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913" w:type="dxa"/>
            <w:vAlign w:val="center"/>
          </w:tcPr>
          <w:p w14:paraId="6276A74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废润滑油</w:t>
            </w:r>
          </w:p>
        </w:tc>
        <w:tc>
          <w:tcPr>
            <w:tcW w:w="719" w:type="dxa"/>
            <w:vAlign w:val="center"/>
          </w:tcPr>
          <w:p w14:paraId="33611C49">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HW08</w:t>
            </w:r>
          </w:p>
        </w:tc>
        <w:tc>
          <w:tcPr>
            <w:tcW w:w="854" w:type="dxa"/>
            <w:vAlign w:val="center"/>
          </w:tcPr>
          <w:p w14:paraId="07F5009F">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900-217-08</w:t>
            </w:r>
          </w:p>
        </w:tc>
        <w:tc>
          <w:tcPr>
            <w:tcW w:w="744" w:type="dxa"/>
            <w:vAlign w:val="center"/>
          </w:tcPr>
          <w:p w14:paraId="00611B7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0.35</w:t>
            </w:r>
          </w:p>
        </w:tc>
        <w:tc>
          <w:tcPr>
            <w:tcW w:w="890" w:type="dxa"/>
            <w:vAlign w:val="center"/>
          </w:tcPr>
          <w:p w14:paraId="1C6F05AB">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生产过程</w:t>
            </w:r>
          </w:p>
        </w:tc>
        <w:tc>
          <w:tcPr>
            <w:tcW w:w="426" w:type="dxa"/>
            <w:vAlign w:val="center"/>
          </w:tcPr>
          <w:p w14:paraId="764572ED">
            <w:pPr>
              <w:pStyle w:val="93"/>
              <w:topLinePunct/>
              <w:spacing w:before="0" w:line="240" w:lineRule="auto"/>
              <w:contextualSpacing/>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液态</w:t>
            </w:r>
          </w:p>
        </w:tc>
        <w:tc>
          <w:tcPr>
            <w:tcW w:w="679" w:type="dxa"/>
            <w:vAlign w:val="center"/>
          </w:tcPr>
          <w:p w14:paraId="4A99D9F4">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石油类</w:t>
            </w:r>
          </w:p>
        </w:tc>
        <w:tc>
          <w:tcPr>
            <w:tcW w:w="698" w:type="dxa"/>
            <w:vAlign w:val="center"/>
          </w:tcPr>
          <w:p w14:paraId="25A2ABB6">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石油类</w:t>
            </w:r>
          </w:p>
        </w:tc>
        <w:tc>
          <w:tcPr>
            <w:tcW w:w="600" w:type="dxa"/>
            <w:vAlign w:val="center"/>
          </w:tcPr>
          <w:p w14:paraId="550D75A1">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间断</w:t>
            </w:r>
          </w:p>
        </w:tc>
        <w:tc>
          <w:tcPr>
            <w:tcW w:w="522" w:type="dxa"/>
            <w:vAlign w:val="center"/>
          </w:tcPr>
          <w:p w14:paraId="040576A0">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T，I</w:t>
            </w:r>
          </w:p>
        </w:tc>
        <w:tc>
          <w:tcPr>
            <w:tcW w:w="925" w:type="dxa"/>
            <w:vMerge w:val="restart"/>
            <w:vAlign w:val="center"/>
          </w:tcPr>
          <w:p w14:paraId="107902DC">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暂存于危废贮存库，交有资质单位收集处置</w:t>
            </w:r>
          </w:p>
        </w:tc>
      </w:tr>
      <w:tr w14:paraId="1B2D97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3" w:type="dxa"/>
            <w:vAlign w:val="center"/>
          </w:tcPr>
          <w:p w14:paraId="66BB64BC">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w:t>
            </w:r>
          </w:p>
        </w:tc>
        <w:tc>
          <w:tcPr>
            <w:tcW w:w="913" w:type="dxa"/>
            <w:vAlign w:val="center"/>
          </w:tcPr>
          <w:p w14:paraId="15A99E5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废油桶</w:t>
            </w:r>
          </w:p>
        </w:tc>
        <w:tc>
          <w:tcPr>
            <w:tcW w:w="719" w:type="dxa"/>
            <w:vAlign w:val="center"/>
          </w:tcPr>
          <w:p w14:paraId="44B9FE1A">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HW08</w:t>
            </w:r>
          </w:p>
        </w:tc>
        <w:tc>
          <w:tcPr>
            <w:tcW w:w="854" w:type="dxa"/>
            <w:vAlign w:val="center"/>
          </w:tcPr>
          <w:p w14:paraId="2FD31C5C">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900-249-08</w:t>
            </w:r>
          </w:p>
        </w:tc>
        <w:tc>
          <w:tcPr>
            <w:tcW w:w="744" w:type="dxa"/>
            <w:vAlign w:val="center"/>
          </w:tcPr>
          <w:p w14:paraId="38D4A12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0.06</w:t>
            </w:r>
          </w:p>
        </w:tc>
        <w:tc>
          <w:tcPr>
            <w:tcW w:w="890" w:type="dxa"/>
            <w:vAlign w:val="center"/>
          </w:tcPr>
          <w:p w14:paraId="4F70EA62">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生产过程</w:t>
            </w:r>
          </w:p>
        </w:tc>
        <w:tc>
          <w:tcPr>
            <w:tcW w:w="426" w:type="dxa"/>
            <w:vAlign w:val="center"/>
          </w:tcPr>
          <w:p w14:paraId="3F11DC95">
            <w:pPr>
              <w:pStyle w:val="93"/>
              <w:topLinePunct/>
              <w:spacing w:before="0" w:line="240" w:lineRule="auto"/>
              <w:contextualSpacing/>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固态</w:t>
            </w:r>
          </w:p>
        </w:tc>
        <w:tc>
          <w:tcPr>
            <w:tcW w:w="679" w:type="dxa"/>
            <w:vAlign w:val="center"/>
          </w:tcPr>
          <w:p w14:paraId="48B4E638">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金属</w:t>
            </w:r>
          </w:p>
        </w:tc>
        <w:tc>
          <w:tcPr>
            <w:tcW w:w="698" w:type="dxa"/>
            <w:vAlign w:val="center"/>
          </w:tcPr>
          <w:p w14:paraId="6D7A7E4D">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石油类</w:t>
            </w:r>
          </w:p>
        </w:tc>
        <w:tc>
          <w:tcPr>
            <w:tcW w:w="600" w:type="dxa"/>
            <w:vAlign w:val="center"/>
          </w:tcPr>
          <w:p w14:paraId="6894E823">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间断</w:t>
            </w:r>
          </w:p>
        </w:tc>
        <w:tc>
          <w:tcPr>
            <w:tcW w:w="522" w:type="dxa"/>
            <w:vAlign w:val="center"/>
          </w:tcPr>
          <w:p w14:paraId="7A96F868">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T，I</w:t>
            </w:r>
          </w:p>
        </w:tc>
        <w:tc>
          <w:tcPr>
            <w:tcW w:w="925" w:type="dxa"/>
            <w:vMerge w:val="continue"/>
            <w:vAlign w:val="center"/>
          </w:tcPr>
          <w:p w14:paraId="50C8376D">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p>
        </w:tc>
      </w:tr>
      <w:tr w14:paraId="2190E2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3" w:type="dxa"/>
            <w:vAlign w:val="center"/>
          </w:tcPr>
          <w:p w14:paraId="205CC12E">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w:t>
            </w:r>
          </w:p>
        </w:tc>
        <w:tc>
          <w:tcPr>
            <w:tcW w:w="913" w:type="dxa"/>
            <w:vAlign w:val="center"/>
          </w:tcPr>
          <w:p w14:paraId="739F48C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废含油抹布/劳保用品</w:t>
            </w:r>
          </w:p>
        </w:tc>
        <w:tc>
          <w:tcPr>
            <w:tcW w:w="719" w:type="dxa"/>
            <w:vAlign w:val="center"/>
          </w:tcPr>
          <w:p w14:paraId="2821A5B2">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HW49</w:t>
            </w:r>
          </w:p>
        </w:tc>
        <w:tc>
          <w:tcPr>
            <w:tcW w:w="854" w:type="dxa"/>
            <w:vAlign w:val="center"/>
          </w:tcPr>
          <w:p w14:paraId="467FA7A0">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900-041-49</w:t>
            </w:r>
          </w:p>
        </w:tc>
        <w:tc>
          <w:tcPr>
            <w:tcW w:w="744" w:type="dxa"/>
            <w:vAlign w:val="center"/>
          </w:tcPr>
          <w:p w14:paraId="246AF90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0.2</w:t>
            </w:r>
          </w:p>
        </w:tc>
        <w:tc>
          <w:tcPr>
            <w:tcW w:w="890" w:type="dxa"/>
            <w:vAlign w:val="center"/>
          </w:tcPr>
          <w:p w14:paraId="5388526E">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生产过程</w:t>
            </w:r>
          </w:p>
        </w:tc>
        <w:tc>
          <w:tcPr>
            <w:tcW w:w="426" w:type="dxa"/>
            <w:vAlign w:val="center"/>
          </w:tcPr>
          <w:p w14:paraId="06CF65A5">
            <w:pPr>
              <w:pStyle w:val="93"/>
              <w:topLinePunct/>
              <w:spacing w:before="0" w:line="240" w:lineRule="auto"/>
              <w:contextualSpacing/>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固态</w:t>
            </w:r>
          </w:p>
        </w:tc>
        <w:tc>
          <w:tcPr>
            <w:tcW w:w="679" w:type="dxa"/>
            <w:vAlign w:val="center"/>
          </w:tcPr>
          <w:p w14:paraId="34FFF3CA">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棉布</w:t>
            </w:r>
          </w:p>
        </w:tc>
        <w:tc>
          <w:tcPr>
            <w:tcW w:w="698" w:type="dxa"/>
            <w:vAlign w:val="center"/>
          </w:tcPr>
          <w:p w14:paraId="74959122">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石油类</w:t>
            </w:r>
          </w:p>
        </w:tc>
        <w:tc>
          <w:tcPr>
            <w:tcW w:w="600" w:type="dxa"/>
            <w:vAlign w:val="center"/>
          </w:tcPr>
          <w:p w14:paraId="25537DE8">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间断</w:t>
            </w:r>
          </w:p>
        </w:tc>
        <w:tc>
          <w:tcPr>
            <w:tcW w:w="522" w:type="dxa"/>
            <w:vAlign w:val="center"/>
          </w:tcPr>
          <w:p w14:paraId="3EC2B2F6">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T/In</w:t>
            </w:r>
          </w:p>
        </w:tc>
        <w:tc>
          <w:tcPr>
            <w:tcW w:w="925" w:type="dxa"/>
            <w:vMerge w:val="continue"/>
            <w:vAlign w:val="center"/>
          </w:tcPr>
          <w:p w14:paraId="3B90AB00">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p>
        </w:tc>
      </w:tr>
      <w:tr w14:paraId="1A0881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3" w:type="dxa"/>
            <w:vAlign w:val="center"/>
          </w:tcPr>
          <w:p w14:paraId="1911C56F">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w:t>
            </w:r>
          </w:p>
        </w:tc>
        <w:tc>
          <w:tcPr>
            <w:tcW w:w="913" w:type="dxa"/>
            <w:vAlign w:val="center"/>
          </w:tcPr>
          <w:p w14:paraId="1492290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废活性炭</w:t>
            </w:r>
          </w:p>
        </w:tc>
        <w:tc>
          <w:tcPr>
            <w:tcW w:w="719" w:type="dxa"/>
            <w:vAlign w:val="center"/>
          </w:tcPr>
          <w:p w14:paraId="3C765F9A">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HW49</w:t>
            </w:r>
          </w:p>
        </w:tc>
        <w:tc>
          <w:tcPr>
            <w:tcW w:w="854" w:type="dxa"/>
            <w:vAlign w:val="center"/>
          </w:tcPr>
          <w:p w14:paraId="07E024B2">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900-039-49</w:t>
            </w:r>
          </w:p>
        </w:tc>
        <w:tc>
          <w:tcPr>
            <w:tcW w:w="744" w:type="dxa"/>
            <w:vAlign w:val="center"/>
          </w:tcPr>
          <w:p w14:paraId="72081306">
            <w:pPr>
              <w:spacing w:line="240" w:lineRule="auto"/>
              <w:ind w:firstLine="0" w:firstLineChars="0"/>
              <w:jc w:val="center"/>
              <w:rPr>
                <w:rFonts w:hint="eastAsia" w:ascii="Times New Roman" w:hAnsi="Times New Roman" w:eastAsia="宋体" w:cs="Times New Roman"/>
                <w:color w:val="auto"/>
                <w:kern w:val="2"/>
                <w:sz w:val="21"/>
                <w:szCs w:val="21"/>
                <w:lang w:eastAsia="zh-CN"/>
              </w:rPr>
            </w:pPr>
            <w:r>
              <w:rPr>
                <w:rFonts w:hint="eastAsia" w:cs="Times New Roman"/>
                <w:color w:val="auto"/>
                <w:kern w:val="2"/>
                <w:sz w:val="21"/>
                <w:szCs w:val="21"/>
                <w:lang w:eastAsia="zh-CN"/>
              </w:rPr>
              <w:t>54.4</w:t>
            </w:r>
          </w:p>
        </w:tc>
        <w:tc>
          <w:tcPr>
            <w:tcW w:w="890" w:type="dxa"/>
            <w:vAlign w:val="center"/>
          </w:tcPr>
          <w:p w14:paraId="75A03A25">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废气处理过程</w:t>
            </w:r>
          </w:p>
        </w:tc>
        <w:tc>
          <w:tcPr>
            <w:tcW w:w="426" w:type="dxa"/>
            <w:vAlign w:val="center"/>
          </w:tcPr>
          <w:p w14:paraId="322BE5A9">
            <w:pPr>
              <w:pStyle w:val="93"/>
              <w:topLinePunct/>
              <w:spacing w:before="0" w:line="240" w:lineRule="auto"/>
              <w:contextualSpacing/>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固态</w:t>
            </w:r>
          </w:p>
        </w:tc>
        <w:tc>
          <w:tcPr>
            <w:tcW w:w="679" w:type="dxa"/>
            <w:vAlign w:val="center"/>
          </w:tcPr>
          <w:p w14:paraId="6FB051FA">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炭</w:t>
            </w:r>
          </w:p>
        </w:tc>
        <w:tc>
          <w:tcPr>
            <w:tcW w:w="698" w:type="dxa"/>
            <w:vAlign w:val="center"/>
          </w:tcPr>
          <w:p w14:paraId="5002B92D">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非甲烷总烃</w:t>
            </w:r>
          </w:p>
        </w:tc>
        <w:tc>
          <w:tcPr>
            <w:tcW w:w="600" w:type="dxa"/>
            <w:vAlign w:val="center"/>
          </w:tcPr>
          <w:p w14:paraId="0F56F3D2">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间断</w:t>
            </w:r>
          </w:p>
        </w:tc>
        <w:tc>
          <w:tcPr>
            <w:tcW w:w="522" w:type="dxa"/>
            <w:vAlign w:val="center"/>
          </w:tcPr>
          <w:p w14:paraId="3F84028D">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T</w:t>
            </w:r>
          </w:p>
        </w:tc>
        <w:tc>
          <w:tcPr>
            <w:tcW w:w="925" w:type="dxa"/>
            <w:vMerge w:val="continue"/>
            <w:vAlign w:val="center"/>
          </w:tcPr>
          <w:p w14:paraId="15D840AE">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p>
        </w:tc>
      </w:tr>
      <w:tr w14:paraId="7F7785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3" w:type="dxa"/>
            <w:vAlign w:val="center"/>
          </w:tcPr>
          <w:p w14:paraId="1A178FA5">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w:t>
            </w:r>
          </w:p>
        </w:tc>
        <w:tc>
          <w:tcPr>
            <w:tcW w:w="913" w:type="dxa"/>
            <w:vAlign w:val="center"/>
          </w:tcPr>
          <w:p w14:paraId="679325D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空压机油水混合物</w:t>
            </w:r>
          </w:p>
        </w:tc>
        <w:tc>
          <w:tcPr>
            <w:tcW w:w="719" w:type="dxa"/>
            <w:vAlign w:val="center"/>
          </w:tcPr>
          <w:p w14:paraId="671E7D28">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HW09</w:t>
            </w:r>
          </w:p>
        </w:tc>
        <w:tc>
          <w:tcPr>
            <w:tcW w:w="854" w:type="dxa"/>
            <w:vAlign w:val="center"/>
          </w:tcPr>
          <w:p w14:paraId="6E36EC4F">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900-007-09</w:t>
            </w:r>
          </w:p>
        </w:tc>
        <w:tc>
          <w:tcPr>
            <w:tcW w:w="744" w:type="dxa"/>
            <w:vAlign w:val="center"/>
          </w:tcPr>
          <w:p w14:paraId="1C0F512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0.45</w:t>
            </w:r>
          </w:p>
        </w:tc>
        <w:tc>
          <w:tcPr>
            <w:tcW w:w="890" w:type="dxa"/>
            <w:vAlign w:val="center"/>
          </w:tcPr>
          <w:p w14:paraId="7B0B700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空压机</w:t>
            </w:r>
          </w:p>
        </w:tc>
        <w:tc>
          <w:tcPr>
            <w:tcW w:w="426" w:type="dxa"/>
            <w:vAlign w:val="center"/>
          </w:tcPr>
          <w:p w14:paraId="1D22FD96">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液态</w:t>
            </w:r>
          </w:p>
        </w:tc>
        <w:tc>
          <w:tcPr>
            <w:tcW w:w="679" w:type="dxa"/>
            <w:vAlign w:val="center"/>
          </w:tcPr>
          <w:p w14:paraId="1EA53BB9">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石油类</w:t>
            </w:r>
          </w:p>
        </w:tc>
        <w:tc>
          <w:tcPr>
            <w:tcW w:w="698" w:type="dxa"/>
            <w:vAlign w:val="center"/>
          </w:tcPr>
          <w:p w14:paraId="1DA3B039">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石油类</w:t>
            </w:r>
          </w:p>
        </w:tc>
        <w:tc>
          <w:tcPr>
            <w:tcW w:w="600" w:type="dxa"/>
            <w:vAlign w:val="center"/>
          </w:tcPr>
          <w:p w14:paraId="5A629E38">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间断</w:t>
            </w:r>
          </w:p>
        </w:tc>
        <w:tc>
          <w:tcPr>
            <w:tcW w:w="522" w:type="dxa"/>
            <w:vAlign w:val="center"/>
          </w:tcPr>
          <w:p w14:paraId="23047C71">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T</w:t>
            </w:r>
          </w:p>
        </w:tc>
        <w:tc>
          <w:tcPr>
            <w:tcW w:w="925" w:type="dxa"/>
            <w:vMerge w:val="continue"/>
            <w:vAlign w:val="center"/>
          </w:tcPr>
          <w:p w14:paraId="3521EBF8">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p>
        </w:tc>
      </w:tr>
    </w:tbl>
    <w:p w14:paraId="1ECA5785">
      <w:pPr>
        <w:pStyle w:val="93"/>
        <w:rPr>
          <w:rFonts w:hint="default" w:ascii="Times New Roman" w:hAnsi="Times New Roman" w:cs="Times New Roman"/>
          <w:color w:val="auto"/>
        </w:rPr>
      </w:pPr>
      <w:r>
        <w:rPr>
          <w:rFonts w:hint="default" w:ascii="Times New Roman" w:hAnsi="Times New Roman" w:cs="Times New Roman"/>
          <w:color w:val="auto"/>
        </w:rPr>
        <w:t>表4.2.4-3      一般固废一览表</w:t>
      </w:r>
    </w:p>
    <w:tbl>
      <w:tblPr>
        <w:tblStyle w:val="44"/>
        <w:tblW w:w="8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
        <w:gridCol w:w="2209"/>
        <w:gridCol w:w="803"/>
        <w:gridCol w:w="692"/>
        <w:gridCol w:w="1513"/>
        <w:gridCol w:w="949"/>
        <w:gridCol w:w="1428"/>
      </w:tblGrid>
      <w:tr w14:paraId="5D91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533" w:type="dxa"/>
            <w:vAlign w:val="center"/>
          </w:tcPr>
          <w:p w14:paraId="75C30D98">
            <w:pPr>
              <w:pStyle w:val="22"/>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序号</w:t>
            </w:r>
          </w:p>
        </w:tc>
        <w:tc>
          <w:tcPr>
            <w:tcW w:w="2209" w:type="dxa"/>
            <w:vAlign w:val="center"/>
          </w:tcPr>
          <w:p w14:paraId="4CF09640">
            <w:pPr>
              <w:pStyle w:val="22"/>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名称</w:t>
            </w:r>
          </w:p>
        </w:tc>
        <w:tc>
          <w:tcPr>
            <w:tcW w:w="803" w:type="dxa"/>
            <w:vAlign w:val="center"/>
          </w:tcPr>
          <w:p w14:paraId="5948201D">
            <w:pPr>
              <w:pStyle w:val="22"/>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产生工序</w:t>
            </w:r>
          </w:p>
        </w:tc>
        <w:tc>
          <w:tcPr>
            <w:tcW w:w="692" w:type="dxa"/>
            <w:vAlign w:val="center"/>
          </w:tcPr>
          <w:p w14:paraId="2BAE3824">
            <w:pPr>
              <w:pStyle w:val="22"/>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类别代码</w:t>
            </w:r>
          </w:p>
        </w:tc>
        <w:tc>
          <w:tcPr>
            <w:tcW w:w="1513" w:type="dxa"/>
            <w:vAlign w:val="center"/>
          </w:tcPr>
          <w:p w14:paraId="17FBA58A">
            <w:pPr>
              <w:pStyle w:val="22"/>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代码</w:t>
            </w:r>
          </w:p>
        </w:tc>
        <w:tc>
          <w:tcPr>
            <w:tcW w:w="949" w:type="dxa"/>
            <w:vAlign w:val="center"/>
          </w:tcPr>
          <w:p w14:paraId="1178AF5C">
            <w:pPr>
              <w:pStyle w:val="22"/>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产生量t/a</w:t>
            </w:r>
          </w:p>
        </w:tc>
        <w:tc>
          <w:tcPr>
            <w:tcW w:w="1428" w:type="dxa"/>
            <w:vAlign w:val="center"/>
          </w:tcPr>
          <w:p w14:paraId="20F39531">
            <w:pPr>
              <w:pStyle w:val="22"/>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处置方式</w:t>
            </w:r>
          </w:p>
        </w:tc>
      </w:tr>
      <w:tr w14:paraId="77D8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533" w:type="dxa"/>
            <w:vAlign w:val="center"/>
          </w:tcPr>
          <w:p w14:paraId="794FD272">
            <w:pPr>
              <w:pStyle w:val="22"/>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w:t>
            </w:r>
          </w:p>
        </w:tc>
        <w:tc>
          <w:tcPr>
            <w:tcW w:w="2209" w:type="dxa"/>
            <w:vAlign w:val="center"/>
          </w:tcPr>
          <w:p w14:paraId="057739D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废塑料</w:t>
            </w:r>
          </w:p>
        </w:tc>
        <w:tc>
          <w:tcPr>
            <w:tcW w:w="803" w:type="dxa"/>
            <w:vAlign w:val="center"/>
          </w:tcPr>
          <w:p w14:paraId="7581ECD4">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生产过程</w:t>
            </w:r>
          </w:p>
        </w:tc>
        <w:tc>
          <w:tcPr>
            <w:tcW w:w="692" w:type="dxa"/>
            <w:vAlign w:val="center"/>
          </w:tcPr>
          <w:p w14:paraId="12528855">
            <w:pPr>
              <w:pStyle w:val="22"/>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06</w:t>
            </w:r>
          </w:p>
        </w:tc>
        <w:tc>
          <w:tcPr>
            <w:tcW w:w="1513" w:type="dxa"/>
            <w:vAlign w:val="center"/>
          </w:tcPr>
          <w:p w14:paraId="3D61AD5C">
            <w:pPr>
              <w:pStyle w:val="22"/>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292-001-06</w:t>
            </w:r>
          </w:p>
        </w:tc>
        <w:tc>
          <w:tcPr>
            <w:tcW w:w="949" w:type="dxa"/>
            <w:vAlign w:val="center"/>
          </w:tcPr>
          <w:p w14:paraId="1BF0326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2.5</w:t>
            </w:r>
          </w:p>
        </w:tc>
        <w:tc>
          <w:tcPr>
            <w:tcW w:w="1428" w:type="dxa"/>
            <w:vAlign w:val="center"/>
          </w:tcPr>
          <w:p w14:paraId="4735BA6C">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外售处置</w:t>
            </w:r>
          </w:p>
        </w:tc>
      </w:tr>
      <w:tr w14:paraId="0AF59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533" w:type="dxa"/>
            <w:vAlign w:val="center"/>
          </w:tcPr>
          <w:p w14:paraId="1E1FF209">
            <w:pPr>
              <w:pStyle w:val="22"/>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w:t>
            </w:r>
          </w:p>
        </w:tc>
        <w:tc>
          <w:tcPr>
            <w:tcW w:w="2209" w:type="dxa"/>
            <w:vAlign w:val="center"/>
          </w:tcPr>
          <w:p w14:paraId="086F097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塑料清膛料</w:t>
            </w:r>
          </w:p>
        </w:tc>
        <w:tc>
          <w:tcPr>
            <w:tcW w:w="803" w:type="dxa"/>
            <w:vAlign w:val="center"/>
          </w:tcPr>
          <w:p w14:paraId="7A204EBA">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生产过程</w:t>
            </w:r>
          </w:p>
        </w:tc>
        <w:tc>
          <w:tcPr>
            <w:tcW w:w="692" w:type="dxa"/>
            <w:vAlign w:val="center"/>
          </w:tcPr>
          <w:p w14:paraId="0B6DCEA9">
            <w:pPr>
              <w:pStyle w:val="22"/>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06</w:t>
            </w:r>
          </w:p>
        </w:tc>
        <w:tc>
          <w:tcPr>
            <w:tcW w:w="1513" w:type="dxa"/>
            <w:vAlign w:val="center"/>
          </w:tcPr>
          <w:p w14:paraId="51A1C8D8">
            <w:pPr>
              <w:pStyle w:val="22"/>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292-001-06</w:t>
            </w:r>
          </w:p>
        </w:tc>
        <w:tc>
          <w:tcPr>
            <w:tcW w:w="949" w:type="dxa"/>
            <w:vAlign w:val="center"/>
          </w:tcPr>
          <w:p w14:paraId="17E5D94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w:t>
            </w:r>
          </w:p>
        </w:tc>
        <w:tc>
          <w:tcPr>
            <w:tcW w:w="1428" w:type="dxa"/>
            <w:vAlign w:val="center"/>
          </w:tcPr>
          <w:p w14:paraId="651F3D25">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全部回用</w:t>
            </w:r>
          </w:p>
        </w:tc>
      </w:tr>
      <w:tr w14:paraId="65589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533" w:type="dxa"/>
            <w:vAlign w:val="center"/>
          </w:tcPr>
          <w:p w14:paraId="407238B3">
            <w:pPr>
              <w:pStyle w:val="22"/>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w:t>
            </w:r>
          </w:p>
        </w:tc>
        <w:tc>
          <w:tcPr>
            <w:tcW w:w="2209" w:type="dxa"/>
            <w:vAlign w:val="center"/>
          </w:tcPr>
          <w:p w14:paraId="2E175E2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废包装材料</w:t>
            </w:r>
          </w:p>
        </w:tc>
        <w:tc>
          <w:tcPr>
            <w:tcW w:w="803" w:type="dxa"/>
            <w:vAlign w:val="center"/>
          </w:tcPr>
          <w:p w14:paraId="3F55B8CE">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生产过程</w:t>
            </w:r>
          </w:p>
        </w:tc>
        <w:tc>
          <w:tcPr>
            <w:tcW w:w="692" w:type="dxa"/>
            <w:vAlign w:val="center"/>
          </w:tcPr>
          <w:p w14:paraId="31319221">
            <w:pPr>
              <w:pStyle w:val="22"/>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07</w:t>
            </w:r>
          </w:p>
        </w:tc>
        <w:tc>
          <w:tcPr>
            <w:tcW w:w="1513" w:type="dxa"/>
            <w:vAlign w:val="center"/>
          </w:tcPr>
          <w:p w14:paraId="69E01643">
            <w:pPr>
              <w:pStyle w:val="22"/>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223-001-07</w:t>
            </w:r>
          </w:p>
        </w:tc>
        <w:tc>
          <w:tcPr>
            <w:tcW w:w="949" w:type="dxa"/>
            <w:vAlign w:val="center"/>
          </w:tcPr>
          <w:p w14:paraId="4C924C3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w:t>
            </w:r>
          </w:p>
        </w:tc>
        <w:tc>
          <w:tcPr>
            <w:tcW w:w="1428" w:type="dxa"/>
            <w:vAlign w:val="center"/>
          </w:tcPr>
          <w:p w14:paraId="565D1978">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外售处置</w:t>
            </w:r>
          </w:p>
        </w:tc>
      </w:tr>
      <w:tr w14:paraId="5BA5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533" w:type="dxa"/>
            <w:vAlign w:val="center"/>
          </w:tcPr>
          <w:p w14:paraId="1A35D809">
            <w:pPr>
              <w:pStyle w:val="22"/>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w:t>
            </w:r>
          </w:p>
        </w:tc>
        <w:tc>
          <w:tcPr>
            <w:tcW w:w="2209" w:type="dxa"/>
            <w:vAlign w:val="center"/>
          </w:tcPr>
          <w:p w14:paraId="51362DC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布袋粉尘</w:t>
            </w:r>
          </w:p>
        </w:tc>
        <w:tc>
          <w:tcPr>
            <w:tcW w:w="803" w:type="dxa"/>
            <w:vAlign w:val="center"/>
          </w:tcPr>
          <w:p w14:paraId="2F411343">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废气处理</w:t>
            </w:r>
          </w:p>
        </w:tc>
        <w:tc>
          <w:tcPr>
            <w:tcW w:w="692" w:type="dxa"/>
            <w:vAlign w:val="center"/>
          </w:tcPr>
          <w:p w14:paraId="209878E9">
            <w:pPr>
              <w:pStyle w:val="22"/>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66</w:t>
            </w:r>
          </w:p>
        </w:tc>
        <w:tc>
          <w:tcPr>
            <w:tcW w:w="1513" w:type="dxa"/>
            <w:vAlign w:val="center"/>
          </w:tcPr>
          <w:p w14:paraId="1FA59FB7">
            <w:pPr>
              <w:pStyle w:val="22"/>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900-999-66</w:t>
            </w:r>
          </w:p>
        </w:tc>
        <w:tc>
          <w:tcPr>
            <w:tcW w:w="949" w:type="dxa"/>
            <w:vAlign w:val="center"/>
          </w:tcPr>
          <w:p w14:paraId="1C19E88A">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0.018</w:t>
            </w:r>
          </w:p>
        </w:tc>
        <w:tc>
          <w:tcPr>
            <w:tcW w:w="1428" w:type="dxa"/>
            <w:vAlign w:val="center"/>
          </w:tcPr>
          <w:p w14:paraId="3B2DB01A">
            <w:pPr>
              <w:pStyle w:val="93"/>
              <w:spacing w:before="0" w:line="240" w:lineRule="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全部回用</w:t>
            </w:r>
          </w:p>
        </w:tc>
      </w:tr>
    </w:tbl>
    <w:p w14:paraId="488354CD">
      <w:pPr>
        <w:ind w:firstLine="480"/>
        <w:rPr>
          <w:rFonts w:hint="default" w:ascii="Times New Roman" w:hAnsi="Times New Roman" w:cs="Times New Roman"/>
          <w:color w:val="auto"/>
        </w:rPr>
      </w:pPr>
    </w:p>
    <w:p w14:paraId="52DBE558">
      <w:pPr>
        <w:ind w:firstLine="480"/>
        <w:rPr>
          <w:rFonts w:hint="default" w:ascii="Times New Roman" w:hAnsi="Times New Roman" w:cs="Times New Roman"/>
          <w:color w:val="auto"/>
        </w:rPr>
      </w:pPr>
      <w:r>
        <w:rPr>
          <w:rFonts w:hint="default" w:ascii="Times New Roman" w:hAnsi="Times New Roman" w:cs="Times New Roman"/>
          <w:color w:val="auto"/>
        </w:rPr>
        <w:t>（2）固体废物的管理要求：</w:t>
      </w:r>
    </w:p>
    <w:p w14:paraId="22ABBF53">
      <w:pPr>
        <w:ind w:firstLine="480"/>
        <w:rPr>
          <w:rFonts w:hint="default" w:ascii="Times New Roman" w:hAnsi="Times New Roman" w:cs="Times New Roman"/>
          <w:color w:val="auto"/>
        </w:rPr>
      </w:pPr>
      <w:r>
        <w:rPr>
          <w:rFonts w:hint="default" w:ascii="Times New Roman" w:hAnsi="Times New Roman" w:cs="Times New Roman"/>
          <w:color w:val="auto"/>
        </w:rPr>
        <w:t>①一般工业固废</w:t>
      </w:r>
    </w:p>
    <w:p w14:paraId="17515ECE">
      <w:pPr>
        <w:ind w:firstLine="480"/>
        <w:rPr>
          <w:rFonts w:hint="default" w:ascii="Times New Roman" w:hAnsi="Times New Roman" w:cs="Times New Roman"/>
          <w:color w:val="auto"/>
        </w:rPr>
      </w:pPr>
      <w:r>
        <w:rPr>
          <w:rFonts w:hint="default" w:ascii="Times New Roman" w:hAnsi="Times New Roman" w:cs="Times New Roman"/>
          <w:color w:val="auto"/>
        </w:rPr>
        <w:t>一般工业固废收集后定期外售给废品回收站处理。厂房1层南侧设置1处一般固废暂存间，面积约</w:t>
      </w:r>
      <w:r>
        <w:rPr>
          <w:rFonts w:hint="eastAsia" w:cs="Times New Roman"/>
          <w:color w:val="auto"/>
          <w:lang w:val="en-US" w:eastAsia="zh-CN"/>
        </w:rPr>
        <w:t>2</w:t>
      </w:r>
      <w:r>
        <w:rPr>
          <w:rFonts w:hint="default" w:ascii="Times New Roman" w:hAnsi="Times New Roman" w:cs="Times New Roman"/>
          <w:color w:val="auto"/>
        </w:rPr>
        <w:t>9m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p w14:paraId="6D382A3D">
      <w:pPr>
        <w:ind w:firstLine="480"/>
        <w:rPr>
          <w:rFonts w:hint="default" w:ascii="Times New Roman" w:hAnsi="Times New Roman" w:cs="Times New Roman"/>
          <w:color w:val="auto"/>
        </w:rPr>
      </w:pPr>
      <w:r>
        <w:rPr>
          <w:rFonts w:hint="default" w:ascii="Times New Roman" w:hAnsi="Times New Roman" w:cs="Times New Roman"/>
          <w:color w:val="auto"/>
        </w:rPr>
        <w:t>根据《一般工业固体废物贮存、处置场污染控制标准》（GB18599-2020）的有关规定，现有工程一般固废暂存间已做到以下几点：</w:t>
      </w:r>
    </w:p>
    <w:p w14:paraId="1F8C485D">
      <w:pPr>
        <w:ind w:firstLine="480"/>
        <w:rPr>
          <w:rFonts w:hint="default" w:ascii="Times New Roman" w:hAnsi="Times New Roman" w:cs="Times New Roman"/>
          <w:color w:val="auto"/>
        </w:rPr>
      </w:pPr>
      <w:r>
        <w:rPr>
          <w:rFonts w:hint="default" w:ascii="Times New Roman" w:hAnsi="Times New Roman" w:cs="Times New Roman"/>
          <w:color w:val="auto"/>
        </w:rPr>
        <w:t>I贮存场所建有防雨淋、防渗透措施；</w:t>
      </w:r>
    </w:p>
    <w:p w14:paraId="21E4B36C">
      <w:pPr>
        <w:ind w:firstLine="480"/>
        <w:rPr>
          <w:rFonts w:hint="default" w:ascii="Times New Roman" w:hAnsi="Times New Roman" w:cs="Times New Roman"/>
          <w:color w:val="auto"/>
        </w:rPr>
      </w:pPr>
      <w:r>
        <w:rPr>
          <w:rFonts w:hint="default" w:ascii="Times New Roman" w:hAnsi="Times New Roman" w:cs="Times New Roman"/>
          <w:color w:val="auto"/>
        </w:rPr>
        <w:t>II为了便于管理，贮存场已设置标识牌，应按《环境保护图形标志》（GB15562.2-1995）中固体废物贮存（处置）场要求完善环境保护图形标志；</w:t>
      </w:r>
    </w:p>
    <w:p w14:paraId="0BEF1687">
      <w:pPr>
        <w:ind w:firstLine="480"/>
        <w:rPr>
          <w:rFonts w:hint="default" w:ascii="Times New Roman" w:hAnsi="Times New Roman" w:cs="Times New Roman"/>
          <w:color w:val="auto"/>
        </w:rPr>
      </w:pPr>
      <w:r>
        <w:rPr>
          <w:rFonts w:hint="default" w:ascii="Times New Roman" w:hAnsi="Times New Roman" w:cs="Times New Roman"/>
          <w:color w:val="auto"/>
        </w:rPr>
        <w:t>III已做明显的标志，对不同的固废进行分类堆放。</w:t>
      </w:r>
    </w:p>
    <w:p w14:paraId="4AB64BEA">
      <w:pPr>
        <w:ind w:firstLine="480"/>
        <w:rPr>
          <w:rFonts w:hint="default" w:ascii="Times New Roman" w:hAnsi="Times New Roman" w:cs="Times New Roman"/>
          <w:color w:val="auto"/>
        </w:rPr>
      </w:pPr>
      <w:r>
        <w:rPr>
          <w:rFonts w:hint="default" w:ascii="Times New Roman" w:hAnsi="Times New Roman" w:cs="Times New Roman"/>
          <w:color w:val="auto"/>
        </w:rPr>
        <w:t>②危险废物</w:t>
      </w:r>
    </w:p>
    <w:p w14:paraId="6A3E4071">
      <w:pPr>
        <w:ind w:firstLine="480"/>
        <w:rPr>
          <w:rFonts w:hint="default" w:ascii="Times New Roman" w:hAnsi="Times New Roman" w:cs="Times New Roman"/>
          <w:color w:val="auto"/>
        </w:rPr>
      </w:pPr>
      <w:r>
        <w:rPr>
          <w:rFonts w:hint="default" w:ascii="Times New Roman" w:hAnsi="Times New Roman" w:cs="Times New Roman"/>
          <w:color w:val="auto"/>
        </w:rPr>
        <w:t>根据《国家危险废物名录》（2025年版），项目营运期产生的危险废物，均暂存在危废贮存库，定期交由有危险废物处置资质的单位转运处理。</w:t>
      </w:r>
    </w:p>
    <w:p w14:paraId="52C330D5">
      <w:pPr>
        <w:ind w:firstLine="480"/>
        <w:rPr>
          <w:rFonts w:hint="default" w:ascii="Times New Roman" w:hAnsi="Times New Roman" w:cs="Times New Roman"/>
          <w:color w:val="auto"/>
        </w:rPr>
      </w:pPr>
      <w:r>
        <w:rPr>
          <w:rFonts w:hint="default" w:ascii="Times New Roman" w:hAnsi="Times New Roman" w:cs="Times New Roman"/>
          <w:color w:val="auto"/>
        </w:rPr>
        <w:t>危废贮存库设置在厂房1层南侧，建筑面积</w:t>
      </w:r>
      <w:r>
        <w:rPr>
          <w:rFonts w:hint="eastAsia" w:cs="Times New Roman"/>
          <w:color w:val="auto"/>
          <w:lang w:val="en-US" w:eastAsia="zh-CN"/>
        </w:rPr>
        <w:t>20</w:t>
      </w:r>
      <w:r>
        <w:rPr>
          <w:rFonts w:hint="default" w:ascii="Times New Roman" w:hAnsi="Times New Roman" w:cs="Times New Roman"/>
          <w:color w:val="auto"/>
        </w:rPr>
        <w:t>m</w:t>
      </w:r>
      <w:r>
        <w:rPr>
          <w:rFonts w:hint="default" w:ascii="Times New Roman" w:hAnsi="Times New Roman" w:cs="Times New Roman"/>
          <w:color w:val="auto"/>
          <w:vertAlign w:val="superscript"/>
        </w:rPr>
        <w:t>2</w:t>
      </w:r>
      <w:r>
        <w:rPr>
          <w:rFonts w:hint="default" w:ascii="Times New Roman" w:hAnsi="Times New Roman" w:cs="Times New Roman"/>
          <w:color w:val="auto"/>
        </w:rPr>
        <w:t>，按要求设置</w:t>
      </w:r>
      <w:r>
        <w:rPr>
          <w:rFonts w:hint="default" w:ascii="Times New Roman" w:hAnsi="Times New Roman" w:cs="Times New Roman"/>
          <w:color w:val="auto"/>
          <w:szCs w:val="24"/>
        </w:rPr>
        <w:t>防风、防晒、防雨、防漏、防渗、防腐等环保措施</w:t>
      </w:r>
      <w:r>
        <w:rPr>
          <w:rFonts w:hint="default" w:ascii="Times New Roman" w:hAnsi="Times New Roman" w:cs="Times New Roman"/>
          <w:color w:val="auto"/>
        </w:rPr>
        <w:t>。房间内设立收集边沟与收集池，并进行防渗处理；设置通风口1个，安装排风扇1个。场区设置灭火器、消防沙等。项目危废暂存场所基本情况见表4.2.4-4。</w:t>
      </w:r>
    </w:p>
    <w:p w14:paraId="5DA05FDD">
      <w:pPr>
        <w:pStyle w:val="93"/>
        <w:rPr>
          <w:rFonts w:hint="default" w:ascii="Times New Roman" w:hAnsi="Times New Roman" w:cs="Times New Roman"/>
          <w:color w:val="auto"/>
        </w:rPr>
      </w:pPr>
      <w:bookmarkStart w:id="20" w:name="_Toc30308"/>
      <w:bookmarkStart w:id="21" w:name="_Toc19592"/>
      <w:r>
        <w:rPr>
          <w:rFonts w:hint="default" w:ascii="Times New Roman" w:hAnsi="Times New Roman" w:cs="Times New Roman"/>
          <w:color w:val="auto"/>
        </w:rPr>
        <w:t>表4.2.4-4   建设项目危险废物贮存场所（设施）基本情况表</w:t>
      </w:r>
      <w:bookmarkEnd w:id="20"/>
      <w:bookmarkEnd w:id="21"/>
    </w:p>
    <w:tbl>
      <w:tblPr>
        <w:tblStyle w:val="44"/>
        <w:tblW w:w="48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3"/>
        <w:gridCol w:w="1296"/>
        <w:gridCol w:w="1098"/>
        <w:gridCol w:w="1235"/>
        <w:gridCol w:w="725"/>
        <w:gridCol w:w="768"/>
        <w:gridCol w:w="1515"/>
        <w:gridCol w:w="730"/>
      </w:tblGrid>
      <w:tr w14:paraId="637BA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546" w:type="pct"/>
            <w:vAlign w:val="center"/>
          </w:tcPr>
          <w:p w14:paraId="162147EA">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贮存场所名称</w:t>
            </w:r>
          </w:p>
        </w:tc>
        <w:tc>
          <w:tcPr>
            <w:tcW w:w="783" w:type="pct"/>
            <w:vAlign w:val="center"/>
          </w:tcPr>
          <w:p w14:paraId="7D0BC60E">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危险废物名称</w:t>
            </w:r>
          </w:p>
        </w:tc>
        <w:tc>
          <w:tcPr>
            <w:tcW w:w="663" w:type="pct"/>
            <w:vAlign w:val="center"/>
          </w:tcPr>
          <w:p w14:paraId="3A3CBEDF">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危险废物</w:t>
            </w:r>
          </w:p>
          <w:p w14:paraId="472C39D1">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类别</w:t>
            </w:r>
          </w:p>
        </w:tc>
        <w:tc>
          <w:tcPr>
            <w:tcW w:w="746" w:type="pct"/>
            <w:vAlign w:val="center"/>
          </w:tcPr>
          <w:p w14:paraId="66C701D1">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危险废物代码</w:t>
            </w:r>
          </w:p>
        </w:tc>
        <w:tc>
          <w:tcPr>
            <w:tcW w:w="438" w:type="pct"/>
            <w:vAlign w:val="center"/>
          </w:tcPr>
          <w:p w14:paraId="641399E0">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位置</w:t>
            </w:r>
          </w:p>
        </w:tc>
        <w:tc>
          <w:tcPr>
            <w:tcW w:w="464" w:type="pct"/>
            <w:vAlign w:val="center"/>
          </w:tcPr>
          <w:p w14:paraId="16E2DEEE">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占地面积</w:t>
            </w:r>
          </w:p>
        </w:tc>
        <w:tc>
          <w:tcPr>
            <w:tcW w:w="915" w:type="pct"/>
            <w:vAlign w:val="center"/>
          </w:tcPr>
          <w:p w14:paraId="48D383C3">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贮存方式</w:t>
            </w:r>
          </w:p>
        </w:tc>
        <w:tc>
          <w:tcPr>
            <w:tcW w:w="441" w:type="pct"/>
            <w:vAlign w:val="center"/>
          </w:tcPr>
          <w:p w14:paraId="5BA2AB6F">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贮存</w:t>
            </w:r>
          </w:p>
          <w:p w14:paraId="5A4AA8BF">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周期</w:t>
            </w:r>
          </w:p>
        </w:tc>
      </w:tr>
      <w:tr w14:paraId="150B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46" w:type="pct"/>
            <w:vMerge w:val="restart"/>
            <w:vAlign w:val="center"/>
          </w:tcPr>
          <w:p w14:paraId="3300810F">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危废贮存库</w:t>
            </w:r>
          </w:p>
        </w:tc>
        <w:tc>
          <w:tcPr>
            <w:tcW w:w="783" w:type="pct"/>
            <w:vAlign w:val="center"/>
          </w:tcPr>
          <w:p w14:paraId="42A4970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废润滑油</w:t>
            </w:r>
          </w:p>
        </w:tc>
        <w:tc>
          <w:tcPr>
            <w:tcW w:w="663" w:type="pct"/>
            <w:vAlign w:val="center"/>
          </w:tcPr>
          <w:p w14:paraId="7B903B75">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HW08</w:t>
            </w:r>
          </w:p>
        </w:tc>
        <w:tc>
          <w:tcPr>
            <w:tcW w:w="746" w:type="pct"/>
            <w:vAlign w:val="center"/>
          </w:tcPr>
          <w:p w14:paraId="14AA9D43">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900-217-08</w:t>
            </w:r>
          </w:p>
        </w:tc>
        <w:tc>
          <w:tcPr>
            <w:tcW w:w="438" w:type="pct"/>
            <w:vMerge w:val="restart"/>
            <w:vAlign w:val="center"/>
          </w:tcPr>
          <w:p w14:paraId="4B363FBA">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厂区内1层南侧</w:t>
            </w:r>
          </w:p>
        </w:tc>
        <w:tc>
          <w:tcPr>
            <w:tcW w:w="464" w:type="pct"/>
            <w:vMerge w:val="restart"/>
            <w:vAlign w:val="center"/>
          </w:tcPr>
          <w:p w14:paraId="182AE9C1">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7m</w:t>
            </w:r>
            <w:r>
              <w:rPr>
                <w:rFonts w:hint="default" w:ascii="Times New Roman" w:hAnsi="Times New Roman" w:cs="Times New Roman"/>
                <w:color w:val="auto"/>
                <w:kern w:val="2"/>
                <w:sz w:val="21"/>
                <w:szCs w:val="21"/>
                <w:vertAlign w:val="superscript"/>
              </w:rPr>
              <w:t>2</w:t>
            </w:r>
          </w:p>
        </w:tc>
        <w:tc>
          <w:tcPr>
            <w:tcW w:w="915" w:type="pct"/>
            <w:vAlign w:val="center"/>
          </w:tcPr>
          <w:p w14:paraId="40ED4D5A">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防渗桶密闭收集</w:t>
            </w:r>
          </w:p>
        </w:tc>
        <w:tc>
          <w:tcPr>
            <w:tcW w:w="441" w:type="pct"/>
            <w:vAlign w:val="center"/>
          </w:tcPr>
          <w:p w14:paraId="421C579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半年</w:t>
            </w:r>
          </w:p>
        </w:tc>
      </w:tr>
      <w:tr w14:paraId="0E3E9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46" w:type="pct"/>
            <w:vMerge w:val="continue"/>
            <w:vAlign w:val="center"/>
          </w:tcPr>
          <w:p w14:paraId="52B4447F">
            <w:pPr>
              <w:widowControl/>
              <w:spacing w:line="240" w:lineRule="auto"/>
              <w:ind w:firstLine="0" w:firstLineChars="0"/>
              <w:jc w:val="center"/>
              <w:rPr>
                <w:rFonts w:hint="default" w:ascii="Times New Roman" w:hAnsi="Times New Roman" w:cs="Times New Roman"/>
                <w:color w:val="auto"/>
                <w:kern w:val="2"/>
                <w:sz w:val="21"/>
                <w:szCs w:val="21"/>
              </w:rPr>
            </w:pPr>
          </w:p>
        </w:tc>
        <w:tc>
          <w:tcPr>
            <w:tcW w:w="783" w:type="pct"/>
            <w:vAlign w:val="center"/>
          </w:tcPr>
          <w:p w14:paraId="479B0F6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废油桶</w:t>
            </w:r>
          </w:p>
        </w:tc>
        <w:tc>
          <w:tcPr>
            <w:tcW w:w="663" w:type="pct"/>
            <w:vAlign w:val="center"/>
          </w:tcPr>
          <w:p w14:paraId="4A4672F2">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HW08</w:t>
            </w:r>
          </w:p>
        </w:tc>
        <w:tc>
          <w:tcPr>
            <w:tcW w:w="746" w:type="pct"/>
            <w:vAlign w:val="center"/>
          </w:tcPr>
          <w:p w14:paraId="7662165E">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900-249-08</w:t>
            </w:r>
          </w:p>
        </w:tc>
        <w:tc>
          <w:tcPr>
            <w:tcW w:w="438" w:type="pct"/>
            <w:vMerge w:val="continue"/>
            <w:vAlign w:val="center"/>
          </w:tcPr>
          <w:p w14:paraId="0F263E9C">
            <w:pPr>
              <w:widowControl/>
              <w:spacing w:line="240" w:lineRule="auto"/>
              <w:ind w:firstLine="0" w:firstLineChars="0"/>
              <w:jc w:val="center"/>
              <w:rPr>
                <w:rFonts w:hint="default" w:ascii="Times New Roman" w:hAnsi="Times New Roman" w:cs="Times New Roman"/>
                <w:color w:val="auto"/>
                <w:kern w:val="2"/>
                <w:sz w:val="21"/>
                <w:szCs w:val="21"/>
              </w:rPr>
            </w:pPr>
          </w:p>
        </w:tc>
        <w:tc>
          <w:tcPr>
            <w:tcW w:w="464" w:type="pct"/>
            <w:vMerge w:val="continue"/>
            <w:vAlign w:val="center"/>
          </w:tcPr>
          <w:p w14:paraId="4DE19725">
            <w:pPr>
              <w:widowControl/>
              <w:spacing w:line="240" w:lineRule="auto"/>
              <w:ind w:firstLine="0" w:firstLineChars="0"/>
              <w:jc w:val="center"/>
              <w:rPr>
                <w:rFonts w:hint="default" w:ascii="Times New Roman" w:hAnsi="Times New Roman" w:cs="Times New Roman"/>
                <w:color w:val="auto"/>
                <w:kern w:val="2"/>
                <w:sz w:val="21"/>
                <w:szCs w:val="21"/>
              </w:rPr>
            </w:pPr>
          </w:p>
        </w:tc>
        <w:tc>
          <w:tcPr>
            <w:tcW w:w="915" w:type="pct"/>
            <w:vAlign w:val="center"/>
          </w:tcPr>
          <w:p w14:paraId="439A0261">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防渗桶密闭收集</w:t>
            </w:r>
          </w:p>
        </w:tc>
        <w:tc>
          <w:tcPr>
            <w:tcW w:w="441" w:type="pct"/>
            <w:vAlign w:val="center"/>
          </w:tcPr>
          <w:p w14:paraId="55AA20E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半年</w:t>
            </w:r>
          </w:p>
        </w:tc>
      </w:tr>
      <w:tr w14:paraId="1C0D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46" w:type="pct"/>
            <w:vMerge w:val="continue"/>
            <w:vAlign w:val="center"/>
          </w:tcPr>
          <w:p w14:paraId="0070CA12">
            <w:pPr>
              <w:widowControl/>
              <w:spacing w:line="240" w:lineRule="auto"/>
              <w:ind w:firstLine="0" w:firstLineChars="0"/>
              <w:jc w:val="center"/>
              <w:rPr>
                <w:rFonts w:hint="default" w:ascii="Times New Roman" w:hAnsi="Times New Roman" w:cs="Times New Roman"/>
                <w:color w:val="auto"/>
                <w:kern w:val="2"/>
                <w:sz w:val="21"/>
                <w:szCs w:val="21"/>
              </w:rPr>
            </w:pPr>
          </w:p>
        </w:tc>
        <w:tc>
          <w:tcPr>
            <w:tcW w:w="783" w:type="pct"/>
            <w:vAlign w:val="center"/>
          </w:tcPr>
          <w:p w14:paraId="5676D7C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废含油抹布/劳保用品</w:t>
            </w:r>
          </w:p>
        </w:tc>
        <w:tc>
          <w:tcPr>
            <w:tcW w:w="663" w:type="pct"/>
            <w:vAlign w:val="center"/>
          </w:tcPr>
          <w:p w14:paraId="030FE8E6">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HW49</w:t>
            </w:r>
          </w:p>
        </w:tc>
        <w:tc>
          <w:tcPr>
            <w:tcW w:w="746" w:type="pct"/>
            <w:vAlign w:val="center"/>
          </w:tcPr>
          <w:p w14:paraId="664DDABF">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900-041-49</w:t>
            </w:r>
          </w:p>
        </w:tc>
        <w:tc>
          <w:tcPr>
            <w:tcW w:w="438" w:type="pct"/>
            <w:vMerge w:val="continue"/>
            <w:vAlign w:val="center"/>
          </w:tcPr>
          <w:p w14:paraId="1ACFD3BE">
            <w:pPr>
              <w:widowControl/>
              <w:spacing w:line="240" w:lineRule="auto"/>
              <w:ind w:firstLine="0" w:firstLineChars="0"/>
              <w:jc w:val="center"/>
              <w:rPr>
                <w:rFonts w:hint="default" w:ascii="Times New Roman" w:hAnsi="Times New Roman" w:cs="Times New Roman"/>
                <w:color w:val="auto"/>
                <w:kern w:val="2"/>
                <w:sz w:val="21"/>
                <w:szCs w:val="21"/>
              </w:rPr>
            </w:pPr>
          </w:p>
        </w:tc>
        <w:tc>
          <w:tcPr>
            <w:tcW w:w="464" w:type="pct"/>
            <w:vMerge w:val="continue"/>
            <w:vAlign w:val="center"/>
          </w:tcPr>
          <w:p w14:paraId="654C9969">
            <w:pPr>
              <w:widowControl/>
              <w:spacing w:line="240" w:lineRule="auto"/>
              <w:ind w:firstLine="0" w:firstLineChars="0"/>
              <w:jc w:val="center"/>
              <w:rPr>
                <w:rFonts w:hint="default" w:ascii="Times New Roman" w:hAnsi="Times New Roman" w:cs="Times New Roman"/>
                <w:color w:val="auto"/>
                <w:kern w:val="2"/>
                <w:sz w:val="21"/>
                <w:szCs w:val="21"/>
              </w:rPr>
            </w:pPr>
          </w:p>
        </w:tc>
        <w:tc>
          <w:tcPr>
            <w:tcW w:w="915" w:type="pct"/>
            <w:vAlign w:val="center"/>
          </w:tcPr>
          <w:p w14:paraId="63C1C2DA">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防渗桶密闭收集</w:t>
            </w:r>
          </w:p>
        </w:tc>
        <w:tc>
          <w:tcPr>
            <w:tcW w:w="441" w:type="pct"/>
            <w:vAlign w:val="center"/>
          </w:tcPr>
          <w:p w14:paraId="10413E6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半年</w:t>
            </w:r>
          </w:p>
        </w:tc>
      </w:tr>
      <w:tr w14:paraId="2780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46" w:type="pct"/>
            <w:vMerge w:val="continue"/>
            <w:vAlign w:val="center"/>
          </w:tcPr>
          <w:p w14:paraId="2E172C68">
            <w:pPr>
              <w:widowControl/>
              <w:spacing w:line="240" w:lineRule="auto"/>
              <w:ind w:firstLine="0" w:firstLineChars="0"/>
              <w:jc w:val="center"/>
              <w:rPr>
                <w:rFonts w:hint="default" w:ascii="Times New Roman" w:hAnsi="Times New Roman" w:cs="Times New Roman"/>
                <w:color w:val="auto"/>
                <w:kern w:val="2"/>
                <w:sz w:val="21"/>
                <w:szCs w:val="21"/>
              </w:rPr>
            </w:pPr>
          </w:p>
        </w:tc>
        <w:tc>
          <w:tcPr>
            <w:tcW w:w="783" w:type="pct"/>
            <w:vAlign w:val="center"/>
          </w:tcPr>
          <w:p w14:paraId="2E20A40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废活性炭</w:t>
            </w:r>
          </w:p>
        </w:tc>
        <w:tc>
          <w:tcPr>
            <w:tcW w:w="663" w:type="pct"/>
            <w:vAlign w:val="center"/>
          </w:tcPr>
          <w:p w14:paraId="63149237">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HW49</w:t>
            </w:r>
          </w:p>
        </w:tc>
        <w:tc>
          <w:tcPr>
            <w:tcW w:w="746" w:type="pct"/>
            <w:vAlign w:val="center"/>
          </w:tcPr>
          <w:p w14:paraId="0775F98E">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900-039-49</w:t>
            </w:r>
          </w:p>
        </w:tc>
        <w:tc>
          <w:tcPr>
            <w:tcW w:w="438" w:type="pct"/>
            <w:vMerge w:val="continue"/>
            <w:vAlign w:val="center"/>
          </w:tcPr>
          <w:p w14:paraId="2F41B080">
            <w:pPr>
              <w:widowControl/>
              <w:spacing w:line="240" w:lineRule="auto"/>
              <w:ind w:firstLine="0" w:firstLineChars="0"/>
              <w:jc w:val="center"/>
              <w:rPr>
                <w:rFonts w:hint="default" w:ascii="Times New Roman" w:hAnsi="Times New Roman" w:cs="Times New Roman"/>
                <w:color w:val="auto"/>
                <w:kern w:val="2"/>
                <w:sz w:val="21"/>
                <w:szCs w:val="21"/>
              </w:rPr>
            </w:pPr>
          </w:p>
        </w:tc>
        <w:tc>
          <w:tcPr>
            <w:tcW w:w="464" w:type="pct"/>
            <w:vMerge w:val="continue"/>
            <w:vAlign w:val="center"/>
          </w:tcPr>
          <w:p w14:paraId="70112F8A">
            <w:pPr>
              <w:widowControl/>
              <w:spacing w:line="240" w:lineRule="auto"/>
              <w:ind w:firstLine="0" w:firstLineChars="0"/>
              <w:jc w:val="center"/>
              <w:rPr>
                <w:rFonts w:hint="default" w:ascii="Times New Roman" w:hAnsi="Times New Roman" w:cs="Times New Roman"/>
                <w:color w:val="auto"/>
                <w:kern w:val="2"/>
                <w:sz w:val="21"/>
                <w:szCs w:val="21"/>
              </w:rPr>
            </w:pPr>
          </w:p>
        </w:tc>
        <w:tc>
          <w:tcPr>
            <w:tcW w:w="915" w:type="pct"/>
            <w:vAlign w:val="center"/>
          </w:tcPr>
          <w:p w14:paraId="174CF3B4">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废活性炭装盒密闭保存</w:t>
            </w:r>
          </w:p>
        </w:tc>
        <w:tc>
          <w:tcPr>
            <w:tcW w:w="441" w:type="pct"/>
            <w:vAlign w:val="center"/>
          </w:tcPr>
          <w:p w14:paraId="6E978326">
            <w:pPr>
              <w:spacing w:line="240" w:lineRule="auto"/>
              <w:ind w:firstLine="0" w:firstLineChars="0"/>
              <w:jc w:val="center"/>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三个月</w:t>
            </w:r>
          </w:p>
        </w:tc>
      </w:tr>
      <w:tr w14:paraId="33E0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46" w:type="pct"/>
            <w:vMerge w:val="continue"/>
            <w:vAlign w:val="center"/>
          </w:tcPr>
          <w:p w14:paraId="6676E552">
            <w:pPr>
              <w:widowControl/>
              <w:spacing w:line="240" w:lineRule="auto"/>
              <w:ind w:firstLine="0" w:firstLineChars="0"/>
              <w:jc w:val="center"/>
              <w:rPr>
                <w:rFonts w:hint="default" w:ascii="Times New Roman" w:hAnsi="Times New Roman" w:cs="Times New Roman"/>
                <w:color w:val="auto"/>
                <w:kern w:val="2"/>
                <w:sz w:val="21"/>
                <w:szCs w:val="21"/>
              </w:rPr>
            </w:pPr>
          </w:p>
        </w:tc>
        <w:tc>
          <w:tcPr>
            <w:tcW w:w="783" w:type="pct"/>
            <w:vAlign w:val="center"/>
          </w:tcPr>
          <w:p w14:paraId="18E1CED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空压机油水混合物</w:t>
            </w:r>
          </w:p>
        </w:tc>
        <w:tc>
          <w:tcPr>
            <w:tcW w:w="663" w:type="pct"/>
            <w:vAlign w:val="center"/>
          </w:tcPr>
          <w:p w14:paraId="0D21D308">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HW09</w:t>
            </w:r>
          </w:p>
        </w:tc>
        <w:tc>
          <w:tcPr>
            <w:tcW w:w="746" w:type="pct"/>
            <w:vAlign w:val="center"/>
          </w:tcPr>
          <w:p w14:paraId="556E963E">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900-007-09</w:t>
            </w:r>
          </w:p>
        </w:tc>
        <w:tc>
          <w:tcPr>
            <w:tcW w:w="438" w:type="pct"/>
            <w:vMerge w:val="continue"/>
            <w:vAlign w:val="center"/>
          </w:tcPr>
          <w:p w14:paraId="16F64D54">
            <w:pPr>
              <w:widowControl/>
              <w:spacing w:line="240" w:lineRule="auto"/>
              <w:ind w:firstLine="0" w:firstLineChars="0"/>
              <w:jc w:val="center"/>
              <w:rPr>
                <w:rFonts w:hint="default" w:ascii="Times New Roman" w:hAnsi="Times New Roman" w:cs="Times New Roman"/>
                <w:color w:val="auto"/>
                <w:kern w:val="2"/>
                <w:sz w:val="21"/>
                <w:szCs w:val="21"/>
              </w:rPr>
            </w:pPr>
          </w:p>
        </w:tc>
        <w:tc>
          <w:tcPr>
            <w:tcW w:w="464" w:type="pct"/>
            <w:vMerge w:val="continue"/>
            <w:vAlign w:val="center"/>
          </w:tcPr>
          <w:p w14:paraId="04CDF439">
            <w:pPr>
              <w:widowControl/>
              <w:spacing w:line="240" w:lineRule="auto"/>
              <w:ind w:firstLine="0" w:firstLineChars="0"/>
              <w:jc w:val="center"/>
              <w:rPr>
                <w:rFonts w:hint="default" w:ascii="Times New Roman" w:hAnsi="Times New Roman" w:cs="Times New Roman"/>
                <w:color w:val="auto"/>
                <w:kern w:val="2"/>
                <w:sz w:val="21"/>
                <w:szCs w:val="21"/>
              </w:rPr>
            </w:pPr>
          </w:p>
        </w:tc>
        <w:tc>
          <w:tcPr>
            <w:tcW w:w="915" w:type="pct"/>
            <w:vAlign w:val="center"/>
          </w:tcPr>
          <w:p w14:paraId="056E0C38">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防渗桶密闭收集</w:t>
            </w:r>
          </w:p>
        </w:tc>
        <w:tc>
          <w:tcPr>
            <w:tcW w:w="441" w:type="pct"/>
            <w:vAlign w:val="center"/>
          </w:tcPr>
          <w:p w14:paraId="57E348F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半年</w:t>
            </w:r>
          </w:p>
        </w:tc>
      </w:tr>
    </w:tbl>
    <w:p w14:paraId="469633BD">
      <w:pPr>
        <w:ind w:firstLine="480"/>
        <w:rPr>
          <w:rFonts w:hint="default" w:ascii="Times New Roman" w:hAnsi="Times New Roman" w:cs="Times New Roman"/>
          <w:color w:val="auto"/>
        </w:rPr>
      </w:pPr>
      <w:r>
        <w:rPr>
          <w:rFonts w:hint="default" w:ascii="Times New Roman" w:hAnsi="Times New Roman" w:cs="Times New Roman"/>
          <w:color w:val="auto"/>
        </w:rPr>
        <w:t>危险废物分类收集后暂存于密封容器内，定期交有危险废物处置资质的单位转运处置。根据调查，建设单位已采取以下措施进行危险废物收集、暂存、处理：</w:t>
      </w:r>
    </w:p>
    <w:p w14:paraId="01579D96">
      <w:pPr>
        <w:ind w:firstLine="480"/>
        <w:rPr>
          <w:rFonts w:hint="default" w:ascii="Times New Roman" w:hAnsi="Times New Roman" w:cs="Times New Roman"/>
          <w:color w:val="auto"/>
        </w:rPr>
      </w:pPr>
      <w:r>
        <w:rPr>
          <w:rFonts w:hint="default" w:ascii="Times New Roman" w:hAnsi="Times New Roman" w:cs="Times New Roman"/>
          <w:color w:val="auto"/>
        </w:rPr>
        <w:t>I使用符合标准的容器盛装危险废物；装载危险废物的容器及材质满足相应的强度要求；装载危险废物的容器完好无损；盛装危险废物的容器材质和衬里要与危险废物相容（不相互反应）；</w:t>
      </w:r>
    </w:p>
    <w:p w14:paraId="7704CC9C">
      <w:pPr>
        <w:ind w:firstLine="480"/>
        <w:rPr>
          <w:rFonts w:hint="default" w:ascii="Times New Roman" w:hAnsi="Times New Roman" w:cs="Times New Roman"/>
          <w:color w:val="auto"/>
        </w:rPr>
      </w:pPr>
      <w:r>
        <w:rPr>
          <w:rFonts w:hint="default" w:ascii="Times New Roman" w:hAnsi="Times New Roman" w:cs="Times New Roman"/>
          <w:color w:val="auto"/>
        </w:rPr>
        <w:t>II按危险废物类别分别采用符合标准的容器贮存，加上标签，由专人负责管理；</w:t>
      </w:r>
    </w:p>
    <w:p w14:paraId="0D9D535F">
      <w:pPr>
        <w:ind w:firstLine="480"/>
        <w:rPr>
          <w:rFonts w:hint="default" w:ascii="Times New Roman" w:hAnsi="Times New Roman" w:cs="Times New Roman"/>
          <w:color w:val="auto"/>
        </w:rPr>
      </w:pPr>
      <w:r>
        <w:rPr>
          <w:rFonts w:hint="default" w:ascii="Times New Roman" w:hAnsi="Times New Roman" w:cs="Times New Roman"/>
          <w:color w:val="auto"/>
        </w:rPr>
        <w:t>III危废贮存库符合GB18597-2023《危险废物贮存污染控制标准》要求，按规范进行防渗漏处理，设置有明显的专用标志，禁止混入不相容的危险废物。</w:t>
      </w:r>
    </w:p>
    <w:p w14:paraId="0008287F">
      <w:pPr>
        <w:ind w:firstLine="480"/>
        <w:rPr>
          <w:rFonts w:hint="default" w:ascii="Times New Roman" w:hAnsi="Times New Roman" w:cs="Times New Roman"/>
          <w:color w:val="auto"/>
        </w:rPr>
      </w:pPr>
      <w:r>
        <w:rPr>
          <w:rFonts w:hint="default" w:ascii="Times New Roman" w:hAnsi="Times New Roman" w:cs="Times New Roman"/>
          <w:color w:val="auto"/>
        </w:rPr>
        <w:t>IV在交由有资质的危废处置单位清运处理时，严格按照《危险废物转移管理办法》（部令第23号，自2022年1月1日起施行）填写危险废物转移五联单，并由双方单位保留备查。</w:t>
      </w:r>
    </w:p>
    <w:p w14:paraId="49602A40">
      <w:pPr>
        <w:ind w:firstLine="480"/>
        <w:rPr>
          <w:rFonts w:hint="default" w:ascii="Times New Roman" w:hAnsi="Times New Roman" w:cs="Times New Roman"/>
          <w:color w:val="auto"/>
        </w:rPr>
      </w:pPr>
      <w:r>
        <w:rPr>
          <w:rFonts w:hint="default" w:ascii="Times New Roman" w:hAnsi="Times New Roman" w:cs="Times New Roman"/>
          <w:color w:val="auto"/>
        </w:rPr>
        <w:t>V危废贮存库具有防雨、防风、防晒和防渗漏措施，并由专人管理。危废贮存库已设置标识牌，应按《环境保护图形标志》中固体废物贮存（处置）场要求完善警示标志；配备有通讯设备、照明设施、安全防护服装及工具，并设有应急防护设施。危废贮存库内清理出来的泄漏物，一律按危险废物处理。按国家污染源管理要求对危险废物贮存设施进行监测。</w:t>
      </w:r>
    </w:p>
    <w:p w14:paraId="01140913">
      <w:pPr>
        <w:ind w:firstLine="480"/>
        <w:rPr>
          <w:rFonts w:hint="default" w:ascii="Times New Roman" w:hAnsi="Times New Roman" w:cs="Times New Roman"/>
          <w:color w:val="auto"/>
        </w:rPr>
      </w:pPr>
      <w:r>
        <w:rPr>
          <w:rFonts w:hint="default" w:ascii="Times New Roman" w:hAnsi="Times New Roman" w:cs="Times New Roman"/>
          <w:color w:val="auto"/>
        </w:rPr>
        <w:t>VI危废贮存库设置托盘用于危废储存桶的放置，设置一个通风口，加强房间通风。</w:t>
      </w:r>
    </w:p>
    <w:p w14:paraId="6E6FCAFF">
      <w:pPr>
        <w:pStyle w:val="258"/>
        <w:rPr>
          <w:rFonts w:hint="default" w:ascii="Times New Roman" w:hAnsi="Times New Roman" w:cs="Times New Roman"/>
          <w:color w:val="auto"/>
        </w:rPr>
      </w:pPr>
      <w:r>
        <w:rPr>
          <w:rFonts w:hint="default" w:ascii="Times New Roman" w:hAnsi="Times New Roman" w:cs="Times New Roman"/>
          <w:color w:val="auto"/>
        </w:rPr>
        <w:t>4.2.5 地下水影响分析</w:t>
      </w:r>
    </w:p>
    <w:p w14:paraId="70F7C654">
      <w:pPr>
        <w:ind w:firstLine="480"/>
        <w:rPr>
          <w:rFonts w:hint="default" w:ascii="Times New Roman" w:hAnsi="Times New Roman" w:cs="Times New Roman"/>
          <w:color w:val="auto"/>
        </w:rPr>
      </w:pPr>
      <w:r>
        <w:rPr>
          <w:rFonts w:hint="default" w:ascii="Times New Roman" w:hAnsi="Times New Roman" w:cs="Times New Roman"/>
          <w:color w:val="auto"/>
        </w:rPr>
        <w:t>（1）区域地下水环境保护目标</w:t>
      </w:r>
    </w:p>
    <w:p w14:paraId="722904BC">
      <w:pPr>
        <w:ind w:firstLine="480"/>
        <w:rPr>
          <w:rFonts w:hint="default" w:ascii="Times New Roman" w:hAnsi="Times New Roman" w:cs="Times New Roman"/>
          <w:color w:val="auto"/>
        </w:rPr>
      </w:pPr>
      <w:r>
        <w:rPr>
          <w:rFonts w:hint="default" w:ascii="Times New Roman" w:hAnsi="Times New Roman" w:cs="Times New Roman"/>
          <w:color w:val="auto"/>
        </w:rPr>
        <w:t>地下水评价范围内无集中地下水饮用水源，不属于地下水水源地保护区和准保护区，不属于特殊地下水资源保护区及分布区等。地下水环境保护目标为区域含水潜水层。</w:t>
      </w:r>
    </w:p>
    <w:p w14:paraId="7A072587">
      <w:pPr>
        <w:ind w:firstLine="480"/>
        <w:rPr>
          <w:rFonts w:hint="default" w:ascii="Times New Roman" w:hAnsi="Times New Roman" w:cs="Times New Roman"/>
          <w:color w:val="auto"/>
        </w:rPr>
      </w:pPr>
      <w:r>
        <w:rPr>
          <w:rFonts w:hint="default" w:ascii="Times New Roman" w:hAnsi="Times New Roman" w:cs="Times New Roman"/>
          <w:color w:val="auto"/>
        </w:rPr>
        <w:t>（2）地下水环境影响分析</w:t>
      </w:r>
    </w:p>
    <w:p w14:paraId="74033BCB">
      <w:pPr>
        <w:ind w:firstLine="480"/>
        <w:rPr>
          <w:rFonts w:hint="default" w:ascii="Times New Roman" w:hAnsi="Times New Roman" w:cs="Times New Roman"/>
          <w:color w:val="auto"/>
        </w:rPr>
      </w:pPr>
      <w:r>
        <w:rPr>
          <w:rFonts w:hint="default" w:ascii="Times New Roman" w:hAnsi="Times New Roman" w:cs="Times New Roman"/>
          <w:color w:val="auto"/>
        </w:rPr>
        <w:t>项目划分为重点防渗区、一般防渗区和简单防渗区三类，具体划分如下：</w:t>
      </w:r>
    </w:p>
    <w:p w14:paraId="1BCE6F37">
      <w:pPr>
        <w:ind w:firstLine="480"/>
        <w:rPr>
          <w:rFonts w:hint="default" w:ascii="Times New Roman" w:hAnsi="Times New Roman" w:cs="Times New Roman"/>
          <w:color w:val="auto"/>
        </w:rPr>
      </w:pPr>
      <w:r>
        <w:rPr>
          <w:rFonts w:hint="default" w:ascii="Times New Roman" w:hAnsi="Times New Roman" w:cs="Times New Roman"/>
          <w:color w:val="auto"/>
        </w:rPr>
        <w:t>重点防渗区：危废贮存库；</w:t>
      </w:r>
    </w:p>
    <w:p w14:paraId="6D314F0D">
      <w:pPr>
        <w:ind w:firstLine="480"/>
        <w:rPr>
          <w:rFonts w:hint="default" w:ascii="Times New Roman" w:hAnsi="Times New Roman" w:cs="Times New Roman"/>
          <w:color w:val="auto"/>
        </w:rPr>
      </w:pPr>
      <w:r>
        <w:rPr>
          <w:rFonts w:hint="default" w:ascii="Times New Roman" w:hAnsi="Times New Roman" w:cs="Times New Roman"/>
          <w:color w:val="auto"/>
        </w:rPr>
        <w:t>简单防渗区：除重点防渗区以外的其他区域。</w:t>
      </w:r>
    </w:p>
    <w:p w14:paraId="11FA8649">
      <w:pPr>
        <w:ind w:firstLine="480"/>
        <w:rPr>
          <w:rFonts w:hint="default" w:ascii="Times New Roman" w:hAnsi="Times New Roman" w:cs="Times New Roman"/>
          <w:color w:val="auto"/>
        </w:rPr>
      </w:pPr>
      <w:r>
        <w:rPr>
          <w:rFonts w:hint="default" w:ascii="Times New Roman" w:hAnsi="Times New Roman" w:cs="Times New Roman"/>
          <w:color w:val="auto"/>
        </w:rPr>
        <w:t>重点防渗区等效黏土防渗层Mb≥6m，K≤10</w:t>
      </w:r>
      <w:r>
        <w:rPr>
          <w:rFonts w:hint="default" w:ascii="Times New Roman" w:hAnsi="Times New Roman" w:cs="Times New Roman"/>
          <w:color w:val="auto"/>
          <w:vertAlign w:val="superscript"/>
        </w:rPr>
        <w:t>-7</w:t>
      </w:r>
      <w:r>
        <w:rPr>
          <w:rFonts w:hint="default" w:ascii="Times New Roman" w:hAnsi="Times New Roman" w:cs="Times New Roman"/>
          <w:color w:val="auto"/>
        </w:rPr>
        <w:t>cm/s。</w:t>
      </w:r>
    </w:p>
    <w:p w14:paraId="3C9679D2">
      <w:pPr>
        <w:pStyle w:val="281"/>
        <w:ind w:firstLine="480"/>
        <w:rPr>
          <w:rFonts w:hint="default" w:ascii="Times New Roman" w:hAnsi="Times New Roman" w:cs="Times New Roman"/>
          <w:color w:val="auto"/>
        </w:rPr>
      </w:pPr>
      <w:r>
        <w:rPr>
          <w:rFonts w:hint="default" w:ascii="Times New Roman" w:hAnsi="Times New Roman" w:cs="Times New Roman"/>
          <w:color w:val="auto"/>
        </w:rPr>
        <w:t>简单防渗区进行地面硬化即可。</w:t>
      </w:r>
    </w:p>
    <w:p w14:paraId="3A629654">
      <w:pPr>
        <w:ind w:firstLine="480"/>
        <w:rPr>
          <w:rFonts w:hint="default" w:ascii="Times New Roman" w:hAnsi="Times New Roman" w:cs="Times New Roman"/>
          <w:color w:val="auto"/>
        </w:rPr>
      </w:pPr>
      <w:r>
        <w:rPr>
          <w:rFonts w:hint="default" w:ascii="Times New Roman" w:hAnsi="Times New Roman" w:cs="Times New Roman"/>
          <w:color w:val="auto"/>
        </w:rPr>
        <w:t>在采取了防渗等措施后也不存在危废中废液入渗影响地下水的情况。因此本项目对地下水水质产生影响较小。</w:t>
      </w:r>
    </w:p>
    <w:p w14:paraId="5A4286B8">
      <w:pPr>
        <w:pStyle w:val="258"/>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eastAsia="宋体" w:cs="Times New Roman"/>
          <w:color w:val="auto"/>
        </w:rPr>
        <w:t>2.</w:t>
      </w:r>
      <w:r>
        <w:rPr>
          <w:rFonts w:hint="default" w:ascii="Times New Roman" w:hAnsi="Times New Roman" w:cs="Times New Roman"/>
          <w:color w:val="auto"/>
        </w:rPr>
        <w:t xml:space="preserve">6 </w:t>
      </w:r>
      <w:r>
        <w:rPr>
          <w:rFonts w:hint="default" w:ascii="Times New Roman" w:hAnsi="Times New Roman" w:eastAsia="宋体" w:cs="Times New Roman"/>
          <w:color w:val="auto"/>
        </w:rPr>
        <w:t>土壤环境影响分析</w:t>
      </w:r>
    </w:p>
    <w:p w14:paraId="4EA4407A">
      <w:pPr>
        <w:ind w:firstLine="480"/>
        <w:rPr>
          <w:rFonts w:hint="default" w:ascii="Times New Roman" w:hAnsi="Times New Roman" w:cs="Times New Roman"/>
          <w:color w:val="auto"/>
        </w:rPr>
      </w:pPr>
      <w:r>
        <w:rPr>
          <w:rFonts w:hint="default" w:ascii="Times New Roman" w:hAnsi="Times New Roman" w:cs="Times New Roman"/>
          <w:color w:val="auto"/>
        </w:rPr>
        <w:t>本项目危险废物等均贮存均采取了防渗措施，基本不存在危废废液垂直入渗影响土壤的情形。本项目也不存在非甲烷总烃大气沉降影响，另外危废贮存库设置了防逸散措施后也不存在漫流影响。</w:t>
      </w:r>
    </w:p>
    <w:p w14:paraId="27F4929C">
      <w:pPr>
        <w:pStyle w:val="258"/>
        <w:rPr>
          <w:rFonts w:hint="default" w:ascii="Times New Roman" w:hAnsi="Times New Roman" w:cs="Times New Roman"/>
          <w:color w:val="auto"/>
        </w:rPr>
      </w:pPr>
      <w:r>
        <w:rPr>
          <w:rFonts w:hint="default" w:ascii="Times New Roman" w:hAnsi="Times New Roman" w:eastAsia="宋体" w:cs="Times New Roman"/>
          <w:color w:val="auto"/>
        </w:rPr>
        <w:t>4</w:t>
      </w:r>
      <w:r>
        <w:rPr>
          <w:rFonts w:hint="default" w:ascii="Times New Roman" w:hAnsi="Times New Roman" w:cs="Times New Roman"/>
          <w:color w:val="auto"/>
        </w:rPr>
        <w:t>.2.</w:t>
      </w:r>
      <w:r>
        <w:rPr>
          <w:rFonts w:hint="default" w:ascii="Times New Roman" w:hAnsi="Times New Roman" w:eastAsia="宋体" w:cs="Times New Roman"/>
          <w:color w:val="auto"/>
        </w:rPr>
        <w:t>7 环境风险</w:t>
      </w:r>
    </w:p>
    <w:p w14:paraId="7A3C4704">
      <w:pPr>
        <w:ind w:firstLine="480"/>
        <w:rPr>
          <w:rFonts w:hint="default" w:ascii="Times New Roman" w:hAnsi="Times New Roman" w:cs="Times New Roman"/>
          <w:color w:val="auto"/>
        </w:rPr>
      </w:pPr>
      <w:r>
        <w:rPr>
          <w:rFonts w:hint="default" w:ascii="Times New Roman" w:hAnsi="Times New Roman" w:cs="Times New Roman"/>
          <w:color w:val="auto"/>
        </w:rPr>
        <w:t>（1）风险物质识别</w:t>
      </w:r>
    </w:p>
    <w:p w14:paraId="353EF9B3">
      <w:pPr>
        <w:ind w:firstLine="480"/>
        <w:rPr>
          <w:rFonts w:hint="default" w:ascii="Times New Roman" w:hAnsi="Times New Roman" w:cs="Times New Roman"/>
          <w:color w:val="auto"/>
        </w:rPr>
      </w:pPr>
      <w:r>
        <w:rPr>
          <w:rFonts w:hint="default" w:ascii="Times New Roman" w:hAnsi="Times New Roman" w:cs="Times New Roman"/>
          <w:color w:val="auto"/>
        </w:rPr>
        <w:t>根据《危险化学品目录（2022调整版）》和项目所用材料分析，本项目涉及危险化学品</w:t>
      </w:r>
      <w:r>
        <w:rPr>
          <w:rFonts w:hint="eastAsia" w:cs="Times New Roman"/>
          <w:color w:val="auto"/>
          <w:lang w:val="en-US" w:eastAsia="zh-CN"/>
        </w:rPr>
        <w:t>为硫酸</w:t>
      </w:r>
      <w:r>
        <w:rPr>
          <w:rFonts w:hint="default" w:ascii="Times New Roman" w:hAnsi="Times New Roman" w:cs="Times New Roman"/>
          <w:color w:val="auto"/>
        </w:rPr>
        <w:t>。</w:t>
      </w:r>
    </w:p>
    <w:p w14:paraId="6C541638">
      <w:pPr>
        <w:ind w:firstLine="480"/>
        <w:rPr>
          <w:rFonts w:hint="default" w:ascii="Times New Roman" w:hAnsi="Times New Roman" w:cs="Times New Roman"/>
          <w:color w:val="auto"/>
        </w:rPr>
      </w:pPr>
      <w:r>
        <w:rPr>
          <w:rFonts w:hint="default" w:ascii="Times New Roman" w:hAnsi="Times New Roman" w:cs="Times New Roman"/>
          <w:color w:val="auto"/>
        </w:rPr>
        <w:t>（2）危险物质数量与临界量比值Q</w:t>
      </w:r>
    </w:p>
    <w:p w14:paraId="1E9CA660">
      <w:pPr>
        <w:ind w:firstLine="480"/>
        <w:rPr>
          <w:rFonts w:hint="default" w:ascii="Times New Roman" w:hAnsi="Times New Roman" w:cs="Times New Roman"/>
          <w:color w:val="auto"/>
        </w:rPr>
      </w:pPr>
      <w:r>
        <w:rPr>
          <w:rFonts w:hint="default" w:ascii="Times New Roman" w:hAnsi="Times New Roman" w:cs="Times New Roman"/>
          <w:color w:val="auto"/>
        </w:rPr>
        <w:t>危险物质数量与临界量比值Q计算所涉及的每种危险物质在厂界内的最大存在总量与其在附录B中对应临界量的比值Q。在不同厂区的同一种物质，按其在厂界内的最大存在总量计算。</w:t>
      </w:r>
    </w:p>
    <w:p w14:paraId="6427280C">
      <w:pPr>
        <w:ind w:firstLine="480"/>
        <w:rPr>
          <w:rFonts w:hint="default" w:ascii="Times New Roman" w:hAnsi="Times New Roman" w:cs="Times New Roman"/>
          <w:color w:val="auto"/>
        </w:rPr>
      </w:pPr>
      <w:r>
        <w:rPr>
          <w:rFonts w:hint="default" w:ascii="Times New Roman" w:hAnsi="Times New Roman" w:cs="Times New Roman"/>
          <w:color w:val="auto"/>
        </w:rPr>
        <w:t>当只涉及一种危险物质时，计算该物质的总量与其临界量比值，即为Q；</w:t>
      </w:r>
    </w:p>
    <w:p w14:paraId="20736049">
      <w:pPr>
        <w:ind w:firstLine="480"/>
        <w:rPr>
          <w:rFonts w:hint="default" w:ascii="Times New Roman" w:hAnsi="Times New Roman" w:cs="Times New Roman"/>
          <w:color w:val="auto"/>
        </w:rPr>
      </w:pPr>
      <w:r>
        <w:rPr>
          <w:rFonts w:hint="default" w:ascii="Times New Roman" w:hAnsi="Times New Roman" w:cs="Times New Roman"/>
          <w:color w:val="auto"/>
        </w:rPr>
        <w:t>当存在多种危险物质时，则按式计算物质总量与其临界量比值（Q）：</w:t>
      </w:r>
    </w:p>
    <w:p w14:paraId="731260CF">
      <w:pPr>
        <w:ind w:firstLine="480"/>
        <w:rPr>
          <w:rFonts w:hint="default" w:ascii="Times New Roman" w:hAnsi="Times New Roman" w:cs="Times New Roman"/>
          <w:color w:val="auto"/>
        </w:rPr>
      </w:pPr>
      <w:r>
        <w:rPr>
          <w:rFonts w:hint="default" w:ascii="Times New Roman" w:hAnsi="Times New Roman" w:cs="Times New Roman"/>
          <w:color w:val="auto"/>
        </w:rPr>
        <w:t>Q=q</w:t>
      </w:r>
      <w:r>
        <w:rPr>
          <w:rFonts w:hint="default" w:ascii="Times New Roman" w:hAnsi="Times New Roman" w:cs="Times New Roman"/>
          <w:color w:val="auto"/>
          <w:vertAlign w:val="subscript"/>
        </w:rPr>
        <w:t>1</w:t>
      </w:r>
      <w:r>
        <w:rPr>
          <w:rFonts w:hint="default" w:ascii="Times New Roman" w:hAnsi="Times New Roman" w:cs="Times New Roman"/>
          <w:color w:val="auto"/>
        </w:rPr>
        <w:t>/Q</w:t>
      </w:r>
      <w:r>
        <w:rPr>
          <w:rFonts w:hint="default" w:ascii="Times New Roman" w:hAnsi="Times New Roman" w:cs="Times New Roman"/>
          <w:color w:val="auto"/>
          <w:vertAlign w:val="subscript"/>
        </w:rPr>
        <w:t>1</w:t>
      </w:r>
      <w:r>
        <w:rPr>
          <w:rFonts w:hint="default" w:ascii="Times New Roman" w:hAnsi="Times New Roman" w:cs="Times New Roman"/>
          <w:color w:val="auto"/>
        </w:rPr>
        <w:t>+q</w:t>
      </w:r>
      <w:r>
        <w:rPr>
          <w:rFonts w:hint="default" w:ascii="Times New Roman" w:hAnsi="Times New Roman" w:cs="Times New Roman"/>
          <w:color w:val="auto"/>
          <w:vertAlign w:val="subscript"/>
        </w:rPr>
        <w:t>2</w:t>
      </w:r>
      <w:r>
        <w:rPr>
          <w:rFonts w:hint="default" w:ascii="Times New Roman" w:hAnsi="Times New Roman" w:cs="Times New Roman"/>
          <w:color w:val="auto"/>
        </w:rPr>
        <w:t>/Q</w:t>
      </w:r>
      <w:r>
        <w:rPr>
          <w:rFonts w:hint="default" w:ascii="Times New Roman" w:hAnsi="Times New Roman" w:cs="Times New Roman"/>
          <w:color w:val="auto"/>
          <w:vertAlign w:val="subscript"/>
        </w:rPr>
        <w:t>2</w:t>
      </w:r>
      <w:r>
        <w:rPr>
          <w:rFonts w:hint="default" w:ascii="Times New Roman" w:hAnsi="Times New Roman" w:cs="Times New Roman"/>
          <w:color w:val="auto"/>
        </w:rPr>
        <w:t>……+q</w:t>
      </w:r>
      <w:r>
        <w:rPr>
          <w:rFonts w:hint="default" w:ascii="Times New Roman" w:hAnsi="Times New Roman" w:cs="Times New Roman"/>
          <w:color w:val="auto"/>
          <w:vertAlign w:val="subscript"/>
        </w:rPr>
        <w:t>n</w:t>
      </w:r>
      <w:r>
        <w:rPr>
          <w:rFonts w:hint="default" w:ascii="Times New Roman" w:hAnsi="Times New Roman" w:cs="Times New Roman"/>
          <w:color w:val="auto"/>
        </w:rPr>
        <w:t>/Q</w:t>
      </w:r>
      <w:r>
        <w:rPr>
          <w:rFonts w:hint="default" w:ascii="Times New Roman" w:hAnsi="Times New Roman" w:cs="Times New Roman"/>
          <w:color w:val="auto"/>
          <w:vertAlign w:val="subscript"/>
        </w:rPr>
        <w:t>n</w:t>
      </w:r>
    </w:p>
    <w:p w14:paraId="09509D92">
      <w:pPr>
        <w:ind w:firstLine="480"/>
        <w:rPr>
          <w:rFonts w:hint="default" w:ascii="Times New Roman" w:hAnsi="Times New Roman" w:cs="Times New Roman"/>
          <w:color w:val="auto"/>
        </w:rPr>
      </w:pPr>
      <w:r>
        <w:rPr>
          <w:rFonts w:hint="default" w:ascii="Times New Roman" w:hAnsi="Times New Roman" w:cs="Times New Roman"/>
          <w:color w:val="auto"/>
        </w:rPr>
        <w:t>式中：</w:t>
      </w:r>
    </w:p>
    <w:p w14:paraId="28534452">
      <w:pPr>
        <w:ind w:firstLine="480"/>
        <w:rPr>
          <w:rFonts w:hint="default" w:ascii="Times New Roman" w:hAnsi="Times New Roman" w:cs="Times New Roman"/>
          <w:color w:val="auto"/>
        </w:rPr>
      </w:pPr>
      <w:r>
        <w:rPr>
          <w:rFonts w:hint="default" w:ascii="Times New Roman" w:hAnsi="Times New Roman" w:cs="Times New Roman"/>
          <w:color w:val="auto"/>
        </w:rPr>
        <w:t>q</w:t>
      </w:r>
      <w:r>
        <w:rPr>
          <w:rFonts w:hint="default" w:ascii="Times New Roman" w:hAnsi="Times New Roman" w:cs="Times New Roman"/>
          <w:color w:val="auto"/>
          <w:vertAlign w:val="subscript"/>
        </w:rPr>
        <w:t>1</w:t>
      </w:r>
      <w:r>
        <w:rPr>
          <w:rFonts w:hint="default" w:ascii="Times New Roman" w:hAnsi="Times New Roman" w:cs="Times New Roman"/>
          <w:color w:val="auto"/>
        </w:rPr>
        <w:t>、q</w:t>
      </w:r>
      <w:r>
        <w:rPr>
          <w:rFonts w:hint="default" w:ascii="Times New Roman" w:hAnsi="Times New Roman" w:cs="Times New Roman"/>
          <w:color w:val="auto"/>
          <w:vertAlign w:val="subscript"/>
        </w:rPr>
        <w:t>2</w:t>
      </w:r>
      <w:r>
        <w:rPr>
          <w:rFonts w:hint="default" w:ascii="Times New Roman" w:hAnsi="Times New Roman" w:cs="Times New Roman"/>
          <w:color w:val="auto"/>
        </w:rPr>
        <w:t>，…，q</w:t>
      </w:r>
      <w:r>
        <w:rPr>
          <w:rFonts w:hint="default" w:ascii="Times New Roman" w:hAnsi="Times New Roman" w:cs="Times New Roman"/>
          <w:color w:val="auto"/>
          <w:vertAlign w:val="subscript"/>
        </w:rPr>
        <w:t>n</w:t>
      </w:r>
      <w:r>
        <w:rPr>
          <w:rFonts w:hint="default" w:ascii="Times New Roman" w:hAnsi="Times New Roman" w:cs="Times New Roman"/>
          <w:color w:val="auto"/>
        </w:rPr>
        <w:t>—每种危险化学品实际存在量，t；</w:t>
      </w:r>
    </w:p>
    <w:p w14:paraId="5BB46D90">
      <w:pPr>
        <w:ind w:firstLine="480"/>
        <w:rPr>
          <w:rFonts w:hint="default" w:ascii="Times New Roman" w:hAnsi="Times New Roman" w:cs="Times New Roman"/>
          <w:color w:val="auto"/>
        </w:rPr>
      </w:pPr>
      <w:r>
        <w:rPr>
          <w:rFonts w:hint="default" w:ascii="Times New Roman" w:hAnsi="Times New Roman" w:cs="Times New Roman"/>
          <w:color w:val="auto"/>
        </w:rPr>
        <w:t>Q</w:t>
      </w:r>
      <w:r>
        <w:rPr>
          <w:rFonts w:hint="default" w:ascii="Times New Roman" w:hAnsi="Times New Roman" w:cs="Times New Roman"/>
          <w:color w:val="auto"/>
          <w:vertAlign w:val="subscript"/>
        </w:rPr>
        <w:t>1</w:t>
      </w:r>
      <w:r>
        <w:rPr>
          <w:rFonts w:hint="default" w:ascii="Times New Roman" w:hAnsi="Times New Roman" w:cs="Times New Roman"/>
          <w:color w:val="auto"/>
        </w:rPr>
        <w:t>、Q</w:t>
      </w:r>
      <w:r>
        <w:rPr>
          <w:rFonts w:hint="default" w:ascii="Times New Roman" w:hAnsi="Times New Roman" w:cs="Times New Roman"/>
          <w:color w:val="auto"/>
          <w:vertAlign w:val="subscript"/>
        </w:rPr>
        <w:t>2</w:t>
      </w:r>
      <w:r>
        <w:rPr>
          <w:rFonts w:hint="default" w:ascii="Times New Roman" w:hAnsi="Times New Roman" w:cs="Times New Roman"/>
          <w:color w:val="auto"/>
        </w:rPr>
        <w:t>，…，Q</w:t>
      </w:r>
      <w:r>
        <w:rPr>
          <w:rFonts w:hint="default" w:ascii="Times New Roman" w:hAnsi="Times New Roman" w:cs="Times New Roman"/>
          <w:color w:val="auto"/>
          <w:vertAlign w:val="subscript"/>
        </w:rPr>
        <w:t>n</w:t>
      </w:r>
      <w:r>
        <w:rPr>
          <w:rFonts w:hint="default" w:ascii="Times New Roman" w:hAnsi="Times New Roman" w:cs="Times New Roman"/>
          <w:color w:val="auto"/>
        </w:rPr>
        <w:t>—与各危险化学品相对应的临界量，t。</w:t>
      </w:r>
    </w:p>
    <w:p w14:paraId="2FB9D394">
      <w:pPr>
        <w:ind w:firstLine="480"/>
        <w:rPr>
          <w:rFonts w:hint="default" w:ascii="Times New Roman" w:hAnsi="Times New Roman" w:cs="Times New Roman"/>
          <w:color w:val="auto"/>
        </w:rPr>
      </w:pPr>
      <w:r>
        <w:rPr>
          <w:rFonts w:hint="default" w:ascii="Times New Roman" w:hAnsi="Times New Roman" w:cs="Times New Roman"/>
          <w:color w:val="auto"/>
        </w:rPr>
        <w:t>当Q＜1时，该项目环境风险潜势为Ⅰ。</w:t>
      </w:r>
    </w:p>
    <w:p w14:paraId="360419FF">
      <w:pPr>
        <w:ind w:firstLine="480"/>
        <w:rPr>
          <w:rFonts w:hint="default" w:ascii="Times New Roman" w:hAnsi="Times New Roman" w:cs="Times New Roman"/>
          <w:color w:val="auto"/>
        </w:rPr>
      </w:pPr>
      <w:r>
        <w:rPr>
          <w:rFonts w:hint="default" w:ascii="Times New Roman" w:hAnsi="Times New Roman" w:cs="Times New Roman"/>
          <w:color w:val="auto"/>
        </w:rPr>
        <w:t>当Q≥1时，将Q值划分为：（1）1≤Q＜10；（2）10≤Q＜100；（3）Q≥100。</w:t>
      </w:r>
    </w:p>
    <w:p w14:paraId="49D91861">
      <w:pPr>
        <w:ind w:firstLine="480"/>
        <w:rPr>
          <w:rFonts w:hint="default" w:ascii="Times New Roman" w:hAnsi="Times New Roman" w:cs="Times New Roman"/>
          <w:color w:val="auto"/>
        </w:rPr>
      </w:pPr>
      <w:r>
        <w:rPr>
          <w:rFonts w:hint="default" w:ascii="Times New Roman" w:hAnsi="Times New Roman" w:cs="Times New Roman"/>
          <w:color w:val="auto"/>
        </w:rPr>
        <w:t>《建设项目环境风险评价技术导则》(HJ169-2018)附录B表B，本项目风险物质为润滑油、废润滑油。根据各物质最大存在量，可知全厂Q值为</w:t>
      </w:r>
      <w:r>
        <w:rPr>
          <w:rFonts w:hint="eastAsia" w:cs="Times New Roman"/>
          <w:color w:val="auto"/>
          <w:lang w:eastAsia="zh-CN"/>
        </w:rPr>
        <w:t>0.07614</w:t>
      </w:r>
      <w:r>
        <w:rPr>
          <w:rFonts w:hint="default" w:ascii="Times New Roman" w:hAnsi="Times New Roman" w:cs="Times New Roman"/>
          <w:color w:val="auto"/>
        </w:rPr>
        <w:t>，&lt;1，见表4.2.7-1。</w:t>
      </w:r>
    </w:p>
    <w:p w14:paraId="4D9B446E">
      <w:pPr>
        <w:pStyle w:val="93"/>
        <w:rPr>
          <w:rFonts w:hint="default" w:ascii="Times New Roman" w:hAnsi="Times New Roman" w:cs="Times New Roman"/>
          <w:color w:val="auto"/>
        </w:rPr>
      </w:pPr>
      <w:r>
        <w:rPr>
          <w:rFonts w:hint="default" w:ascii="Times New Roman" w:hAnsi="Times New Roman" w:cs="Times New Roman"/>
          <w:color w:val="auto"/>
        </w:rPr>
        <w:t>表4.2.7-1      全厂Q值确定表</w:t>
      </w:r>
    </w:p>
    <w:tbl>
      <w:tblPr>
        <w:tblStyle w:val="44"/>
        <w:tblW w:w="4848" w:type="pct"/>
        <w:jc w:val="center"/>
        <w:tblLayout w:type="autofit"/>
        <w:tblCellMar>
          <w:top w:w="0" w:type="dxa"/>
          <w:left w:w="108" w:type="dxa"/>
          <w:bottom w:w="0" w:type="dxa"/>
          <w:right w:w="108" w:type="dxa"/>
        </w:tblCellMar>
      </w:tblPr>
      <w:tblGrid>
        <w:gridCol w:w="1952"/>
        <w:gridCol w:w="1058"/>
        <w:gridCol w:w="2092"/>
        <w:gridCol w:w="2059"/>
        <w:gridCol w:w="1109"/>
      </w:tblGrid>
      <w:tr w14:paraId="20CD24B4">
        <w:tblPrEx>
          <w:tblCellMar>
            <w:top w:w="0" w:type="dxa"/>
            <w:left w:w="108" w:type="dxa"/>
            <w:bottom w:w="0" w:type="dxa"/>
            <w:right w:w="108" w:type="dxa"/>
          </w:tblCellMar>
        </w:tblPrEx>
        <w:trPr>
          <w:trHeight w:val="510" w:hRule="atLeast"/>
          <w:jc w:val="center"/>
        </w:trPr>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9ACC7">
            <w:pPr>
              <w:pStyle w:val="84"/>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物质名称</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921AA">
            <w:pPr>
              <w:pStyle w:val="84"/>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贮存方式</w:t>
            </w:r>
          </w:p>
        </w:tc>
        <w:tc>
          <w:tcPr>
            <w:tcW w:w="2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40B3">
            <w:pPr>
              <w:pStyle w:val="84"/>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最大存在总量（t）</w:t>
            </w:r>
          </w:p>
        </w:tc>
        <w:tc>
          <w:tcPr>
            <w:tcW w:w="2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91172">
            <w:pPr>
              <w:pStyle w:val="84"/>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规定临界量（t）</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80763">
            <w:pPr>
              <w:pStyle w:val="84"/>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Q值</w:t>
            </w:r>
          </w:p>
        </w:tc>
      </w:tr>
      <w:tr w14:paraId="3BE954AF">
        <w:tblPrEx>
          <w:tblCellMar>
            <w:top w:w="0" w:type="dxa"/>
            <w:left w:w="108" w:type="dxa"/>
            <w:bottom w:w="0" w:type="dxa"/>
            <w:right w:w="108" w:type="dxa"/>
          </w:tblCellMar>
        </w:tblPrEx>
        <w:trPr>
          <w:trHeight w:val="270" w:hRule="atLeast"/>
          <w:jc w:val="center"/>
        </w:trPr>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C92C7">
            <w:pPr>
              <w:pStyle w:val="84"/>
              <w:spacing w:line="240" w:lineRule="auto"/>
              <w:ind w:firstLine="0" w:firstLineChars="0"/>
              <w:jc w:val="center"/>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润滑油</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906D8">
            <w:pPr>
              <w:pStyle w:val="84"/>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桶装</w:t>
            </w:r>
          </w:p>
        </w:tc>
        <w:tc>
          <w:tcPr>
            <w:tcW w:w="2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2C8C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0.35</w:t>
            </w:r>
          </w:p>
        </w:tc>
        <w:tc>
          <w:tcPr>
            <w:tcW w:w="2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17C94">
            <w:pPr>
              <w:pStyle w:val="84"/>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2500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F9CC7">
            <w:pPr>
              <w:pStyle w:val="84"/>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0.00014</w:t>
            </w:r>
          </w:p>
        </w:tc>
      </w:tr>
      <w:tr w14:paraId="19C56632">
        <w:tblPrEx>
          <w:tblCellMar>
            <w:top w:w="0" w:type="dxa"/>
            <w:left w:w="108" w:type="dxa"/>
            <w:bottom w:w="0" w:type="dxa"/>
            <w:right w:w="108" w:type="dxa"/>
          </w:tblCellMar>
        </w:tblPrEx>
        <w:trPr>
          <w:trHeight w:val="270" w:hRule="atLeast"/>
          <w:jc w:val="center"/>
        </w:trPr>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953E">
            <w:pPr>
              <w:pStyle w:val="84"/>
              <w:spacing w:line="240" w:lineRule="auto"/>
              <w:ind w:firstLine="0" w:firstLineChars="0"/>
              <w:jc w:val="center"/>
              <w:textAlignment w:val="baseline"/>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危废（废润滑油和空压机油水混合物）</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D125">
            <w:pPr>
              <w:pStyle w:val="84"/>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桶装</w:t>
            </w:r>
          </w:p>
        </w:tc>
        <w:tc>
          <w:tcPr>
            <w:tcW w:w="2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187A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0.8</w:t>
            </w:r>
          </w:p>
        </w:tc>
        <w:tc>
          <w:tcPr>
            <w:tcW w:w="2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532D7">
            <w:pPr>
              <w:pStyle w:val="84"/>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8485">
            <w:pPr>
              <w:pStyle w:val="84"/>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0.016</w:t>
            </w:r>
          </w:p>
        </w:tc>
      </w:tr>
      <w:tr w14:paraId="5D63B6BA">
        <w:tblPrEx>
          <w:tblCellMar>
            <w:top w:w="0" w:type="dxa"/>
            <w:left w:w="108" w:type="dxa"/>
            <w:bottom w:w="0" w:type="dxa"/>
            <w:right w:w="108" w:type="dxa"/>
          </w:tblCellMar>
        </w:tblPrEx>
        <w:trPr>
          <w:trHeight w:val="270" w:hRule="atLeast"/>
          <w:jc w:val="center"/>
        </w:trPr>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5FE17">
            <w:pPr>
              <w:pStyle w:val="84"/>
              <w:spacing w:line="240" w:lineRule="auto"/>
              <w:ind w:firstLine="0" w:firstLineChars="0"/>
              <w:jc w:val="center"/>
              <w:textAlignment w:val="baseline"/>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硫酸</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EC0BC">
            <w:pPr>
              <w:pStyle w:val="84"/>
              <w:widowControl/>
              <w:spacing w:line="240" w:lineRule="auto"/>
              <w:ind w:firstLine="0" w:firstLineChars="0"/>
              <w:jc w:val="center"/>
              <w:rPr>
                <w:rFonts w:hint="eastAsia"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桶装</w:t>
            </w:r>
          </w:p>
        </w:tc>
        <w:tc>
          <w:tcPr>
            <w:tcW w:w="2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E13AE">
            <w:pPr>
              <w:spacing w:line="240" w:lineRule="auto"/>
              <w:ind w:firstLine="0" w:firstLineChars="0"/>
              <w:jc w:val="center"/>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0.3</w:t>
            </w:r>
          </w:p>
        </w:tc>
        <w:tc>
          <w:tcPr>
            <w:tcW w:w="2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EA64C">
            <w:pPr>
              <w:pStyle w:val="84"/>
              <w:widowControl/>
              <w:spacing w:line="240" w:lineRule="auto"/>
              <w:ind w:firstLine="0" w:firstLineChars="0"/>
              <w:jc w:val="center"/>
              <w:rPr>
                <w:rFonts w:hint="eastAsia"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B777">
            <w:pPr>
              <w:pStyle w:val="84"/>
              <w:widowControl/>
              <w:spacing w:line="240" w:lineRule="auto"/>
              <w:ind w:firstLine="0" w:firstLineChars="0"/>
              <w:jc w:val="center"/>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0.06</w:t>
            </w:r>
          </w:p>
        </w:tc>
      </w:tr>
      <w:tr w14:paraId="4D143631">
        <w:tblPrEx>
          <w:tblCellMar>
            <w:top w:w="0" w:type="dxa"/>
            <w:left w:w="108" w:type="dxa"/>
            <w:bottom w:w="0" w:type="dxa"/>
            <w:right w:w="108" w:type="dxa"/>
          </w:tblCellMar>
        </w:tblPrEx>
        <w:trPr>
          <w:trHeight w:val="270" w:hRule="atLeast"/>
          <w:jc w:val="center"/>
        </w:trPr>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F2A19">
            <w:pPr>
              <w:pStyle w:val="84"/>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合计</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E036B">
            <w:pPr>
              <w:pStyle w:val="84"/>
              <w:widowControl/>
              <w:spacing w:line="240" w:lineRule="auto"/>
              <w:ind w:firstLine="0" w:firstLineChars="0"/>
              <w:jc w:val="center"/>
              <w:rPr>
                <w:rFonts w:hint="default" w:ascii="Times New Roman" w:hAnsi="Times New Roman" w:cs="Times New Roman"/>
                <w:color w:val="auto"/>
                <w:kern w:val="2"/>
                <w:sz w:val="21"/>
                <w:szCs w:val="21"/>
              </w:rPr>
            </w:pPr>
          </w:p>
        </w:tc>
        <w:tc>
          <w:tcPr>
            <w:tcW w:w="2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DF431">
            <w:pPr>
              <w:pStyle w:val="84"/>
              <w:widowControl/>
              <w:spacing w:line="240" w:lineRule="auto"/>
              <w:ind w:firstLine="0" w:firstLineChars="0"/>
              <w:jc w:val="center"/>
              <w:rPr>
                <w:rFonts w:hint="default" w:ascii="Times New Roman" w:hAnsi="Times New Roman" w:cs="Times New Roman"/>
                <w:color w:val="auto"/>
                <w:kern w:val="2"/>
                <w:sz w:val="21"/>
                <w:szCs w:val="21"/>
              </w:rPr>
            </w:pPr>
          </w:p>
        </w:tc>
        <w:tc>
          <w:tcPr>
            <w:tcW w:w="2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45CE">
            <w:pPr>
              <w:pStyle w:val="84"/>
              <w:widowControl/>
              <w:spacing w:line="240" w:lineRule="auto"/>
              <w:ind w:firstLine="0" w:firstLineChars="0"/>
              <w:jc w:val="center"/>
              <w:rPr>
                <w:rFonts w:hint="default" w:ascii="Times New Roman" w:hAnsi="Times New Roman" w:cs="Times New Roman"/>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22A19">
            <w:pPr>
              <w:pStyle w:val="84"/>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w:t>
            </w:r>
            <w:r>
              <w:rPr>
                <w:rFonts w:hint="eastAsia" w:cs="Times New Roman"/>
                <w:color w:val="auto"/>
                <w:kern w:val="2"/>
                <w:sz w:val="21"/>
                <w:szCs w:val="21"/>
                <w:lang w:val="en-US" w:eastAsia="zh-CN"/>
              </w:rPr>
              <w:t>7</w:t>
            </w:r>
            <w:r>
              <w:rPr>
                <w:rFonts w:hint="default" w:ascii="Times New Roman" w:hAnsi="Times New Roman" w:cs="Times New Roman"/>
                <w:color w:val="auto"/>
                <w:kern w:val="2"/>
                <w:sz w:val="21"/>
                <w:szCs w:val="21"/>
              </w:rPr>
              <w:t>614</w:t>
            </w:r>
          </w:p>
        </w:tc>
      </w:tr>
    </w:tbl>
    <w:p w14:paraId="5068B7AC">
      <w:pPr>
        <w:ind w:firstLine="480"/>
        <w:rPr>
          <w:rFonts w:hint="default" w:ascii="Times New Roman" w:hAnsi="Times New Roman" w:cs="Times New Roman"/>
          <w:color w:val="auto"/>
        </w:rPr>
      </w:pPr>
      <w:r>
        <w:rPr>
          <w:rFonts w:hint="default" w:ascii="Times New Roman" w:hAnsi="Times New Roman" w:cs="Times New Roman"/>
          <w:color w:val="auto"/>
        </w:rPr>
        <w:t>*注：</w:t>
      </w:r>
      <w:r>
        <w:rPr>
          <w:rFonts w:hint="default" w:ascii="Times New Roman" w:hAnsi="Times New Roman" w:cs="Times New Roman"/>
          <w:color w:val="auto"/>
          <w:sz w:val="21"/>
          <w:szCs w:val="21"/>
        </w:rPr>
        <w:t>危废临界量50t参照“健康危险急性毒性物质（类别2，类别3）”。</w:t>
      </w:r>
    </w:p>
    <w:p w14:paraId="1C559FB2">
      <w:pPr>
        <w:ind w:firstLine="480"/>
        <w:rPr>
          <w:rFonts w:hint="default" w:ascii="Times New Roman" w:hAnsi="Times New Roman" w:cs="Times New Roman"/>
          <w:color w:val="auto"/>
        </w:rPr>
      </w:pPr>
      <w:r>
        <w:rPr>
          <w:rFonts w:hint="default" w:ascii="Times New Roman" w:hAnsi="Times New Roman" w:cs="Times New Roman"/>
          <w:color w:val="auto"/>
        </w:rPr>
        <w:t>（3）环境风险识别</w:t>
      </w:r>
    </w:p>
    <w:p w14:paraId="74D0FA53">
      <w:pPr>
        <w:ind w:firstLine="480"/>
        <w:rPr>
          <w:rFonts w:hint="default" w:ascii="Times New Roman" w:hAnsi="Times New Roman" w:cs="Times New Roman"/>
          <w:color w:val="auto"/>
        </w:rPr>
      </w:pPr>
      <w:r>
        <w:rPr>
          <w:rFonts w:hint="default" w:ascii="Times New Roman" w:hAnsi="Times New Roman" w:cs="Times New Roman"/>
          <w:color w:val="auto"/>
        </w:rPr>
        <w:t>本项目涉及风险物质较少，主要为机械设备使用的润滑油、危废。环境风险主要为润滑油、危废储放过程中保管不严密，发生泄漏，从而导致环境污染事故；泄漏引起的火灾事故。</w:t>
      </w:r>
    </w:p>
    <w:p w14:paraId="7A7D4D48">
      <w:pPr>
        <w:ind w:firstLine="480"/>
        <w:rPr>
          <w:rFonts w:hint="default" w:ascii="Times New Roman" w:hAnsi="Times New Roman" w:cs="Times New Roman"/>
          <w:color w:val="auto"/>
        </w:rPr>
      </w:pPr>
      <w:r>
        <w:rPr>
          <w:rFonts w:hint="default" w:ascii="Times New Roman" w:hAnsi="Times New Roman" w:cs="Times New Roman"/>
          <w:color w:val="auto"/>
        </w:rPr>
        <w:t>（4）环境风险分析</w:t>
      </w:r>
    </w:p>
    <w:p w14:paraId="2FA8900F">
      <w:pPr>
        <w:ind w:firstLine="480"/>
        <w:rPr>
          <w:rFonts w:hint="default" w:ascii="Times New Roman" w:hAnsi="Times New Roman" w:cs="Times New Roman"/>
          <w:color w:val="auto"/>
        </w:rPr>
      </w:pPr>
      <w:r>
        <w:rPr>
          <w:rFonts w:hint="default" w:ascii="Times New Roman" w:hAnsi="Times New Roman" w:cs="Times New Roman"/>
          <w:color w:val="auto"/>
        </w:rPr>
        <w:t>本项目涉及的润滑油不在厂区内贮存；废润滑油使用危废贮存库贮存。贮存场所均地面硬化，做了防渗处理，并有收集池边沟等。</w:t>
      </w:r>
    </w:p>
    <w:p w14:paraId="7C187069">
      <w:pPr>
        <w:ind w:firstLine="480"/>
        <w:rPr>
          <w:rFonts w:hint="default" w:ascii="Times New Roman" w:hAnsi="Times New Roman" w:cs="Times New Roman"/>
          <w:color w:val="auto"/>
        </w:rPr>
      </w:pPr>
      <w:r>
        <w:rPr>
          <w:rFonts w:hint="default" w:ascii="Times New Roman" w:hAnsi="Times New Roman" w:cs="Times New Roman"/>
          <w:color w:val="auto"/>
        </w:rPr>
        <w:t>本项目使用的润滑油主要在设备内存在，一般情况下发生火灾的概率较低。</w:t>
      </w:r>
    </w:p>
    <w:p w14:paraId="2614BB44">
      <w:pPr>
        <w:ind w:firstLine="480"/>
        <w:rPr>
          <w:rFonts w:hint="default" w:ascii="Times New Roman" w:hAnsi="Times New Roman" w:cs="Times New Roman"/>
          <w:color w:val="auto"/>
        </w:rPr>
      </w:pPr>
      <w:r>
        <w:rPr>
          <w:rFonts w:hint="default" w:ascii="Times New Roman" w:hAnsi="Times New Roman" w:cs="Times New Roman"/>
          <w:color w:val="auto"/>
        </w:rPr>
        <w:t>在发生火灾事故时，本项目配备了消防设备，能够及时发现扑灭，不会对环境造成太大的污染。</w:t>
      </w:r>
    </w:p>
    <w:p w14:paraId="54D1593C">
      <w:pPr>
        <w:ind w:firstLine="480"/>
        <w:rPr>
          <w:rFonts w:hint="default" w:ascii="Times New Roman" w:hAnsi="Times New Roman" w:cs="Times New Roman"/>
          <w:color w:val="auto"/>
        </w:rPr>
      </w:pPr>
      <w:r>
        <w:rPr>
          <w:rFonts w:hint="default" w:ascii="Times New Roman" w:hAnsi="Times New Roman" w:cs="Times New Roman"/>
          <w:color w:val="auto"/>
        </w:rPr>
        <w:t>（5）环境风险防范措施及应急要求</w:t>
      </w:r>
    </w:p>
    <w:p w14:paraId="110F8E4E">
      <w:pPr>
        <w:ind w:firstLine="480"/>
        <w:rPr>
          <w:rFonts w:hint="default" w:ascii="Times New Roman" w:hAnsi="Times New Roman" w:cs="Times New Roman"/>
          <w:color w:val="auto"/>
        </w:rPr>
      </w:pPr>
      <w:r>
        <w:rPr>
          <w:rFonts w:hint="default" w:ascii="Times New Roman" w:hAnsi="Times New Roman" w:cs="Times New Roman"/>
          <w:color w:val="auto"/>
        </w:rPr>
        <w:t xml:space="preserve">①严格按照安全生产规定，设置安全监控点； </w:t>
      </w:r>
    </w:p>
    <w:p w14:paraId="782D0F36">
      <w:pPr>
        <w:ind w:firstLine="480"/>
        <w:rPr>
          <w:rFonts w:hint="default" w:ascii="Times New Roman" w:hAnsi="Times New Roman" w:cs="Times New Roman"/>
          <w:color w:val="auto"/>
        </w:rPr>
      </w:pPr>
      <w:r>
        <w:rPr>
          <w:rFonts w:hint="default" w:ascii="Times New Roman" w:hAnsi="Times New Roman" w:cs="Times New Roman"/>
          <w:color w:val="auto"/>
        </w:rPr>
        <w:t xml:space="preserve">②加强管理，厂内暂存转运规范作业流程，操作人员进行安全生产教育； </w:t>
      </w:r>
    </w:p>
    <w:p w14:paraId="15A81D15">
      <w:pPr>
        <w:ind w:firstLine="480"/>
        <w:rPr>
          <w:rFonts w:hint="default" w:ascii="Times New Roman" w:hAnsi="Times New Roman" w:cs="Times New Roman"/>
          <w:color w:val="auto"/>
        </w:rPr>
      </w:pPr>
      <w:r>
        <w:rPr>
          <w:rFonts w:hint="default" w:ascii="Times New Roman" w:hAnsi="Times New Roman" w:cs="Times New Roman"/>
          <w:color w:val="auto"/>
        </w:rPr>
        <w:t xml:space="preserve">③加强职工安全环保教育，增强操作工人的责任心，防止和减少因人为因素造成的事故，同时也要加强防火安全教育； </w:t>
      </w:r>
    </w:p>
    <w:p w14:paraId="352A70A8">
      <w:pPr>
        <w:ind w:firstLine="480"/>
        <w:rPr>
          <w:rFonts w:hint="default" w:ascii="Times New Roman" w:hAnsi="Times New Roman" w:cs="Times New Roman"/>
          <w:color w:val="auto"/>
        </w:rPr>
      </w:pPr>
      <w:r>
        <w:rPr>
          <w:rFonts w:hint="default" w:ascii="Times New Roman" w:hAnsi="Times New Roman" w:cs="Times New Roman"/>
          <w:color w:val="auto"/>
        </w:rPr>
        <w:t xml:space="preserve">④应配备足够的消防设施，落实安全管理责任。 </w:t>
      </w:r>
    </w:p>
    <w:p w14:paraId="05BDCBCD">
      <w:pPr>
        <w:ind w:firstLine="480"/>
        <w:rPr>
          <w:rFonts w:hint="default" w:ascii="Times New Roman" w:hAnsi="Times New Roman" w:cs="Times New Roman"/>
          <w:color w:val="auto"/>
        </w:rPr>
      </w:pPr>
      <w:r>
        <w:rPr>
          <w:rFonts w:hint="default" w:ascii="Times New Roman" w:hAnsi="Times New Roman" w:cs="Times New Roman"/>
          <w:color w:val="auto"/>
        </w:rPr>
        <w:t>⑤加强设备检修，减少因设备损坏、老化带来的遗漏。</w:t>
      </w:r>
    </w:p>
    <w:p w14:paraId="580B268D">
      <w:pPr>
        <w:ind w:firstLine="480"/>
        <w:rPr>
          <w:rFonts w:hint="default" w:ascii="Times New Roman" w:hAnsi="Times New Roman" w:cs="Times New Roman"/>
          <w:color w:val="auto"/>
        </w:rPr>
      </w:pPr>
      <w:r>
        <w:rPr>
          <w:rFonts w:hint="default" w:ascii="Times New Roman" w:hAnsi="Times New Roman" w:cs="Times New Roman"/>
          <w:color w:val="auto"/>
        </w:rPr>
        <w:t>⑥由专人负责日常环境管理工作，制订“环保管理人员职责”和“环境污染防治措施”制度，加强废气、废水治理设施的监督和管理；加强废气、废水处理设施及设备的定期检修和维护工作，发现事故隐患，及时解决，一旦不能及时解决，立即停止生产。</w:t>
      </w:r>
    </w:p>
    <w:p w14:paraId="6E536439">
      <w:pPr>
        <w:ind w:firstLine="480"/>
        <w:rPr>
          <w:rFonts w:hint="default" w:ascii="Times New Roman" w:hAnsi="Times New Roman" w:cs="Times New Roman"/>
          <w:color w:val="auto"/>
        </w:rPr>
      </w:pPr>
    </w:p>
    <w:p w14:paraId="6A3EB27F">
      <w:pPr>
        <w:ind w:firstLine="480"/>
        <w:rPr>
          <w:rFonts w:hint="default" w:ascii="Times New Roman" w:hAnsi="Times New Roman" w:cs="Times New Roman"/>
          <w:color w:val="auto"/>
          <w:kern w:val="24"/>
          <w:szCs w:val="24"/>
        </w:rPr>
      </w:pPr>
    </w:p>
    <w:p w14:paraId="03ACDD76">
      <w:pPr>
        <w:adjustRightInd w:val="0"/>
        <w:snapToGrid w:val="0"/>
        <w:ind w:firstLine="480"/>
        <w:rPr>
          <w:rFonts w:hint="default" w:ascii="Times New Roman" w:hAnsi="Times New Roman" w:cs="Times New Roman"/>
          <w:color w:val="auto"/>
        </w:rPr>
        <w:sectPr>
          <w:headerReference r:id="rId29" w:type="default"/>
          <w:pgSz w:w="11907" w:h="16840"/>
          <w:pgMar w:top="1440" w:right="1797" w:bottom="1440" w:left="1797" w:header="851" w:footer="992" w:gutter="0"/>
          <w:cols w:space="720" w:num="1"/>
          <w:docGrid w:type="lines" w:linePitch="312" w:charSpace="0"/>
        </w:sectPr>
      </w:pPr>
    </w:p>
    <w:p w14:paraId="77BCF4F4">
      <w:pPr>
        <w:pStyle w:val="2"/>
        <w:rPr>
          <w:rFonts w:hint="default" w:ascii="Times New Roman" w:hAnsi="Times New Roman" w:cs="Times New Roman"/>
          <w:snapToGrid w:val="0"/>
          <w:color w:val="auto"/>
        </w:rPr>
      </w:pPr>
      <w:bookmarkStart w:id="22" w:name="_Hlk54167917"/>
      <w:r>
        <w:rPr>
          <w:rFonts w:hint="default" w:ascii="Times New Roman" w:hAnsi="Times New Roman" w:cs="Times New Roman"/>
          <w:snapToGrid w:val="0"/>
          <w:color w:val="auto"/>
        </w:rPr>
        <w:t>五、环境保护措施监督检查清单</w:t>
      </w:r>
      <w:bookmarkEnd w:id="22"/>
    </w:p>
    <w:tbl>
      <w:tblPr>
        <w:tblStyle w:val="44"/>
        <w:tblW w:w="499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073"/>
        <w:gridCol w:w="402"/>
        <w:gridCol w:w="1090"/>
        <w:gridCol w:w="543"/>
        <w:gridCol w:w="1555"/>
        <w:gridCol w:w="664"/>
        <w:gridCol w:w="891"/>
        <w:gridCol w:w="1587"/>
      </w:tblGrid>
      <w:tr w14:paraId="633E7D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16" w:type="pct"/>
            <w:tcBorders>
              <w:top w:val="single" w:color="auto" w:sz="4" w:space="0"/>
              <w:left w:val="single" w:color="auto" w:sz="4" w:space="0"/>
              <w:bottom w:val="single" w:color="auto" w:sz="4" w:space="0"/>
              <w:tl2br w:val="single" w:color="auto" w:sz="4" w:space="0"/>
            </w:tcBorders>
            <w:vAlign w:val="center"/>
          </w:tcPr>
          <w:p w14:paraId="1A80B89A">
            <w:pPr>
              <w:adjustRightInd w:val="0"/>
              <w:snapToGrid w:val="0"/>
              <w:spacing w:line="240" w:lineRule="auto"/>
              <w:ind w:firstLine="0" w:firstLineChars="0"/>
              <w:jc w:val="righ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内容</w:t>
            </w:r>
          </w:p>
          <w:p w14:paraId="0E7B1D8F">
            <w:pPr>
              <w:adjustRightInd w:val="0"/>
              <w:snapToGrid w:val="0"/>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要素</w:t>
            </w:r>
          </w:p>
        </w:tc>
        <w:tc>
          <w:tcPr>
            <w:tcW w:w="866" w:type="pct"/>
            <w:gridSpan w:val="2"/>
            <w:tcBorders>
              <w:top w:val="single" w:color="auto" w:sz="4" w:space="0"/>
              <w:bottom w:val="single" w:color="auto" w:sz="4" w:space="0"/>
            </w:tcBorders>
            <w:vAlign w:val="center"/>
          </w:tcPr>
          <w:p w14:paraId="21AE9916">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排放口(编号、名称)/污染源</w:t>
            </w:r>
          </w:p>
        </w:tc>
        <w:tc>
          <w:tcPr>
            <w:tcW w:w="640" w:type="pct"/>
            <w:tcBorders>
              <w:top w:val="single" w:color="auto" w:sz="4" w:space="0"/>
              <w:bottom w:val="single" w:color="auto" w:sz="4" w:space="0"/>
            </w:tcBorders>
            <w:vAlign w:val="center"/>
          </w:tcPr>
          <w:p w14:paraId="18ECD9EA">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污染物项目</w:t>
            </w:r>
          </w:p>
        </w:tc>
        <w:tc>
          <w:tcPr>
            <w:tcW w:w="1622" w:type="pct"/>
            <w:gridSpan w:val="3"/>
            <w:tcBorders>
              <w:top w:val="single" w:color="auto" w:sz="4" w:space="0"/>
              <w:bottom w:val="single" w:color="auto" w:sz="4" w:space="0"/>
            </w:tcBorders>
            <w:vAlign w:val="center"/>
          </w:tcPr>
          <w:p w14:paraId="19D8C439">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环境保护措施</w:t>
            </w:r>
          </w:p>
        </w:tc>
        <w:tc>
          <w:tcPr>
            <w:tcW w:w="1455" w:type="pct"/>
            <w:gridSpan w:val="2"/>
            <w:tcBorders>
              <w:top w:val="single" w:color="auto" w:sz="4" w:space="0"/>
              <w:bottom w:val="single" w:color="auto" w:sz="4" w:space="0"/>
              <w:right w:val="single" w:color="auto" w:sz="4" w:space="0"/>
            </w:tcBorders>
            <w:vAlign w:val="center"/>
          </w:tcPr>
          <w:p w14:paraId="3D47EED2">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执行标准</w:t>
            </w:r>
          </w:p>
        </w:tc>
      </w:tr>
      <w:tr w14:paraId="709515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16" w:type="pct"/>
            <w:vMerge w:val="restart"/>
            <w:tcBorders>
              <w:top w:val="single" w:color="auto" w:sz="4" w:space="0"/>
              <w:left w:val="single" w:color="auto" w:sz="4" w:space="0"/>
            </w:tcBorders>
            <w:vAlign w:val="center"/>
          </w:tcPr>
          <w:p w14:paraId="40698F1C">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大气环境</w:t>
            </w:r>
          </w:p>
        </w:tc>
        <w:tc>
          <w:tcPr>
            <w:tcW w:w="866" w:type="pct"/>
            <w:gridSpan w:val="2"/>
            <w:tcBorders>
              <w:top w:val="single" w:color="auto" w:sz="4" w:space="0"/>
              <w:bottom w:val="single" w:color="auto" w:sz="4" w:space="0"/>
            </w:tcBorders>
            <w:vAlign w:val="center"/>
          </w:tcPr>
          <w:p w14:paraId="39C5289F">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color w:val="auto"/>
                <w:kern w:val="2"/>
                <w:sz w:val="21"/>
                <w:szCs w:val="21"/>
                <w:lang w:bidi="ar"/>
              </w:rPr>
              <w:t>1#排气筒</w:t>
            </w:r>
          </w:p>
        </w:tc>
        <w:tc>
          <w:tcPr>
            <w:tcW w:w="640" w:type="pct"/>
            <w:tcBorders>
              <w:top w:val="single" w:color="auto" w:sz="4" w:space="0"/>
              <w:bottom w:val="single" w:color="auto" w:sz="4" w:space="0"/>
            </w:tcBorders>
            <w:vAlign w:val="center"/>
          </w:tcPr>
          <w:p w14:paraId="7A610165">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非甲烷总烃、酚类、丙烯腈、苯乙烯、乙苯、甲苯、1,3-丁二烯</w:t>
            </w:r>
          </w:p>
        </w:tc>
        <w:tc>
          <w:tcPr>
            <w:tcW w:w="1622" w:type="pct"/>
            <w:gridSpan w:val="3"/>
            <w:tcBorders>
              <w:top w:val="single" w:color="auto" w:sz="4" w:space="0"/>
              <w:bottom w:val="single" w:color="auto" w:sz="4" w:space="0"/>
            </w:tcBorders>
            <w:vAlign w:val="center"/>
          </w:tcPr>
          <w:p w14:paraId="2B677892">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1、改性粒料生产挤出机排气脱挥段废气利用真空排气口外接真空泵抽吸掉废气。挤出机真空排气孔真空抽吸废气量为400m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/h。</w:t>
            </w:r>
          </w:p>
          <w:p w14:paraId="6B9F2E2C">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2、挤出机常压排气口、模头挤出口、侧喂料口及冷却水槽前1/3段设置集气罩收集废气。6台挤出机设置6个集气罩尺寸为1.8m×0.4m，风量16000m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/h。集气罩开口面最远处的VOCs无组织排放位置，控制风速不低于0.3m/s。</w:t>
            </w:r>
          </w:p>
          <w:p w14:paraId="2417F72F">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3、2套干燥机共4个料仓进行烘干，设置4个集气罩，尺寸为0.5m×0.5m。风量5000m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/h。集气罩开口面最远处的VOCs无组织排放位置，控制风速不低于0.3m/s。</w:t>
            </w:r>
          </w:p>
          <w:p w14:paraId="05CEFD6E">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3、投料混合处拌料机6台，拟在各设备上方分别安装集气罩1个。6个集气罩尺寸为0.3m×0.3m，风量2200m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/h。集气罩开口面最远处的颗粒物无组织排放位置，控制风速不低于0.3m/s。</w:t>
            </w:r>
          </w:p>
          <w:p w14:paraId="103F250A">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4、样板注塑机4台，拟在各设备上方分别安装集气罩1个。4个集气罩尺寸为0.5m×0.5m，风量5000m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/h。集气罩开口面最远处的废气无组织排放位置，控制风速不低于0.3m/s。</w:t>
            </w:r>
          </w:p>
          <w:p w14:paraId="718EA057">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5、改性粒料挤出废气</w:t>
            </w:r>
            <w:r>
              <w:rPr>
                <w:rFonts w:hint="default" w:ascii="Times New Roman" w:hAnsi="Times New Roman" w:cs="Times New Roman"/>
                <w:color w:val="auto"/>
                <w:sz w:val="21"/>
                <w:szCs w:val="21"/>
                <w:lang w:bidi="ar"/>
              </w:rPr>
              <w:t>集气罩收集后经</w:t>
            </w:r>
            <w:r>
              <w:rPr>
                <w:rFonts w:hint="eastAsia" w:cs="Times New Roman"/>
                <w:color w:val="auto"/>
                <w:sz w:val="21"/>
                <w:szCs w:val="21"/>
                <w:lang w:val="en-US" w:eastAsia="zh-CN" w:bidi="ar"/>
              </w:rPr>
              <w:t>碱</w:t>
            </w:r>
            <w:r>
              <w:rPr>
                <w:rFonts w:hint="default" w:ascii="Times New Roman" w:hAnsi="Times New Roman" w:cs="Times New Roman"/>
                <w:color w:val="auto"/>
                <w:sz w:val="21"/>
                <w:szCs w:val="21"/>
                <w:lang w:bidi="ar"/>
              </w:rPr>
              <w:t>洗除雾后通过活性炭二级吸附达标后通过25m高1#排气筒排放</w:t>
            </w:r>
            <w:r>
              <w:rPr>
                <w:rFonts w:hint="default" w:ascii="Times New Roman" w:hAnsi="Times New Roman" w:cs="Times New Roman"/>
                <w:color w:val="auto"/>
                <w:kern w:val="2"/>
                <w:sz w:val="21"/>
                <w:szCs w:val="21"/>
              </w:rPr>
              <w:t>；2个活性炭箱填料量为24.8m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w:t>
            </w:r>
          </w:p>
          <w:p w14:paraId="0EAB3FD4">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6、投料混合粉尘集气罩收集后经布袋除尘器处理后通过25m高2#排气筒排放；</w:t>
            </w:r>
          </w:p>
          <w:p w14:paraId="1AD521F1">
            <w:pPr>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7、破碎机密闭，设置在封闭破碎间内，破碎粉尘得到有效控制。</w:t>
            </w:r>
          </w:p>
        </w:tc>
        <w:tc>
          <w:tcPr>
            <w:tcW w:w="1455" w:type="pct"/>
            <w:gridSpan w:val="2"/>
            <w:tcBorders>
              <w:top w:val="single" w:color="auto" w:sz="4" w:space="0"/>
              <w:right w:val="single" w:color="auto" w:sz="4" w:space="0"/>
            </w:tcBorders>
            <w:vAlign w:val="center"/>
          </w:tcPr>
          <w:p w14:paraId="0187C55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《合成树脂工业污染物排放标准》（GB31572-2015）表5大气污染物特别排放限值中非甲烷总烃60</w:t>
            </w:r>
            <w:r>
              <w:rPr>
                <w:rFonts w:hint="default" w:ascii="Times New Roman" w:hAnsi="Times New Roman" w:cs="Times New Roman"/>
                <w:color w:val="auto"/>
                <w:spacing w:val="2"/>
                <w:kern w:val="2"/>
                <w:sz w:val="21"/>
                <w:szCs w:val="21"/>
              </w:rPr>
              <w:t>mg/m</w:t>
            </w:r>
            <w:r>
              <w:rPr>
                <w:rFonts w:hint="default" w:ascii="Times New Roman" w:hAnsi="Times New Roman" w:cs="Times New Roman"/>
                <w:color w:val="auto"/>
                <w:spacing w:val="2"/>
                <w:kern w:val="2"/>
                <w:sz w:val="21"/>
                <w:szCs w:val="21"/>
                <w:vertAlign w:val="superscript"/>
              </w:rPr>
              <w:t>3</w:t>
            </w:r>
            <w:r>
              <w:rPr>
                <w:rFonts w:hint="default" w:ascii="Times New Roman" w:hAnsi="Times New Roman" w:cs="Times New Roman"/>
                <w:color w:val="auto"/>
                <w:spacing w:val="2"/>
                <w:kern w:val="2"/>
                <w:sz w:val="21"/>
                <w:szCs w:val="21"/>
              </w:rPr>
              <w:t>、酚类</w:t>
            </w:r>
            <w:r>
              <w:rPr>
                <w:rFonts w:hint="default" w:ascii="Times New Roman" w:hAnsi="Times New Roman" w:cs="Times New Roman"/>
                <w:color w:val="auto"/>
                <w:kern w:val="2"/>
                <w:sz w:val="21"/>
                <w:szCs w:val="21"/>
              </w:rPr>
              <w:t>15</w:t>
            </w:r>
            <w:r>
              <w:rPr>
                <w:rFonts w:hint="default" w:ascii="Times New Roman" w:hAnsi="Times New Roman" w:cs="Times New Roman"/>
                <w:color w:val="auto"/>
                <w:spacing w:val="2"/>
                <w:kern w:val="2"/>
                <w:sz w:val="21"/>
                <w:szCs w:val="21"/>
              </w:rPr>
              <w:t>mg/m</w:t>
            </w:r>
            <w:r>
              <w:rPr>
                <w:rFonts w:hint="default" w:ascii="Times New Roman" w:hAnsi="Times New Roman" w:cs="Times New Roman"/>
                <w:color w:val="auto"/>
                <w:spacing w:val="2"/>
                <w:kern w:val="2"/>
                <w:sz w:val="21"/>
                <w:szCs w:val="21"/>
                <w:vertAlign w:val="superscript"/>
              </w:rPr>
              <w:t>3</w:t>
            </w:r>
            <w:r>
              <w:rPr>
                <w:rFonts w:hint="default" w:ascii="Times New Roman" w:hAnsi="Times New Roman" w:cs="Times New Roman"/>
                <w:color w:val="auto"/>
                <w:spacing w:val="2"/>
                <w:kern w:val="2"/>
                <w:sz w:val="21"/>
                <w:szCs w:val="21"/>
              </w:rPr>
              <w:t>、丙烯腈0.5mg/m</w:t>
            </w:r>
            <w:r>
              <w:rPr>
                <w:rFonts w:hint="default" w:ascii="Times New Roman" w:hAnsi="Times New Roman" w:cs="Times New Roman"/>
                <w:color w:val="auto"/>
                <w:spacing w:val="2"/>
                <w:kern w:val="2"/>
                <w:sz w:val="21"/>
                <w:szCs w:val="21"/>
                <w:vertAlign w:val="superscript"/>
              </w:rPr>
              <w:t>3</w:t>
            </w:r>
            <w:r>
              <w:rPr>
                <w:rFonts w:hint="default" w:ascii="Times New Roman" w:hAnsi="Times New Roman" w:cs="Times New Roman"/>
                <w:color w:val="auto"/>
                <w:spacing w:val="2"/>
                <w:kern w:val="2"/>
                <w:sz w:val="21"/>
                <w:szCs w:val="21"/>
              </w:rPr>
              <w:t>、苯乙烯20mg/m</w:t>
            </w:r>
            <w:r>
              <w:rPr>
                <w:rFonts w:hint="default" w:ascii="Times New Roman" w:hAnsi="Times New Roman" w:cs="Times New Roman"/>
                <w:color w:val="auto"/>
                <w:spacing w:val="2"/>
                <w:kern w:val="2"/>
                <w:sz w:val="21"/>
                <w:szCs w:val="21"/>
                <w:vertAlign w:val="superscript"/>
              </w:rPr>
              <w:t>3</w:t>
            </w:r>
            <w:r>
              <w:rPr>
                <w:rFonts w:hint="default" w:ascii="Times New Roman" w:hAnsi="Times New Roman" w:cs="Times New Roman"/>
                <w:color w:val="auto"/>
                <w:spacing w:val="2"/>
                <w:kern w:val="2"/>
                <w:sz w:val="21"/>
                <w:szCs w:val="21"/>
              </w:rPr>
              <w:t>、乙苯50mg/m</w:t>
            </w:r>
            <w:r>
              <w:rPr>
                <w:rFonts w:hint="default" w:ascii="Times New Roman" w:hAnsi="Times New Roman" w:cs="Times New Roman"/>
                <w:color w:val="auto"/>
                <w:spacing w:val="2"/>
                <w:kern w:val="2"/>
                <w:sz w:val="21"/>
                <w:szCs w:val="21"/>
                <w:vertAlign w:val="superscript"/>
              </w:rPr>
              <w:t>3</w:t>
            </w:r>
            <w:r>
              <w:rPr>
                <w:rFonts w:hint="default" w:ascii="Times New Roman" w:hAnsi="Times New Roman" w:cs="Times New Roman"/>
                <w:color w:val="auto"/>
                <w:spacing w:val="2"/>
                <w:kern w:val="2"/>
                <w:sz w:val="21"/>
                <w:szCs w:val="21"/>
              </w:rPr>
              <w:t>、甲苯8mg/m</w:t>
            </w:r>
            <w:r>
              <w:rPr>
                <w:rFonts w:hint="default" w:ascii="Times New Roman" w:hAnsi="Times New Roman" w:cs="Times New Roman"/>
                <w:color w:val="auto"/>
                <w:spacing w:val="2"/>
                <w:kern w:val="2"/>
                <w:sz w:val="21"/>
                <w:szCs w:val="21"/>
                <w:vertAlign w:val="superscript"/>
              </w:rPr>
              <w:t>3</w:t>
            </w:r>
            <w:r>
              <w:rPr>
                <w:rFonts w:hint="default" w:ascii="Times New Roman" w:hAnsi="Times New Roman" w:cs="Times New Roman"/>
                <w:color w:val="auto"/>
                <w:spacing w:val="2"/>
                <w:kern w:val="2"/>
                <w:sz w:val="21"/>
                <w:szCs w:val="21"/>
              </w:rPr>
              <w:t>、1,3-丁二烯1mg/m</w:t>
            </w:r>
            <w:r>
              <w:rPr>
                <w:rFonts w:hint="default" w:ascii="Times New Roman" w:hAnsi="Times New Roman" w:cs="Times New Roman"/>
                <w:color w:val="auto"/>
                <w:spacing w:val="2"/>
                <w:kern w:val="2"/>
                <w:sz w:val="21"/>
                <w:szCs w:val="21"/>
                <w:vertAlign w:val="superscript"/>
              </w:rPr>
              <w:t>3</w:t>
            </w:r>
            <w:r>
              <w:rPr>
                <w:rFonts w:hint="default" w:ascii="Times New Roman" w:hAnsi="Times New Roman" w:cs="Times New Roman"/>
                <w:color w:val="auto"/>
                <w:spacing w:val="2"/>
                <w:kern w:val="2"/>
                <w:sz w:val="21"/>
                <w:szCs w:val="21"/>
              </w:rPr>
              <w:t>、颗粒物20mg/m</w:t>
            </w:r>
            <w:r>
              <w:rPr>
                <w:rFonts w:hint="default" w:ascii="Times New Roman" w:hAnsi="Times New Roman" w:cs="Times New Roman"/>
                <w:color w:val="auto"/>
                <w:spacing w:val="2"/>
                <w:kern w:val="2"/>
                <w:sz w:val="21"/>
                <w:szCs w:val="21"/>
                <w:vertAlign w:val="superscript"/>
              </w:rPr>
              <w:t>3</w:t>
            </w:r>
          </w:p>
        </w:tc>
      </w:tr>
      <w:tr w14:paraId="088036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16" w:type="pct"/>
            <w:vMerge w:val="continue"/>
            <w:tcBorders>
              <w:left w:val="single" w:color="auto" w:sz="4" w:space="0"/>
              <w:bottom w:val="single" w:color="auto" w:sz="4" w:space="0"/>
            </w:tcBorders>
            <w:vAlign w:val="center"/>
          </w:tcPr>
          <w:p w14:paraId="72ED2570">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866" w:type="pct"/>
            <w:gridSpan w:val="2"/>
            <w:tcBorders>
              <w:top w:val="single" w:color="auto" w:sz="4" w:space="0"/>
              <w:bottom w:val="single" w:color="auto" w:sz="4" w:space="0"/>
            </w:tcBorders>
            <w:vAlign w:val="center"/>
          </w:tcPr>
          <w:p w14:paraId="6B5E91B7">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厂房无组织</w:t>
            </w:r>
          </w:p>
        </w:tc>
        <w:tc>
          <w:tcPr>
            <w:tcW w:w="640" w:type="pct"/>
            <w:tcBorders>
              <w:top w:val="single" w:color="auto" w:sz="4" w:space="0"/>
              <w:bottom w:val="single" w:color="auto" w:sz="4" w:space="0"/>
            </w:tcBorders>
            <w:vAlign w:val="center"/>
          </w:tcPr>
          <w:p w14:paraId="39062308">
            <w:pPr>
              <w:spacing w:line="240" w:lineRule="auto"/>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非甲烷总烃</w:t>
            </w:r>
          </w:p>
        </w:tc>
        <w:tc>
          <w:tcPr>
            <w:tcW w:w="1622" w:type="pct"/>
            <w:gridSpan w:val="3"/>
            <w:tcBorders>
              <w:top w:val="single" w:color="auto" w:sz="4" w:space="0"/>
              <w:bottom w:val="single" w:color="auto" w:sz="4" w:space="0"/>
            </w:tcBorders>
            <w:vAlign w:val="center"/>
          </w:tcPr>
          <w:p w14:paraId="3533DC19">
            <w:pPr>
              <w:spacing w:line="240" w:lineRule="auto"/>
              <w:ind w:firstLine="0" w:firstLineChars="0"/>
              <w:jc w:val="left"/>
              <w:rPr>
                <w:rFonts w:hint="default" w:ascii="Times New Roman" w:hAnsi="Times New Roman" w:cs="Times New Roman"/>
                <w:bCs/>
                <w:color w:val="auto"/>
                <w:kern w:val="2"/>
                <w:sz w:val="21"/>
                <w:szCs w:val="21"/>
              </w:rPr>
            </w:pPr>
            <w:r>
              <w:rPr>
                <w:rFonts w:hint="default" w:ascii="Times New Roman" w:hAnsi="Times New Roman" w:cs="Times New Roman"/>
                <w:bCs/>
                <w:color w:val="auto"/>
                <w:kern w:val="2"/>
                <w:sz w:val="21"/>
                <w:szCs w:val="21"/>
              </w:rPr>
              <w:t>加强收集和通风</w:t>
            </w:r>
          </w:p>
        </w:tc>
        <w:tc>
          <w:tcPr>
            <w:tcW w:w="1455" w:type="pct"/>
            <w:gridSpan w:val="2"/>
            <w:tcBorders>
              <w:top w:val="single" w:color="auto" w:sz="4" w:space="0"/>
              <w:right w:val="single" w:color="auto" w:sz="4" w:space="0"/>
            </w:tcBorders>
            <w:vAlign w:val="center"/>
          </w:tcPr>
          <w:p w14:paraId="5E05650F">
            <w:pPr>
              <w:spacing w:line="240" w:lineRule="auto"/>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rPr>
              <w:t>《合成树脂工业污染物排放标准》（GB31572-2015）表9企业边界大气污染物浓度限值非甲烷总烃4.0</w:t>
            </w:r>
            <w:r>
              <w:rPr>
                <w:rFonts w:hint="default" w:ascii="Times New Roman" w:hAnsi="Times New Roman" w:cs="Times New Roman"/>
                <w:color w:val="auto"/>
                <w:spacing w:val="2"/>
                <w:kern w:val="2"/>
                <w:sz w:val="21"/>
                <w:szCs w:val="21"/>
              </w:rPr>
              <w:t>mg/m</w:t>
            </w:r>
            <w:r>
              <w:rPr>
                <w:rFonts w:hint="default" w:ascii="Times New Roman" w:hAnsi="Times New Roman" w:cs="Times New Roman"/>
                <w:color w:val="auto"/>
                <w:spacing w:val="2"/>
                <w:kern w:val="2"/>
                <w:sz w:val="21"/>
                <w:szCs w:val="21"/>
                <w:vertAlign w:val="superscript"/>
              </w:rPr>
              <w:t>3</w:t>
            </w:r>
            <w:r>
              <w:rPr>
                <w:rFonts w:hint="default" w:ascii="Times New Roman" w:hAnsi="Times New Roman" w:cs="Times New Roman"/>
                <w:color w:val="auto"/>
                <w:kern w:val="2"/>
                <w:sz w:val="21"/>
                <w:szCs w:val="21"/>
              </w:rPr>
              <w:t>。</w:t>
            </w:r>
          </w:p>
        </w:tc>
      </w:tr>
      <w:tr w14:paraId="2394CF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16" w:type="pct"/>
            <w:vMerge w:val="restart"/>
            <w:tcBorders>
              <w:top w:val="single" w:color="auto" w:sz="4" w:space="0"/>
              <w:left w:val="single" w:color="auto" w:sz="4" w:space="0"/>
            </w:tcBorders>
            <w:vAlign w:val="center"/>
          </w:tcPr>
          <w:p w14:paraId="58435A89">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地表水环境</w:t>
            </w:r>
          </w:p>
        </w:tc>
        <w:tc>
          <w:tcPr>
            <w:tcW w:w="866" w:type="pct"/>
            <w:gridSpan w:val="2"/>
            <w:tcBorders>
              <w:top w:val="single" w:color="auto" w:sz="4" w:space="0"/>
              <w:bottom w:val="single" w:color="auto" w:sz="4" w:space="0"/>
            </w:tcBorders>
            <w:vAlign w:val="center"/>
          </w:tcPr>
          <w:p w14:paraId="42404AB7">
            <w:pPr>
              <w:adjustRightInd w:val="0"/>
              <w:snapToGrid w:val="0"/>
              <w:spacing w:line="240" w:lineRule="auto"/>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生产废水</w:t>
            </w:r>
          </w:p>
        </w:tc>
        <w:tc>
          <w:tcPr>
            <w:tcW w:w="640" w:type="pct"/>
            <w:tcBorders>
              <w:top w:val="single" w:color="auto" w:sz="4" w:space="0"/>
              <w:bottom w:val="single" w:color="auto" w:sz="4" w:space="0"/>
            </w:tcBorders>
            <w:vAlign w:val="center"/>
          </w:tcPr>
          <w:p w14:paraId="2391E816">
            <w:pPr>
              <w:adjustRightInd w:val="0"/>
              <w:snapToGrid w:val="0"/>
              <w:spacing w:line="240" w:lineRule="auto"/>
              <w:ind w:firstLine="0" w:firstLineChars="0"/>
              <w:jc w:val="center"/>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u w:color="000000"/>
              </w:rPr>
              <w:t>COD、SS、苯乙烯、丙烯腈、甲苯、乙苯</w:t>
            </w:r>
          </w:p>
        </w:tc>
        <w:tc>
          <w:tcPr>
            <w:tcW w:w="1622" w:type="pct"/>
            <w:gridSpan w:val="3"/>
            <w:tcBorders>
              <w:top w:val="single" w:color="auto" w:sz="4" w:space="0"/>
              <w:bottom w:val="single" w:color="auto" w:sz="4" w:space="0"/>
            </w:tcBorders>
            <w:vAlign w:val="center"/>
          </w:tcPr>
          <w:p w14:paraId="2966F101">
            <w:pPr>
              <w:adjustRightInd w:val="0"/>
              <w:snapToGrid w:val="0"/>
              <w:spacing w:line="240" w:lineRule="auto"/>
              <w:ind w:firstLine="0" w:firstLineChars="0"/>
              <w:jc w:val="left"/>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本项目挤出机冷却废水需经过滤器预处理并冷却到常温达到《合成树脂工业污染物排放标准》（GB31572-2015（含2024年修改单））表2间接排放标准后与真空泵冷却废水、</w:t>
            </w:r>
            <w:r>
              <w:rPr>
                <w:rFonts w:hint="eastAsia" w:cs="Times New Roman"/>
                <w:color w:val="auto"/>
                <w:kern w:val="2"/>
                <w:sz w:val="21"/>
                <w:szCs w:val="21"/>
                <w:lang w:val="en-US" w:eastAsia="zh-CN" w:bidi="ar"/>
              </w:rPr>
              <w:t>碱</w:t>
            </w:r>
            <w:r>
              <w:rPr>
                <w:rFonts w:hint="default" w:ascii="Times New Roman" w:hAnsi="Times New Roman" w:cs="Times New Roman"/>
                <w:color w:val="auto"/>
                <w:kern w:val="2"/>
                <w:sz w:val="21"/>
                <w:szCs w:val="21"/>
                <w:lang w:bidi="ar"/>
              </w:rPr>
              <w:t>洗除雾废水</w:t>
            </w:r>
            <w:r>
              <w:rPr>
                <w:rFonts w:hint="eastAsia" w:cs="Times New Roman"/>
                <w:color w:val="auto"/>
                <w:kern w:val="2"/>
                <w:sz w:val="21"/>
                <w:szCs w:val="21"/>
                <w:lang w:eastAsia="zh-CN" w:bidi="ar"/>
              </w:rPr>
              <w:t>（</w:t>
            </w:r>
            <w:r>
              <w:rPr>
                <w:rFonts w:hint="eastAsia" w:cs="Times New Roman"/>
                <w:color w:val="auto"/>
                <w:kern w:val="2"/>
                <w:sz w:val="21"/>
                <w:szCs w:val="21"/>
                <w:lang w:val="en-US" w:eastAsia="zh-CN" w:bidi="ar"/>
              </w:rPr>
              <w:t>酸碱中和</w:t>
            </w:r>
            <w:r>
              <w:rPr>
                <w:rFonts w:hint="eastAsia" w:cs="Times New Roman"/>
                <w:color w:val="auto"/>
                <w:kern w:val="2"/>
                <w:sz w:val="21"/>
                <w:szCs w:val="21"/>
                <w:lang w:eastAsia="zh-CN" w:bidi="ar"/>
              </w:rPr>
              <w:t>）</w:t>
            </w:r>
            <w:r>
              <w:rPr>
                <w:rFonts w:hint="default" w:ascii="Times New Roman" w:hAnsi="Times New Roman" w:cs="Times New Roman"/>
                <w:color w:val="auto"/>
                <w:kern w:val="2"/>
                <w:sz w:val="21"/>
                <w:szCs w:val="21"/>
                <w:lang w:bidi="ar"/>
              </w:rPr>
              <w:t>合计约</w:t>
            </w:r>
            <w:r>
              <w:rPr>
                <w:rFonts w:hint="eastAsia" w:cs="Times New Roman"/>
                <w:color w:val="auto"/>
                <w:kern w:val="2"/>
                <w:sz w:val="21"/>
                <w:szCs w:val="21"/>
                <w:lang w:eastAsia="zh-CN" w:bidi="ar"/>
              </w:rPr>
              <w:t>3.15</w:t>
            </w:r>
            <w:r>
              <w:rPr>
                <w:rFonts w:hint="default" w:ascii="Times New Roman" w:hAnsi="Times New Roman" w:cs="Times New Roman"/>
                <w:color w:val="auto"/>
                <w:kern w:val="2"/>
                <w:sz w:val="21"/>
                <w:szCs w:val="21"/>
                <w:lang w:bidi="ar"/>
              </w:rPr>
              <w:t>m</w:t>
            </w:r>
            <w:r>
              <w:rPr>
                <w:rFonts w:hint="default" w:ascii="Times New Roman" w:hAnsi="Times New Roman" w:cs="Times New Roman"/>
                <w:color w:val="auto"/>
                <w:kern w:val="2"/>
                <w:sz w:val="21"/>
                <w:szCs w:val="21"/>
                <w:vertAlign w:val="superscript"/>
                <w:lang w:bidi="ar"/>
              </w:rPr>
              <w:t>3</w:t>
            </w:r>
            <w:r>
              <w:rPr>
                <w:rFonts w:hint="default" w:ascii="Times New Roman" w:hAnsi="Times New Roman" w:cs="Times New Roman"/>
                <w:color w:val="auto"/>
                <w:kern w:val="2"/>
                <w:sz w:val="21"/>
                <w:szCs w:val="21"/>
                <w:lang w:bidi="ar"/>
              </w:rPr>
              <w:t>/d进入中铁二局集团物资有限公司重庆分公司已建生化池处理达《污水综合排放标准》（GB8978-1996）三级标准（其中NH</w:t>
            </w:r>
            <w:r>
              <w:rPr>
                <w:rFonts w:hint="default" w:ascii="Times New Roman" w:hAnsi="Times New Roman" w:cs="Times New Roman"/>
                <w:color w:val="auto"/>
                <w:kern w:val="2"/>
                <w:sz w:val="21"/>
                <w:szCs w:val="21"/>
                <w:vertAlign w:val="subscript"/>
                <w:lang w:bidi="ar"/>
              </w:rPr>
              <w:t>3</w:t>
            </w:r>
            <w:r>
              <w:rPr>
                <w:rFonts w:hint="default" w:ascii="Times New Roman" w:hAnsi="Times New Roman" w:cs="Times New Roman"/>
                <w:color w:val="auto"/>
                <w:kern w:val="2"/>
                <w:sz w:val="21"/>
                <w:szCs w:val="21"/>
                <w:lang w:bidi="ar"/>
              </w:rPr>
              <w:t>-N执行《污水排入城镇下水道水质标准》（GB/T31962-2015）B等级标准），排入陶家工业污水处理厂，进一步处理达《城镇污水处理厂污染物排放标准》（GB18918-2002）一级A标，其中COD、NH</w:t>
            </w:r>
            <w:r>
              <w:rPr>
                <w:rFonts w:hint="default" w:ascii="Times New Roman" w:hAnsi="Times New Roman" w:cs="Times New Roman"/>
                <w:color w:val="auto"/>
                <w:kern w:val="2"/>
                <w:sz w:val="21"/>
                <w:szCs w:val="21"/>
                <w:vertAlign w:val="subscript"/>
                <w:lang w:bidi="ar"/>
              </w:rPr>
              <w:t>3</w:t>
            </w:r>
            <w:r>
              <w:rPr>
                <w:rFonts w:hint="default" w:ascii="Times New Roman" w:hAnsi="Times New Roman" w:cs="Times New Roman"/>
                <w:color w:val="auto"/>
                <w:kern w:val="2"/>
                <w:sz w:val="21"/>
                <w:szCs w:val="21"/>
                <w:lang w:bidi="ar"/>
              </w:rPr>
              <w:t>-N、TP等主要指标达《地表水环境质量标准》（GB3838-2002）IV类标准后，排入杨柳曲河，再汇入大溪河</w:t>
            </w:r>
          </w:p>
        </w:tc>
        <w:tc>
          <w:tcPr>
            <w:tcW w:w="1455" w:type="pct"/>
            <w:gridSpan w:val="2"/>
            <w:tcBorders>
              <w:top w:val="single" w:color="auto" w:sz="4" w:space="0"/>
              <w:right w:val="single" w:color="auto" w:sz="4" w:space="0"/>
            </w:tcBorders>
            <w:vAlign w:val="center"/>
          </w:tcPr>
          <w:p w14:paraId="64B419EC">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污水综合排放标准》（GB8978-1996）三级标准，COD500mg/L、SS400mg/L；验收时需对《合成树脂工业污染物排放标准》（GB31572-2015（含2024年修改单））中苯乙烯0.2mg/L、丙烯腈2.0mg/L、甲苯0.1mg/L、乙苯0.4mg/L、双酚A0.1mg/L进行对标验收监测；《城镇污水处理厂污染物排放标准》（GB18918-2002）一级A标，其中COD、NH</w:t>
            </w:r>
            <w:r>
              <w:rPr>
                <w:rFonts w:hint="default" w:ascii="Times New Roman" w:hAnsi="Times New Roman" w:cs="Times New Roman"/>
                <w:color w:val="auto"/>
                <w:kern w:val="2"/>
                <w:sz w:val="21"/>
                <w:szCs w:val="21"/>
                <w:vertAlign w:val="subscript"/>
              </w:rPr>
              <w:t>3</w:t>
            </w:r>
            <w:r>
              <w:rPr>
                <w:rFonts w:hint="default" w:ascii="Times New Roman" w:hAnsi="Times New Roman" w:cs="Times New Roman"/>
                <w:color w:val="auto"/>
                <w:kern w:val="2"/>
                <w:sz w:val="21"/>
                <w:szCs w:val="21"/>
              </w:rPr>
              <w:t>-N、TP等主要指标达《地表水环境质量标准》（GB3838-2002）IV类标准</w:t>
            </w:r>
          </w:p>
        </w:tc>
      </w:tr>
      <w:tr w14:paraId="26C9CD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16" w:type="pct"/>
            <w:vMerge w:val="continue"/>
            <w:tcBorders>
              <w:left w:val="single" w:color="auto" w:sz="4" w:space="0"/>
            </w:tcBorders>
            <w:vAlign w:val="center"/>
          </w:tcPr>
          <w:p w14:paraId="34DA4FAC">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866" w:type="pct"/>
            <w:gridSpan w:val="2"/>
            <w:tcBorders>
              <w:top w:val="single" w:color="auto" w:sz="4" w:space="0"/>
              <w:bottom w:val="single" w:color="auto" w:sz="4" w:space="0"/>
            </w:tcBorders>
            <w:vAlign w:val="center"/>
          </w:tcPr>
          <w:p w14:paraId="5B4F4846">
            <w:pPr>
              <w:adjustRightInd w:val="0"/>
              <w:snapToGrid w:val="0"/>
              <w:spacing w:line="240" w:lineRule="auto"/>
              <w:ind w:firstLine="0" w:firstLineChars="0"/>
              <w:jc w:val="center"/>
              <w:rPr>
                <w:rFonts w:hint="default" w:ascii="Times New Roman" w:hAnsi="Times New Roman" w:cs="Times New Roman"/>
                <w:color w:val="auto"/>
                <w:kern w:val="2"/>
                <w:sz w:val="21"/>
                <w:szCs w:val="21"/>
                <w:lang w:bidi="ar"/>
              </w:rPr>
            </w:pPr>
            <w:r>
              <w:rPr>
                <w:rFonts w:hint="default" w:ascii="Times New Roman" w:hAnsi="Times New Roman" w:cs="Times New Roman"/>
                <w:color w:val="auto"/>
                <w:kern w:val="2"/>
                <w:sz w:val="21"/>
                <w:szCs w:val="21"/>
                <w:lang w:bidi="ar"/>
              </w:rPr>
              <w:t>生活污水</w:t>
            </w:r>
          </w:p>
        </w:tc>
        <w:tc>
          <w:tcPr>
            <w:tcW w:w="640" w:type="pct"/>
            <w:tcBorders>
              <w:top w:val="single" w:color="auto" w:sz="4" w:space="0"/>
              <w:bottom w:val="single" w:color="auto" w:sz="4" w:space="0"/>
            </w:tcBorders>
            <w:vAlign w:val="center"/>
          </w:tcPr>
          <w:p w14:paraId="21EBD44E">
            <w:pPr>
              <w:adjustRightInd w:val="0"/>
              <w:snapToGrid w:val="0"/>
              <w:spacing w:line="240" w:lineRule="auto"/>
              <w:ind w:firstLine="0" w:firstLineChars="0"/>
              <w:jc w:val="center"/>
              <w:rPr>
                <w:rFonts w:hint="default" w:ascii="Times New Roman" w:hAnsi="Times New Roman" w:cs="Times New Roman"/>
                <w:color w:val="auto"/>
                <w:kern w:val="2"/>
                <w:sz w:val="21"/>
                <w:szCs w:val="21"/>
                <w:u w:color="000000"/>
              </w:rPr>
            </w:pPr>
            <w:r>
              <w:rPr>
                <w:rFonts w:hint="default" w:ascii="Times New Roman" w:hAnsi="Times New Roman" w:cs="Times New Roman"/>
                <w:color w:val="auto"/>
                <w:kern w:val="2"/>
                <w:sz w:val="21"/>
                <w:szCs w:val="21"/>
                <w:u w:color="000000"/>
              </w:rPr>
              <w:t>COD、BOD</w:t>
            </w:r>
            <w:r>
              <w:rPr>
                <w:rFonts w:hint="default" w:ascii="Times New Roman" w:hAnsi="Times New Roman" w:cs="Times New Roman"/>
                <w:color w:val="auto"/>
                <w:kern w:val="2"/>
                <w:sz w:val="21"/>
                <w:szCs w:val="21"/>
                <w:u w:color="000000"/>
                <w:vertAlign w:val="subscript"/>
              </w:rPr>
              <w:t>5</w:t>
            </w:r>
            <w:r>
              <w:rPr>
                <w:rFonts w:hint="default" w:ascii="Times New Roman" w:hAnsi="Times New Roman" w:cs="Times New Roman"/>
                <w:color w:val="auto"/>
                <w:kern w:val="2"/>
                <w:sz w:val="21"/>
                <w:szCs w:val="21"/>
                <w:u w:color="000000"/>
              </w:rPr>
              <w:t>、SS、氨氮</w:t>
            </w:r>
          </w:p>
        </w:tc>
        <w:tc>
          <w:tcPr>
            <w:tcW w:w="1622" w:type="pct"/>
            <w:gridSpan w:val="3"/>
            <w:tcBorders>
              <w:top w:val="single" w:color="auto" w:sz="4" w:space="0"/>
              <w:bottom w:val="single" w:color="auto" w:sz="4" w:space="0"/>
            </w:tcBorders>
            <w:vAlign w:val="center"/>
          </w:tcPr>
          <w:p w14:paraId="1251F1BA">
            <w:pPr>
              <w:adjustRightInd w:val="0"/>
              <w:snapToGrid w:val="0"/>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0.72m</w:t>
            </w:r>
            <w:r>
              <w:rPr>
                <w:rFonts w:hint="default" w:ascii="Times New Roman" w:hAnsi="Times New Roman" w:cs="Times New Roman"/>
                <w:color w:val="auto"/>
                <w:kern w:val="2"/>
                <w:sz w:val="21"/>
                <w:szCs w:val="21"/>
                <w:vertAlign w:val="superscript"/>
              </w:rPr>
              <w:t>3</w:t>
            </w:r>
            <w:r>
              <w:rPr>
                <w:rFonts w:hint="default" w:ascii="Times New Roman" w:hAnsi="Times New Roman" w:cs="Times New Roman"/>
                <w:color w:val="auto"/>
                <w:kern w:val="2"/>
                <w:sz w:val="21"/>
                <w:szCs w:val="21"/>
              </w:rPr>
              <w:t>/d生活污水全部进入中铁二局集团物资有限公司重庆分公司已建生化池处理达《污水综合排放标准》（GB8978-1996）三级标准（其中NH</w:t>
            </w:r>
            <w:r>
              <w:rPr>
                <w:rFonts w:hint="default" w:ascii="Times New Roman" w:hAnsi="Times New Roman" w:cs="Times New Roman"/>
                <w:color w:val="auto"/>
                <w:kern w:val="2"/>
                <w:sz w:val="21"/>
                <w:szCs w:val="21"/>
                <w:vertAlign w:val="subscript"/>
              </w:rPr>
              <w:t>3</w:t>
            </w:r>
            <w:r>
              <w:rPr>
                <w:rFonts w:hint="default" w:ascii="Times New Roman" w:hAnsi="Times New Roman" w:cs="Times New Roman"/>
                <w:color w:val="auto"/>
                <w:kern w:val="2"/>
                <w:sz w:val="21"/>
                <w:szCs w:val="21"/>
              </w:rPr>
              <w:t>-N执行《污水排入城镇下水道水质标准》（GB/T31962-2015）B等级标准），排入陶家工业污水处理厂，进一步处理达《城镇污水处理厂污染物排放标准》（GB18918-2002）一级A标，其中COD、NH</w:t>
            </w:r>
            <w:r>
              <w:rPr>
                <w:rFonts w:hint="default" w:ascii="Times New Roman" w:hAnsi="Times New Roman" w:cs="Times New Roman"/>
                <w:color w:val="auto"/>
                <w:kern w:val="2"/>
                <w:sz w:val="21"/>
                <w:szCs w:val="21"/>
                <w:vertAlign w:val="subscript"/>
              </w:rPr>
              <w:t>3</w:t>
            </w:r>
            <w:r>
              <w:rPr>
                <w:rFonts w:hint="default" w:ascii="Times New Roman" w:hAnsi="Times New Roman" w:cs="Times New Roman"/>
                <w:color w:val="auto"/>
                <w:kern w:val="2"/>
                <w:sz w:val="21"/>
                <w:szCs w:val="21"/>
              </w:rPr>
              <w:t>-N、TP等主要指标达《地表水环境质量标准》（GB3838-2002）IV类标准后，排入杨柳曲河，再汇入大溪河</w:t>
            </w:r>
          </w:p>
        </w:tc>
        <w:tc>
          <w:tcPr>
            <w:tcW w:w="1455" w:type="pct"/>
            <w:gridSpan w:val="2"/>
            <w:tcBorders>
              <w:top w:val="single" w:color="auto" w:sz="4" w:space="0"/>
              <w:right w:val="single" w:color="auto" w:sz="4" w:space="0"/>
            </w:tcBorders>
            <w:vAlign w:val="center"/>
          </w:tcPr>
          <w:p w14:paraId="6E3927B7">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《污水综合排放标准》（GB8978-1996）三级标准，COD500mg/L、BOD</w:t>
            </w:r>
            <w:r>
              <w:rPr>
                <w:rFonts w:hint="default" w:ascii="Times New Roman" w:hAnsi="Times New Roman" w:cs="Times New Roman"/>
                <w:color w:val="auto"/>
                <w:kern w:val="2"/>
                <w:sz w:val="21"/>
                <w:szCs w:val="21"/>
                <w:vertAlign w:val="subscript"/>
              </w:rPr>
              <w:t>5</w:t>
            </w:r>
            <w:r>
              <w:rPr>
                <w:rFonts w:hint="default" w:ascii="Times New Roman" w:hAnsi="Times New Roman" w:cs="Times New Roman"/>
                <w:color w:val="auto"/>
                <w:kern w:val="2"/>
                <w:sz w:val="21"/>
                <w:szCs w:val="21"/>
              </w:rPr>
              <w:t>300mg/L、SS400mg/L、氨氮45mg/L；《城镇污水处理厂污染物排放标准》（GB18918-2002）一级A标，其中COD、NH</w:t>
            </w:r>
            <w:r>
              <w:rPr>
                <w:rFonts w:hint="default" w:ascii="Times New Roman" w:hAnsi="Times New Roman" w:cs="Times New Roman"/>
                <w:color w:val="auto"/>
                <w:kern w:val="2"/>
                <w:sz w:val="21"/>
                <w:szCs w:val="21"/>
                <w:vertAlign w:val="subscript"/>
              </w:rPr>
              <w:t>3</w:t>
            </w:r>
            <w:r>
              <w:rPr>
                <w:rFonts w:hint="default" w:ascii="Times New Roman" w:hAnsi="Times New Roman" w:cs="Times New Roman"/>
                <w:color w:val="auto"/>
                <w:kern w:val="2"/>
                <w:sz w:val="21"/>
                <w:szCs w:val="21"/>
              </w:rPr>
              <w:t>-N、TP等主要指标达《地表水环境质量标准》（GB3838-2002）IV类标准</w:t>
            </w:r>
          </w:p>
        </w:tc>
      </w:tr>
      <w:tr w14:paraId="4072D7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16" w:type="pct"/>
            <w:tcBorders>
              <w:top w:val="single" w:color="auto" w:sz="4" w:space="0"/>
              <w:left w:val="single" w:color="auto" w:sz="4" w:space="0"/>
              <w:bottom w:val="single" w:color="auto" w:sz="4" w:space="0"/>
            </w:tcBorders>
            <w:vAlign w:val="center"/>
          </w:tcPr>
          <w:p w14:paraId="76E7F2F1">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声环境</w:t>
            </w:r>
          </w:p>
        </w:tc>
        <w:tc>
          <w:tcPr>
            <w:tcW w:w="866" w:type="pct"/>
            <w:gridSpan w:val="2"/>
            <w:tcBorders>
              <w:top w:val="single" w:color="auto" w:sz="4" w:space="0"/>
              <w:bottom w:val="single" w:color="auto" w:sz="4" w:space="0"/>
            </w:tcBorders>
            <w:vAlign w:val="center"/>
          </w:tcPr>
          <w:p w14:paraId="3989BD25">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bCs/>
                <w:color w:val="auto"/>
                <w:kern w:val="2"/>
                <w:sz w:val="21"/>
                <w:szCs w:val="21"/>
              </w:rPr>
              <w:t>挤出机、立式拌料机、混料机、切料机、真空处理器、破碎机、真空吸料机、均化料仓、吨袋装袋机、自动缠绕膜、布袋除尘器风机、二级活性炭吸附处理风机、空压机、冷却塔</w:t>
            </w:r>
          </w:p>
        </w:tc>
        <w:tc>
          <w:tcPr>
            <w:tcW w:w="640" w:type="pct"/>
            <w:tcBorders>
              <w:top w:val="single" w:color="auto" w:sz="4" w:space="0"/>
              <w:bottom w:val="single" w:color="auto" w:sz="4" w:space="0"/>
            </w:tcBorders>
            <w:vAlign w:val="center"/>
          </w:tcPr>
          <w:p w14:paraId="1553149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噪声</w:t>
            </w:r>
          </w:p>
        </w:tc>
        <w:tc>
          <w:tcPr>
            <w:tcW w:w="1622" w:type="pct"/>
            <w:gridSpan w:val="3"/>
            <w:tcBorders>
              <w:top w:val="single" w:color="auto" w:sz="4" w:space="0"/>
              <w:bottom w:val="single" w:color="auto" w:sz="4" w:space="0"/>
            </w:tcBorders>
            <w:vAlign w:val="center"/>
          </w:tcPr>
          <w:p w14:paraId="11E94968">
            <w:pPr>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隔声、消声、减振</w:t>
            </w:r>
          </w:p>
        </w:tc>
        <w:tc>
          <w:tcPr>
            <w:tcW w:w="1455" w:type="pct"/>
            <w:gridSpan w:val="2"/>
            <w:tcBorders>
              <w:top w:val="single" w:color="auto" w:sz="4" w:space="0"/>
              <w:bottom w:val="single" w:color="auto" w:sz="4" w:space="0"/>
              <w:right w:val="single" w:color="auto" w:sz="4" w:space="0"/>
            </w:tcBorders>
            <w:vAlign w:val="center"/>
          </w:tcPr>
          <w:p w14:paraId="2E03105A">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《工业企业厂界环境噪声排放标准》(GB12348-2008)3类标准</w:t>
            </w:r>
          </w:p>
        </w:tc>
      </w:tr>
      <w:tr w14:paraId="301F7F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416" w:type="pct"/>
            <w:vMerge w:val="restart"/>
            <w:tcBorders>
              <w:top w:val="single" w:color="auto" w:sz="4" w:space="0"/>
              <w:left w:val="single" w:color="auto" w:sz="4" w:space="0"/>
              <w:right w:val="single" w:color="auto" w:sz="4" w:space="0"/>
            </w:tcBorders>
            <w:vAlign w:val="center"/>
          </w:tcPr>
          <w:p w14:paraId="63D113B9">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固体废物</w:t>
            </w:r>
          </w:p>
        </w:tc>
        <w:tc>
          <w:tcPr>
            <w:tcW w:w="4583" w:type="pct"/>
            <w:gridSpan w:val="8"/>
            <w:tcBorders>
              <w:top w:val="single" w:color="auto" w:sz="4" w:space="0"/>
              <w:left w:val="single" w:color="auto" w:sz="4" w:space="0"/>
              <w:bottom w:val="single" w:color="auto" w:sz="4" w:space="0"/>
              <w:right w:val="single" w:color="auto" w:sz="4" w:space="0"/>
            </w:tcBorders>
            <w:vAlign w:val="center"/>
          </w:tcPr>
          <w:p w14:paraId="4E1CC796">
            <w:pPr>
              <w:tabs>
                <w:tab w:val="left" w:pos="3441"/>
              </w:tabs>
              <w:topLinePunct/>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危废贮存库：设置在厂房1层南侧，建筑面积</w:t>
            </w:r>
            <w:r>
              <w:rPr>
                <w:rFonts w:hint="eastAsia" w:cs="Times New Roman"/>
                <w:color w:val="auto"/>
                <w:kern w:val="2"/>
                <w:sz w:val="21"/>
                <w:szCs w:val="21"/>
                <w:lang w:val="en-US" w:eastAsia="zh-CN"/>
              </w:rPr>
              <w:t>20</w:t>
            </w:r>
            <w:r>
              <w:rPr>
                <w:rFonts w:hint="default" w:ascii="Times New Roman" w:hAnsi="Times New Roman" w:cs="Times New Roman"/>
                <w:color w:val="auto"/>
                <w:kern w:val="2"/>
                <w:sz w:val="21"/>
                <w:szCs w:val="21"/>
              </w:rPr>
              <w:t>m</w:t>
            </w:r>
            <w:r>
              <w:rPr>
                <w:rFonts w:hint="default" w:ascii="Times New Roman" w:hAnsi="Times New Roman" w:cs="Times New Roman"/>
                <w:color w:val="auto"/>
                <w:kern w:val="2"/>
                <w:sz w:val="21"/>
                <w:szCs w:val="21"/>
                <w:vertAlign w:val="superscript"/>
              </w:rPr>
              <w:t>2</w:t>
            </w:r>
            <w:r>
              <w:rPr>
                <w:rFonts w:hint="default" w:ascii="Times New Roman" w:hAnsi="Times New Roman" w:cs="Times New Roman"/>
                <w:color w:val="auto"/>
                <w:kern w:val="2"/>
                <w:sz w:val="21"/>
                <w:szCs w:val="21"/>
              </w:rPr>
              <w:t>。</w:t>
            </w:r>
          </w:p>
          <w:p w14:paraId="58F1EDCD">
            <w:pPr>
              <w:tabs>
                <w:tab w:val="left" w:pos="3441"/>
              </w:tabs>
              <w:topLinePunct/>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一般工业固废：设置在厂房1层南侧，面积约</w:t>
            </w:r>
            <w:r>
              <w:rPr>
                <w:rFonts w:hint="eastAsia" w:cs="Times New Roman"/>
                <w:color w:val="auto"/>
                <w:kern w:val="2"/>
                <w:sz w:val="21"/>
                <w:szCs w:val="21"/>
                <w:lang w:val="en-US" w:eastAsia="zh-CN"/>
              </w:rPr>
              <w:t>2</w:t>
            </w:r>
            <w:r>
              <w:rPr>
                <w:rFonts w:hint="default" w:ascii="Times New Roman" w:hAnsi="Times New Roman" w:cs="Times New Roman"/>
                <w:color w:val="auto"/>
                <w:kern w:val="2"/>
                <w:sz w:val="21"/>
                <w:szCs w:val="21"/>
              </w:rPr>
              <w:t>9m</w:t>
            </w:r>
            <w:r>
              <w:rPr>
                <w:rFonts w:hint="default" w:ascii="Times New Roman" w:hAnsi="Times New Roman" w:cs="Times New Roman"/>
                <w:color w:val="auto"/>
                <w:kern w:val="2"/>
                <w:sz w:val="21"/>
                <w:szCs w:val="21"/>
                <w:vertAlign w:val="superscript"/>
              </w:rPr>
              <w:t>2</w:t>
            </w:r>
            <w:r>
              <w:rPr>
                <w:rFonts w:hint="default" w:ascii="Times New Roman" w:hAnsi="Times New Roman" w:cs="Times New Roman"/>
                <w:color w:val="auto"/>
                <w:kern w:val="2"/>
                <w:sz w:val="21"/>
                <w:szCs w:val="21"/>
              </w:rPr>
              <w:t>。</w:t>
            </w:r>
          </w:p>
          <w:p w14:paraId="6DBFC8E5">
            <w:pPr>
              <w:adjustRightInd w:val="0"/>
              <w:snapToGrid w:val="0"/>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建设单位应当建立健全固体废物产生、收集、贮存、运输、利用、处置全过程的污染环境防治责任制度，建立固体废物管理台账，如实记录产生固体废物的种类、数量、流向、贮存、利用、处置等信息，实现固体废物可追溯、可查询，并采取防治工业固体废物污染环境的措施；</w:t>
            </w:r>
          </w:p>
          <w:p w14:paraId="5FCDEB17">
            <w:pPr>
              <w:adjustRightInd w:val="0"/>
              <w:snapToGrid w:val="0"/>
              <w:spacing w:line="240" w:lineRule="auto"/>
              <w:ind w:firstLine="0" w:firstLineChars="0"/>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建设单位应当按照国家有关规定制定危险废物管理计划；建立危险废物管理台账，如实记录有关信息，并通过国家危险废物信息管理系统向所在地生态环境主管部门申报危险废物的种类、产生量、流向、贮存、处置等有关资料。</w:t>
            </w:r>
          </w:p>
        </w:tc>
      </w:tr>
      <w:tr w14:paraId="3DC550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16" w:type="pct"/>
            <w:vMerge w:val="continue"/>
            <w:tcBorders>
              <w:left w:val="single" w:color="auto" w:sz="4" w:space="0"/>
              <w:right w:val="single" w:color="auto" w:sz="4" w:space="0"/>
            </w:tcBorders>
            <w:vAlign w:val="center"/>
          </w:tcPr>
          <w:p w14:paraId="028043F4">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630" w:type="pct"/>
            <w:vMerge w:val="restart"/>
            <w:tcBorders>
              <w:top w:val="single" w:color="auto" w:sz="4" w:space="0"/>
              <w:left w:val="single" w:color="auto" w:sz="4" w:space="0"/>
              <w:right w:val="single" w:color="auto" w:sz="4" w:space="0"/>
            </w:tcBorders>
            <w:vAlign w:val="center"/>
          </w:tcPr>
          <w:p w14:paraId="7FFF3491">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危险废物</w:t>
            </w:r>
          </w:p>
        </w:tc>
        <w:tc>
          <w:tcPr>
            <w:tcW w:w="1195" w:type="pct"/>
            <w:gridSpan w:val="3"/>
            <w:tcBorders>
              <w:top w:val="single" w:color="auto" w:sz="4" w:space="0"/>
              <w:left w:val="single" w:color="auto" w:sz="4" w:space="0"/>
              <w:bottom w:val="single" w:color="auto" w:sz="4" w:space="0"/>
              <w:right w:val="single" w:color="auto" w:sz="4" w:space="0"/>
            </w:tcBorders>
            <w:vAlign w:val="center"/>
          </w:tcPr>
          <w:p w14:paraId="7E4F3BED">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废润滑油</w:t>
            </w:r>
          </w:p>
        </w:tc>
        <w:tc>
          <w:tcPr>
            <w:tcW w:w="913" w:type="pct"/>
            <w:tcBorders>
              <w:top w:val="single" w:color="auto" w:sz="4" w:space="0"/>
              <w:left w:val="single" w:color="auto" w:sz="4" w:space="0"/>
              <w:bottom w:val="single" w:color="auto" w:sz="4" w:space="0"/>
              <w:right w:val="single" w:color="auto" w:sz="4" w:space="0"/>
            </w:tcBorders>
            <w:vAlign w:val="center"/>
          </w:tcPr>
          <w:p w14:paraId="238FA79C">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900-217-08</w:t>
            </w:r>
          </w:p>
        </w:tc>
        <w:tc>
          <w:tcPr>
            <w:tcW w:w="913" w:type="pct"/>
            <w:gridSpan w:val="2"/>
            <w:tcBorders>
              <w:top w:val="single" w:color="auto" w:sz="4" w:space="0"/>
              <w:left w:val="single" w:color="auto" w:sz="4" w:space="0"/>
              <w:bottom w:val="single" w:color="auto" w:sz="4" w:space="0"/>
              <w:right w:val="single" w:color="auto" w:sz="4" w:space="0"/>
            </w:tcBorders>
            <w:vAlign w:val="center"/>
          </w:tcPr>
          <w:p w14:paraId="34BBA3F5">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0.35t/a</w:t>
            </w:r>
          </w:p>
        </w:tc>
        <w:tc>
          <w:tcPr>
            <w:tcW w:w="931" w:type="pct"/>
            <w:vMerge w:val="restart"/>
            <w:tcBorders>
              <w:top w:val="single" w:color="auto" w:sz="4" w:space="0"/>
              <w:left w:val="single" w:color="auto" w:sz="4" w:space="0"/>
              <w:right w:val="single" w:color="auto" w:sz="4" w:space="0"/>
            </w:tcBorders>
            <w:vAlign w:val="center"/>
          </w:tcPr>
          <w:p w14:paraId="0793A888">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暂存于危废贮存库，交有资质单位收集处置</w:t>
            </w:r>
          </w:p>
        </w:tc>
      </w:tr>
      <w:tr w14:paraId="152E84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16" w:type="pct"/>
            <w:vMerge w:val="continue"/>
            <w:tcBorders>
              <w:left w:val="single" w:color="auto" w:sz="4" w:space="0"/>
              <w:right w:val="single" w:color="auto" w:sz="4" w:space="0"/>
            </w:tcBorders>
            <w:vAlign w:val="center"/>
          </w:tcPr>
          <w:p w14:paraId="40BA7853">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630" w:type="pct"/>
            <w:vMerge w:val="continue"/>
            <w:tcBorders>
              <w:left w:val="single" w:color="auto" w:sz="4" w:space="0"/>
              <w:right w:val="single" w:color="auto" w:sz="4" w:space="0"/>
            </w:tcBorders>
            <w:vAlign w:val="center"/>
          </w:tcPr>
          <w:p w14:paraId="329670F3">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1195" w:type="pct"/>
            <w:gridSpan w:val="3"/>
            <w:tcBorders>
              <w:top w:val="single" w:color="auto" w:sz="4" w:space="0"/>
              <w:left w:val="single" w:color="auto" w:sz="4" w:space="0"/>
              <w:bottom w:val="single" w:color="auto" w:sz="4" w:space="0"/>
              <w:right w:val="single" w:color="auto" w:sz="4" w:space="0"/>
            </w:tcBorders>
            <w:vAlign w:val="center"/>
          </w:tcPr>
          <w:p w14:paraId="3316934B">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废油桶</w:t>
            </w:r>
          </w:p>
        </w:tc>
        <w:tc>
          <w:tcPr>
            <w:tcW w:w="913" w:type="pct"/>
            <w:tcBorders>
              <w:top w:val="single" w:color="auto" w:sz="4" w:space="0"/>
              <w:left w:val="single" w:color="auto" w:sz="4" w:space="0"/>
              <w:bottom w:val="single" w:color="auto" w:sz="4" w:space="0"/>
              <w:right w:val="single" w:color="auto" w:sz="4" w:space="0"/>
            </w:tcBorders>
            <w:vAlign w:val="center"/>
          </w:tcPr>
          <w:p w14:paraId="616D567B">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900-249-08</w:t>
            </w:r>
          </w:p>
        </w:tc>
        <w:tc>
          <w:tcPr>
            <w:tcW w:w="913" w:type="pct"/>
            <w:gridSpan w:val="2"/>
            <w:tcBorders>
              <w:top w:val="single" w:color="auto" w:sz="4" w:space="0"/>
              <w:left w:val="single" w:color="auto" w:sz="4" w:space="0"/>
              <w:bottom w:val="single" w:color="auto" w:sz="4" w:space="0"/>
              <w:right w:val="single" w:color="auto" w:sz="4" w:space="0"/>
            </w:tcBorders>
            <w:vAlign w:val="center"/>
          </w:tcPr>
          <w:p w14:paraId="5D2F452C">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0.06t/a</w:t>
            </w:r>
          </w:p>
        </w:tc>
        <w:tc>
          <w:tcPr>
            <w:tcW w:w="931" w:type="pct"/>
            <w:vMerge w:val="continue"/>
            <w:tcBorders>
              <w:left w:val="single" w:color="auto" w:sz="4" w:space="0"/>
              <w:right w:val="single" w:color="auto" w:sz="4" w:space="0"/>
            </w:tcBorders>
            <w:vAlign w:val="center"/>
          </w:tcPr>
          <w:p w14:paraId="4C7D2A7E">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r>
      <w:tr w14:paraId="200F7C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16" w:type="pct"/>
            <w:vMerge w:val="continue"/>
            <w:tcBorders>
              <w:left w:val="single" w:color="auto" w:sz="4" w:space="0"/>
              <w:right w:val="single" w:color="auto" w:sz="4" w:space="0"/>
            </w:tcBorders>
            <w:vAlign w:val="center"/>
          </w:tcPr>
          <w:p w14:paraId="4E700410">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630" w:type="pct"/>
            <w:vMerge w:val="continue"/>
            <w:tcBorders>
              <w:left w:val="single" w:color="auto" w:sz="4" w:space="0"/>
              <w:right w:val="single" w:color="auto" w:sz="4" w:space="0"/>
            </w:tcBorders>
            <w:vAlign w:val="center"/>
          </w:tcPr>
          <w:p w14:paraId="2FBE095E">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1195" w:type="pct"/>
            <w:gridSpan w:val="3"/>
            <w:tcBorders>
              <w:top w:val="single" w:color="auto" w:sz="4" w:space="0"/>
              <w:left w:val="single" w:color="auto" w:sz="4" w:space="0"/>
              <w:bottom w:val="single" w:color="auto" w:sz="4" w:space="0"/>
              <w:right w:val="single" w:color="auto" w:sz="4" w:space="0"/>
            </w:tcBorders>
            <w:vAlign w:val="center"/>
          </w:tcPr>
          <w:p w14:paraId="25E3C9EC">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废含油抹布/劳保用品</w:t>
            </w:r>
          </w:p>
        </w:tc>
        <w:tc>
          <w:tcPr>
            <w:tcW w:w="913" w:type="pct"/>
            <w:tcBorders>
              <w:top w:val="single" w:color="auto" w:sz="4" w:space="0"/>
              <w:left w:val="single" w:color="auto" w:sz="4" w:space="0"/>
              <w:bottom w:val="single" w:color="auto" w:sz="4" w:space="0"/>
              <w:right w:val="single" w:color="auto" w:sz="4" w:space="0"/>
            </w:tcBorders>
            <w:vAlign w:val="center"/>
          </w:tcPr>
          <w:p w14:paraId="0ED7E861">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900-041-49</w:t>
            </w:r>
          </w:p>
        </w:tc>
        <w:tc>
          <w:tcPr>
            <w:tcW w:w="913" w:type="pct"/>
            <w:gridSpan w:val="2"/>
            <w:tcBorders>
              <w:top w:val="single" w:color="auto" w:sz="4" w:space="0"/>
              <w:left w:val="single" w:color="auto" w:sz="4" w:space="0"/>
              <w:bottom w:val="single" w:color="auto" w:sz="4" w:space="0"/>
              <w:right w:val="single" w:color="auto" w:sz="4" w:space="0"/>
            </w:tcBorders>
            <w:vAlign w:val="center"/>
          </w:tcPr>
          <w:p w14:paraId="75FDEB15">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0.2t/a</w:t>
            </w:r>
          </w:p>
        </w:tc>
        <w:tc>
          <w:tcPr>
            <w:tcW w:w="931" w:type="pct"/>
            <w:vMerge w:val="continue"/>
            <w:tcBorders>
              <w:left w:val="single" w:color="auto" w:sz="4" w:space="0"/>
              <w:right w:val="single" w:color="auto" w:sz="4" w:space="0"/>
            </w:tcBorders>
            <w:vAlign w:val="center"/>
          </w:tcPr>
          <w:p w14:paraId="6239DD7E">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r>
      <w:tr w14:paraId="49AAE1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16" w:type="pct"/>
            <w:vMerge w:val="continue"/>
            <w:tcBorders>
              <w:left w:val="single" w:color="auto" w:sz="4" w:space="0"/>
              <w:right w:val="single" w:color="auto" w:sz="4" w:space="0"/>
            </w:tcBorders>
            <w:vAlign w:val="center"/>
          </w:tcPr>
          <w:p w14:paraId="1E6ACBF3">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630" w:type="pct"/>
            <w:vMerge w:val="continue"/>
            <w:tcBorders>
              <w:left w:val="single" w:color="auto" w:sz="4" w:space="0"/>
              <w:right w:val="single" w:color="auto" w:sz="4" w:space="0"/>
            </w:tcBorders>
            <w:vAlign w:val="center"/>
          </w:tcPr>
          <w:p w14:paraId="0EBEC47F">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1195" w:type="pct"/>
            <w:gridSpan w:val="3"/>
            <w:tcBorders>
              <w:top w:val="single" w:color="auto" w:sz="4" w:space="0"/>
              <w:left w:val="single" w:color="auto" w:sz="4" w:space="0"/>
              <w:bottom w:val="single" w:color="auto" w:sz="4" w:space="0"/>
              <w:right w:val="single" w:color="auto" w:sz="4" w:space="0"/>
            </w:tcBorders>
            <w:vAlign w:val="center"/>
          </w:tcPr>
          <w:p w14:paraId="67F5E423">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废活性炭</w:t>
            </w:r>
          </w:p>
        </w:tc>
        <w:tc>
          <w:tcPr>
            <w:tcW w:w="913" w:type="pct"/>
            <w:tcBorders>
              <w:top w:val="single" w:color="auto" w:sz="4" w:space="0"/>
              <w:left w:val="single" w:color="auto" w:sz="4" w:space="0"/>
              <w:bottom w:val="single" w:color="auto" w:sz="4" w:space="0"/>
              <w:right w:val="single" w:color="auto" w:sz="4" w:space="0"/>
            </w:tcBorders>
            <w:vAlign w:val="center"/>
          </w:tcPr>
          <w:p w14:paraId="21991646">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900-039-49</w:t>
            </w:r>
          </w:p>
        </w:tc>
        <w:tc>
          <w:tcPr>
            <w:tcW w:w="913" w:type="pct"/>
            <w:gridSpan w:val="2"/>
            <w:tcBorders>
              <w:top w:val="single" w:color="auto" w:sz="4" w:space="0"/>
              <w:left w:val="single" w:color="auto" w:sz="4" w:space="0"/>
              <w:bottom w:val="single" w:color="auto" w:sz="4" w:space="0"/>
              <w:right w:val="single" w:color="auto" w:sz="4" w:space="0"/>
            </w:tcBorders>
            <w:vAlign w:val="center"/>
          </w:tcPr>
          <w:p w14:paraId="2D3A9A38">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eastAsia" w:cs="Times New Roman"/>
                <w:color w:val="auto"/>
                <w:kern w:val="2"/>
                <w:sz w:val="21"/>
                <w:szCs w:val="21"/>
                <w:lang w:eastAsia="zh-CN"/>
              </w:rPr>
              <w:t>54.4</w:t>
            </w:r>
            <w:r>
              <w:rPr>
                <w:rFonts w:hint="default" w:ascii="Times New Roman" w:hAnsi="Times New Roman" w:cs="Times New Roman"/>
                <w:color w:val="auto"/>
                <w:kern w:val="2"/>
                <w:sz w:val="21"/>
                <w:szCs w:val="21"/>
              </w:rPr>
              <w:t>t/a</w:t>
            </w:r>
          </w:p>
        </w:tc>
        <w:tc>
          <w:tcPr>
            <w:tcW w:w="931" w:type="pct"/>
            <w:vMerge w:val="continue"/>
            <w:tcBorders>
              <w:left w:val="single" w:color="auto" w:sz="4" w:space="0"/>
              <w:right w:val="single" w:color="auto" w:sz="4" w:space="0"/>
            </w:tcBorders>
            <w:vAlign w:val="center"/>
          </w:tcPr>
          <w:p w14:paraId="44F68790">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r>
      <w:tr w14:paraId="1AF9A0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16" w:type="pct"/>
            <w:vMerge w:val="continue"/>
            <w:tcBorders>
              <w:left w:val="single" w:color="auto" w:sz="4" w:space="0"/>
              <w:right w:val="single" w:color="auto" w:sz="4" w:space="0"/>
            </w:tcBorders>
            <w:vAlign w:val="center"/>
          </w:tcPr>
          <w:p w14:paraId="1BEB7449">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630" w:type="pct"/>
            <w:vMerge w:val="continue"/>
            <w:tcBorders>
              <w:left w:val="single" w:color="auto" w:sz="4" w:space="0"/>
              <w:right w:val="single" w:color="auto" w:sz="4" w:space="0"/>
            </w:tcBorders>
            <w:vAlign w:val="center"/>
          </w:tcPr>
          <w:p w14:paraId="18BCA310">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1195" w:type="pct"/>
            <w:gridSpan w:val="3"/>
            <w:tcBorders>
              <w:top w:val="single" w:color="auto" w:sz="4" w:space="0"/>
              <w:left w:val="single" w:color="auto" w:sz="4" w:space="0"/>
              <w:bottom w:val="single" w:color="auto" w:sz="4" w:space="0"/>
              <w:right w:val="single" w:color="auto" w:sz="4" w:space="0"/>
            </w:tcBorders>
            <w:vAlign w:val="center"/>
          </w:tcPr>
          <w:p w14:paraId="0B865FBA">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空压机油水混合物</w:t>
            </w:r>
          </w:p>
        </w:tc>
        <w:tc>
          <w:tcPr>
            <w:tcW w:w="913" w:type="pct"/>
            <w:tcBorders>
              <w:top w:val="single" w:color="auto" w:sz="4" w:space="0"/>
              <w:left w:val="single" w:color="auto" w:sz="4" w:space="0"/>
              <w:bottom w:val="single" w:color="auto" w:sz="4" w:space="0"/>
              <w:right w:val="single" w:color="auto" w:sz="4" w:space="0"/>
            </w:tcBorders>
            <w:vAlign w:val="center"/>
          </w:tcPr>
          <w:p w14:paraId="4704CCE5">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900-007-09</w:t>
            </w:r>
          </w:p>
        </w:tc>
        <w:tc>
          <w:tcPr>
            <w:tcW w:w="913" w:type="pct"/>
            <w:gridSpan w:val="2"/>
            <w:tcBorders>
              <w:top w:val="single" w:color="auto" w:sz="4" w:space="0"/>
              <w:left w:val="single" w:color="auto" w:sz="4" w:space="0"/>
              <w:bottom w:val="single" w:color="auto" w:sz="4" w:space="0"/>
              <w:right w:val="single" w:color="auto" w:sz="4" w:space="0"/>
            </w:tcBorders>
            <w:vAlign w:val="center"/>
          </w:tcPr>
          <w:p w14:paraId="43BBFEA2">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0.45t/a</w:t>
            </w:r>
          </w:p>
        </w:tc>
        <w:tc>
          <w:tcPr>
            <w:tcW w:w="931" w:type="pct"/>
            <w:vMerge w:val="continue"/>
            <w:tcBorders>
              <w:left w:val="single" w:color="auto" w:sz="4" w:space="0"/>
              <w:right w:val="single" w:color="auto" w:sz="4" w:space="0"/>
            </w:tcBorders>
            <w:vAlign w:val="center"/>
          </w:tcPr>
          <w:p w14:paraId="3883C71D">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r>
      <w:tr w14:paraId="161194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16" w:type="pct"/>
            <w:vMerge w:val="continue"/>
            <w:tcBorders>
              <w:left w:val="single" w:color="auto" w:sz="4" w:space="0"/>
              <w:right w:val="single" w:color="auto" w:sz="4" w:space="0"/>
            </w:tcBorders>
            <w:vAlign w:val="center"/>
          </w:tcPr>
          <w:p w14:paraId="4C159538">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630" w:type="pct"/>
            <w:vMerge w:val="restart"/>
            <w:tcBorders>
              <w:top w:val="single" w:color="auto" w:sz="4" w:space="0"/>
              <w:left w:val="single" w:color="auto" w:sz="4" w:space="0"/>
              <w:right w:val="single" w:color="auto" w:sz="4" w:space="0"/>
            </w:tcBorders>
            <w:vAlign w:val="center"/>
          </w:tcPr>
          <w:p w14:paraId="5F81D355">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一般固废</w:t>
            </w:r>
          </w:p>
        </w:tc>
        <w:tc>
          <w:tcPr>
            <w:tcW w:w="119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2571A958">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废塑料</w:t>
            </w:r>
          </w:p>
        </w:tc>
        <w:tc>
          <w:tcPr>
            <w:tcW w:w="913" w:type="pct"/>
            <w:tcBorders>
              <w:top w:val="single" w:color="auto" w:sz="4" w:space="0"/>
              <w:left w:val="single" w:color="auto" w:sz="4" w:space="0"/>
              <w:bottom w:val="single" w:color="auto" w:sz="4" w:space="0"/>
              <w:right w:val="single" w:color="auto" w:sz="4" w:space="0"/>
            </w:tcBorders>
            <w:vAlign w:val="center"/>
          </w:tcPr>
          <w:p w14:paraId="63B8E722">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292-001-06</w:t>
            </w:r>
          </w:p>
        </w:tc>
        <w:tc>
          <w:tcPr>
            <w:tcW w:w="913" w:type="pct"/>
            <w:gridSpan w:val="2"/>
            <w:tcBorders>
              <w:top w:val="single" w:color="auto" w:sz="4" w:space="0"/>
              <w:left w:val="single" w:color="auto" w:sz="4" w:space="0"/>
              <w:bottom w:val="single" w:color="auto" w:sz="4" w:space="0"/>
              <w:right w:val="single" w:color="auto" w:sz="4" w:space="0"/>
            </w:tcBorders>
            <w:vAlign w:val="center"/>
          </w:tcPr>
          <w:p w14:paraId="41752C50">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2.5t/a</w:t>
            </w:r>
          </w:p>
        </w:tc>
        <w:tc>
          <w:tcPr>
            <w:tcW w:w="931" w:type="pct"/>
            <w:tcBorders>
              <w:top w:val="single" w:color="auto" w:sz="4" w:space="0"/>
              <w:left w:val="single" w:color="auto" w:sz="4" w:space="0"/>
              <w:bottom w:val="single" w:color="auto" w:sz="4" w:space="0"/>
              <w:right w:val="single" w:color="auto" w:sz="4" w:space="0"/>
            </w:tcBorders>
            <w:vAlign w:val="center"/>
          </w:tcPr>
          <w:p w14:paraId="137E5BAD">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外售处置</w:t>
            </w:r>
          </w:p>
        </w:tc>
      </w:tr>
      <w:tr w14:paraId="12C1FE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16" w:type="pct"/>
            <w:vMerge w:val="continue"/>
            <w:tcBorders>
              <w:left w:val="single" w:color="auto" w:sz="4" w:space="0"/>
              <w:right w:val="single" w:color="auto" w:sz="4" w:space="0"/>
            </w:tcBorders>
            <w:vAlign w:val="center"/>
          </w:tcPr>
          <w:p w14:paraId="6DD54AE6">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630" w:type="pct"/>
            <w:vMerge w:val="continue"/>
            <w:tcBorders>
              <w:left w:val="single" w:color="auto" w:sz="4" w:space="0"/>
              <w:right w:val="single" w:color="auto" w:sz="4" w:space="0"/>
            </w:tcBorders>
            <w:vAlign w:val="center"/>
          </w:tcPr>
          <w:p w14:paraId="3330AC85">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119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2B1F3E0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塑料清膛料</w:t>
            </w:r>
          </w:p>
        </w:tc>
        <w:tc>
          <w:tcPr>
            <w:tcW w:w="913" w:type="pct"/>
            <w:tcBorders>
              <w:top w:val="single" w:color="auto" w:sz="4" w:space="0"/>
              <w:left w:val="single" w:color="auto" w:sz="4" w:space="0"/>
              <w:bottom w:val="single" w:color="auto" w:sz="4" w:space="0"/>
              <w:right w:val="single" w:color="auto" w:sz="4" w:space="0"/>
            </w:tcBorders>
            <w:vAlign w:val="center"/>
          </w:tcPr>
          <w:p w14:paraId="14E9C0E2">
            <w:pPr>
              <w:topLinePunct/>
              <w:adjustRightInd w:val="0"/>
              <w:spacing w:line="240" w:lineRule="auto"/>
              <w:ind w:firstLine="0" w:firstLineChars="0"/>
              <w:contextualSpacing/>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292-001-06</w:t>
            </w:r>
          </w:p>
        </w:tc>
        <w:tc>
          <w:tcPr>
            <w:tcW w:w="913" w:type="pct"/>
            <w:gridSpan w:val="2"/>
            <w:tcBorders>
              <w:top w:val="single" w:color="auto" w:sz="4" w:space="0"/>
              <w:left w:val="single" w:color="auto" w:sz="4" w:space="0"/>
              <w:bottom w:val="single" w:color="auto" w:sz="4" w:space="0"/>
              <w:right w:val="single" w:color="auto" w:sz="4" w:space="0"/>
            </w:tcBorders>
            <w:vAlign w:val="center"/>
          </w:tcPr>
          <w:p w14:paraId="6F0DF43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4t/a</w:t>
            </w:r>
          </w:p>
        </w:tc>
        <w:tc>
          <w:tcPr>
            <w:tcW w:w="931" w:type="pct"/>
            <w:tcBorders>
              <w:top w:val="single" w:color="auto" w:sz="4" w:space="0"/>
              <w:left w:val="single" w:color="auto" w:sz="4" w:space="0"/>
              <w:bottom w:val="single" w:color="auto" w:sz="4" w:space="0"/>
              <w:right w:val="single" w:color="auto" w:sz="4" w:space="0"/>
            </w:tcBorders>
            <w:vAlign w:val="center"/>
          </w:tcPr>
          <w:p w14:paraId="575C95A4">
            <w:pPr>
              <w:pStyle w:val="93"/>
              <w:spacing w:before="0" w:line="240" w:lineRule="auto"/>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全部回用</w:t>
            </w:r>
          </w:p>
        </w:tc>
      </w:tr>
      <w:tr w14:paraId="6605BC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16" w:type="pct"/>
            <w:vMerge w:val="continue"/>
            <w:tcBorders>
              <w:left w:val="single" w:color="auto" w:sz="4" w:space="0"/>
              <w:right w:val="single" w:color="auto" w:sz="4" w:space="0"/>
            </w:tcBorders>
            <w:vAlign w:val="center"/>
          </w:tcPr>
          <w:p w14:paraId="129387D0">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630" w:type="pct"/>
            <w:vMerge w:val="continue"/>
            <w:tcBorders>
              <w:left w:val="single" w:color="auto" w:sz="4" w:space="0"/>
              <w:right w:val="single" w:color="auto" w:sz="4" w:space="0"/>
            </w:tcBorders>
            <w:vAlign w:val="center"/>
          </w:tcPr>
          <w:p w14:paraId="13E004AB">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119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1AA1B147">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废包装材料</w:t>
            </w:r>
          </w:p>
        </w:tc>
        <w:tc>
          <w:tcPr>
            <w:tcW w:w="913" w:type="pct"/>
            <w:tcBorders>
              <w:top w:val="single" w:color="auto" w:sz="4" w:space="0"/>
              <w:left w:val="single" w:color="auto" w:sz="4" w:space="0"/>
              <w:bottom w:val="single" w:color="auto" w:sz="4" w:space="0"/>
              <w:right w:val="single" w:color="auto" w:sz="4" w:space="0"/>
            </w:tcBorders>
            <w:vAlign w:val="center"/>
          </w:tcPr>
          <w:p w14:paraId="56897071">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223-001-07</w:t>
            </w:r>
          </w:p>
        </w:tc>
        <w:tc>
          <w:tcPr>
            <w:tcW w:w="913" w:type="pct"/>
            <w:gridSpan w:val="2"/>
            <w:tcBorders>
              <w:top w:val="single" w:color="auto" w:sz="4" w:space="0"/>
              <w:left w:val="single" w:color="auto" w:sz="4" w:space="0"/>
              <w:bottom w:val="single" w:color="auto" w:sz="4" w:space="0"/>
              <w:right w:val="single" w:color="auto" w:sz="4" w:space="0"/>
            </w:tcBorders>
            <w:vAlign w:val="center"/>
          </w:tcPr>
          <w:p w14:paraId="78C9E04A">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5t/a</w:t>
            </w:r>
          </w:p>
        </w:tc>
        <w:tc>
          <w:tcPr>
            <w:tcW w:w="931" w:type="pct"/>
            <w:tcBorders>
              <w:top w:val="single" w:color="auto" w:sz="4" w:space="0"/>
              <w:left w:val="single" w:color="auto" w:sz="4" w:space="0"/>
              <w:bottom w:val="single" w:color="auto" w:sz="4" w:space="0"/>
              <w:right w:val="single" w:color="auto" w:sz="4" w:space="0"/>
            </w:tcBorders>
            <w:vAlign w:val="center"/>
          </w:tcPr>
          <w:p w14:paraId="308095BE">
            <w:pPr>
              <w:widowControl/>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外售处置</w:t>
            </w:r>
          </w:p>
        </w:tc>
      </w:tr>
      <w:tr w14:paraId="6E342A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16" w:type="pct"/>
            <w:vMerge w:val="continue"/>
            <w:tcBorders>
              <w:left w:val="single" w:color="auto" w:sz="4" w:space="0"/>
              <w:right w:val="single" w:color="auto" w:sz="4" w:space="0"/>
            </w:tcBorders>
            <w:vAlign w:val="center"/>
          </w:tcPr>
          <w:p w14:paraId="428A7F9D">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630" w:type="pct"/>
            <w:vMerge w:val="continue"/>
            <w:tcBorders>
              <w:left w:val="single" w:color="auto" w:sz="4" w:space="0"/>
              <w:right w:val="single" w:color="auto" w:sz="4" w:space="0"/>
            </w:tcBorders>
            <w:vAlign w:val="center"/>
          </w:tcPr>
          <w:p w14:paraId="68E8E227">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119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1280791C">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布袋粉尘</w:t>
            </w:r>
          </w:p>
        </w:tc>
        <w:tc>
          <w:tcPr>
            <w:tcW w:w="913" w:type="pct"/>
            <w:tcBorders>
              <w:top w:val="single" w:color="auto" w:sz="4" w:space="0"/>
              <w:left w:val="single" w:color="auto" w:sz="4" w:space="0"/>
              <w:bottom w:val="single" w:color="auto" w:sz="4" w:space="0"/>
              <w:right w:val="single" w:color="auto" w:sz="4" w:space="0"/>
            </w:tcBorders>
            <w:vAlign w:val="center"/>
          </w:tcPr>
          <w:p w14:paraId="1D2520B7">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900-999-66</w:t>
            </w:r>
          </w:p>
        </w:tc>
        <w:tc>
          <w:tcPr>
            <w:tcW w:w="913" w:type="pct"/>
            <w:gridSpan w:val="2"/>
            <w:tcBorders>
              <w:top w:val="single" w:color="auto" w:sz="4" w:space="0"/>
              <w:left w:val="single" w:color="auto" w:sz="4" w:space="0"/>
              <w:bottom w:val="single" w:color="auto" w:sz="4" w:space="0"/>
              <w:right w:val="single" w:color="auto" w:sz="4" w:space="0"/>
            </w:tcBorders>
            <w:vAlign w:val="center"/>
          </w:tcPr>
          <w:p w14:paraId="748E1ED3">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0.018t/a</w:t>
            </w:r>
          </w:p>
        </w:tc>
        <w:tc>
          <w:tcPr>
            <w:tcW w:w="931" w:type="pct"/>
            <w:tcBorders>
              <w:top w:val="single" w:color="auto" w:sz="4" w:space="0"/>
              <w:left w:val="single" w:color="auto" w:sz="4" w:space="0"/>
              <w:bottom w:val="single" w:color="auto" w:sz="4" w:space="0"/>
              <w:right w:val="single" w:color="auto" w:sz="4" w:space="0"/>
            </w:tcBorders>
            <w:vAlign w:val="center"/>
          </w:tcPr>
          <w:p w14:paraId="6E4156FB">
            <w:pPr>
              <w:widowControl/>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rPr>
              <w:t>全部回用</w:t>
            </w:r>
          </w:p>
        </w:tc>
      </w:tr>
      <w:tr w14:paraId="22275B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416" w:type="pct"/>
            <w:tcBorders>
              <w:top w:val="single" w:color="auto" w:sz="4" w:space="0"/>
              <w:left w:val="single" w:color="auto" w:sz="4" w:space="0"/>
              <w:bottom w:val="single" w:color="auto" w:sz="4" w:space="0"/>
              <w:right w:val="single" w:color="auto" w:sz="4" w:space="0"/>
            </w:tcBorders>
            <w:vAlign w:val="center"/>
          </w:tcPr>
          <w:p w14:paraId="154C58E4">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土壤及地下水</w:t>
            </w:r>
          </w:p>
          <w:p w14:paraId="070CCB61">
            <w:pPr>
              <w:adjustRightInd w:val="0"/>
              <w:snapToGrid w:val="0"/>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污染防治措施</w:t>
            </w:r>
          </w:p>
        </w:tc>
        <w:tc>
          <w:tcPr>
            <w:tcW w:w="4583" w:type="pct"/>
            <w:gridSpan w:val="8"/>
            <w:tcBorders>
              <w:top w:val="single" w:color="auto" w:sz="4" w:space="0"/>
              <w:left w:val="single" w:color="auto" w:sz="4" w:space="0"/>
              <w:bottom w:val="single" w:color="auto" w:sz="4" w:space="0"/>
              <w:right w:val="single" w:color="auto" w:sz="4" w:space="0"/>
            </w:tcBorders>
            <w:vAlign w:val="center"/>
          </w:tcPr>
          <w:p w14:paraId="5D514921">
            <w:pPr>
              <w:adjustRightInd w:val="0"/>
              <w:snapToGrid w:val="0"/>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本项目建成后，危废贮存库按照《危险废物贮存污染控制标准》（GB18597-2023）采取防渗漏防泄漏的措施，定期维护相应分区防渗措施，维持其防渗能力。</w:t>
            </w:r>
          </w:p>
          <w:p w14:paraId="5E1D27DB">
            <w:pPr>
              <w:adjustRightInd w:val="0"/>
              <w:snapToGrid w:val="0"/>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重点防渗区：危废贮存库；</w:t>
            </w:r>
          </w:p>
          <w:p w14:paraId="5935D340">
            <w:pPr>
              <w:adjustRightInd w:val="0"/>
              <w:snapToGrid w:val="0"/>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简单防渗区：除重点防渗区以外的其他区域。</w:t>
            </w:r>
          </w:p>
        </w:tc>
      </w:tr>
      <w:tr w14:paraId="350A23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416" w:type="pct"/>
            <w:tcBorders>
              <w:top w:val="single" w:color="auto" w:sz="4" w:space="0"/>
              <w:left w:val="single" w:color="auto" w:sz="4" w:space="0"/>
              <w:bottom w:val="single" w:color="auto" w:sz="4" w:space="0"/>
              <w:right w:val="single" w:color="auto" w:sz="4" w:space="0"/>
            </w:tcBorders>
            <w:vAlign w:val="center"/>
          </w:tcPr>
          <w:p w14:paraId="5FD318B6">
            <w:pPr>
              <w:adjustRightInd w:val="0"/>
              <w:snapToGrid w:val="0"/>
              <w:spacing w:line="240" w:lineRule="auto"/>
              <w:ind w:firstLine="0" w:firstLineChars="0"/>
              <w:jc w:val="center"/>
              <w:rPr>
                <w:rFonts w:hint="default" w:ascii="Times New Roman" w:hAnsi="Times New Roman" w:cs="Times New Roman"/>
                <w:color w:val="auto"/>
                <w:spacing w:val="-8"/>
                <w:kern w:val="2"/>
                <w:sz w:val="21"/>
                <w:szCs w:val="21"/>
              </w:rPr>
            </w:pPr>
            <w:r>
              <w:rPr>
                <w:rFonts w:hint="default" w:ascii="Times New Roman" w:hAnsi="Times New Roman" w:cs="Times New Roman"/>
                <w:color w:val="auto"/>
                <w:spacing w:val="-8"/>
                <w:kern w:val="2"/>
                <w:sz w:val="21"/>
                <w:szCs w:val="21"/>
              </w:rPr>
              <w:t>环境风险防范措施</w:t>
            </w:r>
          </w:p>
        </w:tc>
        <w:tc>
          <w:tcPr>
            <w:tcW w:w="4583" w:type="pct"/>
            <w:gridSpan w:val="8"/>
            <w:tcBorders>
              <w:top w:val="single" w:color="auto" w:sz="4" w:space="0"/>
              <w:left w:val="single" w:color="auto" w:sz="4" w:space="0"/>
              <w:bottom w:val="single" w:color="auto" w:sz="4" w:space="0"/>
              <w:right w:val="single" w:color="auto" w:sz="4" w:space="0"/>
            </w:tcBorders>
            <w:vAlign w:val="center"/>
          </w:tcPr>
          <w:p w14:paraId="2560A1B3">
            <w:pPr>
              <w:adjustRightInd w:val="0"/>
              <w:snapToGrid w:val="0"/>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原料库区、生产区和产品区配备相应的灭火装置，并设置禁火标志；车间进行合理布置，原料区及成品区悬挂标识牌，附近设灭火装置；加强厂房通风，控制室内温度；设置防火标志，厂房内严禁吸烟、使用明火等；建立必要的安全生产规章制度和措施；危废贮存库按照《危险废物贮存污染控制标准》（GB18597-2023），房间内设立了收集边沟与收集池，并进行防渗处理；设置通风口1个，安装排风扇1个及灭火器、消防沙等。</w:t>
            </w:r>
          </w:p>
          <w:p w14:paraId="45925FA7">
            <w:pPr>
              <w:adjustRightInd w:val="0"/>
              <w:snapToGrid w:val="0"/>
              <w:spacing w:line="240" w:lineRule="auto"/>
              <w:ind w:firstLine="0" w:firstLineChars="0"/>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加强管理，完善措施，包括严格按照安全生产规定，设置安全监控点；加强管理，厂内暂存转运规范作业流程，操作人员进行安全生产教育；加强职工安全环保教育，增强操作工人的责任心，防止和减少因人为因素造成的事故，同时也要加强防火安全教育；配备足够的消防设施，落实安全管理责任；加强设备检修，减少因设备损坏、老化带来的遗漏；由专人负责日常环境管理工作，制订“环保管理人员职责”和“环境污染防治措施”制度，加强废气、废水治理设施的监督和管理；加强废气、废水处理设施及设备的定期检修和维护工作，发现事故隐患，及时解决，一旦不能及时解决，立即停止生产。业主需按要求编制风险评估及应急预案并报九龙坡区生态环境局备案。</w:t>
            </w:r>
          </w:p>
        </w:tc>
      </w:tr>
    </w:tbl>
    <w:p w14:paraId="522E6EB3">
      <w:pPr>
        <w:ind w:firstLine="480"/>
        <w:rPr>
          <w:rFonts w:hint="default" w:ascii="Times New Roman" w:hAnsi="Times New Roman" w:cs="Times New Roman"/>
          <w:color w:val="auto"/>
        </w:rPr>
      </w:pPr>
    </w:p>
    <w:p w14:paraId="56A56474">
      <w:pPr>
        <w:ind w:firstLine="480"/>
        <w:rPr>
          <w:rFonts w:hint="default" w:ascii="Times New Roman" w:hAnsi="Times New Roman" w:cs="Times New Roman"/>
          <w:color w:val="auto"/>
        </w:rPr>
        <w:sectPr>
          <w:headerReference r:id="rId30" w:type="default"/>
          <w:pgSz w:w="11907" w:h="16840"/>
          <w:pgMar w:top="1440" w:right="1797" w:bottom="1440" w:left="1797" w:header="851" w:footer="992" w:gutter="0"/>
          <w:cols w:space="720" w:num="1"/>
          <w:docGrid w:type="lines" w:linePitch="312" w:charSpace="0"/>
        </w:sectPr>
      </w:pPr>
    </w:p>
    <w:p w14:paraId="3CCD96BA">
      <w:pPr>
        <w:pStyle w:val="2"/>
        <w:rPr>
          <w:rFonts w:hint="default" w:ascii="Times New Roman" w:hAnsi="Times New Roman" w:cs="Times New Roman"/>
          <w:snapToGrid w:val="0"/>
          <w:color w:val="auto"/>
        </w:rPr>
      </w:pPr>
      <w:r>
        <w:rPr>
          <w:rFonts w:hint="default" w:ascii="Times New Roman" w:hAnsi="Times New Roman" w:cs="Times New Roman"/>
          <w:snapToGrid w:val="0"/>
          <w:color w:val="auto"/>
        </w:rPr>
        <w:t>六、结论</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9"/>
      </w:tblGrid>
      <w:tr w14:paraId="10F0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8" w:hRule="atLeast"/>
        </w:trPr>
        <w:tc>
          <w:tcPr>
            <w:tcW w:w="8529" w:type="dxa"/>
            <w:shd w:val="clear" w:color="auto" w:fill="auto"/>
          </w:tcPr>
          <w:p w14:paraId="321502CC">
            <w:pPr>
              <w:ind w:firstLine="480"/>
              <w:rPr>
                <w:rFonts w:hint="default" w:ascii="Times New Roman" w:hAnsi="Times New Roman" w:cs="Times New Roman"/>
                <w:color w:val="auto"/>
                <w:kern w:val="2"/>
                <w:szCs w:val="22"/>
              </w:rPr>
            </w:pPr>
            <w:r>
              <w:rPr>
                <w:rFonts w:hint="default" w:ascii="Times New Roman" w:hAnsi="Times New Roman" w:cs="Times New Roman"/>
                <w:color w:val="auto"/>
                <w:kern w:val="2"/>
                <w:szCs w:val="22"/>
              </w:rPr>
              <w:t>本项目建设符合国家产业政策，符合九龙坡区生态环境分区管控要求。项目采用的污染防治措施技术经济可行，能确保各种污染物稳定达标排放，对环境不会造成明显影响，不会改变区域环境功能。采取严格的风险防范措施后，环境风险可防可控。因此，在严格落实各项环境保护措施和风险防范措施后，从环境保护角度分析，本工程建设是合理、可行的。</w:t>
            </w:r>
          </w:p>
        </w:tc>
      </w:tr>
      <w:bookmarkEnd w:id="0"/>
    </w:tbl>
    <w:p w14:paraId="0B240625">
      <w:pPr>
        <w:ind w:firstLine="480"/>
        <w:rPr>
          <w:rFonts w:hint="default" w:ascii="Times New Roman" w:hAnsi="Times New Roman" w:cs="Times New Roman"/>
          <w:color w:val="auto"/>
          <w:szCs w:val="24"/>
        </w:rPr>
        <w:sectPr>
          <w:headerReference r:id="rId31" w:type="default"/>
          <w:footerReference r:id="rId32" w:type="default"/>
          <w:pgSz w:w="11907" w:h="16840"/>
          <w:pgMar w:top="1440" w:right="1797" w:bottom="1440" w:left="1797" w:header="851" w:footer="992" w:gutter="0"/>
          <w:cols w:space="720" w:num="1"/>
          <w:docGrid w:type="lines" w:linePitch="312" w:charSpace="0"/>
        </w:sectPr>
      </w:pPr>
    </w:p>
    <w:p w14:paraId="37D949E8">
      <w:pPr>
        <w:pStyle w:val="2"/>
        <w:spacing w:line="240" w:lineRule="auto"/>
        <w:rPr>
          <w:rFonts w:hint="default" w:ascii="Times New Roman" w:hAnsi="Times New Roman" w:cs="Times New Roman"/>
          <w:snapToGrid w:val="0"/>
          <w:color w:val="auto"/>
          <w:sz w:val="30"/>
        </w:rPr>
      </w:pPr>
      <w:r>
        <w:rPr>
          <w:rFonts w:hint="default" w:ascii="Times New Roman" w:hAnsi="Times New Roman" w:cs="Times New Roman"/>
          <w:snapToGrid w:val="0"/>
          <w:color w:val="auto"/>
          <w:sz w:val="30"/>
        </w:rPr>
        <w:t>附表</w:t>
      </w:r>
    </w:p>
    <w:p w14:paraId="4BE02D0A">
      <w:pPr>
        <w:pStyle w:val="40"/>
        <w:adjustRightInd w:val="0"/>
        <w:snapToGrid w:val="0"/>
        <w:spacing w:before="0" w:beforeAutospacing="0" w:after="0" w:afterAutospacing="0" w:line="240" w:lineRule="auto"/>
        <w:ind w:firstLine="0" w:firstLineChars="0"/>
        <w:jc w:val="center"/>
        <w:outlineLvl w:val="0"/>
        <w:rPr>
          <w:rFonts w:hint="default" w:ascii="Times New Roman" w:hAnsi="Times New Roman" w:cs="Times New Roman"/>
          <w:snapToGrid w:val="0"/>
          <w:color w:val="auto"/>
          <w:sz w:val="34"/>
          <w:szCs w:val="38"/>
        </w:rPr>
      </w:pPr>
      <w:r>
        <w:rPr>
          <w:rFonts w:hint="default" w:ascii="Times New Roman" w:hAnsi="Times New Roman" w:cs="Times New Roman"/>
          <w:snapToGrid w:val="0"/>
          <w:color w:val="auto"/>
          <w:sz w:val="34"/>
          <w:szCs w:val="38"/>
        </w:rPr>
        <w:t>建设项目污染物排放量汇总表</w:t>
      </w:r>
    </w:p>
    <w:tbl>
      <w:tblPr>
        <w:tblStyle w:val="44"/>
        <w:tblW w:w="49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131"/>
        <w:gridCol w:w="1561"/>
        <w:gridCol w:w="1276"/>
        <w:gridCol w:w="1561"/>
        <w:gridCol w:w="1560"/>
        <w:gridCol w:w="1844"/>
        <w:gridCol w:w="1625"/>
        <w:gridCol w:w="1443"/>
      </w:tblGrid>
      <w:tr w14:paraId="6C75FF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35" w:type="dxa"/>
            <w:tcBorders>
              <w:tl2br w:val="single" w:color="auto" w:sz="4" w:space="0"/>
            </w:tcBorders>
            <w:tcMar>
              <w:left w:w="28" w:type="dxa"/>
              <w:right w:w="28" w:type="dxa"/>
            </w:tcMar>
            <w:vAlign w:val="center"/>
          </w:tcPr>
          <w:p w14:paraId="362EA68E">
            <w:pPr>
              <w:adjustRightInd w:val="0"/>
              <w:snapToGrid w:val="0"/>
              <w:spacing w:line="240" w:lineRule="auto"/>
              <w:ind w:firstLine="0" w:firstLineChars="0"/>
              <w:jc w:val="right"/>
              <w:rPr>
                <w:rFonts w:hint="default" w:ascii="Times New Roman" w:hAnsi="Times New Roman" w:cs="Times New Roman"/>
                <w:snapToGrid w:val="0"/>
                <w:color w:val="auto"/>
                <w:spacing w:val="-6"/>
                <w:kern w:val="21"/>
                <w:sz w:val="21"/>
                <w:szCs w:val="21"/>
              </w:rPr>
            </w:pPr>
            <w:r>
              <w:rPr>
                <w:rFonts w:hint="default" w:ascii="Times New Roman" w:hAnsi="Times New Roman" w:cs="Times New Roman"/>
                <w:snapToGrid w:val="0"/>
                <w:color w:val="auto"/>
                <w:spacing w:val="-6"/>
                <w:kern w:val="21"/>
                <w:sz w:val="21"/>
                <w:szCs w:val="21"/>
              </w:rPr>
              <w:t>项目</w:t>
            </w:r>
          </w:p>
          <w:p w14:paraId="22D68FA0">
            <w:pPr>
              <w:adjustRightInd w:val="0"/>
              <w:snapToGrid w:val="0"/>
              <w:spacing w:line="240" w:lineRule="auto"/>
              <w:ind w:firstLine="0" w:firstLineChars="0"/>
              <w:jc w:val="left"/>
              <w:rPr>
                <w:rFonts w:hint="default" w:ascii="Times New Roman" w:hAnsi="Times New Roman" w:cs="Times New Roman"/>
                <w:snapToGrid w:val="0"/>
                <w:color w:val="auto"/>
                <w:spacing w:val="-6"/>
                <w:kern w:val="21"/>
                <w:sz w:val="21"/>
                <w:szCs w:val="21"/>
              </w:rPr>
            </w:pPr>
            <w:r>
              <w:rPr>
                <w:rFonts w:hint="default" w:ascii="Times New Roman" w:hAnsi="Times New Roman" w:cs="Times New Roman"/>
                <w:snapToGrid w:val="0"/>
                <w:color w:val="auto"/>
                <w:spacing w:val="-6"/>
                <w:kern w:val="21"/>
                <w:sz w:val="21"/>
                <w:szCs w:val="21"/>
              </w:rPr>
              <w:t>分类</w:t>
            </w:r>
          </w:p>
        </w:tc>
        <w:tc>
          <w:tcPr>
            <w:tcW w:w="2131" w:type="dxa"/>
            <w:tcMar>
              <w:left w:w="28" w:type="dxa"/>
              <w:right w:w="28" w:type="dxa"/>
            </w:tcMar>
            <w:vAlign w:val="center"/>
          </w:tcPr>
          <w:p w14:paraId="6283CF33">
            <w:pPr>
              <w:adjustRightInd w:val="0"/>
              <w:snapToGrid w:val="0"/>
              <w:spacing w:line="240" w:lineRule="auto"/>
              <w:ind w:firstLine="0" w:firstLineChars="0"/>
              <w:jc w:val="center"/>
              <w:rPr>
                <w:rFonts w:hint="default" w:ascii="Times New Roman" w:hAnsi="Times New Roman" w:cs="Times New Roman"/>
                <w:snapToGrid w:val="0"/>
                <w:color w:val="auto"/>
                <w:spacing w:val="-6"/>
                <w:kern w:val="21"/>
                <w:sz w:val="21"/>
                <w:szCs w:val="21"/>
              </w:rPr>
            </w:pPr>
            <w:r>
              <w:rPr>
                <w:rFonts w:hint="default" w:ascii="Times New Roman" w:hAnsi="Times New Roman" w:cs="Times New Roman"/>
                <w:snapToGrid w:val="0"/>
                <w:color w:val="auto"/>
                <w:spacing w:val="-6"/>
                <w:kern w:val="21"/>
                <w:sz w:val="21"/>
                <w:szCs w:val="21"/>
              </w:rPr>
              <w:t>污染物名称</w:t>
            </w:r>
          </w:p>
        </w:tc>
        <w:tc>
          <w:tcPr>
            <w:tcW w:w="1561" w:type="dxa"/>
            <w:tcMar>
              <w:left w:w="28" w:type="dxa"/>
              <w:right w:w="28" w:type="dxa"/>
            </w:tcMar>
            <w:vAlign w:val="center"/>
          </w:tcPr>
          <w:p w14:paraId="13AB2035">
            <w:pPr>
              <w:adjustRightInd w:val="0"/>
              <w:snapToGrid w:val="0"/>
              <w:spacing w:line="240" w:lineRule="auto"/>
              <w:ind w:firstLine="0" w:firstLineChars="0"/>
              <w:jc w:val="center"/>
              <w:rPr>
                <w:rFonts w:hint="default" w:ascii="Times New Roman" w:hAnsi="Times New Roman" w:cs="Times New Roman"/>
                <w:snapToGrid w:val="0"/>
                <w:color w:val="auto"/>
                <w:spacing w:val="-6"/>
                <w:kern w:val="21"/>
                <w:sz w:val="21"/>
                <w:szCs w:val="21"/>
              </w:rPr>
            </w:pPr>
            <w:r>
              <w:rPr>
                <w:rFonts w:hint="default" w:ascii="Times New Roman" w:hAnsi="Times New Roman" w:cs="Times New Roman"/>
                <w:snapToGrid w:val="0"/>
                <w:color w:val="auto"/>
                <w:spacing w:val="-6"/>
                <w:kern w:val="21"/>
                <w:sz w:val="21"/>
                <w:szCs w:val="21"/>
              </w:rPr>
              <w:t>现有工程</w:t>
            </w:r>
          </w:p>
          <w:p w14:paraId="64BF7141">
            <w:pPr>
              <w:adjustRightInd w:val="0"/>
              <w:snapToGrid w:val="0"/>
              <w:spacing w:line="240" w:lineRule="auto"/>
              <w:ind w:firstLine="0" w:firstLineChars="0"/>
              <w:jc w:val="center"/>
              <w:rPr>
                <w:rFonts w:hint="default" w:ascii="Times New Roman" w:hAnsi="Times New Roman" w:cs="Times New Roman"/>
                <w:snapToGrid w:val="0"/>
                <w:color w:val="auto"/>
                <w:spacing w:val="-6"/>
                <w:kern w:val="21"/>
                <w:sz w:val="21"/>
                <w:szCs w:val="21"/>
              </w:rPr>
            </w:pPr>
            <w:r>
              <w:rPr>
                <w:rFonts w:hint="default" w:ascii="Times New Roman" w:hAnsi="Times New Roman" w:cs="Times New Roman"/>
                <w:snapToGrid w:val="0"/>
                <w:color w:val="auto"/>
                <w:spacing w:val="-6"/>
                <w:kern w:val="21"/>
                <w:sz w:val="21"/>
                <w:szCs w:val="21"/>
              </w:rPr>
              <w:t>排放量（固体废物产生量）</w:t>
            </w:r>
            <w:r>
              <w:rPr>
                <w:rFonts w:hint="default" w:ascii="Times New Roman" w:hAnsi="Times New Roman" w:cs="Times New Roman"/>
                <w:snapToGrid w:val="0"/>
                <w:color w:val="auto"/>
                <w:spacing w:val="-6"/>
                <w:kern w:val="21"/>
                <w:sz w:val="21"/>
                <w:szCs w:val="21"/>
              </w:rPr>
              <w:fldChar w:fldCharType="begin"/>
            </w:r>
            <w:r>
              <w:rPr>
                <w:rFonts w:hint="default" w:ascii="Times New Roman" w:hAnsi="Times New Roman" w:cs="Times New Roman"/>
                <w:snapToGrid w:val="0"/>
                <w:color w:val="auto"/>
                <w:spacing w:val="-6"/>
                <w:kern w:val="21"/>
                <w:sz w:val="21"/>
                <w:szCs w:val="21"/>
              </w:rPr>
              <w:instrText xml:space="preserve"> = 1 \* GB3 \* MERGEFORMAT </w:instrText>
            </w:r>
            <w:r>
              <w:rPr>
                <w:rFonts w:hint="default" w:ascii="Times New Roman" w:hAnsi="Times New Roman" w:cs="Times New Roman"/>
                <w:snapToGrid w:val="0"/>
                <w:color w:val="auto"/>
                <w:spacing w:val="-6"/>
                <w:kern w:val="21"/>
                <w:sz w:val="21"/>
                <w:szCs w:val="21"/>
              </w:rPr>
              <w:fldChar w:fldCharType="separate"/>
            </w:r>
            <w:r>
              <w:rPr>
                <w:rFonts w:hint="default" w:ascii="Times New Roman" w:hAnsi="Times New Roman" w:cs="Times New Roman"/>
                <w:color w:val="auto"/>
                <w:kern w:val="2"/>
                <w:sz w:val="21"/>
                <w:szCs w:val="21"/>
              </w:rPr>
              <w:t>①</w:t>
            </w:r>
            <w:r>
              <w:rPr>
                <w:rFonts w:hint="default" w:ascii="Times New Roman" w:hAnsi="Times New Roman" w:cs="Times New Roman"/>
                <w:snapToGrid w:val="0"/>
                <w:color w:val="auto"/>
                <w:spacing w:val="-6"/>
                <w:kern w:val="21"/>
                <w:sz w:val="21"/>
                <w:szCs w:val="21"/>
              </w:rPr>
              <w:fldChar w:fldCharType="end"/>
            </w:r>
          </w:p>
        </w:tc>
        <w:tc>
          <w:tcPr>
            <w:tcW w:w="1276" w:type="dxa"/>
            <w:tcMar>
              <w:left w:w="28" w:type="dxa"/>
              <w:right w:w="28" w:type="dxa"/>
            </w:tcMar>
            <w:vAlign w:val="center"/>
          </w:tcPr>
          <w:p w14:paraId="359E8A0D">
            <w:pPr>
              <w:adjustRightInd w:val="0"/>
              <w:snapToGrid w:val="0"/>
              <w:spacing w:line="240" w:lineRule="auto"/>
              <w:ind w:firstLine="0" w:firstLineChars="0"/>
              <w:jc w:val="center"/>
              <w:rPr>
                <w:rFonts w:hint="default" w:ascii="Times New Roman" w:hAnsi="Times New Roman" w:cs="Times New Roman"/>
                <w:snapToGrid w:val="0"/>
                <w:color w:val="auto"/>
                <w:spacing w:val="-6"/>
                <w:kern w:val="21"/>
                <w:sz w:val="21"/>
                <w:szCs w:val="21"/>
              </w:rPr>
            </w:pPr>
            <w:r>
              <w:rPr>
                <w:rFonts w:hint="default" w:ascii="Times New Roman" w:hAnsi="Times New Roman" w:cs="Times New Roman"/>
                <w:snapToGrid w:val="0"/>
                <w:color w:val="auto"/>
                <w:spacing w:val="-6"/>
                <w:kern w:val="21"/>
                <w:sz w:val="21"/>
                <w:szCs w:val="21"/>
              </w:rPr>
              <w:t>现有工程</w:t>
            </w:r>
          </w:p>
          <w:p w14:paraId="282C8548">
            <w:pPr>
              <w:adjustRightInd w:val="0"/>
              <w:snapToGrid w:val="0"/>
              <w:spacing w:line="240" w:lineRule="auto"/>
              <w:ind w:firstLine="0" w:firstLineChars="0"/>
              <w:jc w:val="center"/>
              <w:rPr>
                <w:rFonts w:hint="default" w:ascii="Times New Roman" w:hAnsi="Times New Roman" w:cs="Times New Roman"/>
                <w:snapToGrid w:val="0"/>
                <w:color w:val="auto"/>
                <w:spacing w:val="-6"/>
                <w:kern w:val="21"/>
                <w:sz w:val="21"/>
                <w:szCs w:val="21"/>
              </w:rPr>
            </w:pPr>
            <w:r>
              <w:rPr>
                <w:rFonts w:hint="default" w:ascii="Times New Roman" w:hAnsi="Times New Roman" w:cs="Times New Roman"/>
                <w:snapToGrid w:val="0"/>
                <w:color w:val="auto"/>
                <w:spacing w:val="-6"/>
                <w:kern w:val="21"/>
                <w:sz w:val="21"/>
                <w:szCs w:val="21"/>
              </w:rPr>
              <w:t>许可排放量</w:t>
            </w:r>
          </w:p>
          <w:p w14:paraId="5E9A5614">
            <w:pPr>
              <w:adjustRightInd w:val="0"/>
              <w:snapToGrid w:val="0"/>
              <w:spacing w:line="240" w:lineRule="auto"/>
              <w:ind w:firstLine="0" w:firstLineChars="0"/>
              <w:jc w:val="center"/>
              <w:rPr>
                <w:rFonts w:hint="default" w:ascii="Times New Roman" w:hAnsi="Times New Roman" w:cs="Times New Roman"/>
                <w:snapToGrid w:val="0"/>
                <w:color w:val="auto"/>
                <w:spacing w:val="-6"/>
                <w:kern w:val="21"/>
                <w:sz w:val="21"/>
                <w:szCs w:val="21"/>
              </w:rPr>
            </w:pPr>
            <w:r>
              <w:rPr>
                <w:rFonts w:hint="default" w:ascii="Times New Roman" w:hAnsi="Times New Roman" w:cs="Times New Roman"/>
                <w:snapToGrid w:val="0"/>
                <w:color w:val="auto"/>
                <w:spacing w:val="-6"/>
                <w:kern w:val="21"/>
                <w:sz w:val="21"/>
                <w:szCs w:val="21"/>
              </w:rPr>
              <w:fldChar w:fldCharType="begin"/>
            </w:r>
            <w:r>
              <w:rPr>
                <w:rFonts w:hint="default" w:ascii="Times New Roman" w:hAnsi="Times New Roman" w:cs="Times New Roman"/>
                <w:snapToGrid w:val="0"/>
                <w:color w:val="auto"/>
                <w:spacing w:val="-6"/>
                <w:kern w:val="21"/>
                <w:sz w:val="21"/>
                <w:szCs w:val="21"/>
              </w:rPr>
              <w:instrText xml:space="preserve"> = 2 \* GB3 \* MERGEFORMAT </w:instrText>
            </w:r>
            <w:r>
              <w:rPr>
                <w:rFonts w:hint="default" w:ascii="Times New Roman" w:hAnsi="Times New Roman" w:cs="Times New Roman"/>
                <w:snapToGrid w:val="0"/>
                <w:color w:val="auto"/>
                <w:spacing w:val="-6"/>
                <w:kern w:val="21"/>
                <w:sz w:val="21"/>
                <w:szCs w:val="21"/>
              </w:rPr>
              <w:fldChar w:fldCharType="separate"/>
            </w:r>
            <w:r>
              <w:rPr>
                <w:rFonts w:hint="default" w:ascii="Times New Roman" w:hAnsi="Times New Roman" w:cs="Times New Roman"/>
                <w:snapToGrid w:val="0"/>
                <w:color w:val="auto"/>
                <w:spacing w:val="-6"/>
                <w:kern w:val="21"/>
                <w:sz w:val="21"/>
                <w:szCs w:val="21"/>
              </w:rPr>
              <w:t>②</w:t>
            </w:r>
            <w:r>
              <w:rPr>
                <w:rFonts w:hint="default" w:ascii="Times New Roman" w:hAnsi="Times New Roman" w:cs="Times New Roman"/>
                <w:snapToGrid w:val="0"/>
                <w:color w:val="auto"/>
                <w:spacing w:val="-6"/>
                <w:kern w:val="21"/>
                <w:sz w:val="21"/>
                <w:szCs w:val="21"/>
              </w:rPr>
              <w:fldChar w:fldCharType="end"/>
            </w:r>
          </w:p>
        </w:tc>
        <w:tc>
          <w:tcPr>
            <w:tcW w:w="1561" w:type="dxa"/>
            <w:tcMar>
              <w:left w:w="28" w:type="dxa"/>
              <w:right w:w="28" w:type="dxa"/>
            </w:tcMar>
            <w:vAlign w:val="center"/>
          </w:tcPr>
          <w:p w14:paraId="77112F86">
            <w:pPr>
              <w:adjustRightInd w:val="0"/>
              <w:snapToGrid w:val="0"/>
              <w:spacing w:line="240" w:lineRule="auto"/>
              <w:ind w:firstLine="0" w:firstLineChars="0"/>
              <w:jc w:val="center"/>
              <w:rPr>
                <w:rFonts w:hint="default" w:ascii="Times New Roman" w:hAnsi="Times New Roman" w:cs="Times New Roman"/>
                <w:snapToGrid w:val="0"/>
                <w:color w:val="auto"/>
                <w:spacing w:val="-6"/>
                <w:kern w:val="21"/>
                <w:sz w:val="21"/>
                <w:szCs w:val="21"/>
              </w:rPr>
            </w:pPr>
            <w:r>
              <w:rPr>
                <w:rFonts w:hint="default" w:ascii="Times New Roman" w:hAnsi="Times New Roman" w:cs="Times New Roman"/>
                <w:snapToGrid w:val="0"/>
                <w:color w:val="auto"/>
                <w:spacing w:val="-6"/>
                <w:kern w:val="21"/>
                <w:sz w:val="21"/>
                <w:szCs w:val="21"/>
              </w:rPr>
              <w:t>在建工程</w:t>
            </w:r>
          </w:p>
          <w:p w14:paraId="2C81DBB8">
            <w:pPr>
              <w:adjustRightInd w:val="0"/>
              <w:snapToGrid w:val="0"/>
              <w:spacing w:line="240" w:lineRule="auto"/>
              <w:ind w:firstLine="0" w:firstLineChars="0"/>
              <w:jc w:val="center"/>
              <w:rPr>
                <w:rFonts w:hint="default" w:ascii="Times New Roman" w:hAnsi="Times New Roman" w:cs="Times New Roman"/>
                <w:snapToGrid w:val="0"/>
                <w:color w:val="auto"/>
                <w:spacing w:val="-6"/>
                <w:kern w:val="21"/>
                <w:sz w:val="21"/>
                <w:szCs w:val="21"/>
              </w:rPr>
            </w:pPr>
            <w:r>
              <w:rPr>
                <w:rFonts w:hint="default" w:ascii="Times New Roman" w:hAnsi="Times New Roman" w:cs="Times New Roman"/>
                <w:snapToGrid w:val="0"/>
                <w:color w:val="auto"/>
                <w:spacing w:val="-6"/>
                <w:kern w:val="21"/>
                <w:sz w:val="21"/>
                <w:szCs w:val="21"/>
              </w:rPr>
              <w:t>排放量（固体废物产生量）</w:t>
            </w:r>
            <w:r>
              <w:rPr>
                <w:rFonts w:hint="default" w:ascii="Times New Roman" w:hAnsi="Times New Roman" w:cs="Times New Roman"/>
                <w:snapToGrid w:val="0"/>
                <w:color w:val="auto"/>
                <w:spacing w:val="-6"/>
                <w:kern w:val="21"/>
                <w:sz w:val="21"/>
                <w:szCs w:val="21"/>
              </w:rPr>
              <w:fldChar w:fldCharType="begin"/>
            </w:r>
            <w:r>
              <w:rPr>
                <w:rFonts w:hint="default" w:ascii="Times New Roman" w:hAnsi="Times New Roman" w:cs="Times New Roman"/>
                <w:snapToGrid w:val="0"/>
                <w:color w:val="auto"/>
                <w:spacing w:val="-6"/>
                <w:kern w:val="21"/>
                <w:sz w:val="21"/>
                <w:szCs w:val="21"/>
              </w:rPr>
              <w:instrText xml:space="preserve"> = 3 \* GB3 \* MERGEFORMAT </w:instrText>
            </w:r>
            <w:r>
              <w:rPr>
                <w:rFonts w:hint="default" w:ascii="Times New Roman" w:hAnsi="Times New Roman" w:cs="Times New Roman"/>
                <w:snapToGrid w:val="0"/>
                <w:color w:val="auto"/>
                <w:spacing w:val="-6"/>
                <w:kern w:val="21"/>
                <w:sz w:val="21"/>
                <w:szCs w:val="21"/>
              </w:rPr>
              <w:fldChar w:fldCharType="separate"/>
            </w:r>
            <w:r>
              <w:rPr>
                <w:rFonts w:hint="default" w:ascii="Times New Roman" w:hAnsi="Times New Roman" w:cs="Times New Roman"/>
                <w:color w:val="auto"/>
                <w:kern w:val="2"/>
                <w:sz w:val="21"/>
                <w:szCs w:val="21"/>
              </w:rPr>
              <w:t>③</w:t>
            </w:r>
            <w:r>
              <w:rPr>
                <w:rFonts w:hint="default" w:ascii="Times New Roman" w:hAnsi="Times New Roman" w:cs="Times New Roman"/>
                <w:snapToGrid w:val="0"/>
                <w:color w:val="auto"/>
                <w:spacing w:val="-6"/>
                <w:kern w:val="21"/>
                <w:sz w:val="21"/>
                <w:szCs w:val="21"/>
              </w:rPr>
              <w:fldChar w:fldCharType="end"/>
            </w:r>
          </w:p>
        </w:tc>
        <w:tc>
          <w:tcPr>
            <w:tcW w:w="1560" w:type="dxa"/>
            <w:tcMar>
              <w:left w:w="28" w:type="dxa"/>
              <w:right w:w="28" w:type="dxa"/>
            </w:tcMar>
            <w:vAlign w:val="center"/>
          </w:tcPr>
          <w:p w14:paraId="5C984D68">
            <w:pPr>
              <w:adjustRightInd w:val="0"/>
              <w:snapToGrid w:val="0"/>
              <w:spacing w:line="240" w:lineRule="auto"/>
              <w:ind w:firstLine="0" w:firstLineChars="0"/>
              <w:jc w:val="center"/>
              <w:rPr>
                <w:rFonts w:hint="default" w:ascii="Times New Roman" w:hAnsi="Times New Roman" w:cs="Times New Roman"/>
                <w:snapToGrid w:val="0"/>
                <w:color w:val="auto"/>
                <w:spacing w:val="-6"/>
                <w:kern w:val="21"/>
                <w:sz w:val="21"/>
                <w:szCs w:val="21"/>
              </w:rPr>
            </w:pPr>
            <w:r>
              <w:rPr>
                <w:rFonts w:hint="default" w:ascii="Times New Roman" w:hAnsi="Times New Roman" w:cs="Times New Roman"/>
                <w:snapToGrid w:val="0"/>
                <w:color w:val="auto"/>
                <w:spacing w:val="-6"/>
                <w:kern w:val="21"/>
                <w:sz w:val="21"/>
                <w:szCs w:val="21"/>
              </w:rPr>
              <w:t>本项目排放量（固体废物产生量）</w:t>
            </w:r>
            <w:r>
              <w:rPr>
                <w:rFonts w:hint="default" w:ascii="Times New Roman" w:hAnsi="Times New Roman" w:cs="Times New Roman"/>
                <w:snapToGrid w:val="0"/>
                <w:color w:val="auto"/>
                <w:spacing w:val="-6"/>
                <w:kern w:val="21"/>
                <w:sz w:val="21"/>
                <w:szCs w:val="21"/>
              </w:rPr>
              <w:fldChar w:fldCharType="begin"/>
            </w:r>
            <w:r>
              <w:rPr>
                <w:rFonts w:hint="default" w:ascii="Times New Roman" w:hAnsi="Times New Roman" w:cs="Times New Roman"/>
                <w:snapToGrid w:val="0"/>
                <w:color w:val="auto"/>
                <w:spacing w:val="-6"/>
                <w:kern w:val="21"/>
                <w:sz w:val="21"/>
                <w:szCs w:val="21"/>
              </w:rPr>
              <w:instrText xml:space="preserve"> = 4 \* GB3 \* MERGEFORMAT </w:instrText>
            </w:r>
            <w:r>
              <w:rPr>
                <w:rFonts w:hint="default" w:ascii="Times New Roman" w:hAnsi="Times New Roman" w:cs="Times New Roman"/>
                <w:snapToGrid w:val="0"/>
                <w:color w:val="auto"/>
                <w:spacing w:val="-6"/>
                <w:kern w:val="21"/>
                <w:sz w:val="21"/>
                <w:szCs w:val="21"/>
              </w:rPr>
              <w:fldChar w:fldCharType="separate"/>
            </w:r>
            <w:r>
              <w:rPr>
                <w:rFonts w:hint="default" w:ascii="Times New Roman" w:hAnsi="Times New Roman" w:cs="Times New Roman"/>
                <w:color w:val="auto"/>
                <w:kern w:val="2"/>
                <w:sz w:val="21"/>
                <w:szCs w:val="21"/>
              </w:rPr>
              <w:t>④</w:t>
            </w:r>
            <w:r>
              <w:rPr>
                <w:rFonts w:hint="default" w:ascii="Times New Roman" w:hAnsi="Times New Roman" w:cs="Times New Roman"/>
                <w:snapToGrid w:val="0"/>
                <w:color w:val="auto"/>
                <w:spacing w:val="-6"/>
                <w:kern w:val="21"/>
                <w:sz w:val="21"/>
                <w:szCs w:val="21"/>
              </w:rPr>
              <w:fldChar w:fldCharType="end"/>
            </w:r>
          </w:p>
          <w:p w14:paraId="4E1CE5E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t/a</w:t>
            </w:r>
          </w:p>
        </w:tc>
        <w:tc>
          <w:tcPr>
            <w:tcW w:w="1844" w:type="dxa"/>
            <w:tcMar>
              <w:left w:w="28" w:type="dxa"/>
              <w:right w:w="28" w:type="dxa"/>
            </w:tcMar>
            <w:vAlign w:val="center"/>
          </w:tcPr>
          <w:p w14:paraId="17043A71">
            <w:pPr>
              <w:adjustRightInd w:val="0"/>
              <w:snapToGrid w:val="0"/>
              <w:spacing w:line="240" w:lineRule="auto"/>
              <w:ind w:firstLine="0" w:firstLineChars="0"/>
              <w:jc w:val="center"/>
              <w:rPr>
                <w:rFonts w:hint="default" w:ascii="Times New Roman" w:hAnsi="Times New Roman" w:cs="Times New Roman"/>
                <w:snapToGrid w:val="0"/>
                <w:color w:val="auto"/>
                <w:spacing w:val="-16"/>
                <w:kern w:val="21"/>
                <w:sz w:val="21"/>
                <w:szCs w:val="21"/>
              </w:rPr>
            </w:pPr>
            <w:r>
              <w:rPr>
                <w:rFonts w:hint="default" w:ascii="Times New Roman" w:hAnsi="Times New Roman" w:cs="Times New Roman"/>
                <w:snapToGrid w:val="0"/>
                <w:color w:val="auto"/>
                <w:spacing w:val="-16"/>
                <w:kern w:val="21"/>
                <w:sz w:val="21"/>
                <w:szCs w:val="21"/>
              </w:rPr>
              <w:t>以新带老削减量</w:t>
            </w:r>
          </w:p>
          <w:p w14:paraId="1D384F82">
            <w:pPr>
              <w:adjustRightInd w:val="0"/>
              <w:snapToGrid w:val="0"/>
              <w:spacing w:line="240" w:lineRule="auto"/>
              <w:ind w:firstLine="0" w:firstLineChars="0"/>
              <w:jc w:val="center"/>
              <w:rPr>
                <w:rFonts w:hint="default" w:ascii="Times New Roman" w:hAnsi="Times New Roman" w:cs="Times New Roman"/>
                <w:snapToGrid w:val="0"/>
                <w:color w:val="auto"/>
                <w:spacing w:val="-16"/>
                <w:kern w:val="21"/>
                <w:sz w:val="21"/>
                <w:szCs w:val="21"/>
              </w:rPr>
            </w:pPr>
            <w:r>
              <w:rPr>
                <w:rFonts w:hint="default" w:ascii="Times New Roman" w:hAnsi="Times New Roman" w:cs="Times New Roman"/>
                <w:snapToGrid w:val="0"/>
                <w:color w:val="auto"/>
                <w:spacing w:val="-16"/>
                <w:kern w:val="21"/>
                <w:sz w:val="21"/>
                <w:szCs w:val="21"/>
              </w:rPr>
              <w:t>（新建项目不填）</w:t>
            </w:r>
            <w:r>
              <w:rPr>
                <w:rFonts w:hint="default" w:ascii="Times New Roman" w:hAnsi="Times New Roman" w:cs="Times New Roman"/>
                <w:snapToGrid w:val="0"/>
                <w:color w:val="auto"/>
                <w:spacing w:val="-16"/>
                <w:kern w:val="21"/>
                <w:sz w:val="21"/>
                <w:szCs w:val="21"/>
              </w:rPr>
              <w:fldChar w:fldCharType="begin"/>
            </w:r>
            <w:r>
              <w:rPr>
                <w:rFonts w:hint="default" w:ascii="Times New Roman" w:hAnsi="Times New Roman" w:cs="Times New Roman"/>
                <w:snapToGrid w:val="0"/>
                <w:color w:val="auto"/>
                <w:spacing w:val="-16"/>
                <w:kern w:val="21"/>
                <w:sz w:val="21"/>
                <w:szCs w:val="21"/>
              </w:rPr>
              <w:instrText xml:space="preserve"> = 5 \* GB3 \* MERGEFORMAT </w:instrText>
            </w:r>
            <w:r>
              <w:rPr>
                <w:rFonts w:hint="default" w:ascii="Times New Roman" w:hAnsi="Times New Roman" w:cs="Times New Roman"/>
                <w:snapToGrid w:val="0"/>
                <w:color w:val="auto"/>
                <w:spacing w:val="-16"/>
                <w:kern w:val="21"/>
                <w:sz w:val="21"/>
                <w:szCs w:val="21"/>
              </w:rPr>
              <w:fldChar w:fldCharType="separate"/>
            </w:r>
            <w:r>
              <w:rPr>
                <w:rFonts w:hint="default" w:ascii="Times New Roman" w:hAnsi="Times New Roman" w:cs="Times New Roman"/>
                <w:color w:val="auto"/>
                <w:kern w:val="2"/>
                <w:sz w:val="21"/>
                <w:szCs w:val="21"/>
              </w:rPr>
              <w:t>⑤</w:t>
            </w:r>
            <w:r>
              <w:rPr>
                <w:rFonts w:hint="default" w:ascii="Times New Roman" w:hAnsi="Times New Roman" w:cs="Times New Roman"/>
                <w:snapToGrid w:val="0"/>
                <w:color w:val="auto"/>
                <w:spacing w:val="-16"/>
                <w:kern w:val="21"/>
                <w:sz w:val="21"/>
                <w:szCs w:val="21"/>
              </w:rPr>
              <w:fldChar w:fldCharType="end"/>
            </w:r>
          </w:p>
        </w:tc>
        <w:tc>
          <w:tcPr>
            <w:tcW w:w="1625" w:type="dxa"/>
            <w:tcMar>
              <w:left w:w="28" w:type="dxa"/>
              <w:right w:w="28" w:type="dxa"/>
            </w:tcMar>
            <w:vAlign w:val="center"/>
          </w:tcPr>
          <w:p w14:paraId="11D42A7A">
            <w:pPr>
              <w:adjustRightInd w:val="0"/>
              <w:snapToGrid w:val="0"/>
              <w:spacing w:line="240" w:lineRule="auto"/>
              <w:ind w:firstLine="0" w:firstLineChars="0"/>
              <w:jc w:val="center"/>
              <w:rPr>
                <w:rFonts w:hint="default" w:ascii="Times New Roman" w:hAnsi="Times New Roman" w:cs="Times New Roman"/>
                <w:snapToGrid w:val="0"/>
                <w:color w:val="auto"/>
                <w:spacing w:val="-16"/>
                <w:kern w:val="21"/>
                <w:sz w:val="21"/>
                <w:szCs w:val="21"/>
              </w:rPr>
            </w:pPr>
            <w:r>
              <w:rPr>
                <w:rFonts w:hint="default" w:ascii="Times New Roman" w:hAnsi="Times New Roman" w:cs="Times New Roman"/>
                <w:snapToGrid w:val="0"/>
                <w:color w:val="auto"/>
                <w:spacing w:val="-16"/>
                <w:kern w:val="21"/>
                <w:sz w:val="21"/>
                <w:szCs w:val="21"/>
              </w:rPr>
              <w:t>本项目建成后全厂排放量（固体废物产生量）</w:t>
            </w:r>
            <w:r>
              <w:rPr>
                <w:rFonts w:hint="default" w:ascii="Times New Roman" w:hAnsi="Times New Roman" w:cs="Times New Roman"/>
                <w:snapToGrid w:val="0"/>
                <w:color w:val="auto"/>
                <w:spacing w:val="-16"/>
                <w:kern w:val="21"/>
                <w:sz w:val="21"/>
                <w:szCs w:val="21"/>
              </w:rPr>
              <w:fldChar w:fldCharType="begin"/>
            </w:r>
            <w:r>
              <w:rPr>
                <w:rFonts w:hint="default" w:ascii="Times New Roman" w:hAnsi="Times New Roman" w:cs="Times New Roman"/>
                <w:snapToGrid w:val="0"/>
                <w:color w:val="auto"/>
                <w:spacing w:val="-16"/>
                <w:kern w:val="21"/>
                <w:sz w:val="21"/>
                <w:szCs w:val="21"/>
              </w:rPr>
              <w:instrText xml:space="preserve"> = 6 \* GB3 \* MERGEFORMAT </w:instrText>
            </w:r>
            <w:r>
              <w:rPr>
                <w:rFonts w:hint="default" w:ascii="Times New Roman" w:hAnsi="Times New Roman" w:cs="Times New Roman"/>
                <w:snapToGrid w:val="0"/>
                <w:color w:val="auto"/>
                <w:spacing w:val="-16"/>
                <w:kern w:val="21"/>
                <w:sz w:val="21"/>
                <w:szCs w:val="21"/>
              </w:rPr>
              <w:fldChar w:fldCharType="separate"/>
            </w:r>
            <w:r>
              <w:rPr>
                <w:rFonts w:hint="default" w:ascii="Times New Roman" w:hAnsi="Times New Roman" w:cs="Times New Roman"/>
                <w:color w:val="auto"/>
                <w:kern w:val="2"/>
                <w:sz w:val="21"/>
                <w:szCs w:val="21"/>
              </w:rPr>
              <w:t>⑥</w:t>
            </w:r>
            <w:r>
              <w:rPr>
                <w:rFonts w:hint="default" w:ascii="Times New Roman" w:hAnsi="Times New Roman" w:cs="Times New Roman"/>
                <w:snapToGrid w:val="0"/>
                <w:color w:val="auto"/>
                <w:spacing w:val="-16"/>
                <w:kern w:val="21"/>
                <w:sz w:val="21"/>
                <w:szCs w:val="21"/>
              </w:rPr>
              <w:fldChar w:fldCharType="end"/>
            </w:r>
          </w:p>
          <w:p w14:paraId="004615E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t/a</w:t>
            </w:r>
          </w:p>
        </w:tc>
        <w:tc>
          <w:tcPr>
            <w:tcW w:w="1443" w:type="dxa"/>
            <w:tcMar>
              <w:left w:w="28" w:type="dxa"/>
              <w:right w:w="28" w:type="dxa"/>
            </w:tcMar>
            <w:vAlign w:val="center"/>
          </w:tcPr>
          <w:p w14:paraId="67971A29">
            <w:pPr>
              <w:adjustRightInd w:val="0"/>
              <w:snapToGrid w:val="0"/>
              <w:spacing w:line="240" w:lineRule="auto"/>
              <w:ind w:firstLine="0" w:firstLineChars="0"/>
              <w:jc w:val="center"/>
              <w:rPr>
                <w:rFonts w:hint="default" w:ascii="Times New Roman" w:hAnsi="Times New Roman" w:cs="Times New Roman"/>
                <w:snapToGrid w:val="0"/>
                <w:color w:val="auto"/>
                <w:spacing w:val="-6"/>
                <w:kern w:val="21"/>
                <w:sz w:val="21"/>
                <w:szCs w:val="21"/>
              </w:rPr>
            </w:pPr>
            <w:r>
              <w:rPr>
                <w:rFonts w:hint="default" w:ascii="Times New Roman" w:hAnsi="Times New Roman" w:cs="Times New Roman"/>
                <w:snapToGrid w:val="0"/>
                <w:color w:val="auto"/>
                <w:spacing w:val="-6"/>
                <w:kern w:val="21"/>
                <w:sz w:val="21"/>
                <w:szCs w:val="21"/>
              </w:rPr>
              <w:t>变化量</w:t>
            </w:r>
          </w:p>
          <w:p w14:paraId="26822EDF">
            <w:pPr>
              <w:adjustRightInd w:val="0"/>
              <w:snapToGrid w:val="0"/>
              <w:spacing w:line="240" w:lineRule="auto"/>
              <w:ind w:firstLine="0" w:firstLineChars="0"/>
              <w:jc w:val="center"/>
              <w:rPr>
                <w:rFonts w:hint="default" w:ascii="Times New Roman" w:hAnsi="Times New Roman" w:cs="Times New Roman"/>
                <w:snapToGrid w:val="0"/>
                <w:color w:val="auto"/>
                <w:spacing w:val="-6"/>
                <w:kern w:val="21"/>
                <w:sz w:val="21"/>
                <w:szCs w:val="21"/>
              </w:rPr>
            </w:pPr>
            <w:r>
              <w:rPr>
                <w:rFonts w:hint="default" w:ascii="Times New Roman" w:hAnsi="Times New Roman" w:cs="Times New Roman"/>
                <w:snapToGrid w:val="0"/>
                <w:color w:val="auto"/>
                <w:spacing w:val="-6"/>
                <w:kern w:val="21"/>
                <w:sz w:val="21"/>
                <w:szCs w:val="21"/>
              </w:rPr>
              <w:fldChar w:fldCharType="begin"/>
            </w:r>
            <w:r>
              <w:rPr>
                <w:rFonts w:hint="default" w:ascii="Times New Roman" w:hAnsi="Times New Roman" w:cs="Times New Roman"/>
                <w:snapToGrid w:val="0"/>
                <w:color w:val="auto"/>
                <w:spacing w:val="-6"/>
                <w:kern w:val="21"/>
                <w:sz w:val="21"/>
                <w:szCs w:val="21"/>
              </w:rPr>
              <w:instrText xml:space="preserve"> = 7 \* GB3 \* MERGEFORMAT </w:instrText>
            </w:r>
            <w:r>
              <w:rPr>
                <w:rFonts w:hint="default" w:ascii="Times New Roman" w:hAnsi="Times New Roman" w:cs="Times New Roman"/>
                <w:snapToGrid w:val="0"/>
                <w:color w:val="auto"/>
                <w:spacing w:val="-6"/>
                <w:kern w:val="21"/>
                <w:sz w:val="21"/>
                <w:szCs w:val="21"/>
              </w:rPr>
              <w:fldChar w:fldCharType="separate"/>
            </w:r>
            <w:r>
              <w:rPr>
                <w:rFonts w:hint="default" w:ascii="Times New Roman" w:hAnsi="Times New Roman" w:cs="Times New Roman"/>
                <w:color w:val="auto"/>
                <w:kern w:val="2"/>
                <w:sz w:val="21"/>
                <w:szCs w:val="21"/>
              </w:rPr>
              <w:t>⑦</w:t>
            </w:r>
            <w:r>
              <w:rPr>
                <w:rFonts w:hint="default" w:ascii="Times New Roman" w:hAnsi="Times New Roman" w:cs="Times New Roman"/>
                <w:snapToGrid w:val="0"/>
                <w:color w:val="auto"/>
                <w:spacing w:val="-6"/>
                <w:kern w:val="21"/>
                <w:sz w:val="21"/>
                <w:szCs w:val="21"/>
              </w:rPr>
              <w:fldChar w:fldCharType="end"/>
            </w:r>
          </w:p>
        </w:tc>
      </w:tr>
      <w:tr w14:paraId="7E0BC0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restart"/>
            <w:vAlign w:val="center"/>
          </w:tcPr>
          <w:p w14:paraId="361A719E">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废气</w:t>
            </w:r>
          </w:p>
        </w:tc>
        <w:tc>
          <w:tcPr>
            <w:tcW w:w="2131" w:type="dxa"/>
            <w:vAlign w:val="center"/>
          </w:tcPr>
          <w:p w14:paraId="08D9AE66">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非甲烷总烃</w:t>
            </w:r>
          </w:p>
        </w:tc>
        <w:tc>
          <w:tcPr>
            <w:tcW w:w="1561" w:type="dxa"/>
            <w:vAlign w:val="center"/>
          </w:tcPr>
          <w:p w14:paraId="0776555A">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276" w:type="dxa"/>
            <w:vAlign w:val="center"/>
          </w:tcPr>
          <w:p w14:paraId="558A8C76">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1DED4EFD">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213A793C">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spacing w:val="-16"/>
                <w:kern w:val="21"/>
                <w:sz w:val="21"/>
                <w:szCs w:val="21"/>
                <w:lang w:val="en-US" w:eastAsia="zh-CN"/>
              </w:rPr>
              <w:t>1.98747</w:t>
            </w:r>
          </w:p>
        </w:tc>
        <w:tc>
          <w:tcPr>
            <w:tcW w:w="1844" w:type="dxa"/>
            <w:vAlign w:val="center"/>
          </w:tcPr>
          <w:p w14:paraId="1D8A94D1">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625" w:type="dxa"/>
            <w:shd w:val="clear" w:color="auto" w:fill="auto"/>
            <w:vAlign w:val="center"/>
          </w:tcPr>
          <w:p w14:paraId="7C1274C0">
            <w:pPr>
              <w:adjustRightInd w:val="0"/>
              <w:snapToGrid w:val="0"/>
              <w:spacing w:line="240" w:lineRule="auto"/>
              <w:ind w:firstLine="0" w:firstLineChars="0"/>
              <w:jc w:val="center"/>
              <w:rPr>
                <w:rFonts w:hint="default" w:ascii="Times New Roman" w:hAnsi="Times New Roman" w:cs="Times New Roman"/>
                <w:snapToGrid w:val="0"/>
                <w:color w:val="auto"/>
                <w:spacing w:val="-16"/>
                <w:kern w:val="21"/>
                <w:sz w:val="21"/>
                <w:szCs w:val="21"/>
              </w:rPr>
            </w:pPr>
            <w:r>
              <w:rPr>
                <w:rFonts w:hint="default" w:ascii="Times New Roman" w:hAnsi="Times New Roman" w:cs="Times New Roman"/>
                <w:snapToGrid w:val="0"/>
                <w:color w:val="auto"/>
                <w:spacing w:val="-16"/>
                <w:kern w:val="21"/>
                <w:sz w:val="21"/>
                <w:szCs w:val="21"/>
                <w:lang w:val="en-US" w:eastAsia="zh-CN"/>
              </w:rPr>
              <w:t>1.98747</w:t>
            </w:r>
          </w:p>
        </w:tc>
        <w:tc>
          <w:tcPr>
            <w:tcW w:w="1443" w:type="dxa"/>
            <w:shd w:val="clear" w:color="auto" w:fill="auto"/>
            <w:vAlign w:val="center"/>
          </w:tcPr>
          <w:p w14:paraId="708757E8">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eastAsia" w:cs="Times New Roman"/>
                <w:snapToGrid w:val="0"/>
                <w:color w:val="auto"/>
                <w:spacing w:val="-16"/>
                <w:kern w:val="21"/>
                <w:sz w:val="21"/>
                <w:szCs w:val="21"/>
                <w:lang w:val="en-US" w:eastAsia="zh-CN"/>
              </w:rPr>
              <w:t>+</w:t>
            </w:r>
            <w:r>
              <w:rPr>
                <w:rFonts w:hint="default" w:ascii="Times New Roman" w:hAnsi="Times New Roman" w:cs="Times New Roman"/>
                <w:snapToGrid w:val="0"/>
                <w:color w:val="auto"/>
                <w:spacing w:val="-16"/>
                <w:kern w:val="21"/>
                <w:sz w:val="21"/>
                <w:szCs w:val="21"/>
                <w:lang w:val="en-US" w:eastAsia="zh-CN"/>
              </w:rPr>
              <w:t>1.98747</w:t>
            </w:r>
          </w:p>
        </w:tc>
      </w:tr>
      <w:tr w14:paraId="3CEA0D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continue"/>
            <w:vAlign w:val="center"/>
          </w:tcPr>
          <w:p w14:paraId="113ED5BD">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2131" w:type="dxa"/>
            <w:vAlign w:val="center"/>
          </w:tcPr>
          <w:p w14:paraId="3D6B28CA">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酚类</w:t>
            </w:r>
          </w:p>
        </w:tc>
        <w:tc>
          <w:tcPr>
            <w:tcW w:w="1561" w:type="dxa"/>
            <w:vAlign w:val="center"/>
          </w:tcPr>
          <w:p w14:paraId="293DC6DB">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276" w:type="dxa"/>
            <w:vAlign w:val="center"/>
          </w:tcPr>
          <w:p w14:paraId="0C23A2EA">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15C8EB97">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0AA34E6C">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spacing w:val="-16"/>
                <w:kern w:val="21"/>
                <w:sz w:val="21"/>
                <w:szCs w:val="21"/>
                <w:lang w:val="en-US" w:eastAsia="zh-CN"/>
              </w:rPr>
              <w:t>0.0018</w:t>
            </w:r>
          </w:p>
        </w:tc>
        <w:tc>
          <w:tcPr>
            <w:tcW w:w="1844" w:type="dxa"/>
            <w:vAlign w:val="center"/>
          </w:tcPr>
          <w:p w14:paraId="2D896F7E">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625" w:type="dxa"/>
            <w:shd w:val="clear" w:color="auto" w:fill="auto"/>
            <w:vAlign w:val="center"/>
          </w:tcPr>
          <w:p w14:paraId="4503C747">
            <w:pPr>
              <w:adjustRightInd w:val="0"/>
              <w:snapToGrid w:val="0"/>
              <w:spacing w:line="240" w:lineRule="auto"/>
              <w:ind w:firstLine="0" w:firstLineChars="0"/>
              <w:jc w:val="center"/>
              <w:rPr>
                <w:rFonts w:hint="default" w:ascii="Times New Roman" w:hAnsi="Times New Roman" w:cs="Times New Roman"/>
                <w:snapToGrid w:val="0"/>
                <w:color w:val="auto"/>
                <w:spacing w:val="-16"/>
                <w:kern w:val="21"/>
                <w:sz w:val="21"/>
                <w:szCs w:val="21"/>
              </w:rPr>
            </w:pPr>
            <w:r>
              <w:rPr>
                <w:rFonts w:hint="default" w:ascii="Times New Roman" w:hAnsi="Times New Roman" w:cs="Times New Roman"/>
                <w:snapToGrid w:val="0"/>
                <w:color w:val="auto"/>
                <w:spacing w:val="-16"/>
                <w:kern w:val="21"/>
                <w:sz w:val="21"/>
                <w:szCs w:val="21"/>
                <w:lang w:val="en-US" w:eastAsia="zh-CN"/>
              </w:rPr>
              <w:t>0.0018</w:t>
            </w:r>
          </w:p>
        </w:tc>
        <w:tc>
          <w:tcPr>
            <w:tcW w:w="1443" w:type="dxa"/>
            <w:shd w:val="clear" w:color="auto" w:fill="auto"/>
            <w:vAlign w:val="center"/>
          </w:tcPr>
          <w:p w14:paraId="03DF5911">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eastAsia" w:cs="Times New Roman"/>
                <w:snapToGrid w:val="0"/>
                <w:color w:val="auto"/>
                <w:spacing w:val="-16"/>
                <w:kern w:val="21"/>
                <w:sz w:val="21"/>
                <w:szCs w:val="21"/>
                <w:lang w:val="en-US" w:eastAsia="zh-CN"/>
              </w:rPr>
              <w:t>+</w:t>
            </w:r>
            <w:r>
              <w:rPr>
                <w:rFonts w:hint="default" w:ascii="Times New Roman" w:hAnsi="Times New Roman" w:cs="Times New Roman"/>
                <w:snapToGrid w:val="0"/>
                <w:color w:val="auto"/>
                <w:spacing w:val="-16"/>
                <w:kern w:val="21"/>
                <w:sz w:val="21"/>
                <w:szCs w:val="21"/>
                <w:lang w:val="en-US" w:eastAsia="zh-CN"/>
              </w:rPr>
              <w:t>0.0018</w:t>
            </w:r>
          </w:p>
        </w:tc>
      </w:tr>
      <w:tr w14:paraId="778B0F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continue"/>
            <w:vAlign w:val="center"/>
          </w:tcPr>
          <w:p w14:paraId="4901E034">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2131" w:type="dxa"/>
            <w:vAlign w:val="center"/>
          </w:tcPr>
          <w:p w14:paraId="756A41C7">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丙烯腈</w:t>
            </w:r>
          </w:p>
        </w:tc>
        <w:tc>
          <w:tcPr>
            <w:tcW w:w="1561" w:type="dxa"/>
            <w:vAlign w:val="center"/>
          </w:tcPr>
          <w:p w14:paraId="4F34E63D">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276" w:type="dxa"/>
            <w:vAlign w:val="center"/>
          </w:tcPr>
          <w:p w14:paraId="0B9CE8CD">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7DF66D0F">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02E97181">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spacing w:val="-16"/>
                <w:kern w:val="21"/>
                <w:sz w:val="21"/>
                <w:szCs w:val="21"/>
                <w:lang w:val="en-US" w:eastAsia="zh-CN"/>
              </w:rPr>
              <w:t>0.00067</w:t>
            </w:r>
          </w:p>
        </w:tc>
        <w:tc>
          <w:tcPr>
            <w:tcW w:w="1844" w:type="dxa"/>
            <w:vAlign w:val="center"/>
          </w:tcPr>
          <w:p w14:paraId="2D788D95">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625" w:type="dxa"/>
            <w:shd w:val="clear" w:color="auto" w:fill="auto"/>
            <w:vAlign w:val="center"/>
          </w:tcPr>
          <w:p w14:paraId="2E43D455">
            <w:pPr>
              <w:adjustRightInd w:val="0"/>
              <w:snapToGrid w:val="0"/>
              <w:spacing w:line="240" w:lineRule="auto"/>
              <w:ind w:firstLine="0" w:firstLineChars="0"/>
              <w:jc w:val="center"/>
              <w:rPr>
                <w:rFonts w:hint="default" w:ascii="Times New Roman" w:hAnsi="Times New Roman" w:cs="Times New Roman"/>
                <w:snapToGrid w:val="0"/>
                <w:color w:val="auto"/>
                <w:spacing w:val="-16"/>
                <w:kern w:val="21"/>
                <w:sz w:val="21"/>
                <w:szCs w:val="21"/>
              </w:rPr>
            </w:pPr>
            <w:r>
              <w:rPr>
                <w:rFonts w:hint="default" w:ascii="Times New Roman" w:hAnsi="Times New Roman" w:cs="Times New Roman"/>
                <w:snapToGrid w:val="0"/>
                <w:color w:val="auto"/>
                <w:spacing w:val="-16"/>
                <w:kern w:val="21"/>
                <w:sz w:val="21"/>
                <w:szCs w:val="21"/>
                <w:lang w:val="en-US" w:eastAsia="zh-CN"/>
              </w:rPr>
              <w:t>0.00067</w:t>
            </w:r>
          </w:p>
        </w:tc>
        <w:tc>
          <w:tcPr>
            <w:tcW w:w="1443" w:type="dxa"/>
            <w:shd w:val="clear" w:color="auto" w:fill="auto"/>
            <w:vAlign w:val="center"/>
          </w:tcPr>
          <w:p w14:paraId="7B789072">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eastAsia" w:cs="Times New Roman"/>
                <w:snapToGrid w:val="0"/>
                <w:color w:val="auto"/>
                <w:spacing w:val="-16"/>
                <w:kern w:val="21"/>
                <w:sz w:val="21"/>
                <w:szCs w:val="21"/>
                <w:lang w:val="en-US" w:eastAsia="zh-CN"/>
              </w:rPr>
              <w:t>+</w:t>
            </w:r>
            <w:r>
              <w:rPr>
                <w:rFonts w:hint="default" w:ascii="Times New Roman" w:hAnsi="Times New Roman" w:cs="Times New Roman"/>
                <w:snapToGrid w:val="0"/>
                <w:color w:val="auto"/>
                <w:spacing w:val="-16"/>
                <w:kern w:val="21"/>
                <w:sz w:val="21"/>
                <w:szCs w:val="21"/>
                <w:lang w:val="en-US" w:eastAsia="zh-CN"/>
              </w:rPr>
              <w:t>0.00067</w:t>
            </w:r>
          </w:p>
        </w:tc>
      </w:tr>
      <w:tr w14:paraId="7529C9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continue"/>
            <w:vAlign w:val="center"/>
          </w:tcPr>
          <w:p w14:paraId="0780FE98">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2131" w:type="dxa"/>
            <w:vAlign w:val="center"/>
          </w:tcPr>
          <w:p w14:paraId="75F28C1A">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苯乙烯</w:t>
            </w:r>
          </w:p>
        </w:tc>
        <w:tc>
          <w:tcPr>
            <w:tcW w:w="1561" w:type="dxa"/>
            <w:vAlign w:val="center"/>
          </w:tcPr>
          <w:p w14:paraId="39696C7D">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276" w:type="dxa"/>
            <w:vAlign w:val="center"/>
          </w:tcPr>
          <w:p w14:paraId="46163C9F">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18AB5442">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187E6C49">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spacing w:val="-16"/>
                <w:kern w:val="21"/>
                <w:sz w:val="21"/>
                <w:szCs w:val="21"/>
                <w:lang w:val="en-US" w:eastAsia="zh-CN"/>
              </w:rPr>
              <w:t>0.00169</w:t>
            </w:r>
          </w:p>
        </w:tc>
        <w:tc>
          <w:tcPr>
            <w:tcW w:w="1844" w:type="dxa"/>
            <w:vAlign w:val="center"/>
          </w:tcPr>
          <w:p w14:paraId="56F4C04A">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625" w:type="dxa"/>
            <w:shd w:val="clear" w:color="auto" w:fill="auto"/>
            <w:vAlign w:val="center"/>
          </w:tcPr>
          <w:p w14:paraId="3F37486B">
            <w:pPr>
              <w:adjustRightInd w:val="0"/>
              <w:snapToGrid w:val="0"/>
              <w:spacing w:line="240" w:lineRule="auto"/>
              <w:ind w:firstLine="0" w:firstLineChars="0"/>
              <w:jc w:val="center"/>
              <w:rPr>
                <w:rFonts w:hint="default" w:ascii="Times New Roman" w:hAnsi="Times New Roman" w:cs="Times New Roman"/>
                <w:snapToGrid w:val="0"/>
                <w:color w:val="auto"/>
                <w:spacing w:val="-16"/>
                <w:kern w:val="21"/>
                <w:sz w:val="21"/>
                <w:szCs w:val="21"/>
              </w:rPr>
            </w:pPr>
            <w:r>
              <w:rPr>
                <w:rFonts w:hint="default" w:ascii="Times New Roman" w:hAnsi="Times New Roman" w:cs="Times New Roman"/>
                <w:snapToGrid w:val="0"/>
                <w:color w:val="auto"/>
                <w:spacing w:val="-16"/>
                <w:kern w:val="21"/>
                <w:sz w:val="21"/>
                <w:szCs w:val="21"/>
                <w:lang w:val="en-US" w:eastAsia="zh-CN"/>
              </w:rPr>
              <w:t>0.00169</w:t>
            </w:r>
          </w:p>
        </w:tc>
        <w:tc>
          <w:tcPr>
            <w:tcW w:w="1443" w:type="dxa"/>
            <w:shd w:val="clear" w:color="auto" w:fill="auto"/>
            <w:vAlign w:val="center"/>
          </w:tcPr>
          <w:p w14:paraId="79DBF5C6">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eastAsia" w:cs="Times New Roman"/>
                <w:snapToGrid w:val="0"/>
                <w:color w:val="auto"/>
                <w:spacing w:val="-16"/>
                <w:kern w:val="21"/>
                <w:sz w:val="21"/>
                <w:szCs w:val="21"/>
                <w:lang w:val="en-US" w:eastAsia="zh-CN"/>
              </w:rPr>
              <w:t>+</w:t>
            </w:r>
            <w:r>
              <w:rPr>
                <w:rFonts w:hint="default" w:ascii="Times New Roman" w:hAnsi="Times New Roman" w:cs="Times New Roman"/>
                <w:snapToGrid w:val="0"/>
                <w:color w:val="auto"/>
                <w:spacing w:val="-16"/>
                <w:kern w:val="21"/>
                <w:sz w:val="21"/>
                <w:szCs w:val="21"/>
                <w:lang w:val="en-US" w:eastAsia="zh-CN"/>
              </w:rPr>
              <w:t>0.00169</w:t>
            </w:r>
          </w:p>
        </w:tc>
      </w:tr>
      <w:tr w14:paraId="3FA2E4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continue"/>
            <w:vAlign w:val="center"/>
          </w:tcPr>
          <w:p w14:paraId="3B73AE1E">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2131" w:type="dxa"/>
            <w:vAlign w:val="center"/>
          </w:tcPr>
          <w:p w14:paraId="528E67F1">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乙苯</w:t>
            </w:r>
          </w:p>
        </w:tc>
        <w:tc>
          <w:tcPr>
            <w:tcW w:w="1561" w:type="dxa"/>
            <w:vAlign w:val="center"/>
          </w:tcPr>
          <w:p w14:paraId="7545D601">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276" w:type="dxa"/>
            <w:vAlign w:val="center"/>
          </w:tcPr>
          <w:p w14:paraId="11EE9834">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1CF986F3">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530A19C2">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spacing w:val="-16"/>
                <w:kern w:val="21"/>
                <w:sz w:val="21"/>
                <w:szCs w:val="21"/>
                <w:lang w:val="en-US" w:eastAsia="zh-CN"/>
              </w:rPr>
              <w:t>0.00100</w:t>
            </w:r>
          </w:p>
        </w:tc>
        <w:tc>
          <w:tcPr>
            <w:tcW w:w="1844" w:type="dxa"/>
            <w:vAlign w:val="center"/>
          </w:tcPr>
          <w:p w14:paraId="6B4EC351">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625" w:type="dxa"/>
            <w:shd w:val="clear" w:color="auto" w:fill="auto"/>
            <w:vAlign w:val="center"/>
          </w:tcPr>
          <w:p w14:paraId="406B0F99">
            <w:pPr>
              <w:adjustRightInd w:val="0"/>
              <w:snapToGrid w:val="0"/>
              <w:spacing w:line="240" w:lineRule="auto"/>
              <w:ind w:firstLine="0" w:firstLineChars="0"/>
              <w:jc w:val="center"/>
              <w:rPr>
                <w:rFonts w:hint="default" w:ascii="Times New Roman" w:hAnsi="Times New Roman" w:cs="Times New Roman"/>
                <w:snapToGrid w:val="0"/>
                <w:color w:val="auto"/>
                <w:spacing w:val="-16"/>
                <w:kern w:val="21"/>
                <w:sz w:val="21"/>
                <w:szCs w:val="21"/>
              </w:rPr>
            </w:pPr>
            <w:r>
              <w:rPr>
                <w:rFonts w:hint="default" w:ascii="Times New Roman" w:hAnsi="Times New Roman" w:cs="Times New Roman"/>
                <w:snapToGrid w:val="0"/>
                <w:color w:val="auto"/>
                <w:spacing w:val="-16"/>
                <w:kern w:val="21"/>
                <w:sz w:val="21"/>
                <w:szCs w:val="21"/>
                <w:lang w:val="en-US" w:eastAsia="zh-CN"/>
              </w:rPr>
              <w:t>0.00100</w:t>
            </w:r>
          </w:p>
        </w:tc>
        <w:tc>
          <w:tcPr>
            <w:tcW w:w="1443" w:type="dxa"/>
            <w:shd w:val="clear" w:color="auto" w:fill="auto"/>
            <w:vAlign w:val="center"/>
          </w:tcPr>
          <w:p w14:paraId="5069464C">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eastAsia" w:cs="Times New Roman"/>
                <w:snapToGrid w:val="0"/>
                <w:color w:val="auto"/>
                <w:spacing w:val="-16"/>
                <w:kern w:val="21"/>
                <w:sz w:val="21"/>
                <w:szCs w:val="21"/>
                <w:lang w:val="en-US" w:eastAsia="zh-CN"/>
              </w:rPr>
              <w:t>+</w:t>
            </w:r>
            <w:r>
              <w:rPr>
                <w:rFonts w:hint="default" w:ascii="Times New Roman" w:hAnsi="Times New Roman" w:cs="Times New Roman"/>
                <w:snapToGrid w:val="0"/>
                <w:color w:val="auto"/>
                <w:spacing w:val="-16"/>
                <w:kern w:val="21"/>
                <w:sz w:val="21"/>
                <w:szCs w:val="21"/>
                <w:lang w:val="en-US" w:eastAsia="zh-CN"/>
              </w:rPr>
              <w:t>0.00100</w:t>
            </w:r>
          </w:p>
        </w:tc>
      </w:tr>
      <w:tr w14:paraId="0A0CB7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continue"/>
            <w:vAlign w:val="center"/>
          </w:tcPr>
          <w:p w14:paraId="1C478F72">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2131" w:type="dxa"/>
            <w:vAlign w:val="center"/>
          </w:tcPr>
          <w:p w14:paraId="11FD3627">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甲苯</w:t>
            </w:r>
          </w:p>
        </w:tc>
        <w:tc>
          <w:tcPr>
            <w:tcW w:w="1561" w:type="dxa"/>
            <w:vAlign w:val="center"/>
          </w:tcPr>
          <w:p w14:paraId="1A600AED">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276" w:type="dxa"/>
            <w:vAlign w:val="center"/>
          </w:tcPr>
          <w:p w14:paraId="520AD0CE">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7EA00B6C">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62C17FA6">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spacing w:val="-16"/>
                <w:kern w:val="21"/>
                <w:sz w:val="21"/>
                <w:szCs w:val="21"/>
                <w:lang w:val="en-US" w:eastAsia="zh-CN"/>
              </w:rPr>
              <w:t>0.000022</w:t>
            </w:r>
          </w:p>
        </w:tc>
        <w:tc>
          <w:tcPr>
            <w:tcW w:w="1844" w:type="dxa"/>
            <w:vAlign w:val="center"/>
          </w:tcPr>
          <w:p w14:paraId="7EF45DB6">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625" w:type="dxa"/>
            <w:shd w:val="clear" w:color="auto" w:fill="auto"/>
            <w:vAlign w:val="center"/>
          </w:tcPr>
          <w:p w14:paraId="41927604">
            <w:pPr>
              <w:adjustRightInd w:val="0"/>
              <w:snapToGrid w:val="0"/>
              <w:spacing w:line="240" w:lineRule="auto"/>
              <w:ind w:firstLine="0" w:firstLineChars="0"/>
              <w:jc w:val="center"/>
              <w:rPr>
                <w:rFonts w:hint="default" w:ascii="Times New Roman" w:hAnsi="Times New Roman" w:cs="Times New Roman"/>
                <w:snapToGrid w:val="0"/>
                <w:color w:val="auto"/>
                <w:spacing w:val="-16"/>
                <w:kern w:val="21"/>
                <w:sz w:val="21"/>
                <w:szCs w:val="21"/>
              </w:rPr>
            </w:pPr>
            <w:r>
              <w:rPr>
                <w:rFonts w:hint="default" w:ascii="Times New Roman" w:hAnsi="Times New Roman" w:cs="Times New Roman"/>
                <w:snapToGrid w:val="0"/>
                <w:color w:val="auto"/>
                <w:spacing w:val="-16"/>
                <w:kern w:val="21"/>
                <w:sz w:val="21"/>
                <w:szCs w:val="21"/>
                <w:lang w:val="en-US" w:eastAsia="zh-CN"/>
              </w:rPr>
              <w:t>0.000022</w:t>
            </w:r>
          </w:p>
        </w:tc>
        <w:tc>
          <w:tcPr>
            <w:tcW w:w="1443" w:type="dxa"/>
            <w:shd w:val="clear" w:color="auto" w:fill="auto"/>
            <w:vAlign w:val="center"/>
          </w:tcPr>
          <w:p w14:paraId="4A0105DA">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eastAsia" w:cs="Times New Roman"/>
                <w:snapToGrid w:val="0"/>
                <w:color w:val="auto"/>
                <w:spacing w:val="-16"/>
                <w:kern w:val="21"/>
                <w:sz w:val="21"/>
                <w:szCs w:val="21"/>
                <w:lang w:val="en-US" w:eastAsia="zh-CN"/>
              </w:rPr>
              <w:t>+</w:t>
            </w:r>
            <w:r>
              <w:rPr>
                <w:rFonts w:hint="default" w:ascii="Times New Roman" w:hAnsi="Times New Roman" w:cs="Times New Roman"/>
                <w:snapToGrid w:val="0"/>
                <w:color w:val="auto"/>
                <w:spacing w:val="-16"/>
                <w:kern w:val="21"/>
                <w:sz w:val="21"/>
                <w:szCs w:val="21"/>
                <w:lang w:val="en-US" w:eastAsia="zh-CN"/>
              </w:rPr>
              <w:t>0.000022</w:t>
            </w:r>
          </w:p>
        </w:tc>
      </w:tr>
      <w:tr w14:paraId="681768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continue"/>
            <w:vAlign w:val="center"/>
          </w:tcPr>
          <w:p w14:paraId="4D90F70F">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2131" w:type="dxa"/>
            <w:vAlign w:val="center"/>
          </w:tcPr>
          <w:p w14:paraId="79F5F007">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1,3-丁二烯</w:t>
            </w:r>
          </w:p>
        </w:tc>
        <w:tc>
          <w:tcPr>
            <w:tcW w:w="1561" w:type="dxa"/>
            <w:vAlign w:val="center"/>
          </w:tcPr>
          <w:p w14:paraId="22A32990">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276" w:type="dxa"/>
            <w:vAlign w:val="center"/>
          </w:tcPr>
          <w:p w14:paraId="6B49078C">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2D31ACE3">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4F0D989A">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spacing w:val="-16"/>
                <w:kern w:val="21"/>
                <w:sz w:val="21"/>
                <w:szCs w:val="21"/>
                <w:lang w:val="en-US" w:eastAsia="zh-CN"/>
              </w:rPr>
              <w:t>0.000096</w:t>
            </w:r>
          </w:p>
        </w:tc>
        <w:tc>
          <w:tcPr>
            <w:tcW w:w="1844" w:type="dxa"/>
            <w:vAlign w:val="center"/>
          </w:tcPr>
          <w:p w14:paraId="1B77EFA8">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625" w:type="dxa"/>
            <w:shd w:val="clear" w:color="auto" w:fill="auto"/>
            <w:vAlign w:val="center"/>
          </w:tcPr>
          <w:p w14:paraId="42BF66B8">
            <w:pPr>
              <w:adjustRightInd w:val="0"/>
              <w:snapToGrid w:val="0"/>
              <w:spacing w:line="240" w:lineRule="auto"/>
              <w:ind w:firstLine="0" w:firstLineChars="0"/>
              <w:jc w:val="center"/>
              <w:rPr>
                <w:rFonts w:hint="default" w:ascii="Times New Roman" w:hAnsi="Times New Roman" w:cs="Times New Roman"/>
                <w:snapToGrid w:val="0"/>
                <w:color w:val="auto"/>
                <w:spacing w:val="-16"/>
                <w:kern w:val="21"/>
                <w:sz w:val="21"/>
                <w:szCs w:val="21"/>
              </w:rPr>
            </w:pPr>
            <w:r>
              <w:rPr>
                <w:rFonts w:hint="default" w:ascii="Times New Roman" w:hAnsi="Times New Roman" w:cs="Times New Roman"/>
                <w:snapToGrid w:val="0"/>
                <w:color w:val="auto"/>
                <w:spacing w:val="-16"/>
                <w:kern w:val="21"/>
                <w:sz w:val="21"/>
                <w:szCs w:val="21"/>
                <w:lang w:val="en-US" w:eastAsia="zh-CN"/>
              </w:rPr>
              <w:t>0.000096</w:t>
            </w:r>
          </w:p>
        </w:tc>
        <w:tc>
          <w:tcPr>
            <w:tcW w:w="1443" w:type="dxa"/>
            <w:shd w:val="clear" w:color="auto" w:fill="auto"/>
            <w:vAlign w:val="center"/>
          </w:tcPr>
          <w:p w14:paraId="3F440319">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eastAsia" w:cs="Times New Roman"/>
                <w:snapToGrid w:val="0"/>
                <w:color w:val="auto"/>
                <w:spacing w:val="-16"/>
                <w:kern w:val="21"/>
                <w:sz w:val="21"/>
                <w:szCs w:val="21"/>
                <w:lang w:val="en-US" w:eastAsia="zh-CN"/>
              </w:rPr>
              <w:t>+</w:t>
            </w:r>
            <w:r>
              <w:rPr>
                <w:rFonts w:hint="default" w:ascii="Times New Roman" w:hAnsi="Times New Roman" w:cs="Times New Roman"/>
                <w:snapToGrid w:val="0"/>
                <w:color w:val="auto"/>
                <w:spacing w:val="-16"/>
                <w:kern w:val="21"/>
                <w:sz w:val="21"/>
                <w:szCs w:val="21"/>
                <w:lang w:val="en-US" w:eastAsia="zh-CN"/>
              </w:rPr>
              <w:t>0.000096</w:t>
            </w:r>
          </w:p>
        </w:tc>
      </w:tr>
      <w:tr w14:paraId="198009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continue"/>
            <w:vAlign w:val="center"/>
          </w:tcPr>
          <w:p w14:paraId="318ADD2B">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2131" w:type="dxa"/>
            <w:vAlign w:val="center"/>
          </w:tcPr>
          <w:p w14:paraId="57D216D4">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颗粒物</w:t>
            </w:r>
          </w:p>
        </w:tc>
        <w:tc>
          <w:tcPr>
            <w:tcW w:w="1561" w:type="dxa"/>
            <w:vAlign w:val="center"/>
          </w:tcPr>
          <w:p w14:paraId="4FCBD463">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276" w:type="dxa"/>
            <w:vAlign w:val="center"/>
          </w:tcPr>
          <w:p w14:paraId="2383E07A">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3E1F0B92">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shd w:val="clear" w:color="auto" w:fill="auto"/>
            <w:vAlign w:val="center"/>
          </w:tcPr>
          <w:p w14:paraId="41DD8107">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0.000952</w:t>
            </w:r>
          </w:p>
        </w:tc>
        <w:tc>
          <w:tcPr>
            <w:tcW w:w="1844" w:type="dxa"/>
            <w:vAlign w:val="center"/>
          </w:tcPr>
          <w:p w14:paraId="2096737D">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625" w:type="dxa"/>
            <w:shd w:val="clear" w:color="auto" w:fill="auto"/>
            <w:vAlign w:val="center"/>
          </w:tcPr>
          <w:p w14:paraId="3AAF2A41">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0.000952</w:t>
            </w:r>
          </w:p>
        </w:tc>
        <w:tc>
          <w:tcPr>
            <w:tcW w:w="1443" w:type="dxa"/>
            <w:shd w:val="clear" w:color="auto" w:fill="auto"/>
            <w:vAlign w:val="center"/>
          </w:tcPr>
          <w:p w14:paraId="26A4DD86">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+0.000952</w:t>
            </w:r>
          </w:p>
        </w:tc>
      </w:tr>
      <w:tr w14:paraId="4C1BFC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restart"/>
            <w:vAlign w:val="center"/>
          </w:tcPr>
          <w:p w14:paraId="6E702245">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废水</w:t>
            </w:r>
          </w:p>
        </w:tc>
        <w:tc>
          <w:tcPr>
            <w:tcW w:w="2131" w:type="dxa"/>
            <w:vAlign w:val="center"/>
          </w:tcPr>
          <w:p w14:paraId="148D2DB4">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COD</w:t>
            </w:r>
          </w:p>
        </w:tc>
        <w:tc>
          <w:tcPr>
            <w:tcW w:w="1561" w:type="dxa"/>
            <w:vAlign w:val="center"/>
          </w:tcPr>
          <w:p w14:paraId="374C305C">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276" w:type="dxa"/>
            <w:vAlign w:val="center"/>
          </w:tcPr>
          <w:p w14:paraId="46D03D72">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44168528">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7855E018">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0.030</w:t>
            </w:r>
          </w:p>
        </w:tc>
        <w:tc>
          <w:tcPr>
            <w:tcW w:w="1844" w:type="dxa"/>
            <w:vAlign w:val="center"/>
          </w:tcPr>
          <w:p w14:paraId="5310B8A4">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625" w:type="dxa"/>
            <w:shd w:val="clear" w:color="auto" w:fill="auto"/>
            <w:vAlign w:val="center"/>
          </w:tcPr>
          <w:p w14:paraId="5DAD9B32">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eastAsia" w:ascii="Times New Roman" w:hAnsi="Times New Roman" w:cs="Times New Roman"/>
                <w:snapToGrid w:val="0"/>
                <w:color w:val="auto"/>
                <w:kern w:val="21"/>
                <w:sz w:val="21"/>
                <w:szCs w:val="21"/>
                <w:lang w:val="en-US" w:eastAsia="zh-CN"/>
              </w:rPr>
              <w:t>0.030</w:t>
            </w:r>
          </w:p>
        </w:tc>
        <w:tc>
          <w:tcPr>
            <w:tcW w:w="1443" w:type="dxa"/>
            <w:shd w:val="clear" w:color="auto" w:fill="auto"/>
            <w:vAlign w:val="center"/>
          </w:tcPr>
          <w:p w14:paraId="7095B5EE">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color w:val="auto"/>
                <w:kern w:val="2"/>
                <w:sz w:val="21"/>
                <w:szCs w:val="21"/>
              </w:rPr>
              <w:t>+</w:t>
            </w:r>
            <w:r>
              <w:rPr>
                <w:rFonts w:hint="default" w:ascii="Times New Roman" w:hAnsi="Times New Roman" w:cs="Times New Roman"/>
                <w:snapToGrid w:val="0"/>
                <w:color w:val="auto"/>
                <w:kern w:val="21"/>
                <w:sz w:val="21"/>
                <w:szCs w:val="21"/>
              </w:rPr>
              <w:t>0.030</w:t>
            </w:r>
          </w:p>
        </w:tc>
      </w:tr>
      <w:tr w14:paraId="4B3FCB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continue"/>
            <w:vAlign w:val="center"/>
          </w:tcPr>
          <w:p w14:paraId="48635B75">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2131" w:type="dxa"/>
            <w:vAlign w:val="center"/>
          </w:tcPr>
          <w:p w14:paraId="39040427">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BOD</w:t>
            </w:r>
            <w:r>
              <w:rPr>
                <w:rFonts w:hint="default" w:ascii="Times New Roman" w:hAnsi="Times New Roman" w:cs="Times New Roman"/>
                <w:snapToGrid w:val="0"/>
                <w:color w:val="auto"/>
                <w:kern w:val="21"/>
                <w:sz w:val="21"/>
                <w:szCs w:val="21"/>
                <w:vertAlign w:val="subscript"/>
              </w:rPr>
              <w:t>5</w:t>
            </w:r>
          </w:p>
        </w:tc>
        <w:tc>
          <w:tcPr>
            <w:tcW w:w="1561" w:type="dxa"/>
            <w:vAlign w:val="center"/>
          </w:tcPr>
          <w:p w14:paraId="73B257CD">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276" w:type="dxa"/>
            <w:vAlign w:val="center"/>
          </w:tcPr>
          <w:p w14:paraId="613CF96C">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229A0453">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50DD8EEA">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0.002</w:t>
            </w:r>
          </w:p>
        </w:tc>
        <w:tc>
          <w:tcPr>
            <w:tcW w:w="1844" w:type="dxa"/>
            <w:vAlign w:val="center"/>
          </w:tcPr>
          <w:p w14:paraId="19327E07">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625" w:type="dxa"/>
            <w:shd w:val="clear" w:color="auto" w:fill="auto"/>
            <w:vAlign w:val="center"/>
          </w:tcPr>
          <w:p w14:paraId="0ADB50DB">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eastAsia" w:ascii="Times New Roman" w:hAnsi="Times New Roman" w:cs="Times New Roman"/>
                <w:snapToGrid w:val="0"/>
                <w:color w:val="auto"/>
                <w:kern w:val="21"/>
                <w:sz w:val="21"/>
                <w:szCs w:val="21"/>
                <w:lang w:val="en-US" w:eastAsia="zh-CN"/>
              </w:rPr>
              <w:t>0.002</w:t>
            </w:r>
          </w:p>
        </w:tc>
        <w:tc>
          <w:tcPr>
            <w:tcW w:w="1443" w:type="dxa"/>
            <w:shd w:val="clear" w:color="auto" w:fill="auto"/>
            <w:vAlign w:val="center"/>
          </w:tcPr>
          <w:p w14:paraId="7231C1D4">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color w:val="auto"/>
                <w:kern w:val="2"/>
                <w:sz w:val="21"/>
                <w:szCs w:val="21"/>
              </w:rPr>
              <w:t>+</w:t>
            </w:r>
            <w:r>
              <w:rPr>
                <w:rFonts w:hint="default" w:ascii="Times New Roman" w:hAnsi="Times New Roman" w:cs="Times New Roman"/>
                <w:snapToGrid w:val="0"/>
                <w:color w:val="auto"/>
                <w:kern w:val="21"/>
                <w:sz w:val="21"/>
                <w:szCs w:val="21"/>
              </w:rPr>
              <w:t>0.002</w:t>
            </w:r>
          </w:p>
        </w:tc>
      </w:tr>
      <w:tr w14:paraId="6AEAFB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continue"/>
            <w:vAlign w:val="center"/>
          </w:tcPr>
          <w:p w14:paraId="6BA15CE5">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2131" w:type="dxa"/>
            <w:vAlign w:val="center"/>
          </w:tcPr>
          <w:p w14:paraId="31227BA4">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SS</w:t>
            </w:r>
          </w:p>
        </w:tc>
        <w:tc>
          <w:tcPr>
            <w:tcW w:w="1561" w:type="dxa"/>
            <w:vAlign w:val="center"/>
          </w:tcPr>
          <w:p w14:paraId="3E80AF74">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276" w:type="dxa"/>
            <w:vAlign w:val="center"/>
          </w:tcPr>
          <w:p w14:paraId="44AD7325">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376406C7">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48FF19E5">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0.003</w:t>
            </w:r>
          </w:p>
        </w:tc>
        <w:tc>
          <w:tcPr>
            <w:tcW w:w="1844" w:type="dxa"/>
            <w:vAlign w:val="center"/>
          </w:tcPr>
          <w:p w14:paraId="3D06A821">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625" w:type="dxa"/>
            <w:shd w:val="clear" w:color="auto" w:fill="auto"/>
            <w:vAlign w:val="center"/>
          </w:tcPr>
          <w:p w14:paraId="535865ED">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eastAsia" w:ascii="Times New Roman" w:hAnsi="Times New Roman" w:cs="Times New Roman"/>
                <w:snapToGrid w:val="0"/>
                <w:color w:val="auto"/>
                <w:kern w:val="21"/>
                <w:sz w:val="21"/>
                <w:szCs w:val="21"/>
                <w:lang w:val="en-US" w:eastAsia="zh-CN"/>
              </w:rPr>
              <w:t>0.003</w:t>
            </w:r>
          </w:p>
        </w:tc>
        <w:tc>
          <w:tcPr>
            <w:tcW w:w="1443" w:type="dxa"/>
            <w:shd w:val="clear" w:color="auto" w:fill="auto"/>
            <w:vAlign w:val="center"/>
          </w:tcPr>
          <w:p w14:paraId="2C27C79F">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color w:val="auto"/>
                <w:kern w:val="2"/>
                <w:sz w:val="21"/>
                <w:szCs w:val="21"/>
              </w:rPr>
              <w:t>+</w:t>
            </w:r>
            <w:r>
              <w:rPr>
                <w:rFonts w:hint="default" w:ascii="Times New Roman" w:hAnsi="Times New Roman" w:cs="Times New Roman"/>
                <w:snapToGrid w:val="0"/>
                <w:color w:val="auto"/>
                <w:kern w:val="21"/>
                <w:sz w:val="21"/>
                <w:szCs w:val="21"/>
              </w:rPr>
              <w:t>0.003</w:t>
            </w:r>
          </w:p>
        </w:tc>
      </w:tr>
      <w:tr w14:paraId="6B1A08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continue"/>
            <w:vAlign w:val="center"/>
          </w:tcPr>
          <w:p w14:paraId="7D6C90D2">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2131" w:type="dxa"/>
            <w:vAlign w:val="center"/>
          </w:tcPr>
          <w:p w14:paraId="70E87B9B">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氨氮</w:t>
            </w:r>
          </w:p>
        </w:tc>
        <w:tc>
          <w:tcPr>
            <w:tcW w:w="1561" w:type="dxa"/>
            <w:vAlign w:val="center"/>
          </w:tcPr>
          <w:p w14:paraId="5F78555F">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276" w:type="dxa"/>
            <w:vAlign w:val="center"/>
          </w:tcPr>
          <w:p w14:paraId="79D43B09">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12B55025">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70FFCF3F">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0.0003</w:t>
            </w:r>
          </w:p>
        </w:tc>
        <w:tc>
          <w:tcPr>
            <w:tcW w:w="1844" w:type="dxa"/>
            <w:vAlign w:val="center"/>
          </w:tcPr>
          <w:p w14:paraId="236B60D6">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625" w:type="dxa"/>
            <w:shd w:val="clear" w:color="auto" w:fill="auto"/>
            <w:vAlign w:val="center"/>
          </w:tcPr>
          <w:p w14:paraId="6579CF48">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eastAsia" w:ascii="Times New Roman" w:hAnsi="Times New Roman" w:cs="Times New Roman"/>
                <w:snapToGrid w:val="0"/>
                <w:color w:val="auto"/>
                <w:kern w:val="21"/>
                <w:sz w:val="21"/>
                <w:szCs w:val="21"/>
                <w:lang w:val="en-US" w:eastAsia="zh-CN"/>
              </w:rPr>
              <w:t>0.0003</w:t>
            </w:r>
          </w:p>
        </w:tc>
        <w:tc>
          <w:tcPr>
            <w:tcW w:w="1443" w:type="dxa"/>
            <w:shd w:val="clear" w:color="auto" w:fill="auto"/>
            <w:vAlign w:val="center"/>
          </w:tcPr>
          <w:p w14:paraId="6A2C6967">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color w:val="auto"/>
                <w:kern w:val="2"/>
                <w:sz w:val="21"/>
                <w:szCs w:val="21"/>
              </w:rPr>
              <w:t>+</w:t>
            </w:r>
            <w:r>
              <w:rPr>
                <w:rFonts w:hint="default" w:ascii="Times New Roman" w:hAnsi="Times New Roman" w:cs="Times New Roman"/>
                <w:snapToGrid w:val="0"/>
                <w:color w:val="auto"/>
                <w:kern w:val="21"/>
                <w:sz w:val="21"/>
                <w:szCs w:val="21"/>
              </w:rPr>
              <w:t>0.0003</w:t>
            </w:r>
          </w:p>
        </w:tc>
      </w:tr>
      <w:tr w14:paraId="627B0E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restart"/>
            <w:vAlign w:val="center"/>
          </w:tcPr>
          <w:p w14:paraId="26072F80">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一般工业固体废物</w:t>
            </w:r>
          </w:p>
        </w:tc>
        <w:tc>
          <w:tcPr>
            <w:tcW w:w="2131" w:type="dxa"/>
            <w:vAlign w:val="center"/>
          </w:tcPr>
          <w:p w14:paraId="6FDDB67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废塑料</w:t>
            </w:r>
          </w:p>
        </w:tc>
        <w:tc>
          <w:tcPr>
            <w:tcW w:w="1561" w:type="dxa"/>
            <w:vAlign w:val="center"/>
          </w:tcPr>
          <w:p w14:paraId="751DCD46">
            <w:pPr>
              <w:spacing w:line="240" w:lineRule="auto"/>
              <w:ind w:firstLine="0" w:firstLineChars="0"/>
              <w:jc w:val="center"/>
              <w:rPr>
                <w:rFonts w:hint="default" w:ascii="Times New Roman" w:hAnsi="Times New Roman" w:cs="Times New Roman"/>
                <w:bCs/>
                <w:color w:val="auto"/>
                <w:kern w:val="2"/>
                <w:sz w:val="21"/>
                <w:szCs w:val="21"/>
              </w:rPr>
            </w:pPr>
          </w:p>
        </w:tc>
        <w:tc>
          <w:tcPr>
            <w:tcW w:w="1276" w:type="dxa"/>
            <w:vAlign w:val="center"/>
          </w:tcPr>
          <w:p w14:paraId="3326F595">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6560D237">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67BFABA0">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2.5</w:t>
            </w:r>
          </w:p>
        </w:tc>
        <w:tc>
          <w:tcPr>
            <w:tcW w:w="1844" w:type="dxa"/>
            <w:vAlign w:val="center"/>
          </w:tcPr>
          <w:p w14:paraId="10824F5A">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625" w:type="dxa"/>
            <w:shd w:val="clear" w:color="auto" w:fill="auto"/>
            <w:vAlign w:val="center"/>
          </w:tcPr>
          <w:p w14:paraId="1C38384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2.5</w:t>
            </w:r>
          </w:p>
        </w:tc>
        <w:tc>
          <w:tcPr>
            <w:tcW w:w="1443" w:type="dxa"/>
            <w:shd w:val="clear" w:color="auto" w:fill="auto"/>
            <w:vAlign w:val="center"/>
          </w:tcPr>
          <w:p w14:paraId="7E51519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+2.5</w:t>
            </w:r>
          </w:p>
        </w:tc>
      </w:tr>
      <w:tr w14:paraId="7F4AB3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continue"/>
            <w:vAlign w:val="center"/>
          </w:tcPr>
          <w:p w14:paraId="6CF16255">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2131" w:type="dxa"/>
            <w:vAlign w:val="center"/>
          </w:tcPr>
          <w:p w14:paraId="1F42DC1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塑料清膛料</w:t>
            </w:r>
          </w:p>
        </w:tc>
        <w:tc>
          <w:tcPr>
            <w:tcW w:w="1561" w:type="dxa"/>
            <w:vAlign w:val="center"/>
          </w:tcPr>
          <w:p w14:paraId="2E94C757">
            <w:pPr>
              <w:spacing w:line="240" w:lineRule="auto"/>
              <w:ind w:firstLine="0" w:firstLineChars="0"/>
              <w:jc w:val="center"/>
              <w:rPr>
                <w:rFonts w:hint="default" w:ascii="Times New Roman" w:hAnsi="Times New Roman" w:cs="Times New Roman"/>
                <w:bCs/>
                <w:color w:val="auto"/>
                <w:kern w:val="2"/>
                <w:sz w:val="21"/>
                <w:szCs w:val="21"/>
              </w:rPr>
            </w:pPr>
          </w:p>
        </w:tc>
        <w:tc>
          <w:tcPr>
            <w:tcW w:w="1276" w:type="dxa"/>
            <w:vAlign w:val="center"/>
          </w:tcPr>
          <w:p w14:paraId="4296DA15">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59B59CF0">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287E289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w:t>
            </w:r>
          </w:p>
        </w:tc>
        <w:tc>
          <w:tcPr>
            <w:tcW w:w="1844" w:type="dxa"/>
            <w:vAlign w:val="center"/>
          </w:tcPr>
          <w:p w14:paraId="68B3A28B">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625" w:type="dxa"/>
            <w:shd w:val="clear" w:color="auto" w:fill="auto"/>
            <w:vAlign w:val="center"/>
          </w:tcPr>
          <w:p w14:paraId="625F838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w:t>
            </w:r>
          </w:p>
        </w:tc>
        <w:tc>
          <w:tcPr>
            <w:tcW w:w="1443" w:type="dxa"/>
            <w:shd w:val="clear" w:color="auto" w:fill="auto"/>
            <w:vAlign w:val="center"/>
          </w:tcPr>
          <w:p w14:paraId="4EBD723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+4</w:t>
            </w:r>
          </w:p>
        </w:tc>
      </w:tr>
      <w:tr w14:paraId="078FEA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continue"/>
            <w:vAlign w:val="center"/>
          </w:tcPr>
          <w:p w14:paraId="1E998325">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2131" w:type="dxa"/>
            <w:vAlign w:val="center"/>
          </w:tcPr>
          <w:p w14:paraId="1762253C">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废包装材料</w:t>
            </w:r>
          </w:p>
        </w:tc>
        <w:tc>
          <w:tcPr>
            <w:tcW w:w="1561" w:type="dxa"/>
            <w:vAlign w:val="center"/>
          </w:tcPr>
          <w:p w14:paraId="45FE185B">
            <w:pPr>
              <w:spacing w:line="240" w:lineRule="auto"/>
              <w:ind w:firstLine="0" w:firstLineChars="0"/>
              <w:jc w:val="center"/>
              <w:rPr>
                <w:rFonts w:hint="default" w:ascii="Times New Roman" w:hAnsi="Times New Roman" w:cs="Times New Roman"/>
                <w:bCs/>
                <w:color w:val="auto"/>
                <w:kern w:val="2"/>
                <w:sz w:val="21"/>
                <w:szCs w:val="21"/>
              </w:rPr>
            </w:pPr>
          </w:p>
        </w:tc>
        <w:tc>
          <w:tcPr>
            <w:tcW w:w="1276" w:type="dxa"/>
            <w:vAlign w:val="center"/>
          </w:tcPr>
          <w:p w14:paraId="3C8D6F42">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45638CA9">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658C53D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w:t>
            </w:r>
          </w:p>
        </w:tc>
        <w:tc>
          <w:tcPr>
            <w:tcW w:w="1844" w:type="dxa"/>
            <w:vAlign w:val="center"/>
          </w:tcPr>
          <w:p w14:paraId="57DA40C5">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625" w:type="dxa"/>
            <w:shd w:val="clear" w:color="auto" w:fill="auto"/>
            <w:vAlign w:val="center"/>
          </w:tcPr>
          <w:p w14:paraId="5185668F">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w:t>
            </w:r>
          </w:p>
        </w:tc>
        <w:tc>
          <w:tcPr>
            <w:tcW w:w="1443" w:type="dxa"/>
            <w:shd w:val="clear" w:color="auto" w:fill="auto"/>
            <w:vAlign w:val="center"/>
          </w:tcPr>
          <w:p w14:paraId="2BEA096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+5</w:t>
            </w:r>
          </w:p>
        </w:tc>
      </w:tr>
      <w:tr w14:paraId="6725BD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continue"/>
            <w:vAlign w:val="center"/>
          </w:tcPr>
          <w:p w14:paraId="7ACE69DD">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2131" w:type="dxa"/>
            <w:vAlign w:val="center"/>
          </w:tcPr>
          <w:p w14:paraId="1B142B7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布袋粉尘</w:t>
            </w:r>
          </w:p>
        </w:tc>
        <w:tc>
          <w:tcPr>
            <w:tcW w:w="1561" w:type="dxa"/>
            <w:vAlign w:val="center"/>
          </w:tcPr>
          <w:p w14:paraId="4BF95B67">
            <w:pPr>
              <w:spacing w:line="240" w:lineRule="auto"/>
              <w:ind w:firstLine="0" w:firstLineChars="0"/>
              <w:jc w:val="center"/>
              <w:rPr>
                <w:rFonts w:hint="default" w:ascii="Times New Roman" w:hAnsi="Times New Roman" w:cs="Times New Roman"/>
                <w:bCs/>
                <w:color w:val="auto"/>
                <w:kern w:val="2"/>
                <w:sz w:val="21"/>
                <w:szCs w:val="21"/>
              </w:rPr>
            </w:pPr>
          </w:p>
        </w:tc>
        <w:tc>
          <w:tcPr>
            <w:tcW w:w="1276" w:type="dxa"/>
            <w:vAlign w:val="center"/>
          </w:tcPr>
          <w:p w14:paraId="0C8EDC77">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479FCB0F">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6FD08BC4">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0.018</w:t>
            </w:r>
          </w:p>
        </w:tc>
        <w:tc>
          <w:tcPr>
            <w:tcW w:w="1844" w:type="dxa"/>
            <w:vAlign w:val="center"/>
          </w:tcPr>
          <w:p w14:paraId="0CA2134F">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625" w:type="dxa"/>
            <w:shd w:val="clear" w:color="auto" w:fill="auto"/>
            <w:vAlign w:val="center"/>
          </w:tcPr>
          <w:p w14:paraId="3005AB6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0.018</w:t>
            </w:r>
          </w:p>
        </w:tc>
        <w:tc>
          <w:tcPr>
            <w:tcW w:w="1443" w:type="dxa"/>
            <w:shd w:val="clear" w:color="auto" w:fill="auto"/>
            <w:vAlign w:val="center"/>
          </w:tcPr>
          <w:p w14:paraId="07CE708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+0.018</w:t>
            </w:r>
          </w:p>
        </w:tc>
      </w:tr>
      <w:tr w14:paraId="01D20D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restart"/>
            <w:vAlign w:val="center"/>
          </w:tcPr>
          <w:p w14:paraId="310F55F1">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危险废物</w:t>
            </w:r>
          </w:p>
        </w:tc>
        <w:tc>
          <w:tcPr>
            <w:tcW w:w="2131" w:type="dxa"/>
            <w:vAlign w:val="center"/>
          </w:tcPr>
          <w:p w14:paraId="23C11076">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废润滑油</w:t>
            </w:r>
          </w:p>
        </w:tc>
        <w:tc>
          <w:tcPr>
            <w:tcW w:w="1561" w:type="dxa"/>
            <w:vAlign w:val="center"/>
          </w:tcPr>
          <w:p w14:paraId="0E10D224">
            <w:pPr>
              <w:spacing w:line="240" w:lineRule="auto"/>
              <w:ind w:firstLine="0" w:firstLineChars="0"/>
              <w:jc w:val="center"/>
              <w:rPr>
                <w:rFonts w:hint="default" w:ascii="Times New Roman" w:hAnsi="Times New Roman" w:cs="Times New Roman"/>
                <w:color w:val="auto"/>
                <w:kern w:val="2"/>
                <w:sz w:val="21"/>
                <w:szCs w:val="21"/>
              </w:rPr>
            </w:pPr>
          </w:p>
        </w:tc>
        <w:tc>
          <w:tcPr>
            <w:tcW w:w="1276" w:type="dxa"/>
            <w:vAlign w:val="center"/>
          </w:tcPr>
          <w:p w14:paraId="179E3668">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67E01246">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0A63A37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0.35</w:t>
            </w:r>
          </w:p>
        </w:tc>
        <w:tc>
          <w:tcPr>
            <w:tcW w:w="1844" w:type="dxa"/>
            <w:vAlign w:val="center"/>
          </w:tcPr>
          <w:p w14:paraId="29F9DD9C">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1625" w:type="dxa"/>
            <w:shd w:val="clear" w:color="auto" w:fill="auto"/>
            <w:vAlign w:val="center"/>
          </w:tcPr>
          <w:p w14:paraId="554852C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0.35</w:t>
            </w:r>
          </w:p>
        </w:tc>
        <w:tc>
          <w:tcPr>
            <w:tcW w:w="1443" w:type="dxa"/>
            <w:shd w:val="clear" w:color="auto" w:fill="auto"/>
            <w:vAlign w:val="center"/>
          </w:tcPr>
          <w:p w14:paraId="7A80C20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+0.35</w:t>
            </w:r>
          </w:p>
        </w:tc>
      </w:tr>
      <w:tr w14:paraId="51236E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continue"/>
            <w:vAlign w:val="center"/>
          </w:tcPr>
          <w:p w14:paraId="5892F102">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2131" w:type="dxa"/>
            <w:vAlign w:val="center"/>
          </w:tcPr>
          <w:p w14:paraId="57B907E9">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废油桶</w:t>
            </w:r>
          </w:p>
        </w:tc>
        <w:tc>
          <w:tcPr>
            <w:tcW w:w="1561" w:type="dxa"/>
            <w:vAlign w:val="center"/>
          </w:tcPr>
          <w:p w14:paraId="7ED7C65C">
            <w:pPr>
              <w:spacing w:line="240" w:lineRule="auto"/>
              <w:ind w:firstLine="0" w:firstLineChars="0"/>
              <w:jc w:val="center"/>
              <w:rPr>
                <w:rFonts w:hint="default" w:ascii="Times New Roman" w:hAnsi="Times New Roman" w:cs="Times New Roman"/>
                <w:color w:val="auto"/>
                <w:kern w:val="2"/>
                <w:sz w:val="21"/>
                <w:szCs w:val="21"/>
              </w:rPr>
            </w:pPr>
          </w:p>
        </w:tc>
        <w:tc>
          <w:tcPr>
            <w:tcW w:w="1276" w:type="dxa"/>
            <w:vAlign w:val="center"/>
          </w:tcPr>
          <w:p w14:paraId="3DA75762">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71108CD4">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4F41EF77">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0.06</w:t>
            </w:r>
          </w:p>
        </w:tc>
        <w:tc>
          <w:tcPr>
            <w:tcW w:w="1844" w:type="dxa"/>
            <w:vAlign w:val="center"/>
          </w:tcPr>
          <w:p w14:paraId="328FBB3F">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1625" w:type="dxa"/>
            <w:shd w:val="clear" w:color="auto" w:fill="auto"/>
            <w:vAlign w:val="center"/>
          </w:tcPr>
          <w:p w14:paraId="5302CD9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0.06</w:t>
            </w:r>
          </w:p>
        </w:tc>
        <w:tc>
          <w:tcPr>
            <w:tcW w:w="1443" w:type="dxa"/>
            <w:shd w:val="clear" w:color="auto" w:fill="auto"/>
            <w:vAlign w:val="center"/>
          </w:tcPr>
          <w:p w14:paraId="1E05DE05">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+0.06</w:t>
            </w:r>
          </w:p>
        </w:tc>
      </w:tr>
      <w:tr w14:paraId="72160B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continue"/>
            <w:vAlign w:val="center"/>
          </w:tcPr>
          <w:p w14:paraId="7706BE04">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2131" w:type="dxa"/>
            <w:vAlign w:val="center"/>
          </w:tcPr>
          <w:p w14:paraId="1F2F5C2E">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废含油抹布/劳保用品</w:t>
            </w:r>
          </w:p>
        </w:tc>
        <w:tc>
          <w:tcPr>
            <w:tcW w:w="1561" w:type="dxa"/>
            <w:vAlign w:val="center"/>
          </w:tcPr>
          <w:p w14:paraId="79938117">
            <w:pPr>
              <w:spacing w:line="240" w:lineRule="auto"/>
              <w:ind w:firstLine="0" w:firstLineChars="0"/>
              <w:jc w:val="center"/>
              <w:rPr>
                <w:rFonts w:hint="default" w:ascii="Times New Roman" w:hAnsi="Times New Roman" w:cs="Times New Roman"/>
                <w:color w:val="auto"/>
                <w:kern w:val="2"/>
                <w:sz w:val="21"/>
                <w:szCs w:val="21"/>
              </w:rPr>
            </w:pPr>
          </w:p>
        </w:tc>
        <w:tc>
          <w:tcPr>
            <w:tcW w:w="1276" w:type="dxa"/>
            <w:vAlign w:val="center"/>
          </w:tcPr>
          <w:p w14:paraId="3FC074EA">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76783AF1">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272138AD">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0.2</w:t>
            </w:r>
          </w:p>
        </w:tc>
        <w:tc>
          <w:tcPr>
            <w:tcW w:w="1844" w:type="dxa"/>
            <w:vAlign w:val="center"/>
          </w:tcPr>
          <w:p w14:paraId="21831ECF">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1625" w:type="dxa"/>
            <w:shd w:val="clear" w:color="auto" w:fill="auto"/>
            <w:vAlign w:val="center"/>
          </w:tcPr>
          <w:p w14:paraId="3AFDC54B">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0.2</w:t>
            </w:r>
          </w:p>
        </w:tc>
        <w:tc>
          <w:tcPr>
            <w:tcW w:w="1443" w:type="dxa"/>
            <w:shd w:val="clear" w:color="auto" w:fill="auto"/>
            <w:vAlign w:val="center"/>
          </w:tcPr>
          <w:p w14:paraId="1CDFDE7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+0.2</w:t>
            </w:r>
          </w:p>
        </w:tc>
      </w:tr>
      <w:tr w14:paraId="7FACCE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continue"/>
            <w:vAlign w:val="center"/>
          </w:tcPr>
          <w:p w14:paraId="43C0723F">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2131" w:type="dxa"/>
            <w:vAlign w:val="center"/>
          </w:tcPr>
          <w:p w14:paraId="789645F8">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废活性炭</w:t>
            </w:r>
          </w:p>
        </w:tc>
        <w:tc>
          <w:tcPr>
            <w:tcW w:w="1561" w:type="dxa"/>
            <w:vAlign w:val="center"/>
          </w:tcPr>
          <w:p w14:paraId="7FE28B65">
            <w:pPr>
              <w:spacing w:line="240" w:lineRule="auto"/>
              <w:ind w:firstLine="0" w:firstLineChars="0"/>
              <w:jc w:val="center"/>
              <w:rPr>
                <w:rFonts w:hint="default" w:ascii="Times New Roman" w:hAnsi="Times New Roman" w:cs="Times New Roman"/>
                <w:color w:val="auto"/>
                <w:kern w:val="2"/>
                <w:sz w:val="21"/>
                <w:szCs w:val="21"/>
              </w:rPr>
            </w:pPr>
          </w:p>
        </w:tc>
        <w:tc>
          <w:tcPr>
            <w:tcW w:w="1276" w:type="dxa"/>
            <w:vAlign w:val="center"/>
          </w:tcPr>
          <w:p w14:paraId="1BE9BCDE">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11D7CCEB">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028DA62D">
            <w:pPr>
              <w:spacing w:line="240" w:lineRule="auto"/>
              <w:ind w:firstLine="0" w:firstLineChars="0"/>
              <w:jc w:val="center"/>
              <w:rPr>
                <w:rFonts w:hint="eastAsia" w:ascii="Times New Roman" w:hAnsi="Times New Roman" w:eastAsia="宋体" w:cs="Times New Roman"/>
                <w:color w:val="auto"/>
                <w:kern w:val="2"/>
                <w:sz w:val="21"/>
                <w:szCs w:val="21"/>
                <w:lang w:eastAsia="zh-CN"/>
              </w:rPr>
            </w:pPr>
            <w:r>
              <w:rPr>
                <w:rFonts w:hint="eastAsia" w:cs="Times New Roman"/>
                <w:color w:val="auto"/>
                <w:kern w:val="2"/>
                <w:sz w:val="21"/>
                <w:szCs w:val="21"/>
                <w:lang w:eastAsia="zh-CN"/>
              </w:rPr>
              <w:t>54.4</w:t>
            </w:r>
          </w:p>
        </w:tc>
        <w:tc>
          <w:tcPr>
            <w:tcW w:w="1844" w:type="dxa"/>
            <w:vAlign w:val="center"/>
          </w:tcPr>
          <w:p w14:paraId="46BF12FC">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1625" w:type="dxa"/>
            <w:shd w:val="clear" w:color="auto" w:fill="auto"/>
            <w:vAlign w:val="center"/>
          </w:tcPr>
          <w:p w14:paraId="19EDE4EB">
            <w:pPr>
              <w:spacing w:line="240" w:lineRule="auto"/>
              <w:ind w:firstLine="0" w:firstLineChars="0"/>
              <w:jc w:val="center"/>
              <w:rPr>
                <w:rFonts w:hint="eastAsia" w:ascii="Times New Roman" w:hAnsi="Times New Roman" w:eastAsia="宋体" w:cs="Times New Roman"/>
                <w:color w:val="auto"/>
                <w:kern w:val="2"/>
                <w:sz w:val="21"/>
                <w:szCs w:val="21"/>
                <w:lang w:eastAsia="zh-CN"/>
              </w:rPr>
            </w:pPr>
            <w:r>
              <w:rPr>
                <w:rFonts w:hint="eastAsia" w:cs="Times New Roman"/>
                <w:color w:val="auto"/>
                <w:kern w:val="2"/>
                <w:sz w:val="21"/>
                <w:szCs w:val="21"/>
                <w:lang w:eastAsia="zh-CN"/>
              </w:rPr>
              <w:t>54.4</w:t>
            </w:r>
          </w:p>
        </w:tc>
        <w:tc>
          <w:tcPr>
            <w:tcW w:w="1443" w:type="dxa"/>
            <w:shd w:val="clear" w:color="auto" w:fill="auto"/>
            <w:vAlign w:val="center"/>
          </w:tcPr>
          <w:p w14:paraId="7A62CF7A">
            <w:pPr>
              <w:spacing w:line="240" w:lineRule="auto"/>
              <w:ind w:firstLine="0" w:firstLineChars="0"/>
              <w:jc w:val="center"/>
              <w:rPr>
                <w:rFonts w:hint="eastAsia" w:ascii="Times New Roman" w:hAnsi="Times New Roman" w:eastAsia="宋体" w:cs="Times New Roman"/>
                <w:color w:val="auto"/>
                <w:kern w:val="2"/>
                <w:sz w:val="21"/>
                <w:szCs w:val="21"/>
                <w:lang w:eastAsia="zh-CN"/>
              </w:rPr>
            </w:pPr>
            <w:r>
              <w:rPr>
                <w:rFonts w:hint="default" w:ascii="Times New Roman" w:hAnsi="Times New Roman" w:cs="Times New Roman"/>
                <w:color w:val="auto"/>
                <w:kern w:val="2"/>
                <w:sz w:val="21"/>
                <w:szCs w:val="21"/>
              </w:rPr>
              <w:t>+</w:t>
            </w:r>
            <w:r>
              <w:rPr>
                <w:rFonts w:hint="eastAsia" w:cs="Times New Roman"/>
                <w:color w:val="auto"/>
                <w:kern w:val="2"/>
                <w:sz w:val="21"/>
                <w:szCs w:val="21"/>
                <w:lang w:eastAsia="zh-CN"/>
              </w:rPr>
              <w:t>54.4</w:t>
            </w:r>
          </w:p>
        </w:tc>
      </w:tr>
      <w:tr w14:paraId="5CE93A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35" w:type="dxa"/>
            <w:vMerge w:val="continue"/>
            <w:vAlign w:val="center"/>
          </w:tcPr>
          <w:p w14:paraId="227D30DC">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2131" w:type="dxa"/>
            <w:vAlign w:val="center"/>
          </w:tcPr>
          <w:p w14:paraId="73B65AB3">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空压机油水混合物</w:t>
            </w:r>
          </w:p>
        </w:tc>
        <w:tc>
          <w:tcPr>
            <w:tcW w:w="1561" w:type="dxa"/>
            <w:vAlign w:val="center"/>
          </w:tcPr>
          <w:p w14:paraId="2BB5EE7C">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276" w:type="dxa"/>
            <w:vAlign w:val="center"/>
          </w:tcPr>
          <w:p w14:paraId="0DF5D8E4">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1" w:type="dxa"/>
            <w:vAlign w:val="center"/>
          </w:tcPr>
          <w:p w14:paraId="46860EFF">
            <w:pPr>
              <w:adjustRightInd w:val="0"/>
              <w:snapToGrid w:val="0"/>
              <w:spacing w:line="240" w:lineRule="auto"/>
              <w:ind w:firstLine="0" w:firstLineChars="0"/>
              <w:jc w:val="center"/>
              <w:rPr>
                <w:rFonts w:hint="default" w:ascii="Times New Roman" w:hAnsi="Times New Roman" w:cs="Times New Roman"/>
                <w:snapToGrid w:val="0"/>
                <w:color w:val="auto"/>
                <w:kern w:val="21"/>
                <w:sz w:val="21"/>
                <w:szCs w:val="21"/>
              </w:rPr>
            </w:pPr>
          </w:p>
        </w:tc>
        <w:tc>
          <w:tcPr>
            <w:tcW w:w="1560" w:type="dxa"/>
            <w:vAlign w:val="center"/>
          </w:tcPr>
          <w:p w14:paraId="079816E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0.45</w:t>
            </w:r>
          </w:p>
        </w:tc>
        <w:tc>
          <w:tcPr>
            <w:tcW w:w="1844" w:type="dxa"/>
            <w:vAlign w:val="center"/>
          </w:tcPr>
          <w:p w14:paraId="3829A7C7">
            <w:pPr>
              <w:adjustRightInd w:val="0"/>
              <w:snapToGrid w:val="0"/>
              <w:spacing w:line="240" w:lineRule="auto"/>
              <w:ind w:firstLine="0" w:firstLineChars="0"/>
              <w:jc w:val="center"/>
              <w:rPr>
                <w:rFonts w:hint="default" w:ascii="Times New Roman" w:hAnsi="Times New Roman" w:cs="Times New Roman"/>
                <w:color w:val="auto"/>
                <w:kern w:val="2"/>
                <w:sz w:val="21"/>
                <w:szCs w:val="21"/>
              </w:rPr>
            </w:pPr>
          </w:p>
        </w:tc>
        <w:tc>
          <w:tcPr>
            <w:tcW w:w="1625" w:type="dxa"/>
            <w:shd w:val="clear" w:color="auto" w:fill="auto"/>
            <w:vAlign w:val="center"/>
          </w:tcPr>
          <w:p w14:paraId="37BF8161">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0.45</w:t>
            </w:r>
          </w:p>
        </w:tc>
        <w:tc>
          <w:tcPr>
            <w:tcW w:w="1443" w:type="dxa"/>
            <w:shd w:val="clear" w:color="auto" w:fill="auto"/>
            <w:vAlign w:val="center"/>
          </w:tcPr>
          <w:p w14:paraId="00568B62">
            <w:pPr>
              <w:spacing w:line="240" w:lineRule="auto"/>
              <w:ind w:firstLine="0" w:firstLineChars="0"/>
              <w:jc w:val="center"/>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+0.45</w:t>
            </w:r>
          </w:p>
        </w:tc>
      </w:tr>
    </w:tbl>
    <w:p w14:paraId="08F5485E">
      <w:pPr>
        <w:ind w:firstLine="480"/>
        <w:rPr>
          <w:rFonts w:hint="default" w:ascii="Times New Roman" w:hAnsi="Times New Roman" w:cs="Times New Roman"/>
          <w:b/>
          <w:color w:val="auto"/>
          <w:spacing w:val="-4"/>
          <w:kern w:val="24"/>
          <w:sz w:val="28"/>
          <w:szCs w:val="28"/>
        </w:rPr>
      </w:pPr>
      <w:r>
        <w:rPr>
          <w:rFonts w:hint="default" w:ascii="Times New Roman" w:hAnsi="Times New Roman" w:cs="Times New Roman"/>
          <w:snapToGrid w:val="0"/>
          <w:color w:val="auto"/>
        </w:rPr>
        <w:t>注：</w:t>
      </w:r>
      <w:r>
        <w:rPr>
          <w:rFonts w:hint="default" w:ascii="Times New Roman" w:hAnsi="Times New Roman" w:cs="Times New Roman"/>
          <w:snapToGrid w:val="0"/>
          <w:color w:val="auto"/>
          <w:spacing w:val="-16"/>
        </w:rPr>
        <w:fldChar w:fldCharType="begin"/>
      </w:r>
      <w:r>
        <w:rPr>
          <w:rFonts w:hint="default" w:ascii="Times New Roman" w:hAnsi="Times New Roman" w:cs="Times New Roman"/>
          <w:snapToGrid w:val="0"/>
          <w:color w:val="auto"/>
          <w:spacing w:val="-16"/>
        </w:rPr>
        <w:instrText xml:space="preserve"> = 6 \* GB3 \* MERGEFORMAT </w:instrText>
      </w:r>
      <w:r>
        <w:rPr>
          <w:rFonts w:hint="default" w:ascii="Times New Roman" w:hAnsi="Times New Roman" w:cs="Times New Roman"/>
          <w:snapToGrid w:val="0"/>
          <w:color w:val="auto"/>
          <w:spacing w:val="-16"/>
        </w:rPr>
        <w:fldChar w:fldCharType="separate"/>
      </w:r>
      <w:r>
        <w:rPr>
          <w:rFonts w:hint="default" w:ascii="Times New Roman" w:hAnsi="Times New Roman" w:cs="Times New Roman"/>
          <w:color w:val="auto"/>
        </w:rPr>
        <w:t>⑥</w:t>
      </w:r>
      <w:r>
        <w:rPr>
          <w:rFonts w:hint="default" w:ascii="Times New Roman" w:hAnsi="Times New Roman" w:cs="Times New Roman"/>
          <w:snapToGrid w:val="0"/>
          <w:color w:val="auto"/>
          <w:spacing w:val="-16"/>
        </w:rPr>
        <w:fldChar w:fldCharType="end"/>
      </w:r>
      <w:r>
        <w:rPr>
          <w:rFonts w:hint="default" w:ascii="Times New Roman" w:hAnsi="Times New Roman" w:cs="Times New Roman"/>
          <w:snapToGrid w:val="0"/>
          <w:color w:val="auto"/>
          <w:spacing w:val="-16"/>
        </w:rPr>
        <w:t>=</w:t>
      </w:r>
      <w:r>
        <w:rPr>
          <w:rFonts w:hint="default" w:ascii="Times New Roman" w:hAnsi="Times New Roman" w:cs="Times New Roman"/>
          <w:snapToGrid w:val="0"/>
          <w:color w:val="auto"/>
        </w:rPr>
        <w:fldChar w:fldCharType="begin"/>
      </w:r>
      <w:r>
        <w:rPr>
          <w:rFonts w:hint="default" w:ascii="Times New Roman" w:hAnsi="Times New Roman" w:cs="Times New Roman"/>
          <w:snapToGrid w:val="0"/>
          <w:color w:val="auto"/>
        </w:rPr>
        <w:instrText xml:space="preserve"> = 1 \* GB3 \* MERGEFORMAT </w:instrText>
      </w:r>
      <w:r>
        <w:rPr>
          <w:rFonts w:hint="default" w:ascii="Times New Roman" w:hAnsi="Times New Roman" w:cs="Times New Roman"/>
          <w:snapToGrid w:val="0"/>
          <w:color w:val="auto"/>
        </w:rPr>
        <w:fldChar w:fldCharType="separate"/>
      </w:r>
      <w:r>
        <w:rPr>
          <w:rFonts w:hint="default" w:ascii="Times New Roman" w:hAnsi="Times New Roman" w:cs="Times New Roman"/>
          <w:color w:val="auto"/>
        </w:rPr>
        <w:t>①</w:t>
      </w:r>
      <w:r>
        <w:rPr>
          <w:rFonts w:hint="default" w:ascii="Times New Roman" w:hAnsi="Times New Roman" w:cs="Times New Roman"/>
          <w:snapToGrid w:val="0"/>
          <w:color w:val="auto"/>
        </w:rPr>
        <w:fldChar w:fldCharType="end"/>
      </w:r>
      <w:r>
        <w:rPr>
          <w:rFonts w:hint="default" w:ascii="Times New Roman" w:hAnsi="Times New Roman" w:cs="Times New Roman"/>
          <w:snapToGrid w:val="0"/>
          <w:color w:val="auto"/>
        </w:rPr>
        <w:t>+</w:t>
      </w:r>
      <w:r>
        <w:rPr>
          <w:rFonts w:hint="default" w:ascii="Times New Roman" w:hAnsi="Times New Roman" w:cs="Times New Roman"/>
          <w:snapToGrid w:val="0"/>
          <w:color w:val="auto"/>
        </w:rPr>
        <w:fldChar w:fldCharType="begin"/>
      </w:r>
      <w:r>
        <w:rPr>
          <w:rFonts w:hint="default" w:ascii="Times New Roman" w:hAnsi="Times New Roman" w:cs="Times New Roman"/>
          <w:snapToGrid w:val="0"/>
          <w:color w:val="auto"/>
        </w:rPr>
        <w:instrText xml:space="preserve"> = 3 \* GB3 \* MERGEFORMAT </w:instrText>
      </w:r>
      <w:r>
        <w:rPr>
          <w:rFonts w:hint="default" w:ascii="Times New Roman" w:hAnsi="Times New Roman" w:cs="Times New Roman"/>
          <w:snapToGrid w:val="0"/>
          <w:color w:val="auto"/>
        </w:rPr>
        <w:fldChar w:fldCharType="separate"/>
      </w:r>
      <w:r>
        <w:rPr>
          <w:rFonts w:hint="default" w:ascii="Times New Roman" w:hAnsi="Times New Roman" w:cs="Times New Roman"/>
          <w:color w:val="auto"/>
        </w:rPr>
        <w:t>③</w:t>
      </w:r>
      <w:r>
        <w:rPr>
          <w:rFonts w:hint="default" w:ascii="Times New Roman" w:hAnsi="Times New Roman" w:cs="Times New Roman"/>
          <w:snapToGrid w:val="0"/>
          <w:color w:val="auto"/>
        </w:rPr>
        <w:fldChar w:fldCharType="end"/>
      </w:r>
      <w:r>
        <w:rPr>
          <w:rFonts w:hint="default" w:ascii="Times New Roman" w:hAnsi="Times New Roman" w:cs="Times New Roman"/>
          <w:snapToGrid w:val="0"/>
          <w:color w:val="auto"/>
        </w:rPr>
        <w:t>+</w:t>
      </w:r>
      <w:r>
        <w:rPr>
          <w:rFonts w:hint="default" w:ascii="Times New Roman" w:hAnsi="Times New Roman" w:cs="Times New Roman"/>
          <w:snapToGrid w:val="0"/>
          <w:color w:val="auto"/>
        </w:rPr>
        <w:fldChar w:fldCharType="begin"/>
      </w:r>
      <w:r>
        <w:rPr>
          <w:rFonts w:hint="default" w:ascii="Times New Roman" w:hAnsi="Times New Roman" w:cs="Times New Roman"/>
          <w:snapToGrid w:val="0"/>
          <w:color w:val="auto"/>
        </w:rPr>
        <w:instrText xml:space="preserve"> = 4 \* GB3 \* MERGEFORMAT </w:instrText>
      </w:r>
      <w:r>
        <w:rPr>
          <w:rFonts w:hint="default" w:ascii="Times New Roman" w:hAnsi="Times New Roman" w:cs="Times New Roman"/>
          <w:snapToGrid w:val="0"/>
          <w:color w:val="auto"/>
        </w:rPr>
        <w:fldChar w:fldCharType="separate"/>
      </w:r>
      <w:r>
        <w:rPr>
          <w:rFonts w:hint="default" w:ascii="Times New Roman" w:hAnsi="Times New Roman" w:cs="Times New Roman"/>
          <w:color w:val="auto"/>
        </w:rPr>
        <w:t>④</w:t>
      </w:r>
      <w:r>
        <w:rPr>
          <w:rFonts w:hint="default" w:ascii="Times New Roman" w:hAnsi="Times New Roman" w:cs="Times New Roman"/>
          <w:snapToGrid w:val="0"/>
          <w:color w:val="auto"/>
        </w:rPr>
        <w:fldChar w:fldCharType="end"/>
      </w:r>
      <w:r>
        <w:rPr>
          <w:rFonts w:hint="default" w:ascii="Times New Roman" w:hAnsi="Times New Roman" w:cs="Times New Roman"/>
          <w:snapToGrid w:val="0"/>
          <w:color w:val="auto"/>
        </w:rPr>
        <w:t>-</w:t>
      </w:r>
      <w:r>
        <w:rPr>
          <w:rFonts w:hint="default" w:ascii="Times New Roman" w:hAnsi="Times New Roman" w:cs="Times New Roman"/>
          <w:snapToGrid w:val="0"/>
          <w:color w:val="auto"/>
          <w:spacing w:val="-16"/>
        </w:rPr>
        <w:fldChar w:fldCharType="begin"/>
      </w:r>
      <w:r>
        <w:rPr>
          <w:rFonts w:hint="default" w:ascii="Times New Roman" w:hAnsi="Times New Roman" w:cs="Times New Roman"/>
          <w:snapToGrid w:val="0"/>
          <w:color w:val="auto"/>
          <w:spacing w:val="-16"/>
        </w:rPr>
        <w:instrText xml:space="preserve"> = 5 \* GB3 \* MERGEFORMAT </w:instrText>
      </w:r>
      <w:r>
        <w:rPr>
          <w:rFonts w:hint="default" w:ascii="Times New Roman" w:hAnsi="Times New Roman" w:cs="Times New Roman"/>
          <w:snapToGrid w:val="0"/>
          <w:color w:val="auto"/>
          <w:spacing w:val="-16"/>
        </w:rPr>
        <w:fldChar w:fldCharType="separate"/>
      </w:r>
      <w:r>
        <w:rPr>
          <w:rFonts w:hint="default" w:ascii="Times New Roman" w:hAnsi="Times New Roman" w:cs="Times New Roman"/>
          <w:color w:val="auto"/>
        </w:rPr>
        <w:t>⑤</w:t>
      </w:r>
      <w:r>
        <w:rPr>
          <w:rFonts w:hint="default" w:ascii="Times New Roman" w:hAnsi="Times New Roman" w:cs="Times New Roman"/>
          <w:snapToGrid w:val="0"/>
          <w:color w:val="auto"/>
          <w:spacing w:val="-16"/>
        </w:rPr>
        <w:fldChar w:fldCharType="end"/>
      </w:r>
      <w:r>
        <w:rPr>
          <w:rFonts w:hint="default" w:ascii="Times New Roman" w:hAnsi="Times New Roman" w:cs="Times New Roman"/>
          <w:snapToGrid w:val="0"/>
          <w:color w:val="auto"/>
          <w:spacing w:val="-16"/>
        </w:rPr>
        <w:t>；</w:t>
      </w:r>
      <w:r>
        <w:rPr>
          <w:rFonts w:hint="default" w:ascii="Times New Roman" w:hAnsi="Times New Roman" w:cs="Times New Roman"/>
          <w:snapToGrid w:val="0"/>
          <w:color w:val="auto"/>
        </w:rPr>
        <w:fldChar w:fldCharType="begin"/>
      </w:r>
      <w:r>
        <w:rPr>
          <w:rFonts w:hint="default" w:ascii="Times New Roman" w:hAnsi="Times New Roman" w:cs="Times New Roman"/>
          <w:snapToGrid w:val="0"/>
          <w:color w:val="auto"/>
        </w:rPr>
        <w:instrText xml:space="preserve"> = 7 \* GB3 \* MERGEFORMAT </w:instrText>
      </w:r>
      <w:r>
        <w:rPr>
          <w:rFonts w:hint="default" w:ascii="Times New Roman" w:hAnsi="Times New Roman" w:cs="Times New Roman"/>
          <w:snapToGrid w:val="0"/>
          <w:color w:val="auto"/>
        </w:rPr>
        <w:fldChar w:fldCharType="separate"/>
      </w:r>
      <w:r>
        <w:rPr>
          <w:rFonts w:hint="default" w:ascii="Times New Roman" w:hAnsi="Times New Roman" w:cs="Times New Roman"/>
          <w:color w:val="auto"/>
        </w:rPr>
        <w:t>⑦</w:t>
      </w:r>
      <w:r>
        <w:rPr>
          <w:rFonts w:hint="default" w:ascii="Times New Roman" w:hAnsi="Times New Roman" w:cs="Times New Roman"/>
          <w:snapToGrid w:val="0"/>
          <w:color w:val="auto"/>
        </w:rPr>
        <w:fldChar w:fldCharType="end"/>
      </w:r>
      <w:r>
        <w:rPr>
          <w:rFonts w:hint="default" w:ascii="Times New Roman" w:hAnsi="Times New Roman" w:cs="Times New Roman"/>
          <w:snapToGrid w:val="0"/>
          <w:color w:val="auto"/>
        </w:rPr>
        <w:t>=</w:t>
      </w:r>
      <w:r>
        <w:rPr>
          <w:rFonts w:hint="default" w:ascii="Times New Roman" w:hAnsi="Times New Roman" w:cs="Times New Roman"/>
          <w:snapToGrid w:val="0"/>
          <w:color w:val="auto"/>
          <w:spacing w:val="-16"/>
        </w:rPr>
        <w:fldChar w:fldCharType="begin"/>
      </w:r>
      <w:r>
        <w:rPr>
          <w:rFonts w:hint="default" w:ascii="Times New Roman" w:hAnsi="Times New Roman" w:cs="Times New Roman"/>
          <w:snapToGrid w:val="0"/>
          <w:color w:val="auto"/>
          <w:spacing w:val="-16"/>
        </w:rPr>
        <w:instrText xml:space="preserve"> = 6 \* GB3 \* MERGEFORMAT </w:instrText>
      </w:r>
      <w:r>
        <w:rPr>
          <w:rFonts w:hint="default" w:ascii="Times New Roman" w:hAnsi="Times New Roman" w:cs="Times New Roman"/>
          <w:snapToGrid w:val="0"/>
          <w:color w:val="auto"/>
          <w:spacing w:val="-16"/>
        </w:rPr>
        <w:fldChar w:fldCharType="separate"/>
      </w:r>
      <w:r>
        <w:rPr>
          <w:rFonts w:hint="default" w:ascii="Times New Roman" w:hAnsi="Times New Roman" w:cs="Times New Roman"/>
          <w:color w:val="auto"/>
        </w:rPr>
        <w:t>⑥</w:t>
      </w:r>
      <w:r>
        <w:rPr>
          <w:rFonts w:hint="default" w:ascii="Times New Roman" w:hAnsi="Times New Roman" w:cs="Times New Roman"/>
          <w:snapToGrid w:val="0"/>
          <w:color w:val="auto"/>
          <w:spacing w:val="-16"/>
        </w:rPr>
        <w:fldChar w:fldCharType="end"/>
      </w:r>
      <w:r>
        <w:rPr>
          <w:rFonts w:hint="default" w:ascii="Times New Roman" w:hAnsi="Times New Roman" w:cs="Times New Roman"/>
          <w:snapToGrid w:val="0"/>
          <w:color w:val="auto"/>
          <w:spacing w:val="-16"/>
        </w:rPr>
        <w:t>-</w:t>
      </w:r>
      <w:r>
        <w:rPr>
          <w:rFonts w:hint="default" w:ascii="Times New Roman" w:hAnsi="Times New Roman" w:cs="Times New Roman"/>
          <w:snapToGrid w:val="0"/>
          <w:color w:val="auto"/>
        </w:rPr>
        <w:fldChar w:fldCharType="begin"/>
      </w:r>
      <w:r>
        <w:rPr>
          <w:rFonts w:hint="default" w:ascii="Times New Roman" w:hAnsi="Times New Roman" w:cs="Times New Roman"/>
          <w:snapToGrid w:val="0"/>
          <w:color w:val="auto"/>
        </w:rPr>
        <w:instrText xml:space="preserve"> = 1 \* GB3 \* MERGEFORMAT </w:instrText>
      </w:r>
      <w:r>
        <w:rPr>
          <w:rFonts w:hint="default" w:ascii="Times New Roman" w:hAnsi="Times New Roman" w:cs="Times New Roman"/>
          <w:snapToGrid w:val="0"/>
          <w:color w:val="auto"/>
        </w:rPr>
        <w:fldChar w:fldCharType="separate"/>
      </w:r>
      <w:r>
        <w:rPr>
          <w:rFonts w:hint="default" w:ascii="Times New Roman" w:hAnsi="Times New Roman" w:cs="Times New Roman"/>
          <w:color w:val="auto"/>
        </w:rPr>
        <w:t>①</w:t>
      </w:r>
      <w:r>
        <w:rPr>
          <w:rFonts w:hint="default" w:ascii="Times New Roman" w:hAnsi="Times New Roman" w:cs="Times New Roman"/>
          <w:snapToGrid w:val="0"/>
          <w:color w:val="auto"/>
        </w:rPr>
        <w:fldChar w:fldCharType="end"/>
      </w:r>
    </w:p>
    <w:p w14:paraId="5842757B">
      <w:pPr>
        <w:ind w:firstLine="546"/>
        <w:rPr>
          <w:rFonts w:hint="default" w:ascii="Times New Roman" w:hAnsi="Times New Roman" w:cs="Times New Roman"/>
          <w:b/>
          <w:color w:val="auto"/>
          <w:spacing w:val="-4"/>
          <w:kern w:val="24"/>
          <w:sz w:val="28"/>
          <w:szCs w:val="28"/>
        </w:rPr>
        <w:sectPr>
          <w:headerReference r:id="rId33" w:type="default"/>
          <w:pgSz w:w="16840" w:h="11907" w:orient="landscape"/>
          <w:pgMar w:top="1797" w:right="1440" w:bottom="1797" w:left="1440" w:header="851" w:footer="992" w:gutter="0"/>
          <w:cols w:space="720" w:num="1"/>
          <w:docGrid w:type="lines" w:linePitch="312" w:charSpace="0"/>
        </w:sectPr>
      </w:pPr>
    </w:p>
    <w:p w14:paraId="604EC663">
      <w:pPr>
        <w:ind w:firstLine="0" w:firstLineChars="0"/>
        <w:outlineLvl w:val="0"/>
        <w:rPr>
          <w:rFonts w:hint="default" w:ascii="Times New Roman" w:hAnsi="Times New Roman" w:cs="Times New Roman"/>
          <w:color w:val="auto"/>
          <w:szCs w:val="24"/>
        </w:rPr>
      </w:pPr>
    </w:p>
    <w:sectPr>
      <w:pgSz w:w="11907" w:h="16840"/>
      <w:pgMar w:top="1440" w:right="1797" w:bottom="1440" w:left="1797" w:header="851" w:footer="992"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431">
      <wne:acd wne:acdName="acd0"/>
    </wne:keymap>
    <wne:keymap wne:kcmPrimary="0432">
      <wne:acd wne:acdName="acd1"/>
    </wne:keymap>
    <wne:keymap wne:kcmPrimary="0433">
      <wne:acd wne:acdName="acd2"/>
    </wne:keymap>
    <wne:keymap wne:kcmPrimary="0434">
      <wne:acd wne:acdName="acd3"/>
    </wne:keymap>
    <wne:keymap wne:kcmPrimary="0435">
      <wne:acd wne:acdName="acd4"/>
    </wne:keymap>
  </wne:keymaps>
  <wne:acds>
    <wne:acd wne:argValue="AQAAAAEA" wne:acdName="acd0" wne:fciIndexBasedOn="0065"/>
    <wne:acd wne:argValue="AQAAAAIA" wne:acdName="acd1" wne:fciIndexBasedOn="0065"/>
    <wne:acd wne:argValue="AgAHaJiYMwA=" wne:acdName="acd2" wne:fciIndexBasedOn="0065"/>
    <wne:acd wne:argValue="AQAAAAAA" wne:acdName="acd3" wne:fciIndexBasedOn="0065"/>
    <wne:acd wne:argValue="AgBoiA==" wne:acdName="acd4"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Dutch801 Rm BT">
    <w:panose1 w:val="02020603060505020304"/>
    <w:charset w:val="00"/>
    <w:family w:val="roman"/>
    <w:pitch w:val="default"/>
    <w:sig w:usb0="00000000" w:usb1="00000000" w:usb2="00000000" w:usb3="00000000" w:csb0="00000000" w:csb1="00000000"/>
  </w:font>
  <w:font w:name="Times New Romans">
    <w:altName w:val="Times New Roman"/>
    <w:panose1 w:val="00000000000000000000"/>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decorative"/>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S Mincho">
    <w:altName w:val="Kozuka Mincho Pro M"/>
    <w:panose1 w:val="02020609040205080304"/>
    <w:charset w:val="80"/>
    <w:family w:val="modern"/>
    <w:pitch w:val="default"/>
    <w:sig w:usb0="00000000" w:usb1="00000000" w:usb2="00000012" w:usb3="00000000" w:csb0="0002009F" w:csb1="00000000"/>
  </w:font>
  <w:font w:name="Kozuka Mincho Pro M">
    <w:panose1 w:val="02020600000000000000"/>
    <w:charset w:val="80"/>
    <w:family w:val="auto"/>
    <w:pitch w:val="default"/>
    <w:sig w:usb0="00000083" w:usb1="2AC71C11" w:usb2="00000012" w:usb3="00000000" w:csb0="20020005" w:csb1="00000000"/>
  </w:font>
  <w:font w:name="Arial Unicode MS">
    <w:panose1 w:val="020B0604020202020204"/>
    <w:charset w:val="86"/>
    <w:family w:val="swiss"/>
    <w:pitch w:val="default"/>
    <w:sig w:usb0="FFFFFFFF" w:usb1="E9FFFFFF" w:usb2="0000003F" w:usb3="00000000" w:csb0="603F01FF" w:csb1="FFFF0000"/>
  </w:font>
  <w:font w:name="Candara">
    <w:panose1 w:val="020E0502030303020204"/>
    <w:charset w:val="00"/>
    <w:family w:val="swiss"/>
    <w:pitch w:val="default"/>
    <w:sig w:usb0="A00002EF" w:usb1="4000A44B" w:usb2="00000000" w:usb3="00000000" w:csb0="2000019F" w:csb1="00000000"/>
  </w:font>
  <w:font w:name="微软雅黑">
    <w:panose1 w:val="020B0503020204020204"/>
    <w:charset w:val="86"/>
    <w:family w:val="swiss"/>
    <w:pitch w:val="default"/>
    <w:sig w:usb0="80000287" w:usb1="28CF3C50" w:usb2="00000016" w:usb3="00000000" w:csb0="0004001F" w:csb1="00000000"/>
  </w:font>
  <w:font w:name="Arial Narrow">
    <w:panose1 w:val="020B0606020202030204"/>
    <w:charset w:val="00"/>
    <w:family w:val="swiss"/>
    <w:pitch w:val="default"/>
    <w:sig w:usb0="00000287" w:usb1="00000800" w:usb2="00000000" w:usb3="00000000" w:csb0="2000009F" w:csb1="DFD7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IDFont+F2">
    <w:altName w:val="Times New Roman"/>
    <w:panose1 w:val="00000000000000000000"/>
    <w:charset w:val="00"/>
    <w:family w:val="roman"/>
    <w:pitch w:val="default"/>
    <w:sig w:usb0="00000000" w:usb1="00000000" w:usb2="00000000"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华文细黑">
    <w:panose1 w:val="02010600040101010101"/>
    <w:charset w:val="86"/>
    <w:family w:val="auto"/>
    <w:pitch w:val="default"/>
    <w:sig w:usb0="00000287" w:usb1="080F0000" w:usb2="00000000" w:usb3="00000000" w:csb0="0004009F" w:csb1="DFD70000"/>
  </w:font>
  <w:font w:name="Microsoft YaHei UI">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4A1C5">
    <w:pPr>
      <w:pStyle w:val="27"/>
      <w:ind w:firstLine="360"/>
      <w:jc w:val="center"/>
    </w:pPr>
    <w:r>
      <w:fldChar w:fldCharType="begin"/>
    </w:r>
    <w:r>
      <w:instrText xml:space="preserve"> PAGE   \* MERGEFORMAT </w:instrText>
    </w:r>
    <w:r>
      <w:fldChar w:fldCharType="separate"/>
    </w:r>
    <w:r>
      <w:rPr>
        <w:lang w:val="zh-CN"/>
      </w:rPr>
      <w:t>40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A53E6">
    <w:pPr>
      <w:pStyle w:val="2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254BC">
    <w:pPr>
      <w:pStyle w:val="2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37646">
    <w:pPr>
      <w:pStyle w:val="27"/>
      <w:ind w:firstLine="360"/>
      <w:jc w:val="center"/>
    </w:pPr>
    <w:r>
      <w:fldChar w:fldCharType="begin"/>
    </w:r>
    <w:r>
      <w:instrText xml:space="preserve"> PAGE   \* MERGEFORMAT </w:instrText>
    </w:r>
    <w:r>
      <w:fldChar w:fldCharType="separate"/>
    </w:r>
    <w:r>
      <w:rPr>
        <w:lang w:val="zh-CN"/>
      </w:rPr>
      <w:t>115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38B0C">
    <w:pPr>
      <w:pStyle w:val="28"/>
      <w:pBdr>
        <w:bottom w:val="none" w:color="auto" w:sz="0" w:space="0"/>
      </w:pBdr>
      <w:ind w:firstLine="360"/>
    </w:pPr>
    <w:r>
      <w:rPr>
        <w:rFonts w:hint="eastAsia"/>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5BB08">
    <w:pPr>
      <w:pStyle w:val="28"/>
      <w:pBdr>
        <w:bottom w:val="none" w:color="auto" w:sz="0" w:space="0"/>
      </w:pBdr>
      <w:ind w:firstLine="360"/>
    </w:pPr>
    <w:r>
      <w:rPr>
        <w:rFonts w:hint="eastAsia"/>
      </w:rPr>
      <w:drawing>
        <wp:anchor distT="0" distB="0" distL="114300" distR="114300" simplePos="0" relativeHeight="251666432" behindDoc="1" locked="0" layoutInCell="1" allowOverlap="1">
          <wp:simplePos x="0" y="0"/>
          <wp:positionH relativeFrom="column">
            <wp:posOffset>-662940</wp:posOffset>
          </wp:positionH>
          <wp:positionV relativeFrom="paragraph">
            <wp:posOffset>80645</wp:posOffset>
          </wp:positionV>
          <wp:extent cx="6256020" cy="9532620"/>
          <wp:effectExtent l="0" t="0" r="0" b="0"/>
          <wp:wrapNone/>
          <wp:docPr id="8" name="图片 8" descr="环境保护目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环境保护目标"/>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256020" cy="9532620"/>
                  </a:xfrm>
                  <a:prstGeom prst="rect">
                    <a:avLst/>
                  </a:prstGeom>
                  <a:noFill/>
                  <a:ln>
                    <a:noFill/>
                  </a:ln>
                </pic:spPr>
              </pic:pic>
            </a:graphicData>
          </a:graphic>
        </wp:anchor>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8AA34">
    <w:pPr>
      <w:pStyle w:val="28"/>
      <w:pBdr>
        <w:bottom w:val="none" w:color="auto" w:sz="0" w:space="0"/>
      </w:pBdr>
      <w:ind w:firstLine="360"/>
    </w:pPr>
    <w:r>
      <w:rPr>
        <w:rFonts w:hint="eastAsia"/>
      </w:rPr>
      <w:drawing>
        <wp:anchor distT="0" distB="0" distL="114300" distR="114300" simplePos="0" relativeHeight="251667456" behindDoc="1" locked="0" layoutInCell="1" allowOverlap="1">
          <wp:simplePos x="0" y="0"/>
          <wp:positionH relativeFrom="column">
            <wp:posOffset>-669925</wp:posOffset>
          </wp:positionH>
          <wp:positionV relativeFrom="paragraph">
            <wp:posOffset>55880</wp:posOffset>
          </wp:positionV>
          <wp:extent cx="6288405" cy="9549765"/>
          <wp:effectExtent l="0" t="0" r="0" b="0"/>
          <wp:wrapNone/>
          <wp:docPr id="9" name="图片 9" descr="污染物排放控制标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污染物排放控制标准"/>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288405" cy="9549765"/>
                  </a:xfrm>
                  <a:prstGeom prst="rect">
                    <a:avLst/>
                  </a:prstGeom>
                  <a:noFill/>
                  <a:ln>
                    <a:noFill/>
                  </a:ln>
                </pic:spPr>
              </pic:pic>
            </a:graphicData>
          </a:graphic>
        </wp:anchor>
      </w:drawing>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8DC44">
    <w:pPr>
      <w:pStyle w:val="28"/>
      <w:pBdr>
        <w:bottom w:val="none" w:color="auto" w:sz="0" w:space="0"/>
      </w:pBdr>
      <w:ind w:firstLine="360"/>
    </w:pPr>
    <w:r>
      <w:rPr>
        <w:rFonts w:hint="eastAsia"/>
      </w:rPr>
      <w:drawing>
        <wp:anchor distT="0" distB="0" distL="114300" distR="114300" simplePos="0" relativeHeight="251668480" behindDoc="1" locked="0" layoutInCell="1" allowOverlap="1">
          <wp:simplePos x="0" y="0"/>
          <wp:positionH relativeFrom="column">
            <wp:posOffset>-670560</wp:posOffset>
          </wp:positionH>
          <wp:positionV relativeFrom="paragraph">
            <wp:posOffset>80645</wp:posOffset>
          </wp:positionV>
          <wp:extent cx="6162675" cy="9530080"/>
          <wp:effectExtent l="0" t="0" r="9525" b="0"/>
          <wp:wrapNone/>
          <wp:docPr id="10" name="图片 10" descr="总量控制指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总量控制指标"/>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162675" cy="9530080"/>
                  </a:xfrm>
                  <a:prstGeom prst="rect">
                    <a:avLst/>
                  </a:prstGeom>
                  <a:noFill/>
                  <a:ln>
                    <a:noFill/>
                  </a:ln>
                </pic:spPr>
              </pic:pic>
            </a:graphicData>
          </a:graphic>
        </wp:anchor>
      </w:drawing>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17AE0">
    <w:pPr>
      <w:pStyle w:val="2"/>
    </w:pPr>
    <w:r>
      <w:t>四、主要环境影响和保护措施</w:t>
    </w:r>
    <w:r>
      <w:drawing>
        <wp:anchor distT="0" distB="0" distL="114300" distR="114300" simplePos="0" relativeHeight="251669504" behindDoc="1" locked="0" layoutInCell="1" allowOverlap="1">
          <wp:simplePos x="0" y="0"/>
          <wp:positionH relativeFrom="column">
            <wp:posOffset>-662305</wp:posOffset>
          </wp:positionH>
          <wp:positionV relativeFrom="paragraph">
            <wp:posOffset>92710</wp:posOffset>
          </wp:positionV>
          <wp:extent cx="6309995" cy="9493885"/>
          <wp:effectExtent l="0" t="0" r="0" b="0"/>
          <wp:wrapNone/>
          <wp:docPr id="11" name="图片 11" descr="施工期环境保护措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施工期环境保护措施"/>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309995" cy="9493885"/>
                  </a:xfrm>
                  <a:prstGeom prst="rect">
                    <a:avLst/>
                  </a:prstGeom>
                  <a:noFill/>
                  <a:ln>
                    <a:noFill/>
                  </a:ln>
                </pic:spPr>
              </pic:pic>
            </a:graphicData>
          </a:graphic>
        </wp:anchor>
      </w:drawing>
    </w:r>
    <w:r>
      <w:rPr>
        <w:rFonts w:hint="eastAsia"/>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F894D">
    <w:pPr>
      <w:pStyle w:val="28"/>
      <w:pBdr>
        <w:bottom w:val="none" w:color="auto" w:sz="0" w:space="0"/>
      </w:pBdr>
      <w:ind w:firstLine="360"/>
    </w:pPr>
    <w:r>
      <w:drawing>
        <wp:anchor distT="0" distB="0" distL="114300" distR="114300" simplePos="0" relativeHeight="251670528" behindDoc="1" locked="0" layoutInCell="1" allowOverlap="1">
          <wp:simplePos x="0" y="0"/>
          <wp:positionH relativeFrom="column">
            <wp:posOffset>-702945</wp:posOffset>
          </wp:positionH>
          <wp:positionV relativeFrom="paragraph">
            <wp:posOffset>78105</wp:posOffset>
          </wp:positionV>
          <wp:extent cx="6282055" cy="9500235"/>
          <wp:effectExtent l="0" t="0" r="4445" b="5715"/>
          <wp:wrapNone/>
          <wp:docPr id="14" name="图片 14" descr="运营期环境影响和保护措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运营期环境影响和保护措施"/>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282055" cy="9500235"/>
                  </a:xfrm>
                  <a:prstGeom prst="rect">
                    <a:avLst/>
                  </a:prstGeom>
                  <a:noFill/>
                  <a:ln>
                    <a:noFill/>
                  </a:ln>
                </pic:spPr>
              </pic:pic>
            </a:graphicData>
          </a:graphic>
        </wp:anchor>
      </w:drawing>
    </w:r>
    <w:r>
      <w:rPr>
        <w:rFonts w:hint="eastAsia"/>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5085D">
    <w:pPr>
      <w:pStyle w:val="28"/>
      <w:pBdr>
        <w:bottom w:val="none" w:color="auto" w:sz="0" w:space="0"/>
      </w:pBdr>
      <w:ind w:firstLine="360"/>
    </w:pPr>
    <w:r>
      <w:rPr>
        <w:rFonts w:hint="eastAsia"/>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75D85">
    <w:pPr>
      <w:pStyle w:val="28"/>
      <w:pBdr>
        <w:bottom w:val="none" w:color="auto" w:sz="0" w:space="0"/>
      </w:pBdr>
      <w:ind w:firstLine="360"/>
    </w:pPr>
    <w:r>
      <w:drawing>
        <wp:anchor distT="0" distB="0" distL="114300" distR="114300" simplePos="0" relativeHeight="251673600" behindDoc="1" locked="0" layoutInCell="1" allowOverlap="1">
          <wp:simplePos x="0" y="0"/>
          <wp:positionH relativeFrom="column">
            <wp:posOffset>-702945</wp:posOffset>
          </wp:positionH>
          <wp:positionV relativeFrom="paragraph">
            <wp:posOffset>78105</wp:posOffset>
          </wp:positionV>
          <wp:extent cx="6282055" cy="9500235"/>
          <wp:effectExtent l="0" t="0" r="4445" b="5715"/>
          <wp:wrapNone/>
          <wp:docPr id="13" name="图片 13" descr="运营期环境影响和保护措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运营期环境影响和保护措施"/>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282055" cy="9500235"/>
                  </a:xfrm>
                  <a:prstGeom prst="rect">
                    <a:avLst/>
                  </a:prstGeom>
                  <a:noFill/>
                  <a:ln>
                    <a:noFill/>
                  </a:ln>
                </pic:spPr>
              </pic:pic>
            </a:graphicData>
          </a:graphic>
        </wp:anchor>
      </w:drawing>
    </w:r>
    <w:r>
      <w:rPr>
        <w:rFonts w:hint="eastAsia"/>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BBD49">
    <w:pPr>
      <w:pStyle w:val="28"/>
      <w:pBdr>
        <w:bottom w:val="none" w:color="auto" w:sz="0" w:space="0"/>
      </w:pBdr>
      <w:ind w:firstLine="360"/>
    </w:pPr>
    <w:r>
      <w:rPr>
        <w:rFonts w:hint="eastAsia"/>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850B9">
    <w:pPr>
      <w:pStyle w:val="28"/>
      <w:pBdr>
        <w:bottom w:val="none" w:color="auto" w:sz="0" w:space="0"/>
      </w:pBdr>
      <w:ind w:firstLine="360"/>
    </w:pPr>
    <w:r>
      <w:drawing>
        <wp:anchor distT="0" distB="0" distL="114300" distR="114300" simplePos="0" relativeHeight="251671552" behindDoc="1" locked="0" layoutInCell="1" allowOverlap="1">
          <wp:simplePos x="0" y="0"/>
          <wp:positionH relativeFrom="column">
            <wp:posOffset>-702945</wp:posOffset>
          </wp:positionH>
          <wp:positionV relativeFrom="paragraph">
            <wp:posOffset>78105</wp:posOffset>
          </wp:positionV>
          <wp:extent cx="6282055" cy="9500235"/>
          <wp:effectExtent l="0" t="0" r="4445" b="5715"/>
          <wp:wrapNone/>
          <wp:docPr id="16" name="图片 16" descr="运营期环境影响和保护措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运营期环境影响和保护措施"/>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282055" cy="9500235"/>
                  </a:xfrm>
                  <a:prstGeom prst="rect">
                    <a:avLst/>
                  </a:prstGeom>
                  <a:noFill/>
                  <a:ln>
                    <a:noFill/>
                  </a:ln>
                </pic:spPr>
              </pic:pic>
            </a:graphicData>
          </a:graphic>
        </wp:anchor>
      </w:drawing>
    </w:r>
    <w:r>
      <w:rPr>
        <w:rFonts w:hint="eastAsia"/>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80CC6">
    <w:pPr>
      <w:pStyle w:val="28"/>
      <w:pBdr>
        <w:bottom w:val="none" w:color="auto" w:sz="0" w:space="0"/>
      </w:pBdr>
      <w:ind w:firstLine="360"/>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A2283">
    <w:pPr>
      <w:pStyle w:val="28"/>
      <w:ind w:firstLine="360"/>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8CCFC">
    <w:pPr>
      <w:pStyle w:val="28"/>
      <w:pBdr>
        <w:bottom w:val="none" w:color="auto" w:sz="0" w:space="0"/>
      </w:pBdr>
      <w:ind w:firstLine="360"/>
    </w:pPr>
    <w:r>
      <w:drawing>
        <wp:anchor distT="0" distB="0" distL="114300" distR="114300" simplePos="0" relativeHeight="251672576" behindDoc="1" locked="0" layoutInCell="1" allowOverlap="1">
          <wp:simplePos x="0" y="0"/>
          <wp:positionH relativeFrom="column">
            <wp:posOffset>-702945</wp:posOffset>
          </wp:positionH>
          <wp:positionV relativeFrom="paragraph">
            <wp:posOffset>78105</wp:posOffset>
          </wp:positionV>
          <wp:extent cx="6282055" cy="9500235"/>
          <wp:effectExtent l="0" t="0" r="4445" b="5715"/>
          <wp:wrapNone/>
          <wp:docPr id="18" name="图片 18" descr="运营期环境影响和保护措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运营期环境影响和保护措施"/>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282055" cy="9500235"/>
                  </a:xfrm>
                  <a:prstGeom prst="rect">
                    <a:avLst/>
                  </a:prstGeom>
                  <a:noFill/>
                  <a:ln>
                    <a:noFill/>
                  </a:ln>
                </pic:spPr>
              </pic:pic>
            </a:graphicData>
          </a:graphic>
        </wp:anchor>
      </w:drawing>
    </w:r>
    <w:r>
      <w:rPr>
        <w:rFonts w:hint="eastAsia"/>
      </w:rPr>
      <w:t xml:space="preserve">   </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58307">
    <w:pPr>
      <w:pStyle w:val="28"/>
      <w:pBdr>
        <w:bottom w:val="none" w:color="auto" w:sz="0" w:space="0"/>
      </w:pBdr>
      <w:ind w:firstLine="360"/>
    </w:pPr>
    <w:r>
      <w:rPr>
        <w:rFonts w:hint="eastAsia"/>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3549F">
    <w:pPr>
      <w:pStyle w:val="28"/>
      <w:pBdr>
        <w:bottom w:val="none" w:color="auto" w:sz="0" w:space="0"/>
      </w:pBdr>
      <w:ind w:firstLine="360"/>
    </w:pPr>
    <w:r>
      <w:drawing>
        <wp:anchor distT="0" distB="0" distL="114300" distR="114300" simplePos="0" relativeHeight="251675648" behindDoc="1" locked="0" layoutInCell="1" allowOverlap="1">
          <wp:simplePos x="0" y="0"/>
          <wp:positionH relativeFrom="column">
            <wp:posOffset>-702945</wp:posOffset>
          </wp:positionH>
          <wp:positionV relativeFrom="paragraph">
            <wp:posOffset>10160</wp:posOffset>
          </wp:positionV>
          <wp:extent cx="6282055" cy="9651365"/>
          <wp:effectExtent l="0" t="0" r="4445" b="6985"/>
          <wp:wrapNone/>
          <wp:docPr id="12" name="图片 12" descr="运营期环境影响和保护措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运营期环境影响和保护措施"/>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282055" cy="9651365"/>
                  </a:xfrm>
                  <a:prstGeom prst="rect">
                    <a:avLst/>
                  </a:prstGeom>
                  <a:noFill/>
                  <a:ln>
                    <a:noFill/>
                  </a:ln>
                </pic:spPr>
              </pic:pic>
            </a:graphicData>
          </a:graphic>
        </wp:anchor>
      </w:drawing>
    </w:r>
    <w:r>
      <w:rPr>
        <w:rFonts w:hint="eastAsia"/>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A0033">
    <w:pPr>
      <w:pStyle w:val="28"/>
      <w:pBdr>
        <w:bottom w:val="none" w:color="auto" w:sz="0" w:space="0"/>
      </w:pBdr>
      <w:ind w:firstLine="360"/>
    </w:pPr>
    <w:r>
      <w:rPr>
        <w:rFonts w:hint="eastAsia"/>
      </w:rP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699DD">
    <w:pPr>
      <w:pStyle w:val="28"/>
      <w:pBdr>
        <w:bottom w:val="none" w:color="auto" w:sz="0" w:space="0"/>
      </w:pBdr>
      <w:ind w:firstLine="360"/>
    </w:pPr>
    <w:r>
      <w:rPr>
        <w:rFonts w:hint="eastAsia"/>
      </w:rPr>
      <w:t xml:space="preserve">   </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D7DB3">
    <w:pPr>
      <w:pStyle w:val="28"/>
      <w:pBdr>
        <w:bottom w:val="none" w:color="auto" w:sz="0" w:space="0"/>
      </w:pBdr>
      <w:ind w:firstLine="360"/>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BB4B5">
    <w:pPr>
      <w:pStyle w:val="2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9093E">
    <w:pPr>
      <w:pStyle w:val="28"/>
      <w:pBdr>
        <w:bottom w:val="none" w:color="auto" w:sz="0" w:space="0"/>
      </w:pBdr>
      <w:ind w:firstLine="360"/>
    </w:pPr>
    <w:r>
      <w:drawing>
        <wp:anchor distT="0" distB="0" distL="114300" distR="114300" simplePos="0" relativeHeight="251674624" behindDoc="1" locked="0" layoutInCell="1" allowOverlap="1">
          <wp:simplePos x="0" y="0"/>
          <wp:positionH relativeFrom="column">
            <wp:posOffset>-715010</wp:posOffset>
          </wp:positionH>
          <wp:positionV relativeFrom="paragraph">
            <wp:posOffset>50800</wp:posOffset>
          </wp:positionV>
          <wp:extent cx="6495415" cy="9543415"/>
          <wp:effectExtent l="0" t="0" r="1270" b="635"/>
          <wp:wrapNone/>
          <wp:docPr id="1" name="图片 1" descr="F:\新环评表污染项目背景图\规划及规划环境符合性分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新环评表污染项目背景图\规划及规划环境符合性分析.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6497118" cy="9546033"/>
                  </a:xfrm>
                  <a:prstGeom prst="rect">
                    <a:avLst/>
                  </a:prstGeom>
                  <a:noFill/>
                  <a:ln>
                    <a:noFill/>
                  </a:ln>
                </pic:spPr>
              </pic:pic>
            </a:graphicData>
          </a:graphic>
        </wp:anchor>
      </w:drawing>
    </w:r>
    <w:r>
      <w:rPr>
        <w:rFonts w:hint="eastAsi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F1AFD">
    <w:pPr>
      <w:pStyle w:val="28"/>
      <w:pBdr>
        <w:bottom w:val="none" w:color="auto" w:sz="0" w:space="0"/>
      </w:pBdr>
      <w:ind w:firstLine="360"/>
    </w:pPr>
    <w:r>
      <w:rPr>
        <w:rFonts w:hint="eastAsia"/>
      </w:rPr>
      <w:drawing>
        <wp:anchor distT="0" distB="0" distL="114300" distR="114300" simplePos="0" relativeHeight="251661312" behindDoc="1" locked="0" layoutInCell="1" allowOverlap="1">
          <wp:simplePos x="0" y="0"/>
          <wp:positionH relativeFrom="column">
            <wp:posOffset>-662940</wp:posOffset>
          </wp:positionH>
          <wp:positionV relativeFrom="paragraph">
            <wp:posOffset>39370</wp:posOffset>
          </wp:positionV>
          <wp:extent cx="6461760" cy="9570085"/>
          <wp:effectExtent l="0" t="0" r="0" b="0"/>
          <wp:wrapNone/>
          <wp:docPr id="3" name="图片 3" descr="其他符合性分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其他符合性分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461760" cy="9570085"/>
                  </a:xfrm>
                  <a:prstGeom prst="rect">
                    <a:avLst/>
                  </a:prstGeom>
                  <a:noFill/>
                  <a:ln>
                    <a:noFill/>
                  </a:ln>
                </pic:spPr>
              </pic:pic>
            </a:graphicData>
          </a:graphic>
        </wp:anchor>
      </w:drawing>
    </w:r>
    <w:r>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EF74D">
    <w:pPr>
      <w:pStyle w:val="2"/>
    </w:pPr>
    <w:r>
      <w:rPr>
        <w:rFonts w:hint="eastAsia"/>
      </w:rPr>
      <w:drawing>
        <wp:anchor distT="0" distB="0" distL="114300" distR="114300" simplePos="0" relativeHeight="251662336" behindDoc="1" locked="0" layoutInCell="1" allowOverlap="1">
          <wp:simplePos x="0" y="0"/>
          <wp:positionH relativeFrom="column">
            <wp:posOffset>-721360</wp:posOffset>
          </wp:positionH>
          <wp:positionV relativeFrom="paragraph">
            <wp:posOffset>40640</wp:posOffset>
          </wp:positionV>
          <wp:extent cx="6409055" cy="9531350"/>
          <wp:effectExtent l="0" t="0" r="10795" b="12700"/>
          <wp:wrapNone/>
          <wp:docPr id="4" name="图片 4" descr="建设内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建设内容"/>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409055" cy="9531350"/>
                  </a:xfrm>
                  <a:prstGeom prst="rect">
                    <a:avLst/>
                  </a:prstGeom>
                  <a:noFill/>
                  <a:ln>
                    <a:noFill/>
                  </a:ln>
                  <a:effectLst/>
                </pic:spPr>
              </pic:pic>
            </a:graphicData>
          </a:graphic>
        </wp:anchor>
      </w:drawing>
    </w:r>
    <w:r>
      <w:t>二、</w:t>
    </w:r>
    <w:r>
      <w:rPr>
        <w:rFonts w:hint="eastAsia"/>
      </w:rPr>
      <w:t>本</w:t>
    </w:r>
    <w:r>
      <w:t>项目工程分析</w:t>
    </w: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F77DE">
    <w:pPr>
      <w:pStyle w:val="28"/>
      <w:pBdr>
        <w:bottom w:val="none" w:color="auto" w:sz="0" w:space="0"/>
      </w:pBdr>
      <w:ind w:firstLine="360"/>
    </w:pPr>
    <w:r>
      <w:rPr>
        <w:rFonts w:hint="eastAsia"/>
      </w:rPr>
      <w:drawing>
        <wp:anchor distT="0" distB="0" distL="114300" distR="114300" simplePos="0" relativeHeight="251663360" behindDoc="1" locked="0" layoutInCell="1" allowOverlap="1">
          <wp:simplePos x="0" y="0"/>
          <wp:positionH relativeFrom="column">
            <wp:posOffset>-662940</wp:posOffset>
          </wp:positionH>
          <wp:positionV relativeFrom="paragraph">
            <wp:posOffset>55245</wp:posOffset>
          </wp:positionV>
          <wp:extent cx="6277610" cy="9538970"/>
          <wp:effectExtent l="0" t="0" r="8890" b="5080"/>
          <wp:wrapNone/>
          <wp:docPr id="5" name="图片 5" descr="工艺流程和产排污环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工艺流程和产排污环节"/>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277610" cy="9538970"/>
                  </a:xfrm>
                  <a:prstGeom prst="rect">
                    <a:avLst/>
                  </a:prstGeom>
                  <a:noFill/>
                  <a:ln>
                    <a:noFill/>
                  </a:ln>
                </pic:spPr>
              </pic:pic>
            </a:graphicData>
          </a:graphic>
        </wp:anchor>
      </w:drawing>
    </w:r>
    <w:r>
      <w:rPr>
        <w:rFonts w:hint="eastAsia"/>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661DF">
    <w:pPr>
      <w:pStyle w:val="28"/>
      <w:pBdr>
        <w:bottom w:val="none" w:color="auto" w:sz="0" w:space="0"/>
      </w:pBdr>
      <w:ind w:firstLine="360"/>
    </w:pPr>
    <w:r>
      <w:rPr>
        <w:rFonts w:hint="eastAsia"/>
      </w:rPr>
      <w:drawing>
        <wp:anchor distT="0" distB="0" distL="114300" distR="114300" simplePos="0" relativeHeight="251664384" behindDoc="1" locked="0" layoutInCell="1" allowOverlap="1">
          <wp:simplePos x="0" y="0"/>
          <wp:positionH relativeFrom="column">
            <wp:posOffset>-667385</wp:posOffset>
          </wp:positionH>
          <wp:positionV relativeFrom="paragraph">
            <wp:posOffset>81280</wp:posOffset>
          </wp:positionV>
          <wp:extent cx="6257925" cy="9517380"/>
          <wp:effectExtent l="0" t="0" r="9525" b="7620"/>
          <wp:wrapNone/>
          <wp:docPr id="6" name="图片 6" descr="与项目有关的原有环境污染问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与项目有关的原有环境污染问题"/>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257925" cy="9517380"/>
                  </a:xfrm>
                  <a:prstGeom prst="rect">
                    <a:avLst/>
                  </a:prstGeom>
                  <a:noFill/>
                  <a:ln>
                    <a:noFill/>
                  </a:ln>
                </pic:spPr>
              </pic:pic>
            </a:graphicData>
          </a:graphic>
        </wp:anchor>
      </w:drawing>
    </w:r>
    <w:r>
      <w:rPr>
        <w:rFonts w:hint="eastAsia"/>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90B7D">
    <w:pPr>
      <w:pStyle w:val="2"/>
    </w:pPr>
    <w:r>
      <w:rPr>
        <w:rFonts w:hint="eastAsia"/>
      </w:rPr>
      <w:drawing>
        <wp:anchor distT="0" distB="0" distL="114300" distR="114300" simplePos="0" relativeHeight="251665408" behindDoc="1" locked="0" layoutInCell="1" allowOverlap="1">
          <wp:simplePos x="0" y="0"/>
          <wp:positionH relativeFrom="column">
            <wp:posOffset>-694690</wp:posOffset>
          </wp:positionH>
          <wp:positionV relativeFrom="paragraph">
            <wp:posOffset>97155</wp:posOffset>
          </wp:positionV>
          <wp:extent cx="6330950" cy="9536430"/>
          <wp:effectExtent l="0" t="0" r="0" b="7620"/>
          <wp:wrapNone/>
          <wp:docPr id="7" name="图片 7" descr="区域环境质量现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区域环境质量现状"/>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330950" cy="9536430"/>
                  </a:xfrm>
                  <a:prstGeom prst="rect">
                    <a:avLst/>
                  </a:prstGeom>
                  <a:noFill/>
                  <a:ln>
                    <a:noFill/>
                  </a:ln>
                </pic:spPr>
              </pic:pic>
            </a:graphicData>
          </a:graphic>
        </wp:anchor>
      </w:drawing>
    </w:r>
    <w:r>
      <w:t>三、区域环境质量现状、环境保护目标及评价标准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421314"/>
    <w:multiLevelType w:val="singleLevel"/>
    <w:tmpl w:val="F8421314"/>
    <w:lvl w:ilvl="0" w:tentative="0">
      <w:start w:val="1"/>
      <w:numFmt w:val="bullet"/>
      <w:pStyle w:val="18"/>
      <w:lvlText w:val=""/>
      <w:lvlJc w:val="left"/>
      <w:pPr>
        <w:tabs>
          <w:tab w:val="left" w:pos="2040"/>
        </w:tabs>
        <w:ind w:left="2040" w:hanging="360"/>
      </w:pPr>
      <w:rPr>
        <w:rFonts w:hint="default" w:ascii="Wingdings" w:hAnsi="Wingdings"/>
      </w:rPr>
    </w:lvl>
  </w:abstractNum>
  <w:abstractNum w:abstractNumId="1">
    <w:nsid w:val="2DA96D58"/>
    <w:multiLevelType w:val="multilevel"/>
    <w:tmpl w:val="2DA96D58"/>
    <w:lvl w:ilvl="0" w:tentative="0">
      <w:start w:val="1"/>
      <w:numFmt w:val="decimal"/>
      <w:suff w:val="space"/>
      <w:lvlText w:val="%1"/>
      <w:lvlJc w:val="left"/>
      <w:pPr>
        <w:ind w:left="851" w:firstLine="0"/>
      </w:pPr>
      <w:rPr>
        <w:rFonts w:hint="default" w:ascii="Times New Roman" w:hAnsi="Times New Roman" w:eastAsia="宋体"/>
        <w:b/>
        <w:i w:val="0"/>
        <w:color w:val="FFFFFF"/>
        <w:sz w:val="32"/>
      </w:rPr>
    </w:lvl>
    <w:lvl w:ilvl="1" w:tentative="0">
      <w:start w:val="1"/>
      <w:numFmt w:val="decimal"/>
      <w:suff w:val="space"/>
      <w:lvlText w:val="%1.%2"/>
      <w:lvlJc w:val="left"/>
      <w:pPr>
        <w:ind w:left="142" w:firstLine="0"/>
      </w:pPr>
      <w:rPr>
        <w:rFonts w:hint="default" w:ascii="Times New Roman" w:hAnsi="Times New Roman" w:eastAsia="宋体"/>
        <w:b/>
        <w:i w:val="0"/>
        <w:sz w:val="30"/>
      </w:rPr>
    </w:lvl>
    <w:lvl w:ilvl="2" w:tentative="0">
      <w:start w:val="1"/>
      <w:numFmt w:val="decimal"/>
      <w:pStyle w:val="4"/>
      <w:suff w:val="space"/>
      <w:lvlText w:val="%1.%2.%3"/>
      <w:lvlJc w:val="left"/>
      <w:pPr>
        <w:ind w:left="851" w:firstLine="0"/>
      </w:pPr>
      <w:rPr>
        <w:rFonts w:hint="default" w:ascii="Times New Roman" w:hAnsi="Times New Roman" w:eastAsia="宋体"/>
        <w:b/>
        <w:i w:val="0"/>
        <w:sz w:val="28"/>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pStyle w:val="6"/>
      <w:lvlText w:val="%1.%2.%3.%4.%5"/>
      <w:lvlJc w:val="left"/>
      <w:pPr>
        <w:ind w:left="0" w:firstLine="0"/>
      </w:pPr>
      <w:rPr>
        <w:rFonts w:hint="eastAsia"/>
      </w:rPr>
    </w:lvl>
    <w:lvl w:ilvl="5" w:tentative="0">
      <w:start w:val="1"/>
      <w:numFmt w:val="decimal"/>
      <w:pStyle w:val="7"/>
      <w:lvlText w:val="%1.%2.%3.%4.%5.%6"/>
      <w:lvlJc w:val="left"/>
      <w:pPr>
        <w:ind w:left="0" w:firstLine="0"/>
      </w:pPr>
      <w:rPr>
        <w:rFonts w:hint="eastAsia"/>
      </w:rPr>
    </w:lvl>
    <w:lvl w:ilvl="6" w:tentative="0">
      <w:start w:val="1"/>
      <w:numFmt w:val="decimal"/>
      <w:pStyle w:val="8"/>
      <w:lvlText w:val="%1.%2.%3.%4.%5.%6.%7"/>
      <w:lvlJc w:val="left"/>
      <w:pPr>
        <w:ind w:left="0" w:firstLine="0"/>
      </w:pPr>
      <w:rPr>
        <w:rFonts w:hint="eastAsia"/>
      </w:rPr>
    </w:lvl>
    <w:lvl w:ilvl="7" w:tentative="0">
      <w:start w:val="1"/>
      <w:numFmt w:val="decimal"/>
      <w:pStyle w:val="9"/>
      <w:lvlText w:val="%1.%2.%3.%4.%5.%6.%7.%8"/>
      <w:lvlJc w:val="left"/>
      <w:pPr>
        <w:ind w:left="0" w:firstLine="0"/>
      </w:pPr>
      <w:rPr>
        <w:rFonts w:hint="eastAsia"/>
      </w:rPr>
    </w:lvl>
    <w:lvl w:ilvl="8" w:tentative="0">
      <w:start w:val="1"/>
      <w:numFmt w:val="decimal"/>
      <w:pStyle w:val="10"/>
      <w:lvlText w:val="%1.%2.%3.%4.%5.%6.%7.%8.%9"/>
      <w:lvlJc w:val="left"/>
      <w:pPr>
        <w:ind w:left="0" w:firstLine="0"/>
      </w:pPr>
      <w:rPr>
        <w:rFonts w:hint="eastAsia"/>
      </w:rPr>
    </w:lvl>
  </w:abstractNum>
  <w:abstractNum w:abstractNumId="2">
    <w:nsid w:val="54D07102"/>
    <w:multiLevelType w:val="multilevel"/>
    <w:tmpl w:val="54D07102"/>
    <w:lvl w:ilvl="0" w:tentative="0">
      <w:start w:val="1"/>
      <w:numFmt w:val="decimal"/>
      <w:pStyle w:val="185"/>
      <w:lvlText w:val="%1"/>
      <w:lvlJc w:val="center"/>
      <w:pPr>
        <w:ind w:left="0" w:firstLine="0"/>
      </w:pPr>
      <w:rPr>
        <w:rFonts w:hint="eastAsia"/>
        <w:sz w:val="36"/>
        <w:szCs w:val="36"/>
      </w:rPr>
    </w:lvl>
    <w:lvl w:ilvl="1" w:tentative="0">
      <w:start w:val="1"/>
      <w:numFmt w:val="decimal"/>
      <w:pStyle w:val="183"/>
      <w:lvlText w:val="%1.%2"/>
      <w:lvlJc w:val="left"/>
      <w:pPr>
        <w:ind w:left="992" w:hanging="567"/>
      </w:pPr>
      <w:rPr>
        <w:rFonts w:hint="eastAsia"/>
      </w:rPr>
    </w:lvl>
    <w:lvl w:ilvl="2" w:tentative="0">
      <w:start w:val="1"/>
      <w:numFmt w:val="decimal"/>
      <w:pStyle w:val="184"/>
      <w:lvlText w:val="%1.%2.%3"/>
      <w:lvlJc w:val="left"/>
      <w:pPr>
        <w:ind w:left="1418" w:hanging="567"/>
      </w:pPr>
      <w:rPr>
        <w:rFonts w:hint="eastAsia"/>
      </w:rPr>
    </w:lvl>
    <w:lvl w:ilvl="3" w:tentative="0">
      <w:start w:val="1"/>
      <w:numFmt w:val="decimal"/>
      <w:pStyle w:val="186"/>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isplayBackgroundShape w:val="1"/>
  <w:bordersDoNotSurroundHeader w:val="0"/>
  <w:bordersDoNotSurroundFooter w:val="0"/>
  <w:hideSpellingErrors/>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wOWNhZWM1YzIzODNlM2NjZmFjODYyNWExNmJjNzkifQ=="/>
  </w:docVars>
  <w:rsids>
    <w:rsidRoot w:val="00172A27"/>
    <w:rsid w:val="00000185"/>
    <w:rsid w:val="0000034A"/>
    <w:rsid w:val="00000984"/>
    <w:rsid w:val="00000F8B"/>
    <w:rsid w:val="000013EF"/>
    <w:rsid w:val="00001527"/>
    <w:rsid w:val="0000164A"/>
    <w:rsid w:val="000026C4"/>
    <w:rsid w:val="000032AB"/>
    <w:rsid w:val="0000347D"/>
    <w:rsid w:val="00003AEB"/>
    <w:rsid w:val="00003D50"/>
    <w:rsid w:val="00004027"/>
    <w:rsid w:val="00004424"/>
    <w:rsid w:val="00004682"/>
    <w:rsid w:val="00004AA9"/>
    <w:rsid w:val="00004AC3"/>
    <w:rsid w:val="00005279"/>
    <w:rsid w:val="00006C75"/>
    <w:rsid w:val="00007018"/>
    <w:rsid w:val="000078C9"/>
    <w:rsid w:val="0001099E"/>
    <w:rsid w:val="00011068"/>
    <w:rsid w:val="00011403"/>
    <w:rsid w:val="0001191B"/>
    <w:rsid w:val="0001195E"/>
    <w:rsid w:val="000121E6"/>
    <w:rsid w:val="00012255"/>
    <w:rsid w:val="00012CB4"/>
    <w:rsid w:val="00012F9C"/>
    <w:rsid w:val="000134D9"/>
    <w:rsid w:val="000138D0"/>
    <w:rsid w:val="000142F9"/>
    <w:rsid w:val="000144BE"/>
    <w:rsid w:val="0001533F"/>
    <w:rsid w:val="000157A7"/>
    <w:rsid w:val="00015905"/>
    <w:rsid w:val="00015D3A"/>
    <w:rsid w:val="00015E72"/>
    <w:rsid w:val="00017431"/>
    <w:rsid w:val="00017F79"/>
    <w:rsid w:val="0002001B"/>
    <w:rsid w:val="00021178"/>
    <w:rsid w:val="00021641"/>
    <w:rsid w:val="00021845"/>
    <w:rsid w:val="00021B47"/>
    <w:rsid w:val="00021C6C"/>
    <w:rsid w:val="00021E2E"/>
    <w:rsid w:val="0002246C"/>
    <w:rsid w:val="0002262D"/>
    <w:rsid w:val="0002289B"/>
    <w:rsid w:val="00022C18"/>
    <w:rsid w:val="000235DC"/>
    <w:rsid w:val="000237EE"/>
    <w:rsid w:val="00023CC6"/>
    <w:rsid w:val="00024173"/>
    <w:rsid w:val="000246E4"/>
    <w:rsid w:val="000249E6"/>
    <w:rsid w:val="00024ADA"/>
    <w:rsid w:val="00024DB0"/>
    <w:rsid w:val="00024FA5"/>
    <w:rsid w:val="000256D8"/>
    <w:rsid w:val="000257B1"/>
    <w:rsid w:val="000258E5"/>
    <w:rsid w:val="00025E71"/>
    <w:rsid w:val="000260E9"/>
    <w:rsid w:val="00026E5D"/>
    <w:rsid w:val="0002718D"/>
    <w:rsid w:val="00027359"/>
    <w:rsid w:val="00027DBE"/>
    <w:rsid w:val="00030561"/>
    <w:rsid w:val="000305EE"/>
    <w:rsid w:val="000308C2"/>
    <w:rsid w:val="00030ABC"/>
    <w:rsid w:val="00030B27"/>
    <w:rsid w:val="00030D01"/>
    <w:rsid w:val="000315AB"/>
    <w:rsid w:val="000316C6"/>
    <w:rsid w:val="00031846"/>
    <w:rsid w:val="000319BB"/>
    <w:rsid w:val="00031C46"/>
    <w:rsid w:val="00031F51"/>
    <w:rsid w:val="00032135"/>
    <w:rsid w:val="0003213A"/>
    <w:rsid w:val="00032973"/>
    <w:rsid w:val="00032AD8"/>
    <w:rsid w:val="00032D30"/>
    <w:rsid w:val="00033207"/>
    <w:rsid w:val="0003330D"/>
    <w:rsid w:val="00034153"/>
    <w:rsid w:val="0003429D"/>
    <w:rsid w:val="00034ADB"/>
    <w:rsid w:val="00034CDF"/>
    <w:rsid w:val="00034CFC"/>
    <w:rsid w:val="00034FAC"/>
    <w:rsid w:val="00035FEF"/>
    <w:rsid w:val="00036171"/>
    <w:rsid w:val="0003683D"/>
    <w:rsid w:val="00037372"/>
    <w:rsid w:val="000377C4"/>
    <w:rsid w:val="0003793F"/>
    <w:rsid w:val="000403F3"/>
    <w:rsid w:val="0004043A"/>
    <w:rsid w:val="000409FC"/>
    <w:rsid w:val="00040C09"/>
    <w:rsid w:val="00040D0E"/>
    <w:rsid w:val="00040E1B"/>
    <w:rsid w:val="000410A1"/>
    <w:rsid w:val="000413E5"/>
    <w:rsid w:val="000415B0"/>
    <w:rsid w:val="00041B52"/>
    <w:rsid w:val="0004248E"/>
    <w:rsid w:val="000428CD"/>
    <w:rsid w:val="000428DC"/>
    <w:rsid w:val="00042B1B"/>
    <w:rsid w:val="00043553"/>
    <w:rsid w:val="00043652"/>
    <w:rsid w:val="00043CCF"/>
    <w:rsid w:val="000449F5"/>
    <w:rsid w:val="00044CB1"/>
    <w:rsid w:val="0004564B"/>
    <w:rsid w:val="00045855"/>
    <w:rsid w:val="00045943"/>
    <w:rsid w:val="00045E9E"/>
    <w:rsid w:val="00046267"/>
    <w:rsid w:val="00046391"/>
    <w:rsid w:val="00046861"/>
    <w:rsid w:val="000469D0"/>
    <w:rsid w:val="00047A04"/>
    <w:rsid w:val="00047D8C"/>
    <w:rsid w:val="0005042F"/>
    <w:rsid w:val="000508CD"/>
    <w:rsid w:val="00050A16"/>
    <w:rsid w:val="00051150"/>
    <w:rsid w:val="000513A8"/>
    <w:rsid w:val="000515D5"/>
    <w:rsid w:val="0005187A"/>
    <w:rsid w:val="00051C67"/>
    <w:rsid w:val="00051C85"/>
    <w:rsid w:val="00051E56"/>
    <w:rsid w:val="00051FDD"/>
    <w:rsid w:val="000525E0"/>
    <w:rsid w:val="000526FB"/>
    <w:rsid w:val="00052704"/>
    <w:rsid w:val="00052767"/>
    <w:rsid w:val="00052BCF"/>
    <w:rsid w:val="00052DF5"/>
    <w:rsid w:val="00053704"/>
    <w:rsid w:val="0005378B"/>
    <w:rsid w:val="00054317"/>
    <w:rsid w:val="00054860"/>
    <w:rsid w:val="00054D88"/>
    <w:rsid w:val="000553F0"/>
    <w:rsid w:val="000554FD"/>
    <w:rsid w:val="000556F9"/>
    <w:rsid w:val="00055810"/>
    <w:rsid w:val="00055B18"/>
    <w:rsid w:val="00055FBB"/>
    <w:rsid w:val="00056AC5"/>
    <w:rsid w:val="00056F6A"/>
    <w:rsid w:val="0005713D"/>
    <w:rsid w:val="00057407"/>
    <w:rsid w:val="00057707"/>
    <w:rsid w:val="00060350"/>
    <w:rsid w:val="000606EE"/>
    <w:rsid w:val="00060C6A"/>
    <w:rsid w:val="00061613"/>
    <w:rsid w:val="00061B1E"/>
    <w:rsid w:val="00061D2A"/>
    <w:rsid w:val="000622CC"/>
    <w:rsid w:val="00062657"/>
    <w:rsid w:val="00063038"/>
    <w:rsid w:val="000635F8"/>
    <w:rsid w:val="00063835"/>
    <w:rsid w:val="00063A7D"/>
    <w:rsid w:val="00063BFE"/>
    <w:rsid w:val="00064135"/>
    <w:rsid w:val="00064470"/>
    <w:rsid w:val="00064590"/>
    <w:rsid w:val="0006478E"/>
    <w:rsid w:val="00064D80"/>
    <w:rsid w:val="00064EE3"/>
    <w:rsid w:val="00065637"/>
    <w:rsid w:val="00065665"/>
    <w:rsid w:val="000657ED"/>
    <w:rsid w:val="000659CA"/>
    <w:rsid w:val="00065AC0"/>
    <w:rsid w:val="0006641D"/>
    <w:rsid w:val="0006646C"/>
    <w:rsid w:val="00067690"/>
    <w:rsid w:val="00067C1B"/>
    <w:rsid w:val="00067D12"/>
    <w:rsid w:val="00070F0D"/>
    <w:rsid w:val="00071291"/>
    <w:rsid w:val="00071675"/>
    <w:rsid w:val="00071859"/>
    <w:rsid w:val="0007186E"/>
    <w:rsid w:val="00072010"/>
    <w:rsid w:val="000729B3"/>
    <w:rsid w:val="00072CBD"/>
    <w:rsid w:val="00074153"/>
    <w:rsid w:val="00074B67"/>
    <w:rsid w:val="00074BB2"/>
    <w:rsid w:val="00074DE5"/>
    <w:rsid w:val="00075748"/>
    <w:rsid w:val="00075D30"/>
    <w:rsid w:val="00075DD0"/>
    <w:rsid w:val="0007627F"/>
    <w:rsid w:val="00076B8C"/>
    <w:rsid w:val="000776F0"/>
    <w:rsid w:val="0007770A"/>
    <w:rsid w:val="0007782B"/>
    <w:rsid w:val="0007792A"/>
    <w:rsid w:val="00077B32"/>
    <w:rsid w:val="00077CAB"/>
    <w:rsid w:val="00080098"/>
    <w:rsid w:val="000809EC"/>
    <w:rsid w:val="000814C4"/>
    <w:rsid w:val="000819CE"/>
    <w:rsid w:val="00081F60"/>
    <w:rsid w:val="000825A1"/>
    <w:rsid w:val="0008395A"/>
    <w:rsid w:val="0008399E"/>
    <w:rsid w:val="00084468"/>
    <w:rsid w:val="000847D7"/>
    <w:rsid w:val="000856CB"/>
    <w:rsid w:val="00085D47"/>
    <w:rsid w:val="00085E8E"/>
    <w:rsid w:val="00086630"/>
    <w:rsid w:val="0008667F"/>
    <w:rsid w:val="0008736E"/>
    <w:rsid w:val="0008740D"/>
    <w:rsid w:val="00087FC9"/>
    <w:rsid w:val="00090504"/>
    <w:rsid w:val="0009069E"/>
    <w:rsid w:val="00090AEF"/>
    <w:rsid w:val="00091047"/>
    <w:rsid w:val="00091144"/>
    <w:rsid w:val="000916B4"/>
    <w:rsid w:val="00091F74"/>
    <w:rsid w:val="0009247F"/>
    <w:rsid w:val="0009266F"/>
    <w:rsid w:val="00092917"/>
    <w:rsid w:val="00092C2F"/>
    <w:rsid w:val="00092DDE"/>
    <w:rsid w:val="0009315E"/>
    <w:rsid w:val="00093193"/>
    <w:rsid w:val="00093409"/>
    <w:rsid w:val="00093C61"/>
    <w:rsid w:val="00093D73"/>
    <w:rsid w:val="00094159"/>
    <w:rsid w:val="000945DB"/>
    <w:rsid w:val="000950E0"/>
    <w:rsid w:val="00095840"/>
    <w:rsid w:val="00095A34"/>
    <w:rsid w:val="00095AEF"/>
    <w:rsid w:val="0009607A"/>
    <w:rsid w:val="0009639D"/>
    <w:rsid w:val="00096DED"/>
    <w:rsid w:val="00096F6B"/>
    <w:rsid w:val="00097449"/>
    <w:rsid w:val="000976A4"/>
    <w:rsid w:val="000A01B9"/>
    <w:rsid w:val="000A0251"/>
    <w:rsid w:val="000A0641"/>
    <w:rsid w:val="000A0F43"/>
    <w:rsid w:val="000A1B05"/>
    <w:rsid w:val="000A2887"/>
    <w:rsid w:val="000A2895"/>
    <w:rsid w:val="000A353B"/>
    <w:rsid w:val="000A3E32"/>
    <w:rsid w:val="000A44C3"/>
    <w:rsid w:val="000A4A92"/>
    <w:rsid w:val="000A5DA9"/>
    <w:rsid w:val="000A5DB3"/>
    <w:rsid w:val="000A5F42"/>
    <w:rsid w:val="000A5F73"/>
    <w:rsid w:val="000A6509"/>
    <w:rsid w:val="000A6A39"/>
    <w:rsid w:val="000A6C2B"/>
    <w:rsid w:val="000A6CD7"/>
    <w:rsid w:val="000A722C"/>
    <w:rsid w:val="000A7617"/>
    <w:rsid w:val="000A7D5B"/>
    <w:rsid w:val="000B0644"/>
    <w:rsid w:val="000B06D0"/>
    <w:rsid w:val="000B1288"/>
    <w:rsid w:val="000B141F"/>
    <w:rsid w:val="000B19B1"/>
    <w:rsid w:val="000B1E4E"/>
    <w:rsid w:val="000B221B"/>
    <w:rsid w:val="000B2404"/>
    <w:rsid w:val="000B26BD"/>
    <w:rsid w:val="000B272E"/>
    <w:rsid w:val="000B2909"/>
    <w:rsid w:val="000B29E2"/>
    <w:rsid w:val="000B3069"/>
    <w:rsid w:val="000B36CE"/>
    <w:rsid w:val="000B37FA"/>
    <w:rsid w:val="000B456B"/>
    <w:rsid w:val="000B467D"/>
    <w:rsid w:val="000B46BD"/>
    <w:rsid w:val="000B5359"/>
    <w:rsid w:val="000B5533"/>
    <w:rsid w:val="000B579B"/>
    <w:rsid w:val="000B5CA7"/>
    <w:rsid w:val="000B5CE8"/>
    <w:rsid w:val="000B5D14"/>
    <w:rsid w:val="000B68E9"/>
    <w:rsid w:val="000B6A22"/>
    <w:rsid w:val="000B6D8E"/>
    <w:rsid w:val="000B719D"/>
    <w:rsid w:val="000B73F6"/>
    <w:rsid w:val="000B744E"/>
    <w:rsid w:val="000B7507"/>
    <w:rsid w:val="000B7C52"/>
    <w:rsid w:val="000B7F8D"/>
    <w:rsid w:val="000C1237"/>
    <w:rsid w:val="000C14E7"/>
    <w:rsid w:val="000C1625"/>
    <w:rsid w:val="000C18AB"/>
    <w:rsid w:val="000C2114"/>
    <w:rsid w:val="000C3636"/>
    <w:rsid w:val="000C40D5"/>
    <w:rsid w:val="000C49B1"/>
    <w:rsid w:val="000C51C6"/>
    <w:rsid w:val="000C574C"/>
    <w:rsid w:val="000C59F2"/>
    <w:rsid w:val="000C5A40"/>
    <w:rsid w:val="000C5BC8"/>
    <w:rsid w:val="000C611C"/>
    <w:rsid w:val="000C6976"/>
    <w:rsid w:val="000C6FBD"/>
    <w:rsid w:val="000C7018"/>
    <w:rsid w:val="000C729A"/>
    <w:rsid w:val="000C7D8E"/>
    <w:rsid w:val="000D1451"/>
    <w:rsid w:val="000D1576"/>
    <w:rsid w:val="000D1AA2"/>
    <w:rsid w:val="000D1D17"/>
    <w:rsid w:val="000D28F6"/>
    <w:rsid w:val="000D2E0A"/>
    <w:rsid w:val="000D3168"/>
    <w:rsid w:val="000D36F1"/>
    <w:rsid w:val="000D3DB1"/>
    <w:rsid w:val="000D5067"/>
    <w:rsid w:val="000D5886"/>
    <w:rsid w:val="000D598E"/>
    <w:rsid w:val="000D5AE5"/>
    <w:rsid w:val="000D5C0B"/>
    <w:rsid w:val="000D6309"/>
    <w:rsid w:val="000D67DC"/>
    <w:rsid w:val="000D6B62"/>
    <w:rsid w:val="000D70AE"/>
    <w:rsid w:val="000D7660"/>
    <w:rsid w:val="000E096E"/>
    <w:rsid w:val="000E0CA1"/>
    <w:rsid w:val="000E2127"/>
    <w:rsid w:val="000E275B"/>
    <w:rsid w:val="000E2D33"/>
    <w:rsid w:val="000E324E"/>
    <w:rsid w:val="000E3ABF"/>
    <w:rsid w:val="000E3AF0"/>
    <w:rsid w:val="000E41FD"/>
    <w:rsid w:val="000E49C2"/>
    <w:rsid w:val="000E4B5D"/>
    <w:rsid w:val="000E4F4C"/>
    <w:rsid w:val="000E5D13"/>
    <w:rsid w:val="000E5FA4"/>
    <w:rsid w:val="000E6158"/>
    <w:rsid w:val="000E7885"/>
    <w:rsid w:val="000E7F3E"/>
    <w:rsid w:val="000E7FCD"/>
    <w:rsid w:val="000F0E05"/>
    <w:rsid w:val="000F0E38"/>
    <w:rsid w:val="000F16EC"/>
    <w:rsid w:val="000F1B48"/>
    <w:rsid w:val="000F1E58"/>
    <w:rsid w:val="000F1FE5"/>
    <w:rsid w:val="000F277A"/>
    <w:rsid w:val="000F28CE"/>
    <w:rsid w:val="000F2EF5"/>
    <w:rsid w:val="000F301C"/>
    <w:rsid w:val="000F3481"/>
    <w:rsid w:val="000F388A"/>
    <w:rsid w:val="000F3AA3"/>
    <w:rsid w:val="000F3EEA"/>
    <w:rsid w:val="000F4CDB"/>
    <w:rsid w:val="000F4F3C"/>
    <w:rsid w:val="000F54B8"/>
    <w:rsid w:val="000F6A00"/>
    <w:rsid w:val="000F6CF3"/>
    <w:rsid w:val="000F6FF4"/>
    <w:rsid w:val="000F760B"/>
    <w:rsid w:val="000F77F9"/>
    <w:rsid w:val="00100909"/>
    <w:rsid w:val="00100B9D"/>
    <w:rsid w:val="0010156B"/>
    <w:rsid w:val="00101A99"/>
    <w:rsid w:val="0010224C"/>
    <w:rsid w:val="0010246D"/>
    <w:rsid w:val="00102503"/>
    <w:rsid w:val="001028A4"/>
    <w:rsid w:val="00103031"/>
    <w:rsid w:val="001030B3"/>
    <w:rsid w:val="0010330A"/>
    <w:rsid w:val="00103897"/>
    <w:rsid w:val="00103FCB"/>
    <w:rsid w:val="00104A61"/>
    <w:rsid w:val="00105617"/>
    <w:rsid w:val="001063F0"/>
    <w:rsid w:val="0010689F"/>
    <w:rsid w:val="00106DE9"/>
    <w:rsid w:val="00107218"/>
    <w:rsid w:val="0010723F"/>
    <w:rsid w:val="00107590"/>
    <w:rsid w:val="00107C09"/>
    <w:rsid w:val="00110083"/>
    <w:rsid w:val="00110129"/>
    <w:rsid w:val="00110FA6"/>
    <w:rsid w:val="00111691"/>
    <w:rsid w:val="001117EF"/>
    <w:rsid w:val="00111ABD"/>
    <w:rsid w:val="00111C66"/>
    <w:rsid w:val="00111F7E"/>
    <w:rsid w:val="00112110"/>
    <w:rsid w:val="00112A5B"/>
    <w:rsid w:val="00112B28"/>
    <w:rsid w:val="00113030"/>
    <w:rsid w:val="00113479"/>
    <w:rsid w:val="00113681"/>
    <w:rsid w:val="001136AD"/>
    <w:rsid w:val="00113C02"/>
    <w:rsid w:val="001140C2"/>
    <w:rsid w:val="0011501F"/>
    <w:rsid w:val="0011529E"/>
    <w:rsid w:val="00115519"/>
    <w:rsid w:val="00115AED"/>
    <w:rsid w:val="00115DCC"/>
    <w:rsid w:val="00115E0C"/>
    <w:rsid w:val="00116171"/>
    <w:rsid w:val="00117010"/>
    <w:rsid w:val="0011740C"/>
    <w:rsid w:val="001176E4"/>
    <w:rsid w:val="00117A12"/>
    <w:rsid w:val="00117D2E"/>
    <w:rsid w:val="00117D34"/>
    <w:rsid w:val="00120007"/>
    <w:rsid w:val="0012070A"/>
    <w:rsid w:val="00120F99"/>
    <w:rsid w:val="0012100A"/>
    <w:rsid w:val="0012127F"/>
    <w:rsid w:val="001216CF"/>
    <w:rsid w:val="00122003"/>
    <w:rsid w:val="0012229B"/>
    <w:rsid w:val="001224AA"/>
    <w:rsid w:val="00122D21"/>
    <w:rsid w:val="00123159"/>
    <w:rsid w:val="001231C1"/>
    <w:rsid w:val="0012392E"/>
    <w:rsid w:val="0012410A"/>
    <w:rsid w:val="00124687"/>
    <w:rsid w:val="00125066"/>
    <w:rsid w:val="00125B34"/>
    <w:rsid w:val="00126678"/>
    <w:rsid w:val="00126984"/>
    <w:rsid w:val="001273AA"/>
    <w:rsid w:val="001273CC"/>
    <w:rsid w:val="00127504"/>
    <w:rsid w:val="0012751B"/>
    <w:rsid w:val="00127E50"/>
    <w:rsid w:val="001304ED"/>
    <w:rsid w:val="001306C7"/>
    <w:rsid w:val="00130C88"/>
    <w:rsid w:val="00131120"/>
    <w:rsid w:val="00131CE6"/>
    <w:rsid w:val="00132100"/>
    <w:rsid w:val="001330BA"/>
    <w:rsid w:val="00133D6E"/>
    <w:rsid w:val="001341ED"/>
    <w:rsid w:val="001342FD"/>
    <w:rsid w:val="00134B32"/>
    <w:rsid w:val="001354AA"/>
    <w:rsid w:val="00135DC2"/>
    <w:rsid w:val="00136999"/>
    <w:rsid w:val="00136A43"/>
    <w:rsid w:val="00136B32"/>
    <w:rsid w:val="00136CD6"/>
    <w:rsid w:val="00137A03"/>
    <w:rsid w:val="00137A16"/>
    <w:rsid w:val="00137A4E"/>
    <w:rsid w:val="001406A5"/>
    <w:rsid w:val="00140F88"/>
    <w:rsid w:val="00141151"/>
    <w:rsid w:val="00141578"/>
    <w:rsid w:val="001415D6"/>
    <w:rsid w:val="00141C93"/>
    <w:rsid w:val="00141D39"/>
    <w:rsid w:val="00141E75"/>
    <w:rsid w:val="00142015"/>
    <w:rsid w:val="00142ABB"/>
    <w:rsid w:val="00142ED4"/>
    <w:rsid w:val="00143192"/>
    <w:rsid w:val="00143A48"/>
    <w:rsid w:val="0014434A"/>
    <w:rsid w:val="001445D9"/>
    <w:rsid w:val="00144D4E"/>
    <w:rsid w:val="00144DAC"/>
    <w:rsid w:val="00144E4C"/>
    <w:rsid w:val="001452B7"/>
    <w:rsid w:val="00145C50"/>
    <w:rsid w:val="00145CE3"/>
    <w:rsid w:val="00145E83"/>
    <w:rsid w:val="00145F33"/>
    <w:rsid w:val="00146367"/>
    <w:rsid w:val="001465AF"/>
    <w:rsid w:val="00146863"/>
    <w:rsid w:val="00146CE4"/>
    <w:rsid w:val="00146E55"/>
    <w:rsid w:val="0014760E"/>
    <w:rsid w:val="0014785B"/>
    <w:rsid w:val="001501B3"/>
    <w:rsid w:val="00150655"/>
    <w:rsid w:val="00150AC8"/>
    <w:rsid w:val="00150F0F"/>
    <w:rsid w:val="001515B2"/>
    <w:rsid w:val="00152366"/>
    <w:rsid w:val="001523BF"/>
    <w:rsid w:val="00152781"/>
    <w:rsid w:val="00153B95"/>
    <w:rsid w:val="00154663"/>
    <w:rsid w:val="001547C7"/>
    <w:rsid w:val="00155DE4"/>
    <w:rsid w:val="00155F3E"/>
    <w:rsid w:val="00156980"/>
    <w:rsid w:val="001570FF"/>
    <w:rsid w:val="00157F17"/>
    <w:rsid w:val="0016070D"/>
    <w:rsid w:val="001607CF"/>
    <w:rsid w:val="00160D93"/>
    <w:rsid w:val="00161096"/>
    <w:rsid w:val="00161FD2"/>
    <w:rsid w:val="0016233E"/>
    <w:rsid w:val="0016289E"/>
    <w:rsid w:val="00162EAD"/>
    <w:rsid w:val="001630B4"/>
    <w:rsid w:val="001632C2"/>
    <w:rsid w:val="00163488"/>
    <w:rsid w:val="001635A6"/>
    <w:rsid w:val="00163C8C"/>
    <w:rsid w:val="00163E2B"/>
    <w:rsid w:val="00163EEB"/>
    <w:rsid w:val="00164542"/>
    <w:rsid w:val="001645D4"/>
    <w:rsid w:val="00164EBB"/>
    <w:rsid w:val="00165A12"/>
    <w:rsid w:val="00165CB8"/>
    <w:rsid w:val="001668F6"/>
    <w:rsid w:val="001669C2"/>
    <w:rsid w:val="001670D2"/>
    <w:rsid w:val="001672F6"/>
    <w:rsid w:val="001673EC"/>
    <w:rsid w:val="00167512"/>
    <w:rsid w:val="001679C7"/>
    <w:rsid w:val="00167A12"/>
    <w:rsid w:val="00167B2F"/>
    <w:rsid w:val="00167FF9"/>
    <w:rsid w:val="00170879"/>
    <w:rsid w:val="00170BC7"/>
    <w:rsid w:val="00171D2F"/>
    <w:rsid w:val="00171E0F"/>
    <w:rsid w:val="00171E82"/>
    <w:rsid w:val="00172183"/>
    <w:rsid w:val="00172793"/>
    <w:rsid w:val="00172A27"/>
    <w:rsid w:val="00172DB7"/>
    <w:rsid w:val="00172FEA"/>
    <w:rsid w:val="001731E7"/>
    <w:rsid w:val="00173333"/>
    <w:rsid w:val="00173885"/>
    <w:rsid w:val="00173914"/>
    <w:rsid w:val="00173A12"/>
    <w:rsid w:val="00173EB5"/>
    <w:rsid w:val="00173EC6"/>
    <w:rsid w:val="00174C71"/>
    <w:rsid w:val="001756F5"/>
    <w:rsid w:val="00175773"/>
    <w:rsid w:val="00175982"/>
    <w:rsid w:val="00175DB9"/>
    <w:rsid w:val="00175EDB"/>
    <w:rsid w:val="00176088"/>
    <w:rsid w:val="00176978"/>
    <w:rsid w:val="00176A7C"/>
    <w:rsid w:val="00176F52"/>
    <w:rsid w:val="001778C2"/>
    <w:rsid w:val="0017797B"/>
    <w:rsid w:val="00177B1B"/>
    <w:rsid w:val="0018104C"/>
    <w:rsid w:val="001811BA"/>
    <w:rsid w:val="00181546"/>
    <w:rsid w:val="00181E62"/>
    <w:rsid w:val="0018274C"/>
    <w:rsid w:val="00182DA0"/>
    <w:rsid w:val="0018362A"/>
    <w:rsid w:val="00183A25"/>
    <w:rsid w:val="00185C34"/>
    <w:rsid w:val="00186168"/>
    <w:rsid w:val="001866FC"/>
    <w:rsid w:val="001878B7"/>
    <w:rsid w:val="00187987"/>
    <w:rsid w:val="001879A5"/>
    <w:rsid w:val="00187EA4"/>
    <w:rsid w:val="00190248"/>
    <w:rsid w:val="0019028C"/>
    <w:rsid w:val="001907DA"/>
    <w:rsid w:val="00191243"/>
    <w:rsid w:val="00192A9C"/>
    <w:rsid w:val="0019307A"/>
    <w:rsid w:val="00193658"/>
    <w:rsid w:val="0019379F"/>
    <w:rsid w:val="001939D2"/>
    <w:rsid w:val="00193D03"/>
    <w:rsid w:val="00194A86"/>
    <w:rsid w:val="00194AB7"/>
    <w:rsid w:val="00195251"/>
    <w:rsid w:val="00195462"/>
    <w:rsid w:val="001955C3"/>
    <w:rsid w:val="00195F00"/>
    <w:rsid w:val="00195F4A"/>
    <w:rsid w:val="00196F32"/>
    <w:rsid w:val="001976E3"/>
    <w:rsid w:val="00197A75"/>
    <w:rsid w:val="00197B7F"/>
    <w:rsid w:val="001A0080"/>
    <w:rsid w:val="001A058E"/>
    <w:rsid w:val="001A0605"/>
    <w:rsid w:val="001A0C96"/>
    <w:rsid w:val="001A0F19"/>
    <w:rsid w:val="001A0F46"/>
    <w:rsid w:val="001A2968"/>
    <w:rsid w:val="001A2F72"/>
    <w:rsid w:val="001A41E7"/>
    <w:rsid w:val="001A4C81"/>
    <w:rsid w:val="001A4DF2"/>
    <w:rsid w:val="001A554E"/>
    <w:rsid w:val="001A5F4E"/>
    <w:rsid w:val="001A61ED"/>
    <w:rsid w:val="001A6498"/>
    <w:rsid w:val="001A7A82"/>
    <w:rsid w:val="001A7C1F"/>
    <w:rsid w:val="001B0007"/>
    <w:rsid w:val="001B0A22"/>
    <w:rsid w:val="001B117D"/>
    <w:rsid w:val="001B12E9"/>
    <w:rsid w:val="001B1687"/>
    <w:rsid w:val="001B172C"/>
    <w:rsid w:val="001B1786"/>
    <w:rsid w:val="001B1E1F"/>
    <w:rsid w:val="001B2391"/>
    <w:rsid w:val="001B309F"/>
    <w:rsid w:val="001B3549"/>
    <w:rsid w:val="001B3553"/>
    <w:rsid w:val="001B35E1"/>
    <w:rsid w:val="001B3962"/>
    <w:rsid w:val="001B3A75"/>
    <w:rsid w:val="001B4754"/>
    <w:rsid w:val="001B4D8C"/>
    <w:rsid w:val="001B55BD"/>
    <w:rsid w:val="001B5ABD"/>
    <w:rsid w:val="001B5BA4"/>
    <w:rsid w:val="001B5BFE"/>
    <w:rsid w:val="001B5C29"/>
    <w:rsid w:val="001B65BF"/>
    <w:rsid w:val="001B6B92"/>
    <w:rsid w:val="001B7445"/>
    <w:rsid w:val="001B7C3D"/>
    <w:rsid w:val="001B7F29"/>
    <w:rsid w:val="001B7FBB"/>
    <w:rsid w:val="001C0375"/>
    <w:rsid w:val="001C0BD3"/>
    <w:rsid w:val="001C0E80"/>
    <w:rsid w:val="001C1E72"/>
    <w:rsid w:val="001C2943"/>
    <w:rsid w:val="001C2F04"/>
    <w:rsid w:val="001C3757"/>
    <w:rsid w:val="001C3BAB"/>
    <w:rsid w:val="001C3D67"/>
    <w:rsid w:val="001C417F"/>
    <w:rsid w:val="001C41FC"/>
    <w:rsid w:val="001C46EF"/>
    <w:rsid w:val="001C55AA"/>
    <w:rsid w:val="001C56BD"/>
    <w:rsid w:val="001C5E8C"/>
    <w:rsid w:val="001C6317"/>
    <w:rsid w:val="001C6503"/>
    <w:rsid w:val="001C754D"/>
    <w:rsid w:val="001C7D5A"/>
    <w:rsid w:val="001D00EE"/>
    <w:rsid w:val="001D027A"/>
    <w:rsid w:val="001D0638"/>
    <w:rsid w:val="001D07CF"/>
    <w:rsid w:val="001D07D0"/>
    <w:rsid w:val="001D096E"/>
    <w:rsid w:val="001D0CCD"/>
    <w:rsid w:val="001D0D04"/>
    <w:rsid w:val="001D0D8D"/>
    <w:rsid w:val="001D0F0B"/>
    <w:rsid w:val="001D11D8"/>
    <w:rsid w:val="001D13CE"/>
    <w:rsid w:val="001D18D9"/>
    <w:rsid w:val="001D2488"/>
    <w:rsid w:val="001D2529"/>
    <w:rsid w:val="001D2710"/>
    <w:rsid w:val="001D2F27"/>
    <w:rsid w:val="001D378B"/>
    <w:rsid w:val="001D3BA1"/>
    <w:rsid w:val="001D3D68"/>
    <w:rsid w:val="001D3FA5"/>
    <w:rsid w:val="001D46EF"/>
    <w:rsid w:val="001D4706"/>
    <w:rsid w:val="001D4830"/>
    <w:rsid w:val="001D4963"/>
    <w:rsid w:val="001D4E9C"/>
    <w:rsid w:val="001D5E54"/>
    <w:rsid w:val="001D601C"/>
    <w:rsid w:val="001D6696"/>
    <w:rsid w:val="001D724E"/>
    <w:rsid w:val="001D78CD"/>
    <w:rsid w:val="001E00A6"/>
    <w:rsid w:val="001E026A"/>
    <w:rsid w:val="001E0D2A"/>
    <w:rsid w:val="001E180A"/>
    <w:rsid w:val="001E1FEE"/>
    <w:rsid w:val="001E2036"/>
    <w:rsid w:val="001E20A8"/>
    <w:rsid w:val="001E26CB"/>
    <w:rsid w:val="001E272B"/>
    <w:rsid w:val="001E29D1"/>
    <w:rsid w:val="001E2B5E"/>
    <w:rsid w:val="001E32F3"/>
    <w:rsid w:val="001E39B5"/>
    <w:rsid w:val="001E3E25"/>
    <w:rsid w:val="001E3FBF"/>
    <w:rsid w:val="001E4272"/>
    <w:rsid w:val="001E4751"/>
    <w:rsid w:val="001E53C8"/>
    <w:rsid w:val="001E59F4"/>
    <w:rsid w:val="001E686C"/>
    <w:rsid w:val="001E6F59"/>
    <w:rsid w:val="001E71B0"/>
    <w:rsid w:val="001E7497"/>
    <w:rsid w:val="001E75E5"/>
    <w:rsid w:val="001E76EF"/>
    <w:rsid w:val="001E7721"/>
    <w:rsid w:val="001E79B1"/>
    <w:rsid w:val="001F0445"/>
    <w:rsid w:val="001F06FF"/>
    <w:rsid w:val="001F073C"/>
    <w:rsid w:val="001F084A"/>
    <w:rsid w:val="001F18D6"/>
    <w:rsid w:val="001F2211"/>
    <w:rsid w:val="001F247F"/>
    <w:rsid w:val="001F2DAC"/>
    <w:rsid w:val="001F2F21"/>
    <w:rsid w:val="001F32D6"/>
    <w:rsid w:val="001F34C8"/>
    <w:rsid w:val="001F35BF"/>
    <w:rsid w:val="001F361E"/>
    <w:rsid w:val="001F3B31"/>
    <w:rsid w:val="001F4EAA"/>
    <w:rsid w:val="001F4EEB"/>
    <w:rsid w:val="001F506B"/>
    <w:rsid w:val="001F52BB"/>
    <w:rsid w:val="001F55A6"/>
    <w:rsid w:val="001F564C"/>
    <w:rsid w:val="001F5E55"/>
    <w:rsid w:val="001F6068"/>
    <w:rsid w:val="001F6ECD"/>
    <w:rsid w:val="001F6EF6"/>
    <w:rsid w:val="001F7C8B"/>
    <w:rsid w:val="0020047A"/>
    <w:rsid w:val="00200DA1"/>
    <w:rsid w:val="00201282"/>
    <w:rsid w:val="00201982"/>
    <w:rsid w:val="00201B87"/>
    <w:rsid w:val="0020274E"/>
    <w:rsid w:val="0020289D"/>
    <w:rsid w:val="00202B23"/>
    <w:rsid w:val="00203366"/>
    <w:rsid w:val="002033AE"/>
    <w:rsid w:val="00203411"/>
    <w:rsid w:val="0020414A"/>
    <w:rsid w:val="00204176"/>
    <w:rsid w:val="00204293"/>
    <w:rsid w:val="00204C3C"/>
    <w:rsid w:val="00204EE6"/>
    <w:rsid w:val="00205355"/>
    <w:rsid w:val="00205C84"/>
    <w:rsid w:val="00205F02"/>
    <w:rsid w:val="002060CC"/>
    <w:rsid w:val="002066B2"/>
    <w:rsid w:val="00206DBC"/>
    <w:rsid w:val="0020718D"/>
    <w:rsid w:val="00207569"/>
    <w:rsid w:val="00210691"/>
    <w:rsid w:val="00210E4D"/>
    <w:rsid w:val="00211418"/>
    <w:rsid w:val="002114DA"/>
    <w:rsid w:val="002115C5"/>
    <w:rsid w:val="002117BF"/>
    <w:rsid w:val="00211A6E"/>
    <w:rsid w:val="00212B11"/>
    <w:rsid w:val="00212B4C"/>
    <w:rsid w:val="00212E37"/>
    <w:rsid w:val="00213CF1"/>
    <w:rsid w:val="002142A8"/>
    <w:rsid w:val="00214358"/>
    <w:rsid w:val="002144FF"/>
    <w:rsid w:val="00214782"/>
    <w:rsid w:val="002154CF"/>
    <w:rsid w:val="00215E19"/>
    <w:rsid w:val="002178C3"/>
    <w:rsid w:val="00217BEB"/>
    <w:rsid w:val="00217CFF"/>
    <w:rsid w:val="00217EAE"/>
    <w:rsid w:val="002202BC"/>
    <w:rsid w:val="00220600"/>
    <w:rsid w:val="002207B2"/>
    <w:rsid w:val="002207FF"/>
    <w:rsid w:val="00220982"/>
    <w:rsid w:val="00220BF7"/>
    <w:rsid w:val="00220F94"/>
    <w:rsid w:val="00221099"/>
    <w:rsid w:val="00221104"/>
    <w:rsid w:val="0022126F"/>
    <w:rsid w:val="00221CB6"/>
    <w:rsid w:val="00222068"/>
    <w:rsid w:val="002222F2"/>
    <w:rsid w:val="00222B59"/>
    <w:rsid w:val="00223202"/>
    <w:rsid w:val="00223DC6"/>
    <w:rsid w:val="00224054"/>
    <w:rsid w:val="0022423C"/>
    <w:rsid w:val="00224347"/>
    <w:rsid w:val="00224351"/>
    <w:rsid w:val="00224B13"/>
    <w:rsid w:val="0022505D"/>
    <w:rsid w:val="002255A8"/>
    <w:rsid w:val="00225B6A"/>
    <w:rsid w:val="00225F73"/>
    <w:rsid w:val="00226251"/>
    <w:rsid w:val="002262C8"/>
    <w:rsid w:val="00226A7B"/>
    <w:rsid w:val="002273AA"/>
    <w:rsid w:val="00227F60"/>
    <w:rsid w:val="00227FD2"/>
    <w:rsid w:val="00230239"/>
    <w:rsid w:val="0023061F"/>
    <w:rsid w:val="00230741"/>
    <w:rsid w:val="0023095A"/>
    <w:rsid w:val="002316FB"/>
    <w:rsid w:val="00231BFD"/>
    <w:rsid w:val="00232469"/>
    <w:rsid w:val="0023254C"/>
    <w:rsid w:val="002326F5"/>
    <w:rsid w:val="00232E90"/>
    <w:rsid w:val="00233FE4"/>
    <w:rsid w:val="002345C5"/>
    <w:rsid w:val="0023490C"/>
    <w:rsid w:val="00235067"/>
    <w:rsid w:val="002352D6"/>
    <w:rsid w:val="00235B47"/>
    <w:rsid w:val="00235EC2"/>
    <w:rsid w:val="00236540"/>
    <w:rsid w:val="00236577"/>
    <w:rsid w:val="002365DD"/>
    <w:rsid w:val="00236741"/>
    <w:rsid w:val="0023680B"/>
    <w:rsid w:val="00236D1F"/>
    <w:rsid w:val="00236D69"/>
    <w:rsid w:val="0023758F"/>
    <w:rsid w:val="002375E5"/>
    <w:rsid w:val="00237648"/>
    <w:rsid w:val="002376FA"/>
    <w:rsid w:val="002379D3"/>
    <w:rsid w:val="0024075B"/>
    <w:rsid w:val="00240781"/>
    <w:rsid w:val="0024139C"/>
    <w:rsid w:val="00241903"/>
    <w:rsid w:val="00241B89"/>
    <w:rsid w:val="00241C8B"/>
    <w:rsid w:val="002423DE"/>
    <w:rsid w:val="0024244B"/>
    <w:rsid w:val="00242AF2"/>
    <w:rsid w:val="0024395F"/>
    <w:rsid w:val="00243A49"/>
    <w:rsid w:val="00244298"/>
    <w:rsid w:val="00244985"/>
    <w:rsid w:val="00244C41"/>
    <w:rsid w:val="00244F37"/>
    <w:rsid w:val="002450C4"/>
    <w:rsid w:val="0024529F"/>
    <w:rsid w:val="002455D4"/>
    <w:rsid w:val="0024577A"/>
    <w:rsid w:val="002461BF"/>
    <w:rsid w:val="00246219"/>
    <w:rsid w:val="00246617"/>
    <w:rsid w:val="002466FC"/>
    <w:rsid w:val="002469C3"/>
    <w:rsid w:val="00246BA3"/>
    <w:rsid w:val="00246F49"/>
    <w:rsid w:val="00247239"/>
    <w:rsid w:val="002473CF"/>
    <w:rsid w:val="00247422"/>
    <w:rsid w:val="00247505"/>
    <w:rsid w:val="00247BE6"/>
    <w:rsid w:val="00247C9C"/>
    <w:rsid w:val="002506A8"/>
    <w:rsid w:val="002509F3"/>
    <w:rsid w:val="00250B7C"/>
    <w:rsid w:val="00250C0C"/>
    <w:rsid w:val="0025159E"/>
    <w:rsid w:val="00251720"/>
    <w:rsid w:val="00251985"/>
    <w:rsid w:val="00252153"/>
    <w:rsid w:val="00252B08"/>
    <w:rsid w:val="00252B36"/>
    <w:rsid w:val="00252B9D"/>
    <w:rsid w:val="00252C44"/>
    <w:rsid w:val="0025355B"/>
    <w:rsid w:val="002536DD"/>
    <w:rsid w:val="00253814"/>
    <w:rsid w:val="00253B31"/>
    <w:rsid w:val="002541E6"/>
    <w:rsid w:val="00254A89"/>
    <w:rsid w:val="002558C1"/>
    <w:rsid w:val="00255E90"/>
    <w:rsid w:val="002565A4"/>
    <w:rsid w:val="00256746"/>
    <w:rsid w:val="00256B34"/>
    <w:rsid w:val="00256BBC"/>
    <w:rsid w:val="00257159"/>
    <w:rsid w:val="00257435"/>
    <w:rsid w:val="002574AE"/>
    <w:rsid w:val="00257636"/>
    <w:rsid w:val="002576F9"/>
    <w:rsid w:val="00257B8D"/>
    <w:rsid w:val="00257C51"/>
    <w:rsid w:val="00257CBB"/>
    <w:rsid w:val="00257D1D"/>
    <w:rsid w:val="00257DFE"/>
    <w:rsid w:val="0026001F"/>
    <w:rsid w:val="002600D6"/>
    <w:rsid w:val="00260387"/>
    <w:rsid w:val="0026044C"/>
    <w:rsid w:val="00260BB3"/>
    <w:rsid w:val="00261821"/>
    <w:rsid w:val="00261AD2"/>
    <w:rsid w:val="00261EDA"/>
    <w:rsid w:val="00262356"/>
    <w:rsid w:val="00262F66"/>
    <w:rsid w:val="00263044"/>
    <w:rsid w:val="0026332B"/>
    <w:rsid w:val="00263509"/>
    <w:rsid w:val="00263CAC"/>
    <w:rsid w:val="002644A8"/>
    <w:rsid w:val="00264871"/>
    <w:rsid w:val="00265209"/>
    <w:rsid w:val="00265525"/>
    <w:rsid w:val="00265533"/>
    <w:rsid w:val="002661FB"/>
    <w:rsid w:val="0026623B"/>
    <w:rsid w:val="002671CE"/>
    <w:rsid w:val="00267A72"/>
    <w:rsid w:val="0027032B"/>
    <w:rsid w:val="0027043D"/>
    <w:rsid w:val="00270494"/>
    <w:rsid w:val="00271112"/>
    <w:rsid w:val="0027146A"/>
    <w:rsid w:val="00271B09"/>
    <w:rsid w:val="00271C90"/>
    <w:rsid w:val="00272398"/>
    <w:rsid w:val="002729EA"/>
    <w:rsid w:val="00272E77"/>
    <w:rsid w:val="00273769"/>
    <w:rsid w:val="002740F9"/>
    <w:rsid w:val="00274187"/>
    <w:rsid w:val="002743F6"/>
    <w:rsid w:val="00274538"/>
    <w:rsid w:val="002746D8"/>
    <w:rsid w:val="002750D9"/>
    <w:rsid w:val="00276074"/>
    <w:rsid w:val="00276300"/>
    <w:rsid w:val="002764F3"/>
    <w:rsid w:val="0027661E"/>
    <w:rsid w:val="00276B39"/>
    <w:rsid w:val="00276F98"/>
    <w:rsid w:val="00280599"/>
    <w:rsid w:val="00280BBD"/>
    <w:rsid w:val="00281109"/>
    <w:rsid w:val="00281249"/>
    <w:rsid w:val="00282144"/>
    <w:rsid w:val="00282573"/>
    <w:rsid w:val="00282DCA"/>
    <w:rsid w:val="00282E39"/>
    <w:rsid w:val="00283A2F"/>
    <w:rsid w:val="00283F17"/>
    <w:rsid w:val="0028400E"/>
    <w:rsid w:val="002846E2"/>
    <w:rsid w:val="00284F55"/>
    <w:rsid w:val="00284FA3"/>
    <w:rsid w:val="00285013"/>
    <w:rsid w:val="002858A9"/>
    <w:rsid w:val="00285C12"/>
    <w:rsid w:val="00285C9A"/>
    <w:rsid w:val="00285FEA"/>
    <w:rsid w:val="00286288"/>
    <w:rsid w:val="002864A7"/>
    <w:rsid w:val="00286725"/>
    <w:rsid w:val="00286734"/>
    <w:rsid w:val="00286BEB"/>
    <w:rsid w:val="0028703F"/>
    <w:rsid w:val="002870DF"/>
    <w:rsid w:val="00290B03"/>
    <w:rsid w:val="00290BE0"/>
    <w:rsid w:val="00290C8C"/>
    <w:rsid w:val="00290D55"/>
    <w:rsid w:val="00291D6C"/>
    <w:rsid w:val="00291D89"/>
    <w:rsid w:val="002921DF"/>
    <w:rsid w:val="00292815"/>
    <w:rsid w:val="00292F41"/>
    <w:rsid w:val="002930E3"/>
    <w:rsid w:val="002934EB"/>
    <w:rsid w:val="00293F83"/>
    <w:rsid w:val="002940F0"/>
    <w:rsid w:val="002945E8"/>
    <w:rsid w:val="00294701"/>
    <w:rsid w:val="002957D1"/>
    <w:rsid w:val="00295C47"/>
    <w:rsid w:val="0029609B"/>
    <w:rsid w:val="0029654E"/>
    <w:rsid w:val="00296A84"/>
    <w:rsid w:val="0029718D"/>
    <w:rsid w:val="00297B1F"/>
    <w:rsid w:val="002A11F8"/>
    <w:rsid w:val="002A1456"/>
    <w:rsid w:val="002A1D3E"/>
    <w:rsid w:val="002A295D"/>
    <w:rsid w:val="002A2B01"/>
    <w:rsid w:val="002A2B1C"/>
    <w:rsid w:val="002A2F90"/>
    <w:rsid w:val="002A3891"/>
    <w:rsid w:val="002A3F38"/>
    <w:rsid w:val="002A48AA"/>
    <w:rsid w:val="002A4DB2"/>
    <w:rsid w:val="002A512F"/>
    <w:rsid w:val="002A56C7"/>
    <w:rsid w:val="002A5847"/>
    <w:rsid w:val="002A59D0"/>
    <w:rsid w:val="002A5B02"/>
    <w:rsid w:val="002A6504"/>
    <w:rsid w:val="002A68A9"/>
    <w:rsid w:val="002A6D50"/>
    <w:rsid w:val="002A6E44"/>
    <w:rsid w:val="002A7219"/>
    <w:rsid w:val="002A7643"/>
    <w:rsid w:val="002B07E8"/>
    <w:rsid w:val="002B0DD4"/>
    <w:rsid w:val="002B155D"/>
    <w:rsid w:val="002B15AB"/>
    <w:rsid w:val="002B1857"/>
    <w:rsid w:val="002B19C1"/>
    <w:rsid w:val="002B1C3B"/>
    <w:rsid w:val="002B1C55"/>
    <w:rsid w:val="002B1FB0"/>
    <w:rsid w:val="002B2AD7"/>
    <w:rsid w:val="002B3859"/>
    <w:rsid w:val="002B39ED"/>
    <w:rsid w:val="002B3D11"/>
    <w:rsid w:val="002B4069"/>
    <w:rsid w:val="002B415A"/>
    <w:rsid w:val="002B4237"/>
    <w:rsid w:val="002B44FC"/>
    <w:rsid w:val="002B55FF"/>
    <w:rsid w:val="002B5689"/>
    <w:rsid w:val="002B5A2D"/>
    <w:rsid w:val="002B5FF5"/>
    <w:rsid w:val="002B636F"/>
    <w:rsid w:val="002B64B2"/>
    <w:rsid w:val="002B7C21"/>
    <w:rsid w:val="002B7C7E"/>
    <w:rsid w:val="002B7E7F"/>
    <w:rsid w:val="002C09B2"/>
    <w:rsid w:val="002C13D4"/>
    <w:rsid w:val="002C1E6F"/>
    <w:rsid w:val="002C1F65"/>
    <w:rsid w:val="002C22AB"/>
    <w:rsid w:val="002C22FD"/>
    <w:rsid w:val="002C3C7D"/>
    <w:rsid w:val="002C3C85"/>
    <w:rsid w:val="002C3CE6"/>
    <w:rsid w:val="002C42C9"/>
    <w:rsid w:val="002C476C"/>
    <w:rsid w:val="002C4ED8"/>
    <w:rsid w:val="002C4FBB"/>
    <w:rsid w:val="002C517C"/>
    <w:rsid w:val="002C5A2D"/>
    <w:rsid w:val="002C5AA8"/>
    <w:rsid w:val="002C5DE6"/>
    <w:rsid w:val="002C5F73"/>
    <w:rsid w:val="002C6950"/>
    <w:rsid w:val="002C7010"/>
    <w:rsid w:val="002C73C0"/>
    <w:rsid w:val="002C7BD3"/>
    <w:rsid w:val="002D07F1"/>
    <w:rsid w:val="002D093E"/>
    <w:rsid w:val="002D0B31"/>
    <w:rsid w:val="002D100E"/>
    <w:rsid w:val="002D13FD"/>
    <w:rsid w:val="002D193C"/>
    <w:rsid w:val="002D1A88"/>
    <w:rsid w:val="002D1B12"/>
    <w:rsid w:val="002D1C14"/>
    <w:rsid w:val="002D1D21"/>
    <w:rsid w:val="002D20F5"/>
    <w:rsid w:val="002D21F2"/>
    <w:rsid w:val="002D2603"/>
    <w:rsid w:val="002D2778"/>
    <w:rsid w:val="002D30CB"/>
    <w:rsid w:val="002D3135"/>
    <w:rsid w:val="002D34BF"/>
    <w:rsid w:val="002D3A55"/>
    <w:rsid w:val="002D3A7E"/>
    <w:rsid w:val="002D3EA1"/>
    <w:rsid w:val="002D41FD"/>
    <w:rsid w:val="002D4305"/>
    <w:rsid w:val="002D49F9"/>
    <w:rsid w:val="002D4DCA"/>
    <w:rsid w:val="002D4F09"/>
    <w:rsid w:val="002D4F2D"/>
    <w:rsid w:val="002D5321"/>
    <w:rsid w:val="002D53C7"/>
    <w:rsid w:val="002D5CB6"/>
    <w:rsid w:val="002D5E22"/>
    <w:rsid w:val="002D6375"/>
    <w:rsid w:val="002D6D83"/>
    <w:rsid w:val="002D774A"/>
    <w:rsid w:val="002D78CD"/>
    <w:rsid w:val="002D7A5C"/>
    <w:rsid w:val="002D7B32"/>
    <w:rsid w:val="002D7DF2"/>
    <w:rsid w:val="002E0D71"/>
    <w:rsid w:val="002E0F2A"/>
    <w:rsid w:val="002E154C"/>
    <w:rsid w:val="002E1959"/>
    <w:rsid w:val="002E1B26"/>
    <w:rsid w:val="002E237C"/>
    <w:rsid w:val="002E26CF"/>
    <w:rsid w:val="002E30B5"/>
    <w:rsid w:val="002E30C3"/>
    <w:rsid w:val="002E330B"/>
    <w:rsid w:val="002E3874"/>
    <w:rsid w:val="002E3FA3"/>
    <w:rsid w:val="002E41C6"/>
    <w:rsid w:val="002E4736"/>
    <w:rsid w:val="002E65B9"/>
    <w:rsid w:val="002E71A9"/>
    <w:rsid w:val="002F038D"/>
    <w:rsid w:val="002F0CC4"/>
    <w:rsid w:val="002F16D9"/>
    <w:rsid w:val="002F1725"/>
    <w:rsid w:val="002F232E"/>
    <w:rsid w:val="002F26CC"/>
    <w:rsid w:val="002F2998"/>
    <w:rsid w:val="002F2F0B"/>
    <w:rsid w:val="002F3763"/>
    <w:rsid w:val="002F4576"/>
    <w:rsid w:val="002F4DBD"/>
    <w:rsid w:val="002F4E5A"/>
    <w:rsid w:val="002F59F5"/>
    <w:rsid w:val="002F5EF8"/>
    <w:rsid w:val="002F5F8C"/>
    <w:rsid w:val="002F6D04"/>
    <w:rsid w:val="002F7243"/>
    <w:rsid w:val="002F7749"/>
    <w:rsid w:val="002F7880"/>
    <w:rsid w:val="003006BC"/>
    <w:rsid w:val="00300A8F"/>
    <w:rsid w:val="00300DBD"/>
    <w:rsid w:val="00300E78"/>
    <w:rsid w:val="003013AB"/>
    <w:rsid w:val="00301CD1"/>
    <w:rsid w:val="00301DB0"/>
    <w:rsid w:val="00302278"/>
    <w:rsid w:val="0030288A"/>
    <w:rsid w:val="00302ECA"/>
    <w:rsid w:val="00302F55"/>
    <w:rsid w:val="00303222"/>
    <w:rsid w:val="00303735"/>
    <w:rsid w:val="00303A15"/>
    <w:rsid w:val="00303E13"/>
    <w:rsid w:val="00304693"/>
    <w:rsid w:val="003046E4"/>
    <w:rsid w:val="00304977"/>
    <w:rsid w:val="00306F0B"/>
    <w:rsid w:val="00307A52"/>
    <w:rsid w:val="00310206"/>
    <w:rsid w:val="0031045B"/>
    <w:rsid w:val="00310A70"/>
    <w:rsid w:val="00310D55"/>
    <w:rsid w:val="00310D9A"/>
    <w:rsid w:val="00311EAE"/>
    <w:rsid w:val="0031278A"/>
    <w:rsid w:val="00312A5A"/>
    <w:rsid w:val="003131E9"/>
    <w:rsid w:val="0031380D"/>
    <w:rsid w:val="0031393A"/>
    <w:rsid w:val="00313C76"/>
    <w:rsid w:val="00313DBC"/>
    <w:rsid w:val="00313F36"/>
    <w:rsid w:val="00314001"/>
    <w:rsid w:val="00315021"/>
    <w:rsid w:val="0031526E"/>
    <w:rsid w:val="003153DF"/>
    <w:rsid w:val="00315C32"/>
    <w:rsid w:val="00315D94"/>
    <w:rsid w:val="003160F2"/>
    <w:rsid w:val="003166CA"/>
    <w:rsid w:val="00316A77"/>
    <w:rsid w:val="00316C8C"/>
    <w:rsid w:val="00317159"/>
    <w:rsid w:val="00317775"/>
    <w:rsid w:val="003177D2"/>
    <w:rsid w:val="00317CB0"/>
    <w:rsid w:val="00320077"/>
    <w:rsid w:val="00320934"/>
    <w:rsid w:val="00321DC8"/>
    <w:rsid w:val="00322972"/>
    <w:rsid w:val="00322BF0"/>
    <w:rsid w:val="00322C9C"/>
    <w:rsid w:val="00323228"/>
    <w:rsid w:val="003238A6"/>
    <w:rsid w:val="00323A86"/>
    <w:rsid w:val="00323E5E"/>
    <w:rsid w:val="0032409D"/>
    <w:rsid w:val="0032416D"/>
    <w:rsid w:val="0032454E"/>
    <w:rsid w:val="00324958"/>
    <w:rsid w:val="003252BB"/>
    <w:rsid w:val="00325814"/>
    <w:rsid w:val="00325D2A"/>
    <w:rsid w:val="0032657C"/>
    <w:rsid w:val="00327D37"/>
    <w:rsid w:val="00330299"/>
    <w:rsid w:val="00330AD7"/>
    <w:rsid w:val="00330B0C"/>
    <w:rsid w:val="00331235"/>
    <w:rsid w:val="003316F8"/>
    <w:rsid w:val="003319BC"/>
    <w:rsid w:val="00331C76"/>
    <w:rsid w:val="00332A9C"/>
    <w:rsid w:val="00332AD9"/>
    <w:rsid w:val="00332BD3"/>
    <w:rsid w:val="00332C34"/>
    <w:rsid w:val="00332D36"/>
    <w:rsid w:val="003334C2"/>
    <w:rsid w:val="0033369F"/>
    <w:rsid w:val="0033386B"/>
    <w:rsid w:val="00334091"/>
    <w:rsid w:val="00334783"/>
    <w:rsid w:val="003347E8"/>
    <w:rsid w:val="0033610B"/>
    <w:rsid w:val="00336252"/>
    <w:rsid w:val="003365EB"/>
    <w:rsid w:val="003368A0"/>
    <w:rsid w:val="003369DD"/>
    <w:rsid w:val="00337586"/>
    <w:rsid w:val="0033760D"/>
    <w:rsid w:val="003376B1"/>
    <w:rsid w:val="0034053D"/>
    <w:rsid w:val="003405E8"/>
    <w:rsid w:val="0034067B"/>
    <w:rsid w:val="003408E6"/>
    <w:rsid w:val="00340BDD"/>
    <w:rsid w:val="003419DB"/>
    <w:rsid w:val="00342751"/>
    <w:rsid w:val="00342DB5"/>
    <w:rsid w:val="00342F58"/>
    <w:rsid w:val="00343657"/>
    <w:rsid w:val="00343E6D"/>
    <w:rsid w:val="003444EE"/>
    <w:rsid w:val="00344541"/>
    <w:rsid w:val="0034551F"/>
    <w:rsid w:val="00345984"/>
    <w:rsid w:val="00345A1D"/>
    <w:rsid w:val="00345BEC"/>
    <w:rsid w:val="00346DAF"/>
    <w:rsid w:val="00347050"/>
    <w:rsid w:val="00347264"/>
    <w:rsid w:val="00347856"/>
    <w:rsid w:val="00347E83"/>
    <w:rsid w:val="003500CD"/>
    <w:rsid w:val="00350460"/>
    <w:rsid w:val="00350879"/>
    <w:rsid w:val="003511D9"/>
    <w:rsid w:val="003517E5"/>
    <w:rsid w:val="003518AA"/>
    <w:rsid w:val="00351E0D"/>
    <w:rsid w:val="003522D0"/>
    <w:rsid w:val="003529C9"/>
    <w:rsid w:val="0035310C"/>
    <w:rsid w:val="0035342C"/>
    <w:rsid w:val="00353C8A"/>
    <w:rsid w:val="00354962"/>
    <w:rsid w:val="00354F91"/>
    <w:rsid w:val="003550B5"/>
    <w:rsid w:val="00355A00"/>
    <w:rsid w:val="00355FF8"/>
    <w:rsid w:val="0035606D"/>
    <w:rsid w:val="00356592"/>
    <w:rsid w:val="00356DF0"/>
    <w:rsid w:val="0036008A"/>
    <w:rsid w:val="00361070"/>
    <w:rsid w:val="003611C8"/>
    <w:rsid w:val="00361BE4"/>
    <w:rsid w:val="00363250"/>
    <w:rsid w:val="00363A3B"/>
    <w:rsid w:val="00363B7D"/>
    <w:rsid w:val="00363CCB"/>
    <w:rsid w:val="00363F47"/>
    <w:rsid w:val="003640C6"/>
    <w:rsid w:val="0036440D"/>
    <w:rsid w:val="003644D9"/>
    <w:rsid w:val="003645D8"/>
    <w:rsid w:val="00365186"/>
    <w:rsid w:val="00365394"/>
    <w:rsid w:val="00365B06"/>
    <w:rsid w:val="00366C14"/>
    <w:rsid w:val="00367A0D"/>
    <w:rsid w:val="00370763"/>
    <w:rsid w:val="00370899"/>
    <w:rsid w:val="003712A8"/>
    <w:rsid w:val="0037132D"/>
    <w:rsid w:val="00371893"/>
    <w:rsid w:val="00371EF5"/>
    <w:rsid w:val="003723AE"/>
    <w:rsid w:val="00372A86"/>
    <w:rsid w:val="00372DF8"/>
    <w:rsid w:val="00373015"/>
    <w:rsid w:val="00373217"/>
    <w:rsid w:val="0037469B"/>
    <w:rsid w:val="0037486D"/>
    <w:rsid w:val="003749D6"/>
    <w:rsid w:val="00374DA6"/>
    <w:rsid w:val="00375DD4"/>
    <w:rsid w:val="003765A0"/>
    <w:rsid w:val="003767AD"/>
    <w:rsid w:val="00376BA9"/>
    <w:rsid w:val="00376F59"/>
    <w:rsid w:val="00377441"/>
    <w:rsid w:val="003774ED"/>
    <w:rsid w:val="0038005D"/>
    <w:rsid w:val="003803AF"/>
    <w:rsid w:val="003804B8"/>
    <w:rsid w:val="00380585"/>
    <w:rsid w:val="00380E16"/>
    <w:rsid w:val="003811F5"/>
    <w:rsid w:val="00382EEE"/>
    <w:rsid w:val="00382EF4"/>
    <w:rsid w:val="00383A2A"/>
    <w:rsid w:val="00383C40"/>
    <w:rsid w:val="00384774"/>
    <w:rsid w:val="0038479F"/>
    <w:rsid w:val="00384D6B"/>
    <w:rsid w:val="00385144"/>
    <w:rsid w:val="003858FB"/>
    <w:rsid w:val="00386CF6"/>
    <w:rsid w:val="00386D74"/>
    <w:rsid w:val="0038739C"/>
    <w:rsid w:val="00387C53"/>
    <w:rsid w:val="00390187"/>
    <w:rsid w:val="003907D0"/>
    <w:rsid w:val="003911E2"/>
    <w:rsid w:val="003914C8"/>
    <w:rsid w:val="00392361"/>
    <w:rsid w:val="00392B4C"/>
    <w:rsid w:val="00392DEC"/>
    <w:rsid w:val="00392F78"/>
    <w:rsid w:val="00393AF9"/>
    <w:rsid w:val="00393D80"/>
    <w:rsid w:val="00395058"/>
    <w:rsid w:val="0039505A"/>
    <w:rsid w:val="00395261"/>
    <w:rsid w:val="0039574E"/>
    <w:rsid w:val="00395907"/>
    <w:rsid w:val="00395B90"/>
    <w:rsid w:val="00395D51"/>
    <w:rsid w:val="00395F59"/>
    <w:rsid w:val="00396A4D"/>
    <w:rsid w:val="003970F0"/>
    <w:rsid w:val="0039752A"/>
    <w:rsid w:val="003A01E9"/>
    <w:rsid w:val="003A06DA"/>
    <w:rsid w:val="003A0A03"/>
    <w:rsid w:val="003A0DD7"/>
    <w:rsid w:val="003A0F4D"/>
    <w:rsid w:val="003A2999"/>
    <w:rsid w:val="003A4D60"/>
    <w:rsid w:val="003A4F4E"/>
    <w:rsid w:val="003A510D"/>
    <w:rsid w:val="003A5E99"/>
    <w:rsid w:val="003A5EA2"/>
    <w:rsid w:val="003A6538"/>
    <w:rsid w:val="003A7D88"/>
    <w:rsid w:val="003A7F8F"/>
    <w:rsid w:val="003B0263"/>
    <w:rsid w:val="003B0364"/>
    <w:rsid w:val="003B0A87"/>
    <w:rsid w:val="003B1032"/>
    <w:rsid w:val="003B1970"/>
    <w:rsid w:val="003B1C6D"/>
    <w:rsid w:val="003B1E41"/>
    <w:rsid w:val="003B21D7"/>
    <w:rsid w:val="003B2744"/>
    <w:rsid w:val="003B30DC"/>
    <w:rsid w:val="003B31C6"/>
    <w:rsid w:val="003B3223"/>
    <w:rsid w:val="003B353D"/>
    <w:rsid w:val="003B3F4A"/>
    <w:rsid w:val="003B4617"/>
    <w:rsid w:val="003B4F93"/>
    <w:rsid w:val="003B4FD3"/>
    <w:rsid w:val="003B536F"/>
    <w:rsid w:val="003B552A"/>
    <w:rsid w:val="003B55A6"/>
    <w:rsid w:val="003B5660"/>
    <w:rsid w:val="003B5AC3"/>
    <w:rsid w:val="003B5E39"/>
    <w:rsid w:val="003B7825"/>
    <w:rsid w:val="003B7A92"/>
    <w:rsid w:val="003C02C5"/>
    <w:rsid w:val="003C1193"/>
    <w:rsid w:val="003C15F4"/>
    <w:rsid w:val="003C26E9"/>
    <w:rsid w:val="003C3252"/>
    <w:rsid w:val="003C35E1"/>
    <w:rsid w:val="003C38BB"/>
    <w:rsid w:val="003C4443"/>
    <w:rsid w:val="003C44F9"/>
    <w:rsid w:val="003C4BB6"/>
    <w:rsid w:val="003C4D19"/>
    <w:rsid w:val="003C5251"/>
    <w:rsid w:val="003C5D04"/>
    <w:rsid w:val="003C6298"/>
    <w:rsid w:val="003D020D"/>
    <w:rsid w:val="003D0662"/>
    <w:rsid w:val="003D0EC4"/>
    <w:rsid w:val="003D2EB9"/>
    <w:rsid w:val="003D330A"/>
    <w:rsid w:val="003D3932"/>
    <w:rsid w:val="003D3CD4"/>
    <w:rsid w:val="003D3FE9"/>
    <w:rsid w:val="003D4577"/>
    <w:rsid w:val="003D496F"/>
    <w:rsid w:val="003D4AC5"/>
    <w:rsid w:val="003D52AC"/>
    <w:rsid w:val="003D590B"/>
    <w:rsid w:val="003D63C0"/>
    <w:rsid w:val="003D6601"/>
    <w:rsid w:val="003D671A"/>
    <w:rsid w:val="003D67A4"/>
    <w:rsid w:val="003D6D26"/>
    <w:rsid w:val="003D760F"/>
    <w:rsid w:val="003D7874"/>
    <w:rsid w:val="003D7DE9"/>
    <w:rsid w:val="003E00DF"/>
    <w:rsid w:val="003E15A0"/>
    <w:rsid w:val="003E1816"/>
    <w:rsid w:val="003E1F21"/>
    <w:rsid w:val="003E26ED"/>
    <w:rsid w:val="003E3572"/>
    <w:rsid w:val="003E3F2F"/>
    <w:rsid w:val="003E5048"/>
    <w:rsid w:val="003E51EA"/>
    <w:rsid w:val="003E57A7"/>
    <w:rsid w:val="003E5AE2"/>
    <w:rsid w:val="003E6466"/>
    <w:rsid w:val="003E686F"/>
    <w:rsid w:val="003E7113"/>
    <w:rsid w:val="003E7419"/>
    <w:rsid w:val="003E75DB"/>
    <w:rsid w:val="003F0084"/>
    <w:rsid w:val="003F0197"/>
    <w:rsid w:val="003F10BB"/>
    <w:rsid w:val="003F2072"/>
    <w:rsid w:val="003F2132"/>
    <w:rsid w:val="003F253F"/>
    <w:rsid w:val="003F2801"/>
    <w:rsid w:val="003F2FFC"/>
    <w:rsid w:val="003F3410"/>
    <w:rsid w:val="003F346C"/>
    <w:rsid w:val="003F3CF8"/>
    <w:rsid w:val="003F43B4"/>
    <w:rsid w:val="003F477D"/>
    <w:rsid w:val="003F480E"/>
    <w:rsid w:val="003F4921"/>
    <w:rsid w:val="003F49E3"/>
    <w:rsid w:val="003F54D6"/>
    <w:rsid w:val="003F55B4"/>
    <w:rsid w:val="003F5F58"/>
    <w:rsid w:val="003F60C4"/>
    <w:rsid w:val="003F632C"/>
    <w:rsid w:val="003F6401"/>
    <w:rsid w:val="003F6BB4"/>
    <w:rsid w:val="003F7C0F"/>
    <w:rsid w:val="003F7F3C"/>
    <w:rsid w:val="003F7FC2"/>
    <w:rsid w:val="0040050B"/>
    <w:rsid w:val="004010B9"/>
    <w:rsid w:val="0040190C"/>
    <w:rsid w:val="004022E5"/>
    <w:rsid w:val="00402BAE"/>
    <w:rsid w:val="00402C9D"/>
    <w:rsid w:val="00402D24"/>
    <w:rsid w:val="00402DFE"/>
    <w:rsid w:val="004031D8"/>
    <w:rsid w:val="00403DA8"/>
    <w:rsid w:val="00403EA0"/>
    <w:rsid w:val="00403F72"/>
    <w:rsid w:val="00403FB7"/>
    <w:rsid w:val="004044BA"/>
    <w:rsid w:val="00404BAF"/>
    <w:rsid w:val="00405ACF"/>
    <w:rsid w:val="00406BF6"/>
    <w:rsid w:val="00406CE5"/>
    <w:rsid w:val="00407069"/>
    <w:rsid w:val="004072A8"/>
    <w:rsid w:val="00407A89"/>
    <w:rsid w:val="00407CD3"/>
    <w:rsid w:val="00407F20"/>
    <w:rsid w:val="004103E8"/>
    <w:rsid w:val="004105DD"/>
    <w:rsid w:val="004108D6"/>
    <w:rsid w:val="00410A12"/>
    <w:rsid w:val="00411303"/>
    <w:rsid w:val="0041152A"/>
    <w:rsid w:val="00412449"/>
    <w:rsid w:val="00412804"/>
    <w:rsid w:val="004134BC"/>
    <w:rsid w:val="00413BD1"/>
    <w:rsid w:val="00413F9E"/>
    <w:rsid w:val="004144E5"/>
    <w:rsid w:val="004144F7"/>
    <w:rsid w:val="00414BA4"/>
    <w:rsid w:val="00414E29"/>
    <w:rsid w:val="004151B7"/>
    <w:rsid w:val="00415C18"/>
    <w:rsid w:val="00416326"/>
    <w:rsid w:val="004163A2"/>
    <w:rsid w:val="00416418"/>
    <w:rsid w:val="00416A55"/>
    <w:rsid w:val="00416AF8"/>
    <w:rsid w:val="00416F54"/>
    <w:rsid w:val="00417AE5"/>
    <w:rsid w:val="00417B88"/>
    <w:rsid w:val="00420338"/>
    <w:rsid w:val="00420C03"/>
    <w:rsid w:val="00420C7C"/>
    <w:rsid w:val="00420DEE"/>
    <w:rsid w:val="00421175"/>
    <w:rsid w:val="0042265C"/>
    <w:rsid w:val="00422E18"/>
    <w:rsid w:val="00423000"/>
    <w:rsid w:val="00423173"/>
    <w:rsid w:val="004239E5"/>
    <w:rsid w:val="00423A5E"/>
    <w:rsid w:val="0042451E"/>
    <w:rsid w:val="00425D20"/>
    <w:rsid w:val="00425D76"/>
    <w:rsid w:val="00425EDA"/>
    <w:rsid w:val="004261D8"/>
    <w:rsid w:val="00426357"/>
    <w:rsid w:val="00426AD1"/>
    <w:rsid w:val="00426EC8"/>
    <w:rsid w:val="00426FC7"/>
    <w:rsid w:val="004274BD"/>
    <w:rsid w:val="00427D06"/>
    <w:rsid w:val="004303CE"/>
    <w:rsid w:val="00431C3C"/>
    <w:rsid w:val="00431DE5"/>
    <w:rsid w:val="0043270A"/>
    <w:rsid w:val="00432E78"/>
    <w:rsid w:val="004330C1"/>
    <w:rsid w:val="004338DA"/>
    <w:rsid w:val="00433AFA"/>
    <w:rsid w:val="00434169"/>
    <w:rsid w:val="004343C1"/>
    <w:rsid w:val="004345E5"/>
    <w:rsid w:val="0043593F"/>
    <w:rsid w:val="00435B4D"/>
    <w:rsid w:val="00436290"/>
    <w:rsid w:val="004362C1"/>
    <w:rsid w:val="004367C2"/>
    <w:rsid w:val="00436BB9"/>
    <w:rsid w:val="00436F00"/>
    <w:rsid w:val="00436FE7"/>
    <w:rsid w:val="00437127"/>
    <w:rsid w:val="004371BA"/>
    <w:rsid w:val="004377C7"/>
    <w:rsid w:val="00437CBA"/>
    <w:rsid w:val="00440F37"/>
    <w:rsid w:val="00441431"/>
    <w:rsid w:val="004417EB"/>
    <w:rsid w:val="00443033"/>
    <w:rsid w:val="00443396"/>
    <w:rsid w:val="00443585"/>
    <w:rsid w:val="0044389A"/>
    <w:rsid w:val="0044449B"/>
    <w:rsid w:val="00444727"/>
    <w:rsid w:val="0044485D"/>
    <w:rsid w:val="00444C31"/>
    <w:rsid w:val="004453D6"/>
    <w:rsid w:val="0044561C"/>
    <w:rsid w:val="0044628B"/>
    <w:rsid w:val="004465C6"/>
    <w:rsid w:val="00446A43"/>
    <w:rsid w:val="00446A9F"/>
    <w:rsid w:val="00446E11"/>
    <w:rsid w:val="00447085"/>
    <w:rsid w:val="004470BD"/>
    <w:rsid w:val="00447214"/>
    <w:rsid w:val="00447413"/>
    <w:rsid w:val="004478F2"/>
    <w:rsid w:val="00447D58"/>
    <w:rsid w:val="0045043A"/>
    <w:rsid w:val="00450445"/>
    <w:rsid w:val="00450B1B"/>
    <w:rsid w:val="00451669"/>
    <w:rsid w:val="00452470"/>
    <w:rsid w:val="004529CB"/>
    <w:rsid w:val="004533AC"/>
    <w:rsid w:val="00453785"/>
    <w:rsid w:val="004539B6"/>
    <w:rsid w:val="004540EB"/>
    <w:rsid w:val="004547D7"/>
    <w:rsid w:val="00454FF1"/>
    <w:rsid w:val="004550DC"/>
    <w:rsid w:val="004550E3"/>
    <w:rsid w:val="00455774"/>
    <w:rsid w:val="00455B85"/>
    <w:rsid w:val="00455DC8"/>
    <w:rsid w:val="004565EF"/>
    <w:rsid w:val="00460331"/>
    <w:rsid w:val="0046042E"/>
    <w:rsid w:val="004607EC"/>
    <w:rsid w:val="0046145D"/>
    <w:rsid w:val="00461466"/>
    <w:rsid w:val="0046163A"/>
    <w:rsid w:val="004627B0"/>
    <w:rsid w:val="00462FBB"/>
    <w:rsid w:val="0046384D"/>
    <w:rsid w:val="00463F7C"/>
    <w:rsid w:val="00463FA2"/>
    <w:rsid w:val="00464278"/>
    <w:rsid w:val="004649C3"/>
    <w:rsid w:val="0046552F"/>
    <w:rsid w:val="00465789"/>
    <w:rsid w:val="0046597E"/>
    <w:rsid w:val="004663C3"/>
    <w:rsid w:val="004664CB"/>
    <w:rsid w:val="00466657"/>
    <w:rsid w:val="00466924"/>
    <w:rsid w:val="00466CD3"/>
    <w:rsid w:val="00466CE5"/>
    <w:rsid w:val="0046727B"/>
    <w:rsid w:val="00467C48"/>
    <w:rsid w:val="00470427"/>
    <w:rsid w:val="00470653"/>
    <w:rsid w:val="0047073C"/>
    <w:rsid w:val="00470A0E"/>
    <w:rsid w:val="00470CAE"/>
    <w:rsid w:val="004714F2"/>
    <w:rsid w:val="0047150A"/>
    <w:rsid w:val="00471837"/>
    <w:rsid w:val="00471960"/>
    <w:rsid w:val="00471BC3"/>
    <w:rsid w:val="00472014"/>
    <w:rsid w:val="00472295"/>
    <w:rsid w:val="00472734"/>
    <w:rsid w:val="00472932"/>
    <w:rsid w:val="00472E00"/>
    <w:rsid w:val="00473003"/>
    <w:rsid w:val="00473559"/>
    <w:rsid w:val="00473661"/>
    <w:rsid w:val="00473922"/>
    <w:rsid w:val="00473DFE"/>
    <w:rsid w:val="00474125"/>
    <w:rsid w:val="0047482E"/>
    <w:rsid w:val="004749CE"/>
    <w:rsid w:val="00474DAE"/>
    <w:rsid w:val="00474FA5"/>
    <w:rsid w:val="00475019"/>
    <w:rsid w:val="00475C26"/>
    <w:rsid w:val="004761E6"/>
    <w:rsid w:val="00476671"/>
    <w:rsid w:val="0047704E"/>
    <w:rsid w:val="00477239"/>
    <w:rsid w:val="00477E8E"/>
    <w:rsid w:val="004800CB"/>
    <w:rsid w:val="004801D3"/>
    <w:rsid w:val="00480565"/>
    <w:rsid w:val="00480E56"/>
    <w:rsid w:val="004811E6"/>
    <w:rsid w:val="00481A74"/>
    <w:rsid w:val="00481EB4"/>
    <w:rsid w:val="00482639"/>
    <w:rsid w:val="00482C85"/>
    <w:rsid w:val="00482F46"/>
    <w:rsid w:val="0048316E"/>
    <w:rsid w:val="0048367C"/>
    <w:rsid w:val="00483CFC"/>
    <w:rsid w:val="00484952"/>
    <w:rsid w:val="00484B36"/>
    <w:rsid w:val="00485140"/>
    <w:rsid w:val="004854B2"/>
    <w:rsid w:val="00485608"/>
    <w:rsid w:val="00485F72"/>
    <w:rsid w:val="00485FF7"/>
    <w:rsid w:val="00486215"/>
    <w:rsid w:val="004868B8"/>
    <w:rsid w:val="00486929"/>
    <w:rsid w:val="00486BDB"/>
    <w:rsid w:val="004905C1"/>
    <w:rsid w:val="00490B57"/>
    <w:rsid w:val="004910AD"/>
    <w:rsid w:val="0049171B"/>
    <w:rsid w:val="0049205E"/>
    <w:rsid w:val="00492CFE"/>
    <w:rsid w:val="00492E97"/>
    <w:rsid w:val="00492F4F"/>
    <w:rsid w:val="00494537"/>
    <w:rsid w:val="004945A2"/>
    <w:rsid w:val="00494BE4"/>
    <w:rsid w:val="00494F51"/>
    <w:rsid w:val="004954B5"/>
    <w:rsid w:val="004967EF"/>
    <w:rsid w:val="00496A9A"/>
    <w:rsid w:val="00496DA9"/>
    <w:rsid w:val="00497063"/>
    <w:rsid w:val="004970E7"/>
    <w:rsid w:val="0049763D"/>
    <w:rsid w:val="004A0302"/>
    <w:rsid w:val="004A04CC"/>
    <w:rsid w:val="004A11B4"/>
    <w:rsid w:val="004A2060"/>
    <w:rsid w:val="004A21DC"/>
    <w:rsid w:val="004A2772"/>
    <w:rsid w:val="004A31C8"/>
    <w:rsid w:val="004A3315"/>
    <w:rsid w:val="004A3868"/>
    <w:rsid w:val="004A3A4B"/>
    <w:rsid w:val="004A3F0D"/>
    <w:rsid w:val="004A449E"/>
    <w:rsid w:val="004A47BD"/>
    <w:rsid w:val="004A48E6"/>
    <w:rsid w:val="004A5484"/>
    <w:rsid w:val="004A6562"/>
    <w:rsid w:val="004A6728"/>
    <w:rsid w:val="004A696C"/>
    <w:rsid w:val="004A6982"/>
    <w:rsid w:val="004A6A24"/>
    <w:rsid w:val="004A6B4F"/>
    <w:rsid w:val="004A6DFB"/>
    <w:rsid w:val="004A6F12"/>
    <w:rsid w:val="004A73A8"/>
    <w:rsid w:val="004A7635"/>
    <w:rsid w:val="004A7A93"/>
    <w:rsid w:val="004A7AE0"/>
    <w:rsid w:val="004B00E1"/>
    <w:rsid w:val="004B0269"/>
    <w:rsid w:val="004B04A8"/>
    <w:rsid w:val="004B0D31"/>
    <w:rsid w:val="004B19A8"/>
    <w:rsid w:val="004B1CAB"/>
    <w:rsid w:val="004B1F54"/>
    <w:rsid w:val="004B38E6"/>
    <w:rsid w:val="004B3DEF"/>
    <w:rsid w:val="004B3F11"/>
    <w:rsid w:val="004B42B6"/>
    <w:rsid w:val="004B42F0"/>
    <w:rsid w:val="004B67BF"/>
    <w:rsid w:val="004B6B42"/>
    <w:rsid w:val="004B6C17"/>
    <w:rsid w:val="004B721F"/>
    <w:rsid w:val="004C0864"/>
    <w:rsid w:val="004C25FE"/>
    <w:rsid w:val="004C31B2"/>
    <w:rsid w:val="004C3747"/>
    <w:rsid w:val="004C40B3"/>
    <w:rsid w:val="004C423F"/>
    <w:rsid w:val="004C4274"/>
    <w:rsid w:val="004C473C"/>
    <w:rsid w:val="004C4FCB"/>
    <w:rsid w:val="004C52A7"/>
    <w:rsid w:val="004C5437"/>
    <w:rsid w:val="004C64FD"/>
    <w:rsid w:val="004C6737"/>
    <w:rsid w:val="004C7768"/>
    <w:rsid w:val="004C789E"/>
    <w:rsid w:val="004C7A9A"/>
    <w:rsid w:val="004C7C48"/>
    <w:rsid w:val="004D01D4"/>
    <w:rsid w:val="004D10B3"/>
    <w:rsid w:val="004D110D"/>
    <w:rsid w:val="004D1199"/>
    <w:rsid w:val="004D120E"/>
    <w:rsid w:val="004D1350"/>
    <w:rsid w:val="004D1948"/>
    <w:rsid w:val="004D1ACE"/>
    <w:rsid w:val="004D1DC1"/>
    <w:rsid w:val="004D1F3A"/>
    <w:rsid w:val="004D20FA"/>
    <w:rsid w:val="004D236D"/>
    <w:rsid w:val="004D2515"/>
    <w:rsid w:val="004D2FA3"/>
    <w:rsid w:val="004D3243"/>
    <w:rsid w:val="004D38D0"/>
    <w:rsid w:val="004D405C"/>
    <w:rsid w:val="004D4258"/>
    <w:rsid w:val="004D46B8"/>
    <w:rsid w:val="004D4842"/>
    <w:rsid w:val="004D4F80"/>
    <w:rsid w:val="004D5593"/>
    <w:rsid w:val="004D5BA7"/>
    <w:rsid w:val="004D5BDD"/>
    <w:rsid w:val="004D5F6F"/>
    <w:rsid w:val="004D6A18"/>
    <w:rsid w:val="004D6B9D"/>
    <w:rsid w:val="004D6EBD"/>
    <w:rsid w:val="004D7732"/>
    <w:rsid w:val="004D78D6"/>
    <w:rsid w:val="004D7AFB"/>
    <w:rsid w:val="004E070E"/>
    <w:rsid w:val="004E1293"/>
    <w:rsid w:val="004E14DC"/>
    <w:rsid w:val="004E159F"/>
    <w:rsid w:val="004E15A1"/>
    <w:rsid w:val="004E17E9"/>
    <w:rsid w:val="004E183E"/>
    <w:rsid w:val="004E1E69"/>
    <w:rsid w:val="004E2242"/>
    <w:rsid w:val="004E24F0"/>
    <w:rsid w:val="004E2A59"/>
    <w:rsid w:val="004E3250"/>
    <w:rsid w:val="004E3613"/>
    <w:rsid w:val="004E3B5A"/>
    <w:rsid w:val="004E3EFF"/>
    <w:rsid w:val="004E3F55"/>
    <w:rsid w:val="004E46C0"/>
    <w:rsid w:val="004E4E4C"/>
    <w:rsid w:val="004E4E64"/>
    <w:rsid w:val="004E53BB"/>
    <w:rsid w:val="004E5B91"/>
    <w:rsid w:val="004E5C8F"/>
    <w:rsid w:val="004E5CE8"/>
    <w:rsid w:val="004E5F0F"/>
    <w:rsid w:val="004E5FEC"/>
    <w:rsid w:val="004E67E2"/>
    <w:rsid w:val="004E6840"/>
    <w:rsid w:val="004E6919"/>
    <w:rsid w:val="004E709B"/>
    <w:rsid w:val="004E768A"/>
    <w:rsid w:val="004E7963"/>
    <w:rsid w:val="004E7E00"/>
    <w:rsid w:val="004F0E7F"/>
    <w:rsid w:val="004F0F91"/>
    <w:rsid w:val="004F10A5"/>
    <w:rsid w:val="004F11BD"/>
    <w:rsid w:val="004F163B"/>
    <w:rsid w:val="004F1A79"/>
    <w:rsid w:val="004F223D"/>
    <w:rsid w:val="004F26FB"/>
    <w:rsid w:val="004F297A"/>
    <w:rsid w:val="004F2C1C"/>
    <w:rsid w:val="004F2F11"/>
    <w:rsid w:val="004F3524"/>
    <w:rsid w:val="004F3616"/>
    <w:rsid w:val="004F3C3D"/>
    <w:rsid w:val="004F3DFE"/>
    <w:rsid w:val="004F4799"/>
    <w:rsid w:val="004F4852"/>
    <w:rsid w:val="004F4944"/>
    <w:rsid w:val="004F4AA6"/>
    <w:rsid w:val="004F4BE5"/>
    <w:rsid w:val="004F4C7D"/>
    <w:rsid w:val="004F4D29"/>
    <w:rsid w:val="004F5A77"/>
    <w:rsid w:val="004F614D"/>
    <w:rsid w:val="004F65CE"/>
    <w:rsid w:val="004F6F6A"/>
    <w:rsid w:val="004F7683"/>
    <w:rsid w:val="00500AEB"/>
    <w:rsid w:val="00500D87"/>
    <w:rsid w:val="0050138A"/>
    <w:rsid w:val="0050167A"/>
    <w:rsid w:val="00501F96"/>
    <w:rsid w:val="0050217E"/>
    <w:rsid w:val="00502373"/>
    <w:rsid w:val="00502631"/>
    <w:rsid w:val="00502674"/>
    <w:rsid w:val="005035F5"/>
    <w:rsid w:val="005037FF"/>
    <w:rsid w:val="00503B65"/>
    <w:rsid w:val="00504F71"/>
    <w:rsid w:val="00505318"/>
    <w:rsid w:val="00505AD2"/>
    <w:rsid w:val="00506431"/>
    <w:rsid w:val="005067ED"/>
    <w:rsid w:val="00506C9E"/>
    <w:rsid w:val="00507BA6"/>
    <w:rsid w:val="00507CC1"/>
    <w:rsid w:val="00510115"/>
    <w:rsid w:val="00510C12"/>
    <w:rsid w:val="005119EA"/>
    <w:rsid w:val="00511EF6"/>
    <w:rsid w:val="00512A67"/>
    <w:rsid w:val="00512B36"/>
    <w:rsid w:val="00512C1C"/>
    <w:rsid w:val="0051328C"/>
    <w:rsid w:val="0051337B"/>
    <w:rsid w:val="005133D3"/>
    <w:rsid w:val="0051370F"/>
    <w:rsid w:val="0051378D"/>
    <w:rsid w:val="00513D20"/>
    <w:rsid w:val="005146E2"/>
    <w:rsid w:val="00514952"/>
    <w:rsid w:val="005149B7"/>
    <w:rsid w:val="00515320"/>
    <w:rsid w:val="00515C2E"/>
    <w:rsid w:val="00516452"/>
    <w:rsid w:val="005164F8"/>
    <w:rsid w:val="00517533"/>
    <w:rsid w:val="0052041C"/>
    <w:rsid w:val="00520519"/>
    <w:rsid w:val="005207BB"/>
    <w:rsid w:val="0052113E"/>
    <w:rsid w:val="005211F9"/>
    <w:rsid w:val="005214D6"/>
    <w:rsid w:val="00521B3F"/>
    <w:rsid w:val="00522750"/>
    <w:rsid w:val="00522D7F"/>
    <w:rsid w:val="005236DF"/>
    <w:rsid w:val="00523AD0"/>
    <w:rsid w:val="005240B3"/>
    <w:rsid w:val="00525130"/>
    <w:rsid w:val="00525498"/>
    <w:rsid w:val="00526CD5"/>
    <w:rsid w:val="00527524"/>
    <w:rsid w:val="005275C4"/>
    <w:rsid w:val="00527AB9"/>
    <w:rsid w:val="005300B6"/>
    <w:rsid w:val="00530F39"/>
    <w:rsid w:val="0053172A"/>
    <w:rsid w:val="00531BF9"/>
    <w:rsid w:val="00531C08"/>
    <w:rsid w:val="0053211D"/>
    <w:rsid w:val="0053216C"/>
    <w:rsid w:val="0053268D"/>
    <w:rsid w:val="00532AEF"/>
    <w:rsid w:val="00532BFF"/>
    <w:rsid w:val="00532F2A"/>
    <w:rsid w:val="00533154"/>
    <w:rsid w:val="005332F7"/>
    <w:rsid w:val="00533A33"/>
    <w:rsid w:val="00533D7F"/>
    <w:rsid w:val="0053482A"/>
    <w:rsid w:val="0053518A"/>
    <w:rsid w:val="00535301"/>
    <w:rsid w:val="00535C87"/>
    <w:rsid w:val="005365C8"/>
    <w:rsid w:val="0053671C"/>
    <w:rsid w:val="005371D2"/>
    <w:rsid w:val="00537518"/>
    <w:rsid w:val="005378B9"/>
    <w:rsid w:val="0054057E"/>
    <w:rsid w:val="0054091B"/>
    <w:rsid w:val="00540AE3"/>
    <w:rsid w:val="00540FB9"/>
    <w:rsid w:val="0054114D"/>
    <w:rsid w:val="005414DF"/>
    <w:rsid w:val="00541EEF"/>
    <w:rsid w:val="00542868"/>
    <w:rsid w:val="00542E90"/>
    <w:rsid w:val="00543457"/>
    <w:rsid w:val="00543A52"/>
    <w:rsid w:val="00543E2C"/>
    <w:rsid w:val="00544C0A"/>
    <w:rsid w:val="00544DE9"/>
    <w:rsid w:val="005475AE"/>
    <w:rsid w:val="005477BA"/>
    <w:rsid w:val="00547EB0"/>
    <w:rsid w:val="0055060B"/>
    <w:rsid w:val="00550B9C"/>
    <w:rsid w:val="00551133"/>
    <w:rsid w:val="00551AE3"/>
    <w:rsid w:val="00551B38"/>
    <w:rsid w:val="00551DF8"/>
    <w:rsid w:val="00551E08"/>
    <w:rsid w:val="00552289"/>
    <w:rsid w:val="0055235E"/>
    <w:rsid w:val="00552618"/>
    <w:rsid w:val="00552A36"/>
    <w:rsid w:val="00552E0D"/>
    <w:rsid w:val="00552F5D"/>
    <w:rsid w:val="005531E0"/>
    <w:rsid w:val="005534A1"/>
    <w:rsid w:val="005539A6"/>
    <w:rsid w:val="00553C5E"/>
    <w:rsid w:val="00553D23"/>
    <w:rsid w:val="0055410F"/>
    <w:rsid w:val="00554C6D"/>
    <w:rsid w:val="00554C6E"/>
    <w:rsid w:val="00554EE3"/>
    <w:rsid w:val="00556002"/>
    <w:rsid w:val="0055602A"/>
    <w:rsid w:val="00556034"/>
    <w:rsid w:val="00556326"/>
    <w:rsid w:val="00556471"/>
    <w:rsid w:val="00556734"/>
    <w:rsid w:val="00556746"/>
    <w:rsid w:val="005568FD"/>
    <w:rsid w:val="00556C18"/>
    <w:rsid w:val="00557367"/>
    <w:rsid w:val="00557979"/>
    <w:rsid w:val="005602AB"/>
    <w:rsid w:val="0056080C"/>
    <w:rsid w:val="00560869"/>
    <w:rsid w:val="005609B8"/>
    <w:rsid w:val="00560A69"/>
    <w:rsid w:val="00560C89"/>
    <w:rsid w:val="0056193F"/>
    <w:rsid w:val="00561E8A"/>
    <w:rsid w:val="00562049"/>
    <w:rsid w:val="005620D3"/>
    <w:rsid w:val="00562565"/>
    <w:rsid w:val="00563787"/>
    <w:rsid w:val="00563862"/>
    <w:rsid w:val="00564084"/>
    <w:rsid w:val="005641E2"/>
    <w:rsid w:val="005646F3"/>
    <w:rsid w:val="00564706"/>
    <w:rsid w:val="00564D3E"/>
    <w:rsid w:val="00564EB5"/>
    <w:rsid w:val="00565106"/>
    <w:rsid w:val="0056569A"/>
    <w:rsid w:val="00565984"/>
    <w:rsid w:val="00566446"/>
    <w:rsid w:val="005664F5"/>
    <w:rsid w:val="005669BB"/>
    <w:rsid w:val="00566C04"/>
    <w:rsid w:val="00566FAB"/>
    <w:rsid w:val="005673A8"/>
    <w:rsid w:val="005675D7"/>
    <w:rsid w:val="00567828"/>
    <w:rsid w:val="00570146"/>
    <w:rsid w:val="00570AAF"/>
    <w:rsid w:val="00570BC6"/>
    <w:rsid w:val="00570C01"/>
    <w:rsid w:val="00571016"/>
    <w:rsid w:val="005711D5"/>
    <w:rsid w:val="005713FC"/>
    <w:rsid w:val="00571568"/>
    <w:rsid w:val="005716D4"/>
    <w:rsid w:val="005718ED"/>
    <w:rsid w:val="00572016"/>
    <w:rsid w:val="005735E3"/>
    <w:rsid w:val="0057371E"/>
    <w:rsid w:val="005737A2"/>
    <w:rsid w:val="00573872"/>
    <w:rsid w:val="00573BA8"/>
    <w:rsid w:val="005746C6"/>
    <w:rsid w:val="00575288"/>
    <w:rsid w:val="00575BDD"/>
    <w:rsid w:val="005763E3"/>
    <w:rsid w:val="00576DB0"/>
    <w:rsid w:val="00576E10"/>
    <w:rsid w:val="0057704C"/>
    <w:rsid w:val="00577B12"/>
    <w:rsid w:val="00580020"/>
    <w:rsid w:val="005807A1"/>
    <w:rsid w:val="00580BEF"/>
    <w:rsid w:val="00580CDC"/>
    <w:rsid w:val="00580D78"/>
    <w:rsid w:val="00580ED2"/>
    <w:rsid w:val="0058116C"/>
    <w:rsid w:val="00581A1D"/>
    <w:rsid w:val="00581C8F"/>
    <w:rsid w:val="00581CD9"/>
    <w:rsid w:val="005821AE"/>
    <w:rsid w:val="00582ADD"/>
    <w:rsid w:val="00582C92"/>
    <w:rsid w:val="00583118"/>
    <w:rsid w:val="005832AC"/>
    <w:rsid w:val="00583468"/>
    <w:rsid w:val="0058395E"/>
    <w:rsid w:val="00583E5F"/>
    <w:rsid w:val="00583E61"/>
    <w:rsid w:val="00584415"/>
    <w:rsid w:val="00584B87"/>
    <w:rsid w:val="00584C9F"/>
    <w:rsid w:val="00585CAC"/>
    <w:rsid w:val="005863E8"/>
    <w:rsid w:val="00586D48"/>
    <w:rsid w:val="00586FFF"/>
    <w:rsid w:val="00587407"/>
    <w:rsid w:val="00587C80"/>
    <w:rsid w:val="005905C5"/>
    <w:rsid w:val="00590CB8"/>
    <w:rsid w:val="0059269B"/>
    <w:rsid w:val="005927FE"/>
    <w:rsid w:val="00592843"/>
    <w:rsid w:val="00593DFB"/>
    <w:rsid w:val="00593E59"/>
    <w:rsid w:val="005947DF"/>
    <w:rsid w:val="00594818"/>
    <w:rsid w:val="00595070"/>
    <w:rsid w:val="0059509E"/>
    <w:rsid w:val="005952BC"/>
    <w:rsid w:val="005954D5"/>
    <w:rsid w:val="00595BD6"/>
    <w:rsid w:val="00595E49"/>
    <w:rsid w:val="0059607A"/>
    <w:rsid w:val="0059672B"/>
    <w:rsid w:val="00596A8D"/>
    <w:rsid w:val="00596AD1"/>
    <w:rsid w:val="005970E9"/>
    <w:rsid w:val="005971CC"/>
    <w:rsid w:val="00597761"/>
    <w:rsid w:val="0059793E"/>
    <w:rsid w:val="00597D3C"/>
    <w:rsid w:val="005A0350"/>
    <w:rsid w:val="005A0354"/>
    <w:rsid w:val="005A089F"/>
    <w:rsid w:val="005A13B0"/>
    <w:rsid w:val="005A1648"/>
    <w:rsid w:val="005A184C"/>
    <w:rsid w:val="005A1B9C"/>
    <w:rsid w:val="005A1BD0"/>
    <w:rsid w:val="005A230E"/>
    <w:rsid w:val="005A25EA"/>
    <w:rsid w:val="005A3301"/>
    <w:rsid w:val="005A3363"/>
    <w:rsid w:val="005A4B60"/>
    <w:rsid w:val="005A5889"/>
    <w:rsid w:val="005A59D2"/>
    <w:rsid w:val="005A5B4F"/>
    <w:rsid w:val="005A729F"/>
    <w:rsid w:val="005B03EF"/>
    <w:rsid w:val="005B1276"/>
    <w:rsid w:val="005B1A71"/>
    <w:rsid w:val="005B1BC9"/>
    <w:rsid w:val="005B1D6E"/>
    <w:rsid w:val="005B1EF0"/>
    <w:rsid w:val="005B2B45"/>
    <w:rsid w:val="005B2D92"/>
    <w:rsid w:val="005B2E9B"/>
    <w:rsid w:val="005B3247"/>
    <w:rsid w:val="005B34EB"/>
    <w:rsid w:val="005B44C5"/>
    <w:rsid w:val="005B465C"/>
    <w:rsid w:val="005B486F"/>
    <w:rsid w:val="005B4AE3"/>
    <w:rsid w:val="005B4F64"/>
    <w:rsid w:val="005B5908"/>
    <w:rsid w:val="005B65E7"/>
    <w:rsid w:val="005B69C7"/>
    <w:rsid w:val="005B6BD6"/>
    <w:rsid w:val="005B6BF9"/>
    <w:rsid w:val="005B764A"/>
    <w:rsid w:val="005B7B1D"/>
    <w:rsid w:val="005C0DD1"/>
    <w:rsid w:val="005C1173"/>
    <w:rsid w:val="005C1429"/>
    <w:rsid w:val="005C1C46"/>
    <w:rsid w:val="005C1DED"/>
    <w:rsid w:val="005C2699"/>
    <w:rsid w:val="005C274B"/>
    <w:rsid w:val="005C27DA"/>
    <w:rsid w:val="005C2924"/>
    <w:rsid w:val="005C2BC5"/>
    <w:rsid w:val="005C322B"/>
    <w:rsid w:val="005C345C"/>
    <w:rsid w:val="005C395F"/>
    <w:rsid w:val="005C3A1E"/>
    <w:rsid w:val="005C409D"/>
    <w:rsid w:val="005C4617"/>
    <w:rsid w:val="005C5371"/>
    <w:rsid w:val="005C5383"/>
    <w:rsid w:val="005C5900"/>
    <w:rsid w:val="005C5AFD"/>
    <w:rsid w:val="005C64C3"/>
    <w:rsid w:val="005C6D70"/>
    <w:rsid w:val="005C738F"/>
    <w:rsid w:val="005C73BF"/>
    <w:rsid w:val="005C79D8"/>
    <w:rsid w:val="005D0A6A"/>
    <w:rsid w:val="005D0DD1"/>
    <w:rsid w:val="005D0F98"/>
    <w:rsid w:val="005D140C"/>
    <w:rsid w:val="005D17A6"/>
    <w:rsid w:val="005D17DC"/>
    <w:rsid w:val="005D17E1"/>
    <w:rsid w:val="005D1957"/>
    <w:rsid w:val="005D37A7"/>
    <w:rsid w:val="005D4188"/>
    <w:rsid w:val="005D42D7"/>
    <w:rsid w:val="005D438F"/>
    <w:rsid w:val="005D4CB5"/>
    <w:rsid w:val="005D542C"/>
    <w:rsid w:val="005D633A"/>
    <w:rsid w:val="005D6677"/>
    <w:rsid w:val="005D69A2"/>
    <w:rsid w:val="005D6A96"/>
    <w:rsid w:val="005D6DA5"/>
    <w:rsid w:val="005D7097"/>
    <w:rsid w:val="005D73C1"/>
    <w:rsid w:val="005D74A8"/>
    <w:rsid w:val="005E0577"/>
    <w:rsid w:val="005E0E5E"/>
    <w:rsid w:val="005E0E64"/>
    <w:rsid w:val="005E13AE"/>
    <w:rsid w:val="005E1964"/>
    <w:rsid w:val="005E231D"/>
    <w:rsid w:val="005E28A9"/>
    <w:rsid w:val="005E2F79"/>
    <w:rsid w:val="005E302C"/>
    <w:rsid w:val="005E34FF"/>
    <w:rsid w:val="005E35AD"/>
    <w:rsid w:val="005E389B"/>
    <w:rsid w:val="005E389F"/>
    <w:rsid w:val="005E3B72"/>
    <w:rsid w:val="005E41EE"/>
    <w:rsid w:val="005E427E"/>
    <w:rsid w:val="005E5062"/>
    <w:rsid w:val="005E5F31"/>
    <w:rsid w:val="005E65EA"/>
    <w:rsid w:val="005E6C35"/>
    <w:rsid w:val="005E73A9"/>
    <w:rsid w:val="005E7DB8"/>
    <w:rsid w:val="005F0637"/>
    <w:rsid w:val="005F06F8"/>
    <w:rsid w:val="005F0C50"/>
    <w:rsid w:val="005F0CE9"/>
    <w:rsid w:val="005F0DF4"/>
    <w:rsid w:val="005F11B9"/>
    <w:rsid w:val="005F130C"/>
    <w:rsid w:val="005F132C"/>
    <w:rsid w:val="005F1FFB"/>
    <w:rsid w:val="005F24D9"/>
    <w:rsid w:val="005F3307"/>
    <w:rsid w:val="005F35F3"/>
    <w:rsid w:val="005F4949"/>
    <w:rsid w:val="005F498F"/>
    <w:rsid w:val="005F4F56"/>
    <w:rsid w:val="005F5182"/>
    <w:rsid w:val="005F54DE"/>
    <w:rsid w:val="005F56A8"/>
    <w:rsid w:val="005F5C73"/>
    <w:rsid w:val="005F6068"/>
    <w:rsid w:val="005F7CB8"/>
    <w:rsid w:val="005F7DB4"/>
    <w:rsid w:val="00600814"/>
    <w:rsid w:val="006015E0"/>
    <w:rsid w:val="006019B5"/>
    <w:rsid w:val="0060276B"/>
    <w:rsid w:val="00602A5B"/>
    <w:rsid w:val="00602FF4"/>
    <w:rsid w:val="00603DFB"/>
    <w:rsid w:val="00603E1A"/>
    <w:rsid w:val="00604772"/>
    <w:rsid w:val="00604950"/>
    <w:rsid w:val="00604FE5"/>
    <w:rsid w:val="00605DBF"/>
    <w:rsid w:val="0060613E"/>
    <w:rsid w:val="00606BFD"/>
    <w:rsid w:val="006071C1"/>
    <w:rsid w:val="006072BD"/>
    <w:rsid w:val="00607821"/>
    <w:rsid w:val="00607DB8"/>
    <w:rsid w:val="00611FFD"/>
    <w:rsid w:val="00612C85"/>
    <w:rsid w:val="0061306E"/>
    <w:rsid w:val="00613124"/>
    <w:rsid w:val="00613246"/>
    <w:rsid w:val="006134A1"/>
    <w:rsid w:val="006135A1"/>
    <w:rsid w:val="00613831"/>
    <w:rsid w:val="006138EF"/>
    <w:rsid w:val="00614915"/>
    <w:rsid w:val="00614DF2"/>
    <w:rsid w:val="006153EC"/>
    <w:rsid w:val="00615448"/>
    <w:rsid w:val="00615626"/>
    <w:rsid w:val="006156EE"/>
    <w:rsid w:val="00615CF9"/>
    <w:rsid w:val="00616AFE"/>
    <w:rsid w:val="006179E2"/>
    <w:rsid w:val="00617A5B"/>
    <w:rsid w:val="00617CF3"/>
    <w:rsid w:val="00617D08"/>
    <w:rsid w:val="00617FC7"/>
    <w:rsid w:val="006202D2"/>
    <w:rsid w:val="0062056F"/>
    <w:rsid w:val="00620FDC"/>
    <w:rsid w:val="0062149B"/>
    <w:rsid w:val="00621671"/>
    <w:rsid w:val="00621713"/>
    <w:rsid w:val="00621A32"/>
    <w:rsid w:val="00621F69"/>
    <w:rsid w:val="00622054"/>
    <w:rsid w:val="006221EE"/>
    <w:rsid w:val="00622747"/>
    <w:rsid w:val="00622916"/>
    <w:rsid w:val="00622D50"/>
    <w:rsid w:val="00622DD2"/>
    <w:rsid w:val="00623028"/>
    <w:rsid w:val="00623500"/>
    <w:rsid w:val="00623597"/>
    <w:rsid w:val="0062368E"/>
    <w:rsid w:val="006239BF"/>
    <w:rsid w:val="00623A39"/>
    <w:rsid w:val="00623B18"/>
    <w:rsid w:val="00623E44"/>
    <w:rsid w:val="006241A5"/>
    <w:rsid w:val="006252B3"/>
    <w:rsid w:val="006253C6"/>
    <w:rsid w:val="00625514"/>
    <w:rsid w:val="00625733"/>
    <w:rsid w:val="00625741"/>
    <w:rsid w:val="006268E6"/>
    <w:rsid w:val="00626BD4"/>
    <w:rsid w:val="0062728A"/>
    <w:rsid w:val="006272B9"/>
    <w:rsid w:val="006273D3"/>
    <w:rsid w:val="00627489"/>
    <w:rsid w:val="0063004E"/>
    <w:rsid w:val="006301F9"/>
    <w:rsid w:val="006312FA"/>
    <w:rsid w:val="00631DB8"/>
    <w:rsid w:val="00632021"/>
    <w:rsid w:val="00632027"/>
    <w:rsid w:val="00633986"/>
    <w:rsid w:val="00634444"/>
    <w:rsid w:val="006344A8"/>
    <w:rsid w:val="0063470F"/>
    <w:rsid w:val="00634826"/>
    <w:rsid w:val="00634DA6"/>
    <w:rsid w:val="00634F98"/>
    <w:rsid w:val="00634FD1"/>
    <w:rsid w:val="006351F5"/>
    <w:rsid w:val="00635278"/>
    <w:rsid w:val="00635507"/>
    <w:rsid w:val="00635583"/>
    <w:rsid w:val="00635A28"/>
    <w:rsid w:val="00635E26"/>
    <w:rsid w:val="006361FC"/>
    <w:rsid w:val="00637359"/>
    <w:rsid w:val="00637735"/>
    <w:rsid w:val="00637963"/>
    <w:rsid w:val="00637F44"/>
    <w:rsid w:val="00640355"/>
    <w:rsid w:val="00640423"/>
    <w:rsid w:val="006404C6"/>
    <w:rsid w:val="006405F1"/>
    <w:rsid w:val="00640617"/>
    <w:rsid w:val="006409B5"/>
    <w:rsid w:val="00641425"/>
    <w:rsid w:val="00641739"/>
    <w:rsid w:val="00641AF5"/>
    <w:rsid w:val="006420EC"/>
    <w:rsid w:val="0064224E"/>
    <w:rsid w:val="0064252A"/>
    <w:rsid w:val="006426EE"/>
    <w:rsid w:val="00642849"/>
    <w:rsid w:val="00642A17"/>
    <w:rsid w:val="0064344E"/>
    <w:rsid w:val="0064358D"/>
    <w:rsid w:val="00643C1D"/>
    <w:rsid w:val="00643C4E"/>
    <w:rsid w:val="00643DF1"/>
    <w:rsid w:val="00643EE7"/>
    <w:rsid w:val="006443FE"/>
    <w:rsid w:val="00644401"/>
    <w:rsid w:val="0064502B"/>
    <w:rsid w:val="00645991"/>
    <w:rsid w:val="006459BA"/>
    <w:rsid w:val="006462D8"/>
    <w:rsid w:val="0064657B"/>
    <w:rsid w:val="00646B2F"/>
    <w:rsid w:val="0064702D"/>
    <w:rsid w:val="00647321"/>
    <w:rsid w:val="00647692"/>
    <w:rsid w:val="006476FA"/>
    <w:rsid w:val="00647A7C"/>
    <w:rsid w:val="00647D68"/>
    <w:rsid w:val="0065019C"/>
    <w:rsid w:val="006512C6"/>
    <w:rsid w:val="00651D7C"/>
    <w:rsid w:val="00651DBB"/>
    <w:rsid w:val="00652651"/>
    <w:rsid w:val="006526F6"/>
    <w:rsid w:val="006527E0"/>
    <w:rsid w:val="00652D01"/>
    <w:rsid w:val="00653738"/>
    <w:rsid w:val="006543E3"/>
    <w:rsid w:val="0065442E"/>
    <w:rsid w:val="00654504"/>
    <w:rsid w:val="006549EC"/>
    <w:rsid w:val="00654E9D"/>
    <w:rsid w:val="00655ABA"/>
    <w:rsid w:val="006564E7"/>
    <w:rsid w:val="00656948"/>
    <w:rsid w:val="00656B96"/>
    <w:rsid w:val="00656C4B"/>
    <w:rsid w:val="00656F94"/>
    <w:rsid w:val="00657067"/>
    <w:rsid w:val="0065706A"/>
    <w:rsid w:val="006573AA"/>
    <w:rsid w:val="006576AD"/>
    <w:rsid w:val="006579C4"/>
    <w:rsid w:val="006603B4"/>
    <w:rsid w:val="006603EE"/>
    <w:rsid w:val="0066040E"/>
    <w:rsid w:val="00660440"/>
    <w:rsid w:val="00660E47"/>
    <w:rsid w:val="00661440"/>
    <w:rsid w:val="00661709"/>
    <w:rsid w:val="00661797"/>
    <w:rsid w:val="0066180A"/>
    <w:rsid w:val="00661BFA"/>
    <w:rsid w:val="00662E58"/>
    <w:rsid w:val="0066305C"/>
    <w:rsid w:val="00663231"/>
    <w:rsid w:val="006634D8"/>
    <w:rsid w:val="006636AD"/>
    <w:rsid w:val="006639D0"/>
    <w:rsid w:val="00663EAE"/>
    <w:rsid w:val="00663EFC"/>
    <w:rsid w:val="00663F8E"/>
    <w:rsid w:val="006640CF"/>
    <w:rsid w:val="006641A4"/>
    <w:rsid w:val="006643E6"/>
    <w:rsid w:val="00664749"/>
    <w:rsid w:val="0066488F"/>
    <w:rsid w:val="00665787"/>
    <w:rsid w:val="0066619C"/>
    <w:rsid w:val="0066669C"/>
    <w:rsid w:val="006668F4"/>
    <w:rsid w:val="00666B46"/>
    <w:rsid w:val="00667051"/>
    <w:rsid w:val="00667764"/>
    <w:rsid w:val="00667CEC"/>
    <w:rsid w:val="00667DF8"/>
    <w:rsid w:val="006704EA"/>
    <w:rsid w:val="006709E5"/>
    <w:rsid w:val="00670C41"/>
    <w:rsid w:val="00670F33"/>
    <w:rsid w:val="006716E1"/>
    <w:rsid w:val="00671A0A"/>
    <w:rsid w:val="00671B7C"/>
    <w:rsid w:val="00671EF8"/>
    <w:rsid w:val="0067227F"/>
    <w:rsid w:val="006723D0"/>
    <w:rsid w:val="0067246F"/>
    <w:rsid w:val="006725C1"/>
    <w:rsid w:val="006728FC"/>
    <w:rsid w:val="00672C70"/>
    <w:rsid w:val="00673807"/>
    <w:rsid w:val="00673A0D"/>
    <w:rsid w:val="00673B40"/>
    <w:rsid w:val="00674297"/>
    <w:rsid w:val="006742B8"/>
    <w:rsid w:val="00674321"/>
    <w:rsid w:val="00674545"/>
    <w:rsid w:val="00674AEF"/>
    <w:rsid w:val="00674FB8"/>
    <w:rsid w:val="006760FA"/>
    <w:rsid w:val="0067634A"/>
    <w:rsid w:val="0067643A"/>
    <w:rsid w:val="006764A0"/>
    <w:rsid w:val="00676A51"/>
    <w:rsid w:val="00677B95"/>
    <w:rsid w:val="006800ED"/>
    <w:rsid w:val="0068143D"/>
    <w:rsid w:val="00681AD2"/>
    <w:rsid w:val="00681CB9"/>
    <w:rsid w:val="0068212B"/>
    <w:rsid w:val="006821F8"/>
    <w:rsid w:val="00682992"/>
    <w:rsid w:val="006829A1"/>
    <w:rsid w:val="00682A5A"/>
    <w:rsid w:val="00682F22"/>
    <w:rsid w:val="00683718"/>
    <w:rsid w:val="006842B2"/>
    <w:rsid w:val="006842B8"/>
    <w:rsid w:val="0068436F"/>
    <w:rsid w:val="006843D7"/>
    <w:rsid w:val="006848C9"/>
    <w:rsid w:val="00684B39"/>
    <w:rsid w:val="00684C39"/>
    <w:rsid w:val="0068551D"/>
    <w:rsid w:val="006856C1"/>
    <w:rsid w:val="00685721"/>
    <w:rsid w:val="00685770"/>
    <w:rsid w:val="006859AC"/>
    <w:rsid w:val="00686D8B"/>
    <w:rsid w:val="00687666"/>
    <w:rsid w:val="00687698"/>
    <w:rsid w:val="006900B6"/>
    <w:rsid w:val="006909CB"/>
    <w:rsid w:val="00691081"/>
    <w:rsid w:val="006916CD"/>
    <w:rsid w:val="00692CD6"/>
    <w:rsid w:val="00692D30"/>
    <w:rsid w:val="00692EB8"/>
    <w:rsid w:val="006934B3"/>
    <w:rsid w:val="0069371B"/>
    <w:rsid w:val="00693E21"/>
    <w:rsid w:val="0069404D"/>
    <w:rsid w:val="0069424C"/>
    <w:rsid w:val="006942E9"/>
    <w:rsid w:val="00694348"/>
    <w:rsid w:val="00695104"/>
    <w:rsid w:val="006953D7"/>
    <w:rsid w:val="00695E5C"/>
    <w:rsid w:val="006961FD"/>
    <w:rsid w:val="00696351"/>
    <w:rsid w:val="00696BB6"/>
    <w:rsid w:val="00696CE8"/>
    <w:rsid w:val="00696EE2"/>
    <w:rsid w:val="006972D5"/>
    <w:rsid w:val="00697E40"/>
    <w:rsid w:val="006A010F"/>
    <w:rsid w:val="006A08B5"/>
    <w:rsid w:val="006A115D"/>
    <w:rsid w:val="006A1195"/>
    <w:rsid w:val="006A1340"/>
    <w:rsid w:val="006A1396"/>
    <w:rsid w:val="006A23D5"/>
    <w:rsid w:val="006A2E67"/>
    <w:rsid w:val="006A337A"/>
    <w:rsid w:val="006A3BE0"/>
    <w:rsid w:val="006A47EF"/>
    <w:rsid w:val="006A4E18"/>
    <w:rsid w:val="006A56CC"/>
    <w:rsid w:val="006A56FE"/>
    <w:rsid w:val="006A5837"/>
    <w:rsid w:val="006A6531"/>
    <w:rsid w:val="006A6FFC"/>
    <w:rsid w:val="006A7013"/>
    <w:rsid w:val="006A7044"/>
    <w:rsid w:val="006A74F3"/>
    <w:rsid w:val="006A7754"/>
    <w:rsid w:val="006A77DE"/>
    <w:rsid w:val="006A7A46"/>
    <w:rsid w:val="006A7E09"/>
    <w:rsid w:val="006A7EDB"/>
    <w:rsid w:val="006B0559"/>
    <w:rsid w:val="006B060E"/>
    <w:rsid w:val="006B0802"/>
    <w:rsid w:val="006B0B43"/>
    <w:rsid w:val="006B1665"/>
    <w:rsid w:val="006B2381"/>
    <w:rsid w:val="006B359B"/>
    <w:rsid w:val="006B3AC2"/>
    <w:rsid w:val="006B4730"/>
    <w:rsid w:val="006B4839"/>
    <w:rsid w:val="006B48BB"/>
    <w:rsid w:val="006B4A10"/>
    <w:rsid w:val="006B4F95"/>
    <w:rsid w:val="006B503D"/>
    <w:rsid w:val="006B562E"/>
    <w:rsid w:val="006B5AB5"/>
    <w:rsid w:val="006B5ED6"/>
    <w:rsid w:val="006B6461"/>
    <w:rsid w:val="006B647A"/>
    <w:rsid w:val="006B6574"/>
    <w:rsid w:val="006B6782"/>
    <w:rsid w:val="006B6CB8"/>
    <w:rsid w:val="006B6D1C"/>
    <w:rsid w:val="006B7997"/>
    <w:rsid w:val="006B7BF6"/>
    <w:rsid w:val="006C05A5"/>
    <w:rsid w:val="006C098C"/>
    <w:rsid w:val="006C2325"/>
    <w:rsid w:val="006C2480"/>
    <w:rsid w:val="006C2E3E"/>
    <w:rsid w:val="006C3A5E"/>
    <w:rsid w:val="006C3F92"/>
    <w:rsid w:val="006C457F"/>
    <w:rsid w:val="006C4A50"/>
    <w:rsid w:val="006C4FB9"/>
    <w:rsid w:val="006C5122"/>
    <w:rsid w:val="006C66DD"/>
    <w:rsid w:val="006C67C2"/>
    <w:rsid w:val="006C7D8C"/>
    <w:rsid w:val="006D0181"/>
    <w:rsid w:val="006D0527"/>
    <w:rsid w:val="006D064E"/>
    <w:rsid w:val="006D19C6"/>
    <w:rsid w:val="006D2240"/>
    <w:rsid w:val="006D24A5"/>
    <w:rsid w:val="006D2588"/>
    <w:rsid w:val="006D2AAE"/>
    <w:rsid w:val="006D32EC"/>
    <w:rsid w:val="006D35D4"/>
    <w:rsid w:val="006D3EC9"/>
    <w:rsid w:val="006D4451"/>
    <w:rsid w:val="006D586E"/>
    <w:rsid w:val="006D6105"/>
    <w:rsid w:val="006D6392"/>
    <w:rsid w:val="006D65F9"/>
    <w:rsid w:val="006D6B5C"/>
    <w:rsid w:val="006D7327"/>
    <w:rsid w:val="006D7611"/>
    <w:rsid w:val="006E1238"/>
    <w:rsid w:val="006E161A"/>
    <w:rsid w:val="006E1A1B"/>
    <w:rsid w:val="006E1DA2"/>
    <w:rsid w:val="006E243D"/>
    <w:rsid w:val="006E34A1"/>
    <w:rsid w:val="006E3B80"/>
    <w:rsid w:val="006E3C4C"/>
    <w:rsid w:val="006E3EC9"/>
    <w:rsid w:val="006E3FD3"/>
    <w:rsid w:val="006E4CA1"/>
    <w:rsid w:val="006E4E1B"/>
    <w:rsid w:val="006E5676"/>
    <w:rsid w:val="006E5C55"/>
    <w:rsid w:val="006E6019"/>
    <w:rsid w:val="006E6C83"/>
    <w:rsid w:val="006E7406"/>
    <w:rsid w:val="006E7582"/>
    <w:rsid w:val="006F16E6"/>
    <w:rsid w:val="006F1D59"/>
    <w:rsid w:val="006F1E03"/>
    <w:rsid w:val="006F1E97"/>
    <w:rsid w:val="006F241B"/>
    <w:rsid w:val="006F2DF0"/>
    <w:rsid w:val="006F3AA6"/>
    <w:rsid w:val="006F3C04"/>
    <w:rsid w:val="006F4137"/>
    <w:rsid w:val="006F4FD8"/>
    <w:rsid w:val="006F5609"/>
    <w:rsid w:val="006F5AF1"/>
    <w:rsid w:val="006F5DB2"/>
    <w:rsid w:val="006F684E"/>
    <w:rsid w:val="006F693C"/>
    <w:rsid w:val="006F6E78"/>
    <w:rsid w:val="006F6FCB"/>
    <w:rsid w:val="006F7215"/>
    <w:rsid w:val="006F7755"/>
    <w:rsid w:val="006F77D3"/>
    <w:rsid w:val="006F7D95"/>
    <w:rsid w:val="00700D73"/>
    <w:rsid w:val="00701C85"/>
    <w:rsid w:val="00701D64"/>
    <w:rsid w:val="0070271B"/>
    <w:rsid w:val="00702EF2"/>
    <w:rsid w:val="00703259"/>
    <w:rsid w:val="0070376C"/>
    <w:rsid w:val="0070392A"/>
    <w:rsid w:val="00703A26"/>
    <w:rsid w:val="00703E13"/>
    <w:rsid w:val="00704592"/>
    <w:rsid w:val="007045BE"/>
    <w:rsid w:val="00704A55"/>
    <w:rsid w:val="00705755"/>
    <w:rsid w:val="007057F4"/>
    <w:rsid w:val="007059E7"/>
    <w:rsid w:val="0070663C"/>
    <w:rsid w:val="00706CBB"/>
    <w:rsid w:val="007074DA"/>
    <w:rsid w:val="0070760C"/>
    <w:rsid w:val="00707BF0"/>
    <w:rsid w:val="00707C65"/>
    <w:rsid w:val="00707DC6"/>
    <w:rsid w:val="00707DC8"/>
    <w:rsid w:val="00710496"/>
    <w:rsid w:val="007105C3"/>
    <w:rsid w:val="0071065F"/>
    <w:rsid w:val="00711875"/>
    <w:rsid w:val="007119BF"/>
    <w:rsid w:val="00711B4E"/>
    <w:rsid w:val="007123C6"/>
    <w:rsid w:val="007124A0"/>
    <w:rsid w:val="00713421"/>
    <w:rsid w:val="00713612"/>
    <w:rsid w:val="007138BF"/>
    <w:rsid w:val="00714180"/>
    <w:rsid w:val="00714345"/>
    <w:rsid w:val="007144B0"/>
    <w:rsid w:val="007148C7"/>
    <w:rsid w:val="00714C14"/>
    <w:rsid w:val="00714D86"/>
    <w:rsid w:val="00714E8C"/>
    <w:rsid w:val="007150CE"/>
    <w:rsid w:val="00715636"/>
    <w:rsid w:val="00715C8F"/>
    <w:rsid w:val="00715F21"/>
    <w:rsid w:val="00716389"/>
    <w:rsid w:val="007163A5"/>
    <w:rsid w:val="007164C8"/>
    <w:rsid w:val="007165D5"/>
    <w:rsid w:val="00716C34"/>
    <w:rsid w:val="00716CAD"/>
    <w:rsid w:val="00716DBE"/>
    <w:rsid w:val="00717475"/>
    <w:rsid w:val="00717601"/>
    <w:rsid w:val="0071764B"/>
    <w:rsid w:val="00717C4C"/>
    <w:rsid w:val="007200C7"/>
    <w:rsid w:val="0072066C"/>
    <w:rsid w:val="00720F68"/>
    <w:rsid w:val="00722540"/>
    <w:rsid w:val="00722698"/>
    <w:rsid w:val="00722D96"/>
    <w:rsid w:val="00722DF5"/>
    <w:rsid w:val="0072316E"/>
    <w:rsid w:val="00723481"/>
    <w:rsid w:val="00723612"/>
    <w:rsid w:val="00723B6C"/>
    <w:rsid w:val="00723BE8"/>
    <w:rsid w:val="00723C3F"/>
    <w:rsid w:val="007246D0"/>
    <w:rsid w:val="00724C26"/>
    <w:rsid w:val="00724CAD"/>
    <w:rsid w:val="0072577E"/>
    <w:rsid w:val="007259B9"/>
    <w:rsid w:val="00725CCC"/>
    <w:rsid w:val="0072639F"/>
    <w:rsid w:val="00726568"/>
    <w:rsid w:val="00726601"/>
    <w:rsid w:val="00726BEC"/>
    <w:rsid w:val="00727337"/>
    <w:rsid w:val="00727515"/>
    <w:rsid w:val="00727559"/>
    <w:rsid w:val="00727726"/>
    <w:rsid w:val="00727778"/>
    <w:rsid w:val="00727917"/>
    <w:rsid w:val="00727F7A"/>
    <w:rsid w:val="00730390"/>
    <w:rsid w:val="00730700"/>
    <w:rsid w:val="0073120C"/>
    <w:rsid w:val="00731233"/>
    <w:rsid w:val="0073127E"/>
    <w:rsid w:val="007316EB"/>
    <w:rsid w:val="0073178A"/>
    <w:rsid w:val="007318F3"/>
    <w:rsid w:val="00731FE6"/>
    <w:rsid w:val="007320CF"/>
    <w:rsid w:val="00732338"/>
    <w:rsid w:val="00732444"/>
    <w:rsid w:val="00733221"/>
    <w:rsid w:val="00733D9B"/>
    <w:rsid w:val="0073417D"/>
    <w:rsid w:val="007341F4"/>
    <w:rsid w:val="00734748"/>
    <w:rsid w:val="00734EA2"/>
    <w:rsid w:val="00735598"/>
    <w:rsid w:val="0073592B"/>
    <w:rsid w:val="00735F4D"/>
    <w:rsid w:val="007363C5"/>
    <w:rsid w:val="00736B28"/>
    <w:rsid w:val="00736C8E"/>
    <w:rsid w:val="00736F36"/>
    <w:rsid w:val="0073785E"/>
    <w:rsid w:val="0074048C"/>
    <w:rsid w:val="00740718"/>
    <w:rsid w:val="00740817"/>
    <w:rsid w:val="00740828"/>
    <w:rsid w:val="00740AF6"/>
    <w:rsid w:val="00740B54"/>
    <w:rsid w:val="00740E82"/>
    <w:rsid w:val="00741168"/>
    <w:rsid w:val="0074128A"/>
    <w:rsid w:val="0074150C"/>
    <w:rsid w:val="007415A9"/>
    <w:rsid w:val="00742208"/>
    <w:rsid w:val="007426D6"/>
    <w:rsid w:val="007427E2"/>
    <w:rsid w:val="007428A0"/>
    <w:rsid w:val="00742C47"/>
    <w:rsid w:val="00742C5F"/>
    <w:rsid w:val="00742DFF"/>
    <w:rsid w:val="00742E54"/>
    <w:rsid w:val="00742E60"/>
    <w:rsid w:val="007435B5"/>
    <w:rsid w:val="00743E2E"/>
    <w:rsid w:val="00744012"/>
    <w:rsid w:val="00744080"/>
    <w:rsid w:val="0074418F"/>
    <w:rsid w:val="007441FC"/>
    <w:rsid w:val="007449EC"/>
    <w:rsid w:val="00745407"/>
    <w:rsid w:val="0074642F"/>
    <w:rsid w:val="007465DF"/>
    <w:rsid w:val="007469EB"/>
    <w:rsid w:val="00747D18"/>
    <w:rsid w:val="007501B3"/>
    <w:rsid w:val="007505FA"/>
    <w:rsid w:val="007509BC"/>
    <w:rsid w:val="00750DB6"/>
    <w:rsid w:val="00751403"/>
    <w:rsid w:val="0075147D"/>
    <w:rsid w:val="00751725"/>
    <w:rsid w:val="00751C68"/>
    <w:rsid w:val="00751FE7"/>
    <w:rsid w:val="0075264F"/>
    <w:rsid w:val="00752798"/>
    <w:rsid w:val="00752D68"/>
    <w:rsid w:val="00752F42"/>
    <w:rsid w:val="00753054"/>
    <w:rsid w:val="0075320D"/>
    <w:rsid w:val="00753854"/>
    <w:rsid w:val="00753A66"/>
    <w:rsid w:val="00753FAF"/>
    <w:rsid w:val="00754029"/>
    <w:rsid w:val="007556F2"/>
    <w:rsid w:val="00755DAA"/>
    <w:rsid w:val="00756534"/>
    <w:rsid w:val="007566DF"/>
    <w:rsid w:val="00756A50"/>
    <w:rsid w:val="007576FE"/>
    <w:rsid w:val="00757905"/>
    <w:rsid w:val="00757973"/>
    <w:rsid w:val="00757A21"/>
    <w:rsid w:val="007629D5"/>
    <w:rsid w:val="00762BD1"/>
    <w:rsid w:val="00762E7D"/>
    <w:rsid w:val="007640B1"/>
    <w:rsid w:val="00764455"/>
    <w:rsid w:val="007644EE"/>
    <w:rsid w:val="007649D5"/>
    <w:rsid w:val="007649DC"/>
    <w:rsid w:val="00764FDB"/>
    <w:rsid w:val="007650C3"/>
    <w:rsid w:val="00765E18"/>
    <w:rsid w:val="00766479"/>
    <w:rsid w:val="0076728E"/>
    <w:rsid w:val="0076745A"/>
    <w:rsid w:val="007676F6"/>
    <w:rsid w:val="00767809"/>
    <w:rsid w:val="0077010C"/>
    <w:rsid w:val="00770C69"/>
    <w:rsid w:val="00771016"/>
    <w:rsid w:val="007717CC"/>
    <w:rsid w:val="0077194E"/>
    <w:rsid w:val="00771CFC"/>
    <w:rsid w:val="00771E02"/>
    <w:rsid w:val="00772430"/>
    <w:rsid w:val="0077269F"/>
    <w:rsid w:val="00772957"/>
    <w:rsid w:val="007729A5"/>
    <w:rsid w:val="00772A79"/>
    <w:rsid w:val="00772FBD"/>
    <w:rsid w:val="0077328F"/>
    <w:rsid w:val="007732EE"/>
    <w:rsid w:val="007735B5"/>
    <w:rsid w:val="00773C18"/>
    <w:rsid w:val="00774285"/>
    <w:rsid w:val="00774530"/>
    <w:rsid w:val="00774720"/>
    <w:rsid w:val="007757A2"/>
    <w:rsid w:val="007757D3"/>
    <w:rsid w:val="0077582C"/>
    <w:rsid w:val="00775DA5"/>
    <w:rsid w:val="00775ED1"/>
    <w:rsid w:val="007763FB"/>
    <w:rsid w:val="007769B5"/>
    <w:rsid w:val="00776AAE"/>
    <w:rsid w:val="00776C26"/>
    <w:rsid w:val="00776F5C"/>
    <w:rsid w:val="007770E8"/>
    <w:rsid w:val="00777A4B"/>
    <w:rsid w:val="00777AAC"/>
    <w:rsid w:val="00777F00"/>
    <w:rsid w:val="007809FB"/>
    <w:rsid w:val="007817F9"/>
    <w:rsid w:val="00781C3E"/>
    <w:rsid w:val="007829D6"/>
    <w:rsid w:val="00783D4E"/>
    <w:rsid w:val="0078407F"/>
    <w:rsid w:val="007841C7"/>
    <w:rsid w:val="007842FF"/>
    <w:rsid w:val="0078482F"/>
    <w:rsid w:val="007851AA"/>
    <w:rsid w:val="00785293"/>
    <w:rsid w:val="00785357"/>
    <w:rsid w:val="00785531"/>
    <w:rsid w:val="007857B6"/>
    <w:rsid w:val="00785F59"/>
    <w:rsid w:val="00785F8B"/>
    <w:rsid w:val="00785FEC"/>
    <w:rsid w:val="007863A5"/>
    <w:rsid w:val="0078655D"/>
    <w:rsid w:val="00786EA6"/>
    <w:rsid w:val="007877FF"/>
    <w:rsid w:val="0079021F"/>
    <w:rsid w:val="00790672"/>
    <w:rsid w:val="00790EFE"/>
    <w:rsid w:val="00791365"/>
    <w:rsid w:val="00791519"/>
    <w:rsid w:val="00791710"/>
    <w:rsid w:val="007919F4"/>
    <w:rsid w:val="00791A03"/>
    <w:rsid w:val="00791AA6"/>
    <w:rsid w:val="00791E30"/>
    <w:rsid w:val="00791E56"/>
    <w:rsid w:val="00792199"/>
    <w:rsid w:val="00792219"/>
    <w:rsid w:val="007927E0"/>
    <w:rsid w:val="007928BF"/>
    <w:rsid w:val="00792A61"/>
    <w:rsid w:val="00792EF7"/>
    <w:rsid w:val="00793222"/>
    <w:rsid w:val="007935FB"/>
    <w:rsid w:val="00793F9A"/>
    <w:rsid w:val="007946D2"/>
    <w:rsid w:val="00795403"/>
    <w:rsid w:val="00795545"/>
    <w:rsid w:val="007959CF"/>
    <w:rsid w:val="00795AC6"/>
    <w:rsid w:val="0079650D"/>
    <w:rsid w:val="00796F22"/>
    <w:rsid w:val="00797950"/>
    <w:rsid w:val="007A049C"/>
    <w:rsid w:val="007A0586"/>
    <w:rsid w:val="007A1ADC"/>
    <w:rsid w:val="007A226E"/>
    <w:rsid w:val="007A26F7"/>
    <w:rsid w:val="007A2E11"/>
    <w:rsid w:val="007A319C"/>
    <w:rsid w:val="007A34CA"/>
    <w:rsid w:val="007A3845"/>
    <w:rsid w:val="007A39DC"/>
    <w:rsid w:val="007A41E5"/>
    <w:rsid w:val="007A41E6"/>
    <w:rsid w:val="007A46AC"/>
    <w:rsid w:val="007A471D"/>
    <w:rsid w:val="007A4CB7"/>
    <w:rsid w:val="007A4F34"/>
    <w:rsid w:val="007A50F1"/>
    <w:rsid w:val="007A55FE"/>
    <w:rsid w:val="007A59EA"/>
    <w:rsid w:val="007A5C48"/>
    <w:rsid w:val="007A6290"/>
    <w:rsid w:val="007A72E9"/>
    <w:rsid w:val="007A7FA0"/>
    <w:rsid w:val="007B03A6"/>
    <w:rsid w:val="007B0563"/>
    <w:rsid w:val="007B0EF4"/>
    <w:rsid w:val="007B17D0"/>
    <w:rsid w:val="007B2430"/>
    <w:rsid w:val="007B360F"/>
    <w:rsid w:val="007B38F2"/>
    <w:rsid w:val="007B3B6F"/>
    <w:rsid w:val="007B4401"/>
    <w:rsid w:val="007B46BE"/>
    <w:rsid w:val="007B4BBC"/>
    <w:rsid w:val="007B4DD0"/>
    <w:rsid w:val="007B4F55"/>
    <w:rsid w:val="007B517F"/>
    <w:rsid w:val="007B60B2"/>
    <w:rsid w:val="007B6CF4"/>
    <w:rsid w:val="007B7D06"/>
    <w:rsid w:val="007C058E"/>
    <w:rsid w:val="007C0E0D"/>
    <w:rsid w:val="007C114C"/>
    <w:rsid w:val="007C1656"/>
    <w:rsid w:val="007C1909"/>
    <w:rsid w:val="007C1966"/>
    <w:rsid w:val="007C283A"/>
    <w:rsid w:val="007C2882"/>
    <w:rsid w:val="007C2C67"/>
    <w:rsid w:val="007C30BE"/>
    <w:rsid w:val="007C42AF"/>
    <w:rsid w:val="007C4426"/>
    <w:rsid w:val="007C49BB"/>
    <w:rsid w:val="007C4A18"/>
    <w:rsid w:val="007C4AD3"/>
    <w:rsid w:val="007C4E4A"/>
    <w:rsid w:val="007C5437"/>
    <w:rsid w:val="007C5733"/>
    <w:rsid w:val="007C5AAE"/>
    <w:rsid w:val="007C681C"/>
    <w:rsid w:val="007C681F"/>
    <w:rsid w:val="007C6AA1"/>
    <w:rsid w:val="007C6B81"/>
    <w:rsid w:val="007C6E2B"/>
    <w:rsid w:val="007C7317"/>
    <w:rsid w:val="007C7A14"/>
    <w:rsid w:val="007D03A5"/>
    <w:rsid w:val="007D0783"/>
    <w:rsid w:val="007D16B2"/>
    <w:rsid w:val="007D2412"/>
    <w:rsid w:val="007D2A8D"/>
    <w:rsid w:val="007D2E6C"/>
    <w:rsid w:val="007D2EB9"/>
    <w:rsid w:val="007D2EC1"/>
    <w:rsid w:val="007D2F07"/>
    <w:rsid w:val="007D33C8"/>
    <w:rsid w:val="007D35D8"/>
    <w:rsid w:val="007D3C44"/>
    <w:rsid w:val="007D48AE"/>
    <w:rsid w:val="007D4D6A"/>
    <w:rsid w:val="007D509E"/>
    <w:rsid w:val="007D5517"/>
    <w:rsid w:val="007D5635"/>
    <w:rsid w:val="007D5DC7"/>
    <w:rsid w:val="007D6D0A"/>
    <w:rsid w:val="007D6D25"/>
    <w:rsid w:val="007D715D"/>
    <w:rsid w:val="007D77C8"/>
    <w:rsid w:val="007D7860"/>
    <w:rsid w:val="007D7AFC"/>
    <w:rsid w:val="007D7E62"/>
    <w:rsid w:val="007E0261"/>
    <w:rsid w:val="007E09C2"/>
    <w:rsid w:val="007E18FF"/>
    <w:rsid w:val="007E19CC"/>
    <w:rsid w:val="007E1F3F"/>
    <w:rsid w:val="007E20E1"/>
    <w:rsid w:val="007E2551"/>
    <w:rsid w:val="007E298F"/>
    <w:rsid w:val="007E29CB"/>
    <w:rsid w:val="007E344B"/>
    <w:rsid w:val="007E3521"/>
    <w:rsid w:val="007E3688"/>
    <w:rsid w:val="007E3790"/>
    <w:rsid w:val="007E3C2F"/>
    <w:rsid w:val="007E3C69"/>
    <w:rsid w:val="007E3CE2"/>
    <w:rsid w:val="007E48D6"/>
    <w:rsid w:val="007E4C20"/>
    <w:rsid w:val="007E4E6A"/>
    <w:rsid w:val="007E5826"/>
    <w:rsid w:val="007E5A3B"/>
    <w:rsid w:val="007E5A9B"/>
    <w:rsid w:val="007E5D26"/>
    <w:rsid w:val="007E5DF9"/>
    <w:rsid w:val="007E5E84"/>
    <w:rsid w:val="007E5EF8"/>
    <w:rsid w:val="007E638B"/>
    <w:rsid w:val="007E6C51"/>
    <w:rsid w:val="007E74E0"/>
    <w:rsid w:val="007E75F0"/>
    <w:rsid w:val="007F0294"/>
    <w:rsid w:val="007F03C7"/>
    <w:rsid w:val="007F066A"/>
    <w:rsid w:val="007F0F6C"/>
    <w:rsid w:val="007F10E4"/>
    <w:rsid w:val="007F1216"/>
    <w:rsid w:val="007F1A96"/>
    <w:rsid w:val="007F2010"/>
    <w:rsid w:val="007F25E0"/>
    <w:rsid w:val="007F2622"/>
    <w:rsid w:val="007F26B4"/>
    <w:rsid w:val="007F313B"/>
    <w:rsid w:val="007F3318"/>
    <w:rsid w:val="007F3D68"/>
    <w:rsid w:val="007F4012"/>
    <w:rsid w:val="007F414E"/>
    <w:rsid w:val="007F470F"/>
    <w:rsid w:val="007F48DC"/>
    <w:rsid w:val="007F4DF7"/>
    <w:rsid w:val="007F5959"/>
    <w:rsid w:val="007F5B87"/>
    <w:rsid w:val="007F5C1B"/>
    <w:rsid w:val="007F6634"/>
    <w:rsid w:val="007F6C7D"/>
    <w:rsid w:val="007F6CC3"/>
    <w:rsid w:val="007F6D4C"/>
    <w:rsid w:val="007F712C"/>
    <w:rsid w:val="007F7133"/>
    <w:rsid w:val="007F72B0"/>
    <w:rsid w:val="007F731C"/>
    <w:rsid w:val="007F7EF8"/>
    <w:rsid w:val="008005D8"/>
    <w:rsid w:val="00800681"/>
    <w:rsid w:val="00800FF9"/>
    <w:rsid w:val="00801DCA"/>
    <w:rsid w:val="00802340"/>
    <w:rsid w:val="0080248E"/>
    <w:rsid w:val="008027E0"/>
    <w:rsid w:val="0080333D"/>
    <w:rsid w:val="00803450"/>
    <w:rsid w:val="0080506D"/>
    <w:rsid w:val="00805ADD"/>
    <w:rsid w:val="00805E89"/>
    <w:rsid w:val="00805EEB"/>
    <w:rsid w:val="00805FBD"/>
    <w:rsid w:val="00806236"/>
    <w:rsid w:val="008064B1"/>
    <w:rsid w:val="00806F13"/>
    <w:rsid w:val="00807095"/>
    <w:rsid w:val="00807170"/>
    <w:rsid w:val="00807189"/>
    <w:rsid w:val="0080762D"/>
    <w:rsid w:val="00807977"/>
    <w:rsid w:val="00807AB1"/>
    <w:rsid w:val="00807BF6"/>
    <w:rsid w:val="0081097B"/>
    <w:rsid w:val="00810A6C"/>
    <w:rsid w:val="00810D90"/>
    <w:rsid w:val="00811058"/>
    <w:rsid w:val="00811792"/>
    <w:rsid w:val="00811C4B"/>
    <w:rsid w:val="00811E59"/>
    <w:rsid w:val="00811EEF"/>
    <w:rsid w:val="008124CC"/>
    <w:rsid w:val="00812803"/>
    <w:rsid w:val="00812ECF"/>
    <w:rsid w:val="00812F24"/>
    <w:rsid w:val="00813532"/>
    <w:rsid w:val="00813D83"/>
    <w:rsid w:val="0081464D"/>
    <w:rsid w:val="0081478E"/>
    <w:rsid w:val="008149D6"/>
    <w:rsid w:val="00814EE1"/>
    <w:rsid w:val="0081516F"/>
    <w:rsid w:val="0081596B"/>
    <w:rsid w:val="00815AEF"/>
    <w:rsid w:val="00815DBC"/>
    <w:rsid w:val="00815FFC"/>
    <w:rsid w:val="00816558"/>
    <w:rsid w:val="008165BE"/>
    <w:rsid w:val="00816BA8"/>
    <w:rsid w:val="00816C8D"/>
    <w:rsid w:val="00816FFE"/>
    <w:rsid w:val="0081799B"/>
    <w:rsid w:val="008179A3"/>
    <w:rsid w:val="00817B01"/>
    <w:rsid w:val="00820003"/>
    <w:rsid w:val="00820390"/>
    <w:rsid w:val="0082146D"/>
    <w:rsid w:val="008215AC"/>
    <w:rsid w:val="00821757"/>
    <w:rsid w:val="00821BF9"/>
    <w:rsid w:val="00822117"/>
    <w:rsid w:val="008226E7"/>
    <w:rsid w:val="00822A85"/>
    <w:rsid w:val="008233DD"/>
    <w:rsid w:val="00823739"/>
    <w:rsid w:val="00823D43"/>
    <w:rsid w:val="00824F00"/>
    <w:rsid w:val="00825192"/>
    <w:rsid w:val="0082542A"/>
    <w:rsid w:val="008257E5"/>
    <w:rsid w:val="00825942"/>
    <w:rsid w:val="0082594C"/>
    <w:rsid w:val="008259B7"/>
    <w:rsid w:val="008259CC"/>
    <w:rsid w:val="00825D92"/>
    <w:rsid w:val="00825D9E"/>
    <w:rsid w:val="00826418"/>
    <w:rsid w:val="008265BA"/>
    <w:rsid w:val="0082677A"/>
    <w:rsid w:val="00826CE4"/>
    <w:rsid w:val="00827109"/>
    <w:rsid w:val="008273C6"/>
    <w:rsid w:val="00827497"/>
    <w:rsid w:val="00827968"/>
    <w:rsid w:val="0082799C"/>
    <w:rsid w:val="00827AA2"/>
    <w:rsid w:val="00827BC6"/>
    <w:rsid w:val="00827CC2"/>
    <w:rsid w:val="008309B4"/>
    <w:rsid w:val="008310C2"/>
    <w:rsid w:val="00831681"/>
    <w:rsid w:val="008317C2"/>
    <w:rsid w:val="00831EFD"/>
    <w:rsid w:val="008339FB"/>
    <w:rsid w:val="00834FDC"/>
    <w:rsid w:val="008354DD"/>
    <w:rsid w:val="0083560F"/>
    <w:rsid w:val="00836523"/>
    <w:rsid w:val="00837BA9"/>
    <w:rsid w:val="00840975"/>
    <w:rsid w:val="00840BB0"/>
    <w:rsid w:val="00841999"/>
    <w:rsid w:val="00841A9E"/>
    <w:rsid w:val="00841D52"/>
    <w:rsid w:val="0084205D"/>
    <w:rsid w:val="00842390"/>
    <w:rsid w:val="0084272C"/>
    <w:rsid w:val="00843460"/>
    <w:rsid w:val="00843678"/>
    <w:rsid w:val="0084395F"/>
    <w:rsid w:val="00843A89"/>
    <w:rsid w:val="00844301"/>
    <w:rsid w:val="00844BD1"/>
    <w:rsid w:val="00845A31"/>
    <w:rsid w:val="00845C0F"/>
    <w:rsid w:val="0084636D"/>
    <w:rsid w:val="008469BB"/>
    <w:rsid w:val="0084750D"/>
    <w:rsid w:val="0084759E"/>
    <w:rsid w:val="008501EC"/>
    <w:rsid w:val="0085020F"/>
    <w:rsid w:val="008505A8"/>
    <w:rsid w:val="00850A64"/>
    <w:rsid w:val="00850A81"/>
    <w:rsid w:val="008517C2"/>
    <w:rsid w:val="008520BE"/>
    <w:rsid w:val="0085227A"/>
    <w:rsid w:val="008522F1"/>
    <w:rsid w:val="008531E9"/>
    <w:rsid w:val="00853EDE"/>
    <w:rsid w:val="008543C1"/>
    <w:rsid w:val="00854535"/>
    <w:rsid w:val="0085468B"/>
    <w:rsid w:val="008546DA"/>
    <w:rsid w:val="00854792"/>
    <w:rsid w:val="00854C36"/>
    <w:rsid w:val="00854E3F"/>
    <w:rsid w:val="00855675"/>
    <w:rsid w:val="00855D47"/>
    <w:rsid w:val="00855DD6"/>
    <w:rsid w:val="00856B51"/>
    <w:rsid w:val="00856FA3"/>
    <w:rsid w:val="00857053"/>
    <w:rsid w:val="008570DA"/>
    <w:rsid w:val="008575D3"/>
    <w:rsid w:val="00860459"/>
    <w:rsid w:val="00860893"/>
    <w:rsid w:val="008608A8"/>
    <w:rsid w:val="0086176A"/>
    <w:rsid w:val="00861C93"/>
    <w:rsid w:val="00862094"/>
    <w:rsid w:val="00862353"/>
    <w:rsid w:val="0086250D"/>
    <w:rsid w:val="0086291E"/>
    <w:rsid w:val="008646F2"/>
    <w:rsid w:val="008654D1"/>
    <w:rsid w:val="008658E1"/>
    <w:rsid w:val="008659C9"/>
    <w:rsid w:val="00865AAA"/>
    <w:rsid w:val="00865E07"/>
    <w:rsid w:val="008665FA"/>
    <w:rsid w:val="00866955"/>
    <w:rsid w:val="00866A32"/>
    <w:rsid w:val="008670A2"/>
    <w:rsid w:val="00867729"/>
    <w:rsid w:val="00867913"/>
    <w:rsid w:val="00867FB6"/>
    <w:rsid w:val="00870219"/>
    <w:rsid w:val="008704E1"/>
    <w:rsid w:val="008708AB"/>
    <w:rsid w:val="00870E26"/>
    <w:rsid w:val="008711AC"/>
    <w:rsid w:val="00871D4E"/>
    <w:rsid w:val="00871F04"/>
    <w:rsid w:val="008721AD"/>
    <w:rsid w:val="008723A3"/>
    <w:rsid w:val="00872E5F"/>
    <w:rsid w:val="0087384C"/>
    <w:rsid w:val="008738CC"/>
    <w:rsid w:val="00873BA3"/>
    <w:rsid w:val="00873BF4"/>
    <w:rsid w:val="00874BAF"/>
    <w:rsid w:val="00874E4E"/>
    <w:rsid w:val="0087587A"/>
    <w:rsid w:val="00875AF6"/>
    <w:rsid w:val="00875C37"/>
    <w:rsid w:val="00875CAF"/>
    <w:rsid w:val="008763C7"/>
    <w:rsid w:val="00876C67"/>
    <w:rsid w:val="00876F6E"/>
    <w:rsid w:val="00877626"/>
    <w:rsid w:val="00877DEA"/>
    <w:rsid w:val="00880456"/>
    <w:rsid w:val="00881523"/>
    <w:rsid w:val="008819CC"/>
    <w:rsid w:val="00881FFA"/>
    <w:rsid w:val="00882883"/>
    <w:rsid w:val="008830E0"/>
    <w:rsid w:val="00883383"/>
    <w:rsid w:val="00883C55"/>
    <w:rsid w:val="00883F5E"/>
    <w:rsid w:val="00884188"/>
    <w:rsid w:val="0088444C"/>
    <w:rsid w:val="00884C48"/>
    <w:rsid w:val="00884C55"/>
    <w:rsid w:val="008858BD"/>
    <w:rsid w:val="00885F62"/>
    <w:rsid w:val="00886206"/>
    <w:rsid w:val="00886AB6"/>
    <w:rsid w:val="00886ACA"/>
    <w:rsid w:val="00886C40"/>
    <w:rsid w:val="00886F76"/>
    <w:rsid w:val="0088712E"/>
    <w:rsid w:val="008873A7"/>
    <w:rsid w:val="008874D8"/>
    <w:rsid w:val="0089014D"/>
    <w:rsid w:val="008906AF"/>
    <w:rsid w:val="00890C1D"/>
    <w:rsid w:val="00890ECE"/>
    <w:rsid w:val="008911CB"/>
    <w:rsid w:val="00891320"/>
    <w:rsid w:val="00892ED9"/>
    <w:rsid w:val="00893649"/>
    <w:rsid w:val="00893761"/>
    <w:rsid w:val="00893F43"/>
    <w:rsid w:val="008943CC"/>
    <w:rsid w:val="00894716"/>
    <w:rsid w:val="008947EB"/>
    <w:rsid w:val="0089488F"/>
    <w:rsid w:val="0089508E"/>
    <w:rsid w:val="008952E8"/>
    <w:rsid w:val="008953F8"/>
    <w:rsid w:val="0089553F"/>
    <w:rsid w:val="00895789"/>
    <w:rsid w:val="00895882"/>
    <w:rsid w:val="0089590A"/>
    <w:rsid w:val="00895DA9"/>
    <w:rsid w:val="00896103"/>
    <w:rsid w:val="0089638A"/>
    <w:rsid w:val="008966A4"/>
    <w:rsid w:val="00896FC1"/>
    <w:rsid w:val="00897E3F"/>
    <w:rsid w:val="008A051B"/>
    <w:rsid w:val="008A08AD"/>
    <w:rsid w:val="008A0EA2"/>
    <w:rsid w:val="008A0F76"/>
    <w:rsid w:val="008A11A0"/>
    <w:rsid w:val="008A1545"/>
    <w:rsid w:val="008A1A42"/>
    <w:rsid w:val="008A1AC1"/>
    <w:rsid w:val="008A27A1"/>
    <w:rsid w:val="008A3D6C"/>
    <w:rsid w:val="008A513A"/>
    <w:rsid w:val="008A52E9"/>
    <w:rsid w:val="008A54A2"/>
    <w:rsid w:val="008A59B9"/>
    <w:rsid w:val="008A5AAF"/>
    <w:rsid w:val="008A5D62"/>
    <w:rsid w:val="008A605B"/>
    <w:rsid w:val="008A610E"/>
    <w:rsid w:val="008A620B"/>
    <w:rsid w:val="008A6325"/>
    <w:rsid w:val="008A654A"/>
    <w:rsid w:val="008A662C"/>
    <w:rsid w:val="008A769D"/>
    <w:rsid w:val="008B0010"/>
    <w:rsid w:val="008B02D3"/>
    <w:rsid w:val="008B0CB6"/>
    <w:rsid w:val="008B1B36"/>
    <w:rsid w:val="008B2A1B"/>
    <w:rsid w:val="008B2E7E"/>
    <w:rsid w:val="008B30BA"/>
    <w:rsid w:val="008B315D"/>
    <w:rsid w:val="008B3883"/>
    <w:rsid w:val="008B4199"/>
    <w:rsid w:val="008B5024"/>
    <w:rsid w:val="008B510B"/>
    <w:rsid w:val="008B53E7"/>
    <w:rsid w:val="008B5418"/>
    <w:rsid w:val="008B5716"/>
    <w:rsid w:val="008B5C75"/>
    <w:rsid w:val="008B628D"/>
    <w:rsid w:val="008B64B6"/>
    <w:rsid w:val="008B6734"/>
    <w:rsid w:val="008B6BE4"/>
    <w:rsid w:val="008B6E74"/>
    <w:rsid w:val="008B73E8"/>
    <w:rsid w:val="008B7CEB"/>
    <w:rsid w:val="008C0753"/>
    <w:rsid w:val="008C0F13"/>
    <w:rsid w:val="008C0FA8"/>
    <w:rsid w:val="008C1760"/>
    <w:rsid w:val="008C1865"/>
    <w:rsid w:val="008C1B79"/>
    <w:rsid w:val="008C1ECD"/>
    <w:rsid w:val="008C234F"/>
    <w:rsid w:val="008C31CC"/>
    <w:rsid w:val="008C33ED"/>
    <w:rsid w:val="008C3740"/>
    <w:rsid w:val="008C39A5"/>
    <w:rsid w:val="008C3A33"/>
    <w:rsid w:val="008C46A3"/>
    <w:rsid w:val="008C498B"/>
    <w:rsid w:val="008C49C5"/>
    <w:rsid w:val="008C50E3"/>
    <w:rsid w:val="008C512B"/>
    <w:rsid w:val="008C5922"/>
    <w:rsid w:val="008C64A7"/>
    <w:rsid w:val="008C6637"/>
    <w:rsid w:val="008C6E34"/>
    <w:rsid w:val="008C771A"/>
    <w:rsid w:val="008C77A3"/>
    <w:rsid w:val="008D02EB"/>
    <w:rsid w:val="008D03D6"/>
    <w:rsid w:val="008D09D0"/>
    <w:rsid w:val="008D0F1E"/>
    <w:rsid w:val="008D17AF"/>
    <w:rsid w:val="008D2105"/>
    <w:rsid w:val="008D2644"/>
    <w:rsid w:val="008D272A"/>
    <w:rsid w:val="008D2CD1"/>
    <w:rsid w:val="008D2D38"/>
    <w:rsid w:val="008D33AB"/>
    <w:rsid w:val="008D3759"/>
    <w:rsid w:val="008D4388"/>
    <w:rsid w:val="008D4884"/>
    <w:rsid w:val="008D4EE8"/>
    <w:rsid w:val="008D4F77"/>
    <w:rsid w:val="008D529D"/>
    <w:rsid w:val="008D52B8"/>
    <w:rsid w:val="008D58B9"/>
    <w:rsid w:val="008D6796"/>
    <w:rsid w:val="008D691E"/>
    <w:rsid w:val="008D6EC1"/>
    <w:rsid w:val="008D7B62"/>
    <w:rsid w:val="008D7DB8"/>
    <w:rsid w:val="008E005D"/>
    <w:rsid w:val="008E0328"/>
    <w:rsid w:val="008E04B1"/>
    <w:rsid w:val="008E0592"/>
    <w:rsid w:val="008E0901"/>
    <w:rsid w:val="008E14C3"/>
    <w:rsid w:val="008E160C"/>
    <w:rsid w:val="008E21C1"/>
    <w:rsid w:val="008E34BD"/>
    <w:rsid w:val="008E3EFC"/>
    <w:rsid w:val="008E433B"/>
    <w:rsid w:val="008E447F"/>
    <w:rsid w:val="008E4A0A"/>
    <w:rsid w:val="008E4E82"/>
    <w:rsid w:val="008E6475"/>
    <w:rsid w:val="008E6B55"/>
    <w:rsid w:val="008E714B"/>
    <w:rsid w:val="008E75C6"/>
    <w:rsid w:val="008E779A"/>
    <w:rsid w:val="008E7BAD"/>
    <w:rsid w:val="008F0108"/>
    <w:rsid w:val="008F0828"/>
    <w:rsid w:val="008F1072"/>
    <w:rsid w:val="008F1CAC"/>
    <w:rsid w:val="008F22AC"/>
    <w:rsid w:val="008F2998"/>
    <w:rsid w:val="008F2FB2"/>
    <w:rsid w:val="008F395A"/>
    <w:rsid w:val="008F3A9B"/>
    <w:rsid w:val="008F3F32"/>
    <w:rsid w:val="008F4045"/>
    <w:rsid w:val="008F5066"/>
    <w:rsid w:val="008F528B"/>
    <w:rsid w:val="008F5366"/>
    <w:rsid w:val="008F599B"/>
    <w:rsid w:val="008F5C83"/>
    <w:rsid w:val="008F6683"/>
    <w:rsid w:val="008F7167"/>
    <w:rsid w:val="008F719C"/>
    <w:rsid w:val="008F7EC5"/>
    <w:rsid w:val="008F7FED"/>
    <w:rsid w:val="009002F4"/>
    <w:rsid w:val="00900BD4"/>
    <w:rsid w:val="009013A7"/>
    <w:rsid w:val="00901AEE"/>
    <w:rsid w:val="009020D8"/>
    <w:rsid w:val="0090251B"/>
    <w:rsid w:val="00902A93"/>
    <w:rsid w:val="00902BB7"/>
    <w:rsid w:val="00903526"/>
    <w:rsid w:val="00903921"/>
    <w:rsid w:val="00903C86"/>
    <w:rsid w:val="009040EE"/>
    <w:rsid w:val="00904BB5"/>
    <w:rsid w:val="00904F14"/>
    <w:rsid w:val="00905057"/>
    <w:rsid w:val="009057D6"/>
    <w:rsid w:val="00905BC3"/>
    <w:rsid w:val="00906710"/>
    <w:rsid w:val="009069ED"/>
    <w:rsid w:val="0090737C"/>
    <w:rsid w:val="00910276"/>
    <w:rsid w:val="00910AEA"/>
    <w:rsid w:val="00911547"/>
    <w:rsid w:val="00911648"/>
    <w:rsid w:val="00911B2F"/>
    <w:rsid w:val="00911EAA"/>
    <w:rsid w:val="00911F9A"/>
    <w:rsid w:val="00911FDD"/>
    <w:rsid w:val="00912177"/>
    <w:rsid w:val="009126B7"/>
    <w:rsid w:val="0091285B"/>
    <w:rsid w:val="00913155"/>
    <w:rsid w:val="009137A4"/>
    <w:rsid w:val="00914064"/>
    <w:rsid w:val="0091417D"/>
    <w:rsid w:val="009148FB"/>
    <w:rsid w:val="0091493A"/>
    <w:rsid w:val="0091527D"/>
    <w:rsid w:val="00917068"/>
    <w:rsid w:val="00917CE2"/>
    <w:rsid w:val="00917E80"/>
    <w:rsid w:val="00920689"/>
    <w:rsid w:val="0092097F"/>
    <w:rsid w:val="00920BCE"/>
    <w:rsid w:val="00920D0F"/>
    <w:rsid w:val="00921079"/>
    <w:rsid w:val="00921294"/>
    <w:rsid w:val="00921534"/>
    <w:rsid w:val="009216FE"/>
    <w:rsid w:val="00921746"/>
    <w:rsid w:val="00921D54"/>
    <w:rsid w:val="0092291D"/>
    <w:rsid w:val="0092382B"/>
    <w:rsid w:val="00923A0E"/>
    <w:rsid w:val="00923A67"/>
    <w:rsid w:val="00923DB1"/>
    <w:rsid w:val="00924576"/>
    <w:rsid w:val="0092480F"/>
    <w:rsid w:val="00924F53"/>
    <w:rsid w:val="00925A30"/>
    <w:rsid w:val="00925B5B"/>
    <w:rsid w:val="00925FC4"/>
    <w:rsid w:val="00926659"/>
    <w:rsid w:val="00926764"/>
    <w:rsid w:val="00926A61"/>
    <w:rsid w:val="00926C82"/>
    <w:rsid w:val="009300E0"/>
    <w:rsid w:val="0093047F"/>
    <w:rsid w:val="00930C3D"/>
    <w:rsid w:val="009312D0"/>
    <w:rsid w:val="009320BE"/>
    <w:rsid w:val="009323E1"/>
    <w:rsid w:val="00933155"/>
    <w:rsid w:val="0093337F"/>
    <w:rsid w:val="00933719"/>
    <w:rsid w:val="00933EA9"/>
    <w:rsid w:val="00934373"/>
    <w:rsid w:val="00934ADA"/>
    <w:rsid w:val="00934BCC"/>
    <w:rsid w:val="00934D63"/>
    <w:rsid w:val="00934E5E"/>
    <w:rsid w:val="009353BE"/>
    <w:rsid w:val="00935466"/>
    <w:rsid w:val="00935907"/>
    <w:rsid w:val="00935A4A"/>
    <w:rsid w:val="00935D65"/>
    <w:rsid w:val="00936276"/>
    <w:rsid w:val="00936389"/>
    <w:rsid w:val="009370E0"/>
    <w:rsid w:val="00937D1E"/>
    <w:rsid w:val="009404BE"/>
    <w:rsid w:val="00940989"/>
    <w:rsid w:val="00940D4C"/>
    <w:rsid w:val="009412D0"/>
    <w:rsid w:val="00941588"/>
    <w:rsid w:val="00941B2E"/>
    <w:rsid w:val="0094207D"/>
    <w:rsid w:val="009428AD"/>
    <w:rsid w:val="00942A3C"/>
    <w:rsid w:val="00942BF1"/>
    <w:rsid w:val="00942E6F"/>
    <w:rsid w:val="00943DD5"/>
    <w:rsid w:val="00943F6D"/>
    <w:rsid w:val="00944578"/>
    <w:rsid w:val="00944F42"/>
    <w:rsid w:val="00945B90"/>
    <w:rsid w:val="00945F40"/>
    <w:rsid w:val="009460C5"/>
    <w:rsid w:val="0094610B"/>
    <w:rsid w:val="009463DE"/>
    <w:rsid w:val="009465D7"/>
    <w:rsid w:val="009468D3"/>
    <w:rsid w:val="00946C53"/>
    <w:rsid w:val="00946CF4"/>
    <w:rsid w:val="00946E4D"/>
    <w:rsid w:val="009475DF"/>
    <w:rsid w:val="00951661"/>
    <w:rsid w:val="0095168A"/>
    <w:rsid w:val="00952413"/>
    <w:rsid w:val="009530C2"/>
    <w:rsid w:val="009530CF"/>
    <w:rsid w:val="00953263"/>
    <w:rsid w:val="0095375A"/>
    <w:rsid w:val="00954248"/>
    <w:rsid w:val="009546F6"/>
    <w:rsid w:val="00955B2C"/>
    <w:rsid w:val="00956B48"/>
    <w:rsid w:val="00956B52"/>
    <w:rsid w:val="00957153"/>
    <w:rsid w:val="00957EE5"/>
    <w:rsid w:val="00960EF0"/>
    <w:rsid w:val="00961E62"/>
    <w:rsid w:val="009620B9"/>
    <w:rsid w:val="009624E2"/>
    <w:rsid w:val="009626C2"/>
    <w:rsid w:val="00962900"/>
    <w:rsid w:val="00962992"/>
    <w:rsid w:val="00962AA4"/>
    <w:rsid w:val="00962B8E"/>
    <w:rsid w:val="00963550"/>
    <w:rsid w:val="0096423F"/>
    <w:rsid w:val="00964ADF"/>
    <w:rsid w:val="00964D9C"/>
    <w:rsid w:val="00965188"/>
    <w:rsid w:val="00965AC1"/>
    <w:rsid w:val="00966224"/>
    <w:rsid w:val="0096636C"/>
    <w:rsid w:val="009663FE"/>
    <w:rsid w:val="00966580"/>
    <w:rsid w:val="0096667D"/>
    <w:rsid w:val="0096696F"/>
    <w:rsid w:val="00966F29"/>
    <w:rsid w:val="00967BA9"/>
    <w:rsid w:val="00967F12"/>
    <w:rsid w:val="00967F2D"/>
    <w:rsid w:val="009705CA"/>
    <w:rsid w:val="00971B03"/>
    <w:rsid w:val="0097249E"/>
    <w:rsid w:val="00972691"/>
    <w:rsid w:val="00972EC8"/>
    <w:rsid w:val="0097307B"/>
    <w:rsid w:val="009730F6"/>
    <w:rsid w:val="0097321C"/>
    <w:rsid w:val="0097557D"/>
    <w:rsid w:val="00975D47"/>
    <w:rsid w:val="00975DC5"/>
    <w:rsid w:val="00975E19"/>
    <w:rsid w:val="00976108"/>
    <w:rsid w:val="00976A2C"/>
    <w:rsid w:val="009773F5"/>
    <w:rsid w:val="00977429"/>
    <w:rsid w:val="00977972"/>
    <w:rsid w:val="00980552"/>
    <w:rsid w:val="00980C52"/>
    <w:rsid w:val="00980F5F"/>
    <w:rsid w:val="009816E3"/>
    <w:rsid w:val="009816EA"/>
    <w:rsid w:val="00981B6B"/>
    <w:rsid w:val="00981E17"/>
    <w:rsid w:val="009821F1"/>
    <w:rsid w:val="00982695"/>
    <w:rsid w:val="00982CBE"/>
    <w:rsid w:val="00982E6C"/>
    <w:rsid w:val="00983695"/>
    <w:rsid w:val="00983A60"/>
    <w:rsid w:val="00984246"/>
    <w:rsid w:val="00984293"/>
    <w:rsid w:val="009842C5"/>
    <w:rsid w:val="00984BA4"/>
    <w:rsid w:val="009854E4"/>
    <w:rsid w:val="00985630"/>
    <w:rsid w:val="00985644"/>
    <w:rsid w:val="00985A54"/>
    <w:rsid w:val="00985E9F"/>
    <w:rsid w:val="00986019"/>
    <w:rsid w:val="00986053"/>
    <w:rsid w:val="009871B7"/>
    <w:rsid w:val="00987B25"/>
    <w:rsid w:val="00987C23"/>
    <w:rsid w:val="00987DAB"/>
    <w:rsid w:val="00987DEB"/>
    <w:rsid w:val="00990009"/>
    <w:rsid w:val="00990DAE"/>
    <w:rsid w:val="00990E34"/>
    <w:rsid w:val="00990EAA"/>
    <w:rsid w:val="009915F5"/>
    <w:rsid w:val="00991810"/>
    <w:rsid w:val="00991A4D"/>
    <w:rsid w:val="00991A84"/>
    <w:rsid w:val="00991BB0"/>
    <w:rsid w:val="00991E08"/>
    <w:rsid w:val="009927BD"/>
    <w:rsid w:val="00992D1C"/>
    <w:rsid w:val="0099324D"/>
    <w:rsid w:val="0099327E"/>
    <w:rsid w:val="00993979"/>
    <w:rsid w:val="00993FFD"/>
    <w:rsid w:val="0099444F"/>
    <w:rsid w:val="00994620"/>
    <w:rsid w:val="00994764"/>
    <w:rsid w:val="00994811"/>
    <w:rsid w:val="0099495C"/>
    <w:rsid w:val="00994EC8"/>
    <w:rsid w:val="00994F0F"/>
    <w:rsid w:val="009957F2"/>
    <w:rsid w:val="00996082"/>
    <w:rsid w:val="00996516"/>
    <w:rsid w:val="0099678D"/>
    <w:rsid w:val="00996CD5"/>
    <w:rsid w:val="00996DE3"/>
    <w:rsid w:val="00996E82"/>
    <w:rsid w:val="00996EAF"/>
    <w:rsid w:val="00997134"/>
    <w:rsid w:val="00997806"/>
    <w:rsid w:val="009979E3"/>
    <w:rsid w:val="00997A47"/>
    <w:rsid w:val="00997AE6"/>
    <w:rsid w:val="009A00EB"/>
    <w:rsid w:val="009A081E"/>
    <w:rsid w:val="009A12C5"/>
    <w:rsid w:val="009A1B6E"/>
    <w:rsid w:val="009A219E"/>
    <w:rsid w:val="009A25A8"/>
    <w:rsid w:val="009A362F"/>
    <w:rsid w:val="009A378A"/>
    <w:rsid w:val="009A3B57"/>
    <w:rsid w:val="009A3C51"/>
    <w:rsid w:val="009A47B2"/>
    <w:rsid w:val="009A4BD9"/>
    <w:rsid w:val="009A4C76"/>
    <w:rsid w:val="009A5233"/>
    <w:rsid w:val="009A565F"/>
    <w:rsid w:val="009A58FA"/>
    <w:rsid w:val="009A5FE7"/>
    <w:rsid w:val="009A6757"/>
    <w:rsid w:val="009A6E2E"/>
    <w:rsid w:val="009A6EC2"/>
    <w:rsid w:val="009A7095"/>
    <w:rsid w:val="009A7605"/>
    <w:rsid w:val="009A7678"/>
    <w:rsid w:val="009A76D5"/>
    <w:rsid w:val="009A776A"/>
    <w:rsid w:val="009A7B83"/>
    <w:rsid w:val="009B05A1"/>
    <w:rsid w:val="009B0613"/>
    <w:rsid w:val="009B092E"/>
    <w:rsid w:val="009B0A28"/>
    <w:rsid w:val="009B0EED"/>
    <w:rsid w:val="009B183B"/>
    <w:rsid w:val="009B1E11"/>
    <w:rsid w:val="009B256E"/>
    <w:rsid w:val="009B26BE"/>
    <w:rsid w:val="009B26DB"/>
    <w:rsid w:val="009B2B9F"/>
    <w:rsid w:val="009B3071"/>
    <w:rsid w:val="009B349E"/>
    <w:rsid w:val="009B3897"/>
    <w:rsid w:val="009B3F6E"/>
    <w:rsid w:val="009B4400"/>
    <w:rsid w:val="009B4DDE"/>
    <w:rsid w:val="009B4F78"/>
    <w:rsid w:val="009B5340"/>
    <w:rsid w:val="009B5623"/>
    <w:rsid w:val="009B5CD4"/>
    <w:rsid w:val="009B600B"/>
    <w:rsid w:val="009B6083"/>
    <w:rsid w:val="009B6123"/>
    <w:rsid w:val="009B6447"/>
    <w:rsid w:val="009B6576"/>
    <w:rsid w:val="009B6652"/>
    <w:rsid w:val="009B690E"/>
    <w:rsid w:val="009B6B48"/>
    <w:rsid w:val="009B6BA3"/>
    <w:rsid w:val="009B78B1"/>
    <w:rsid w:val="009B7A27"/>
    <w:rsid w:val="009C02CF"/>
    <w:rsid w:val="009C1477"/>
    <w:rsid w:val="009C172D"/>
    <w:rsid w:val="009C29D9"/>
    <w:rsid w:val="009C35AF"/>
    <w:rsid w:val="009C4231"/>
    <w:rsid w:val="009C4272"/>
    <w:rsid w:val="009C4376"/>
    <w:rsid w:val="009C4593"/>
    <w:rsid w:val="009C45AB"/>
    <w:rsid w:val="009C47A7"/>
    <w:rsid w:val="009C47D3"/>
    <w:rsid w:val="009C490C"/>
    <w:rsid w:val="009C5557"/>
    <w:rsid w:val="009C558E"/>
    <w:rsid w:val="009C5959"/>
    <w:rsid w:val="009C5E81"/>
    <w:rsid w:val="009C5F01"/>
    <w:rsid w:val="009C64FF"/>
    <w:rsid w:val="009C67FA"/>
    <w:rsid w:val="009C6A0F"/>
    <w:rsid w:val="009C6B07"/>
    <w:rsid w:val="009C6EF8"/>
    <w:rsid w:val="009C6F7E"/>
    <w:rsid w:val="009C739D"/>
    <w:rsid w:val="009C7768"/>
    <w:rsid w:val="009C7D03"/>
    <w:rsid w:val="009D00BB"/>
    <w:rsid w:val="009D0669"/>
    <w:rsid w:val="009D06DB"/>
    <w:rsid w:val="009D0A50"/>
    <w:rsid w:val="009D0E08"/>
    <w:rsid w:val="009D114E"/>
    <w:rsid w:val="009D1FB8"/>
    <w:rsid w:val="009D1FDD"/>
    <w:rsid w:val="009D2528"/>
    <w:rsid w:val="009D28BA"/>
    <w:rsid w:val="009D28D5"/>
    <w:rsid w:val="009D309F"/>
    <w:rsid w:val="009D3588"/>
    <w:rsid w:val="009D3A88"/>
    <w:rsid w:val="009D47E9"/>
    <w:rsid w:val="009D4BAC"/>
    <w:rsid w:val="009D4E03"/>
    <w:rsid w:val="009D5668"/>
    <w:rsid w:val="009D5FC7"/>
    <w:rsid w:val="009D6186"/>
    <w:rsid w:val="009D665B"/>
    <w:rsid w:val="009D6CC9"/>
    <w:rsid w:val="009D73AB"/>
    <w:rsid w:val="009D7507"/>
    <w:rsid w:val="009D770B"/>
    <w:rsid w:val="009D791B"/>
    <w:rsid w:val="009D7B4C"/>
    <w:rsid w:val="009D7BDA"/>
    <w:rsid w:val="009D7EFD"/>
    <w:rsid w:val="009E0278"/>
    <w:rsid w:val="009E09C2"/>
    <w:rsid w:val="009E0A5D"/>
    <w:rsid w:val="009E0DBD"/>
    <w:rsid w:val="009E0EAA"/>
    <w:rsid w:val="009E15A5"/>
    <w:rsid w:val="009E180C"/>
    <w:rsid w:val="009E181B"/>
    <w:rsid w:val="009E1969"/>
    <w:rsid w:val="009E1AA2"/>
    <w:rsid w:val="009E2EA8"/>
    <w:rsid w:val="009E2FA5"/>
    <w:rsid w:val="009E30C3"/>
    <w:rsid w:val="009E33B3"/>
    <w:rsid w:val="009E36D7"/>
    <w:rsid w:val="009E37A9"/>
    <w:rsid w:val="009E47D3"/>
    <w:rsid w:val="009E49BE"/>
    <w:rsid w:val="009E5688"/>
    <w:rsid w:val="009E5BBA"/>
    <w:rsid w:val="009E5C1B"/>
    <w:rsid w:val="009E5DB9"/>
    <w:rsid w:val="009E61B4"/>
    <w:rsid w:val="009E6A1D"/>
    <w:rsid w:val="009E6BB0"/>
    <w:rsid w:val="009E720E"/>
    <w:rsid w:val="009E7261"/>
    <w:rsid w:val="009F07B7"/>
    <w:rsid w:val="009F0859"/>
    <w:rsid w:val="009F0BE3"/>
    <w:rsid w:val="009F0FD3"/>
    <w:rsid w:val="009F24D6"/>
    <w:rsid w:val="009F2D80"/>
    <w:rsid w:val="009F2F4B"/>
    <w:rsid w:val="009F432F"/>
    <w:rsid w:val="009F43C0"/>
    <w:rsid w:val="009F51B3"/>
    <w:rsid w:val="009F552E"/>
    <w:rsid w:val="009F5595"/>
    <w:rsid w:val="009F596C"/>
    <w:rsid w:val="009F659D"/>
    <w:rsid w:val="009F6A53"/>
    <w:rsid w:val="009F6D89"/>
    <w:rsid w:val="009F7686"/>
    <w:rsid w:val="00A0027D"/>
    <w:rsid w:val="00A00723"/>
    <w:rsid w:val="00A00AF3"/>
    <w:rsid w:val="00A00C2C"/>
    <w:rsid w:val="00A00F9E"/>
    <w:rsid w:val="00A01054"/>
    <w:rsid w:val="00A028DF"/>
    <w:rsid w:val="00A034C3"/>
    <w:rsid w:val="00A037B1"/>
    <w:rsid w:val="00A047BD"/>
    <w:rsid w:val="00A05DF6"/>
    <w:rsid w:val="00A07C19"/>
    <w:rsid w:val="00A07CAB"/>
    <w:rsid w:val="00A10A2E"/>
    <w:rsid w:val="00A10B93"/>
    <w:rsid w:val="00A10C5F"/>
    <w:rsid w:val="00A10E58"/>
    <w:rsid w:val="00A11A0E"/>
    <w:rsid w:val="00A1230F"/>
    <w:rsid w:val="00A12895"/>
    <w:rsid w:val="00A12DC3"/>
    <w:rsid w:val="00A13468"/>
    <w:rsid w:val="00A13C06"/>
    <w:rsid w:val="00A13C7A"/>
    <w:rsid w:val="00A145B3"/>
    <w:rsid w:val="00A146BE"/>
    <w:rsid w:val="00A14D2B"/>
    <w:rsid w:val="00A1573F"/>
    <w:rsid w:val="00A16694"/>
    <w:rsid w:val="00A16753"/>
    <w:rsid w:val="00A170BA"/>
    <w:rsid w:val="00A176A2"/>
    <w:rsid w:val="00A17B39"/>
    <w:rsid w:val="00A17C0F"/>
    <w:rsid w:val="00A17D3F"/>
    <w:rsid w:val="00A20400"/>
    <w:rsid w:val="00A2067D"/>
    <w:rsid w:val="00A20E67"/>
    <w:rsid w:val="00A20FA9"/>
    <w:rsid w:val="00A210B2"/>
    <w:rsid w:val="00A2138C"/>
    <w:rsid w:val="00A2159A"/>
    <w:rsid w:val="00A21844"/>
    <w:rsid w:val="00A21B55"/>
    <w:rsid w:val="00A222CC"/>
    <w:rsid w:val="00A22759"/>
    <w:rsid w:val="00A22F46"/>
    <w:rsid w:val="00A22FD8"/>
    <w:rsid w:val="00A23695"/>
    <w:rsid w:val="00A23B1C"/>
    <w:rsid w:val="00A23BA9"/>
    <w:rsid w:val="00A24124"/>
    <w:rsid w:val="00A2431B"/>
    <w:rsid w:val="00A246EB"/>
    <w:rsid w:val="00A24757"/>
    <w:rsid w:val="00A248E3"/>
    <w:rsid w:val="00A250C5"/>
    <w:rsid w:val="00A25208"/>
    <w:rsid w:val="00A25409"/>
    <w:rsid w:val="00A25BC6"/>
    <w:rsid w:val="00A26684"/>
    <w:rsid w:val="00A26A1F"/>
    <w:rsid w:val="00A26A35"/>
    <w:rsid w:val="00A26F4E"/>
    <w:rsid w:val="00A27510"/>
    <w:rsid w:val="00A275C3"/>
    <w:rsid w:val="00A27722"/>
    <w:rsid w:val="00A30013"/>
    <w:rsid w:val="00A30116"/>
    <w:rsid w:val="00A30408"/>
    <w:rsid w:val="00A30859"/>
    <w:rsid w:val="00A30B4E"/>
    <w:rsid w:val="00A31018"/>
    <w:rsid w:val="00A315F2"/>
    <w:rsid w:val="00A31F58"/>
    <w:rsid w:val="00A320C3"/>
    <w:rsid w:val="00A322E2"/>
    <w:rsid w:val="00A32312"/>
    <w:rsid w:val="00A32810"/>
    <w:rsid w:val="00A32A14"/>
    <w:rsid w:val="00A32BE5"/>
    <w:rsid w:val="00A32E75"/>
    <w:rsid w:val="00A32EC3"/>
    <w:rsid w:val="00A337D2"/>
    <w:rsid w:val="00A33F9D"/>
    <w:rsid w:val="00A344D3"/>
    <w:rsid w:val="00A3498C"/>
    <w:rsid w:val="00A34A98"/>
    <w:rsid w:val="00A34B06"/>
    <w:rsid w:val="00A35DCD"/>
    <w:rsid w:val="00A35E68"/>
    <w:rsid w:val="00A3601B"/>
    <w:rsid w:val="00A36602"/>
    <w:rsid w:val="00A36662"/>
    <w:rsid w:val="00A3691F"/>
    <w:rsid w:val="00A36C84"/>
    <w:rsid w:val="00A36D1A"/>
    <w:rsid w:val="00A36F4C"/>
    <w:rsid w:val="00A37804"/>
    <w:rsid w:val="00A400D7"/>
    <w:rsid w:val="00A4073A"/>
    <w:rsid w:val="00A40E85"/>
    <w:rsid w:val="00A4104B"/>
    <w:rsid w:val="00A410A2"/>
    <w:rsid w:val="00A41117"/>
    <w:rsid w:val="00A41217"/>
    <w:rsid w:val="00A41A53"/>
    <w:rsid w:val="00A41CD6"/>
    <w:rsid w:val="00A41E9C"/>
    <w:rsid w:val="00A4268C"/>
    <w:rsid w:val="00A429FC"/>
    <w:rsid w:val="00A42C38"/>
    <w:rsid w:val="00A42EAD"/>
    <w:rsid w:val="00A4314D"/>
    <w:rsid w:val="00A43387"/>
    <w:rsid w:val="00A436E5"/>
    <w:rsid w:val="00A43BB2"/>
    <w:rsid w:val="00A43C0F"/>
    <w:rsid w:val="00A444C2"/>
    <w:rsid w:val="00A4460D"/>
    <w:rsid w:val="00A45B30"/>
    <w:rsid w:val="00A46014"/>
    <w:rsid w:val="00A46A0F"/>
    <w:rsid w:val="00A46D26"/>
    <w:rsid w:val="00A478AC"/>
    <w:rsid w:val="00A504B6"/>
    <w:rsid w:val="00A5090F"/>
    <w:rsid w:val="00A50A83"/>
    <w:rsid w:val="00A511E6"/>
    <w:rsid w:val="00A5137D"/>
    <w:rsid w:val="00A513C7"/>
    <w:rsid w:val="00A52609"/>
    <w:rsid w:val="00A52B1E"/>
    <w:rsid w:val="00A53A5E"/>
    <w:rsid w:val="00A53C32"/>
    <w:rsid w:val="00A53C85"/>
    <w:rsid w:val="00A53CF5"/>
    <w:rsid w:val="00A53E41"/>
    <w:rsid w:val="00A54335"/>
    <w:rsid w:val="00A54EB6"/>
    <w:rsid w:val="00A560F3"/>
    <w:rsid w:val="00A562A1"/>
    <w:rsid w:val="00A5664E"/>
    <w:rsid w:val="00A566D5"/>
    <w:rsid w:val="00A5673E"/>
    <w:rsid w:val="00A5688A"/>
    <w:rsid w:val="00A56B8F"/>
    <w:rsid w:val="00A56DCD"/>
    <w:rsid w:val="00A576DC"/>
    <w:rsid w:val="00A602AA"/>
    <w:rsid w:val="00A6050E"/>
    <w:rsid w:val="00A60A8C"/>
    <w:rsid w:val="00A60D59"/>
    <w:rsid w:val="00A60DD3"/>
    <w:rsid w:val="00A61314"/>
    <w:rsid w:val="00A613AE"/>
    <w:rsid w:val="00A6244D"/>
    <w:rsid w:val="00A624E2"/>
    <w:rsid w:val="00A62D94"/>
    <w:rsid w:val="00A63F18"/>
    <w:rsid w:val="00A64166"/>
    <w:rsid w:val="00A6463D"/>
    <w:rsid w:val="00A65227"/>
    <w:rsid w:val="00A65F1A"/>
    <w:rsid w:val="00A66282"/>
    <w:rsid w:val="00A66294"/>
    <w:rsid w:val="00A665A1"/>
    <w:rsid w:val="00A66880"/>
    <w:rsid w:val="00A66896"/>
    <w:rsid w:val="00A66AD0"/>
    <w:rsid w:val="00A66C58"/>
    <w:rsid w:val="00A66ED7"/>
    <w:rsid w:val="00A66FB0"/>
    <w:rsid w:val="00A670B1"/>
    <w:rsid w:val="00A676F0"/>
    <w:rsid w:val="00A67A73"/>
    <w:rsid w:val="00A70215"/>
    <w:rsid w:val="00A706D1"/>
    <w:rsid w:val="00A70A48"/>
    <w:rsid w:val="00A70D77"/>
    <w:rsid w:val="00A70D9B"/>
    <w:rsid w:val="00A71A20"/>
    <w:rsid w:val="00A71D27"/>
    <w:rsid w:val="00A71E34"/>
    <w:rsid w:val="00A72060"/>
    <w:rsid w:val="00A72C0E"/>
    <w:rsid w:val="00A72E62"/>
    <w:rsid w:val="00A7307C"/>
    <w:rsid w:val="00A73A3A"/>
    <w:rsid w:val="00A73E40"/>
    <w:rsid w:val="00A7453A"/>
    <w:rsid w:val="00A74ACE"/>
    <w:rsid w:val="00A74D7C"/>
    <w:rsid w:val="00A7537D"/>
    <w:rsid w:val="00A754C7"/>
    <w:rsid w:val="00A756D8"/>
    <w:rsid w:val="00A75CB8"/>
    <w:rsid w:val="00A760EF"/>
    <w:rsid w:val="00A76564"/>
    <w:rsid w:val="00A767DC"/>
    <w:rsid w:val="00A76828"/>
    <w:rsid w:val="00A76A72"/>
    <w:rsid w:val="00A76B02"/>
    <w:rsid w:val="00A76C7D"/>
    <w:rsid w:val="00A774B0"/>
    <w:rsid w:val="00A77A1C"/>
    <w:rsid w:val="00A80140"/>
    <w:rsid w:val="00A80E94"/>
    <w:rsid w:val="00A81873"/>
    <w:rsid w:val="00A824F0"/>
    <w:rsid w:val="00A82747"/>
    <w:rsid w:val="00A84DDF"/>
    <w:rsid w:val="00A85D90"/>
    <w:rsid w:val="00A85D92"/>
    <w:rsid w:val="00A860E1"/>
    <w:rsid w:val="00A87C97"/>
    <w:rsid w:val="00A908D0"/>
    <w:rsid w:val="00A90955"/>
    <w:rsid w:val="00A90AF3"/>
    <w:rsid w:val="00A90E7E"/>
    <w:rsid w:val="00A91926"/>
    <w:rsid w:val="00A91E75"/>
    <w:rsid w:val="00A91F86"/>
    <w:rsid w:val="00A926EE"/>
    <w:rsid w:val="00A9316B"/>
    <w:rsid w:val="00A9379E"/>
    <w:rsid w:val="00A94045"/>
    <w:rsid w:val="00A94058"/>
    <w:rsid w:val="00A94117"/>
    <w:rsid w:val="00A94177"/>
    <w:rsid w:val="00A94931"/>
    <w:rsid w:val="00A94A0B"/>
    <w:rsid w:val="00A94ABA"/>
    <w:rsid w:val="00A955A9"/>
    <w:rsid w:val="00A96099"/>
    <w:rsid w:val="00A96DA3"/>
    <w:rsid w:val="00A96FD2"/>
    <w:rsid w:val="00A97082"/>
    <w:rsid w:val="00A97673"/>
    <w:rsid w:val="00AA0182"/>
    <w:rsid w:val="00AA0843"/>
    <w:rsid w:val="00AA0E47"/>
    <w:rsid w:val="00AA0E59"/>
    <w:rsid w:val="00AA12FF"/>
    <w:rsid w:val="00AA2CBD"/>
    <w:rsid w:val="00AA2DC7"/>
    <w:rsid w:val="00AA2EC8"/>
    <w:rsid w:val="00AA3A81"/>
    <w:rsid w:val="00AA419A"/>
    <w:rsid w:val="00AA43CA"/>
    <w:rsid w:val="00AA4EC4"/>
    <w:rsid w:val="00AA51C5"/>
    <w:rsid w:val="00AA5CFA"/>
    <w:rsid w:val="00AA5E72"/>
    <w:rsid w:val="00AA6631"/>
    <w:rsid w:val="00AA698F"/>
    <w:rsid w:val="00AA70D3"/>
    <w:rsid w:val="00AA74D0"/>
    <w:rsid w:val="00AA7685"/>
    <w:rsid w:val="00AA793E"/>
    <w:rsid w:val="00AA7B7E"/>
    <w:rsid w:val="00AA7F11"/>
    <w:rsid w:val="00AA7FB4"/>
    <w:rsid w:val="00AB0915"/>
    <w:rsid w:val="00AB16CB"/>
    <w:rsid w:val="00AB1997"/>
    <w:rsid w:val="00AB1D8B"/>
    <w:rsid w:val="00AB1E8D"/>
    <w:rsid w:val="00AB1EAF"/>
    <w:rsid w:val="00AB2193"/>
    <w:rsid w:val="00AB22F7"/>
    <w:rsid w:val="00AB291A"/>
    <w:rsid w:val="00AB2930"/>
    <w:rsid w:val="00AB2946"/>
    <w:rsid w:val="00AB2E43"/>
    <w:rsid w:val="00AB3415"/>
    <w:rsid w:val="00AB3A8B"/>
    <w:rsid w:val="00AB3BF8"/>
    <w:rsid w:val="00AB414D"/>
    <w:rsid w:val="00AB4ED1"/>
    <w:rsid w:val="00AB505B"/>
    <w:rsid w:val="00AB6526"/>
    <w:rsid w:val="00AB68DE"/>
    <w:rsid w:val="00AB6DE3"/>
    <w:rsid w:val="00AB7000"/>
    <w:rsid w:val="00AB717E"/>
    <w:rsid w:val="00AC0386"/>
    <w:rsid w:val="00AC038E"/>
    <w:rsid w:val="00AC04BA"/>
    <w:rsid w:val="00AC0F0A"/>
    <w:rsid w:val="00AC1FA1"/>
    <w:rsid w:val="00AC23DE"/>
    <w:rsid w:val="00AC26A7"/>
    <w:rsid w:val="00AC34C3"/>
    <w:rsid w:val="00AC36B0"/>
    <w:rsid w:val="00AC38C2"/>
    <w:rsid w:val="00AC38D9"/>
    <w:rsid w:val="00AC3903"/>
    <w:rsid w:val="00AC413B"/>
    <w:rsid w:val="00AC41BA"/>
    <w:rsid w:val="00AC431C"/>
    <w:rsid w:val="00AC4551"/>
    <w:rsid w:val="00AC46FD"/>
    <w:rsid w:val="00AC4984"/>
    <w:rsid w:val="00AC5195"/>
    <w:rsid w:val="00AC554B"/>
    <w:rsid w:val="00AC5AA4"/>
    <w:rsid w:val="00AC5CE1"/>
    <w:rsid w:val="00AC5DAC"/>
    <w:rsid w:val="00AC5E7A"/>
    <w:rsid w:val="00AC6D9A"/>
    <w:rsid w:val="00AC73A6"/>
    <w:rsid w:val="00AC78B2"/>
    <w:rsid w:val="00AD04C5"/>
    <w:rsid w:val="00AD066D"/>
    <w:rsid w:val="00AD06AE"/>
    <w:rsid w:val="00AD0703"/>
    <w:rsid w:val="00AD0D89"/>
    <w:rsid w:val="00AD1971"/>
    <w:rsid w:val="00AD1D26"/>
    <w:rsid w:val="00AD1ED9"/>
    <w:rsid w:val="00AD24C5"/>
    <w:rsid w:val="00AD2905"/>
    <w:rsid w:val="00AD2AB0"/>
    <w:rsid w:val="00AD2DF7"/>
    <w:rsid w:val="00AD363D"/>
    <w:rsid w:val="00AD396A"/>
    <w:rsid w:val="00AD3D13"/>
    <w:rsid w:val="00AD43F7"/>
    <w:rsid w:val="00AD4815"/>
    <w:rsid w:val="00AD5118"/>
    <w:rsid w:val="00AD55C0"/>
    <w:rsid w:val="00AD5DAA"/>
    <w:rsid w:val="00AD5E2E"/>
    <w:rsid w:val="00AD62EC"/>
    <w:rsid w:val="00AD68BB"/>
    <w:rsid w:val="00AD6B0B"/>
    <w:rsid w:val="00AD78B8"/>
    <w:rsid w:val="00AE00E5"/>
    <w:rsid w:val="00AE17F6"/>
    <w:rsid w:val="00AE199D"/>
    <w:rsid w:val="00AE1C14"/>
    <w:rsid w:val="00AE27A7"/>
    <w:rsid w:val="00AE2D41"/>
    <w:rsid w:val="00AE33F4"/>
    <w:rsid w:val="00AE36F1"/>
    <w:rsid w:val="00AE36FE"/>
    <w:rsid w:val="00AE44CF"/>
    <w:rsid w:val="00AE4525"/>
    <w:rsid w:val="00AE4893"/>
    <w:rsid w:val="00AE4FD8"/>
    <w:rsid w:val="00AE513F"/>
    <w:rsid w:val="00AE53C4"/>
    <w:rsid w:val="00AE5CF9"/>
    <w:rsid w:val="00AE5D2E"/>
    <w:rsid w:val="00AE6396"/>
    <w:rsid w:val="00AE65D5"/>
    <w:rsid w:val="00AE6A00"/>
    <w:rsid w:val="00AE6E06"/>
    <w:rsid w:val="00AE7412"/>
    <w:rsid w:val="00AE74C8"/>
    <w:rsid w:val="00AE76E5"/>
    <w:rsid w:val="00AE7B43"/>
    <w:rsid w:val="00AE7E0F"/>
    <w:rsid w:val="00AE7E2F"/>
    <w:rsid w:val="00AF044E"/>
    <w:rsid w:val="00AF076C"/>
    <w:rsid w:val="00AF0BEB"/>
    <w:rsid w:val="00AF12A1"/>
    <w:rsid w:val="00AF12FA"/>
    <w:rsid w:val="00AF1C4B"/>
    <w:rsid w:val="00AF20DA"/>
    <w:rsid w:val="00AF2494"/>
    <w:rsid w:val="00AF345C"/>
    <w:rsid w:val="00AF3E35"/>
    <w:rsid w:val="00AF436B"/>
    <w:rsid w:val="00AF50E1"/>
    <w:rsid w:val="00AF52C1"/>
    <w:rsid w:val="00AF583E"/>
    <w:rsid w:val="00AF59C1"/>
    <w:rsid w:val="00AF6C97"/>
    <w:rsid w:val="00AF7777"/>
    <w:rsid w:val="00B00572"/>
    <w:rsid w:val="00B007E5"/>
    <w:rsid w:val="00B00815"/>
    <w:rsid w:val="00B00889"/>
    <w:rsid w:val="00B01699"/>
    <w:rsid w:val="00B01880"/>
    <w:rsid w:val="00B01CAA"/>
    <w:rsid w:val="00B01F01"/>
    <w:rsid w:val="00B027C3"/>
    <w:rsid w:val="00B02C33"/>
    <w:rsid w:val="00B032B7"/>
    <w:rsid w:val="00B0356B"/>
    <w:rsid w:val="00B03D1B"/>
    <w:rsid w:val="00B04386"/>
    <w:rsid w:val="00B04601"/>
    <w:rsid w:val="00B04A7A"/>
    <w:rsid w:val="00B04C8A"/>
    <w:rsid w:val="00B06084"/>
    <w:rsid w:val="00B0656A"/>
    <w:rsid w:val="00B06686"/>
    <w:rsid w:val="00B066C8"/>
    <w:rsid w:val="00B0674E"/>
    <w:rsid w:val="00B06934"/>
    <w:rsid w:val="00B0714C"/>
    <w:rsid w:val="00B07373"/>
    <w:rsid w:val="00B0797B"/>
    <w:rsid w:val="00B10298"/>
    <w:rsid w:val="00B103B9"/>
    <w:rsid w:val="00B1042C"/>
    <w:rsid w:val="00B109C7"/>
    <w:rsid w:val="00B10D55"/>
    <w:rsid w:val="00B10DD5"/>
    <w:rsid w:val="00B1138A"/>
    <w:rsid w:val="00B11396"/>
    <w:rsid w:val="00B120D7"/>
    <w:rsid w:val="00B12165"/>
    <w:rsid w:val="00B1234E"/>
    <w:rsid w:val="00B12F8B"/>
    <w:rsid w:val="00B13A75"/>
    <w:rsid w:val="00B13E64"/>
    <w:rsid w:val="00B149B0"/>
    <w:rsid w:val="00B1502A"/>
    <w:rsid w:val="00B153F6"/>
    <w:rsid w:val="00B159C7"/>
    <w:rsid w:val="00B15D6E"/>
    <w:rsid w:val="00B1648E"/>
    <w:rsid w:val="00B1656B"/>
    <w:rsid w:val="00B16605"/>
    <w:rsid w:val="00B16866"/>
    <w:rsid w:val="00B17428"/>
    <w:rsid w:val="00B17D91"/>
    <w:rsid w:val="00B17F42"/>
    <w:rsid w:val="00B2023F"/>
    <w:rsid w:val="00B20FB7"/>
    <w:rsid w:val="00B210D9"/>
    <w:rsid w:val="00B21DEC"/>
    <w:rsid w:val="00B22045"/>
    <w:rsid w:val="00B22BA0"/>
    <w:rsid w:val="00B22CE4"/>
    <w:rsid w:val="00B22CF6"/>
    <w:rsid w:val="00B230F5"/>
    <w:rsid w:val="00B233EC"/>
    <w:rsid w:val="00B2394F"/>
    <w:rsid w:val="00B23A75"/>
    <w:rsid w:val="00B2431A"/>
    <w:rsid w:val="00B24A71"/>
    <w:rsid w:val="00B24D9B"/>
    <w:rsid w:val="00B24F75"/>
    <w:rsid w:val="00B25409"/>
    <w:rsid w:val="00B2586E"/>
    <w:rsid w:val="00B25A0A"/>
    <w:rsid w:val="00B262EF"/>
    <w:rsid w:val="00B2674D"/>
    <w:rsid w:val="00B26AA8"/>
    <w:rsid w:val="00B2705F"/>
    <w:rsid w:val="00B27754"/>
    <w:rsid w:val="00B27AC0"/>
    <w:rsid w:val="00B27C30"/>
    <w:rsid w:val="00B300EB"/>
    <w:rsid w:val="00B306F4"/>
    <w:rsid w:val="00B30C74"/>
    <w:rsid w:val="00B30CDE"/>
    <w:rsid w:val="00B30DE5"/>
    <w:rsid w:val="00B3134A"/>
    <w:rsid w:val="00B3144F"/>
    <w:rsid w:val="00B31630"/>
    <w:rsid w:val="00B32203"/>
    <w:rsid w:val="00B3222D"/>
    <w:rsid w:val="00B32287"/>
    <w:rsid w:val="00B339D9"/>
    <w:rsid w:val="00B33BC2"/>
    <w:rsid w:val="00B33E74"/>
    <w:rsid w:val="00B345A4"/>
    <w:rsid w:val="00B3460D"/>
    <w:rsid w:val="00B346BC"/>
    <w:rsid w:val="00B356D1"/>
    <w:rsid w:val="00B35A3D"/>
    <w:rsid w:val="00B35BD8"/>
    <w:rsid w:val="00B35C11"/>
    <w:rsid w:val="00B35CA3"/>
    <w:rsid w:val="00B35E95"/>
    <w:rsid w:val="00B35EB2"/>
    <w:rsid w:val="00B3616F"/>
    <w:rsid w:val="00B371ED"/>
    <w:rsid w:val="00B374EF"/>
    <w:rsid w:val="00B37B6A"/>
    <w:rsid w:val="00B37E2F"/>
    <w:rsid w:val="00B37F6A"/>
    <w:rsid w:val="00B4054D"/>
    <w:rsid w:val="00B40907"/>
    <w:rsid w:val="00B40AFA"/>
    <w:rsid w:val="00B40F52"/>
    <w:rsid w:val="00B41014"/>
    <w:rsid w:val="00B41407"/>
    <w:rsid w:val="00B41584"/>
    <w:rsid w:val="00B417D9"/>
    <w:rsid w:val="00B41E48"/>
    <w:rsid w:val="00B41F75"/>
    <w:rsid w:val="00B42331"/>
    <w:rsid w:val="00B423FC"/>
    <w:rsid w:val="00B42A68"/>
    <w:rsid w:val="00B42B52"/>
    <w:rsid w:val="00B42CB0"/>
    <w:rsid w:val="00B42E66"/>
    <w:rsid w:val="00B43CC1"/>
    <w:rsid w:val="00B44050"/>
    <w:rsid w:val="00B440FF"/>
    <w:rsid w:val="00B44553"/>
    <w:rsid w:val="00B4495E"/>
    <w:rsid w:val="00B44A2D"/>
    <w:rsid w:val="00B44B53"/>
    <w:rsid w:val="00B45B84"/>
    <w:rsid w:val="00B45C47"/>
    <w:rsid w:val="00B45F6F"/>
    <w:rsid w:val="00B46681"/>
    <w:rsid w:val="00B46B0E"/>
    <w:rsid w:val="00B46B43"/>
    <w:rsid w:val="00B46CC9"/>
    <w:rsid w:val="00B47D18"/>
    <w:rsid w:val="00B50790"/>
    <w:rsid w:val="00B50FD1"/>
    <w:rsid w:val="00B51A0F"/>
    <w:rsid w:val="00B51EEA"/>
    <w:rsid w:val="00B52690"/>
    <w:rsid w:val="00B52A0D"/>
    <w:rsid w:val="00B52D21"/>
    <w:rsid w:val="00B52FD6"/>
    <w:rsid w:val="00B5325C"/>
    <w:rsid w:val="00B537C1"/>
    <w:rsid w:val="00B53AAD"/>
    <w:rsid w:val="00B53E13"/>
    <w:rsid w:val="00B53FA4"/>
    <w:rsid w:val="00B54264"/>
    <w:rsid w:val="00B54418"/>
    <w:rsid w:val="00B54F63"/>
    <w:rsid w:val="00B55492"/>
    <w:rsid w:val="00B557C3"/>
    <w:rsid w:val="00B55FF0"/>
    <w:rsid w:val="00B5711F"/>
    <w:rsid w:val="00B57A45"/>
    <w:rsid w:val="00B57B04"/>
    <w:rsid w:val="00B57CF0"/>
    <w:rsid w:val="00B57D7E"/>
    <w:rsid w:val="00B6053B"/>
    <w:rsid w:val="00B6098B"/>
    <w:rsid w:val="00B609B3"/>
    <w:rsid w:val="00B60AC2"/>
    <w:rsid w:val="00B61704"/>
    <w:rsid w:val="00B62CC7"/>
    <w:rsid w:val="00B63399"/>
    <w:rsid w:val="00B64914"/>
    <w:rsid w:val="00B651CE"/>
    <w:rsid w:val="00B663EB"/>
    <w:rsid w:val="00B67037"/>
    <w:rsid w:val="00B67371"/>
    <w:rsid w:val="00B6771C"/>
    <w:rsid w:val="00B70B01"/>
    <w:rsid w:val="00B70C8A"/>
    <w:rsid w:val="00B70D12"/>
    <w:rsid w:val="00B71651"/>
    <w:rsid w:val="00B71776"/>
    <w:rsid w:val="00B718BB"/>
    <w:rsid w:val="00B7206D"/>
    <w:rsid w:val="00B72104"/>
    <w:rsid w:val="00B7224B"/>
    <w:rsid w:val="00B72989"/>
    <w:rsid w:val="00B73168"/>
    <w:rsid w:val="00B7493D"/>
    <w:rsid w:val="00B74E96"/>
    <w:rsid w:val="00B75438"/>
    <w:rsid w:val="00B75FC1"/>
    <w:rsid w:val="00B761DE"/>
    <w:rsid w:val="00B76EF6"/>
    <w:rsid w:val="00B76FEC"/>
    <w:rsid w:val="00B779C0"/>
    <w:rsid w:val="00B77B7E"/>
    <w:rsid w:val="00B809EF"/>
    <w:rsid w:val="00B81548"/>
    <w:rsid w:val="00B81A23"/>
    <w:rsid w:val="00B81D99"/>
    <w:rsid w:val="00B8301A"/>
    <w:rsid w:val="00B83138"/>
    <w:rsid w:val="00B83533"/>
    <w:rsid w:val="00B83EA8"/>
    <w:rsid w:val="00B8485D"/>
    <w:rsid w:val="00B84B22"/>
    <w:rsid w:val="00B84EF7"/>
    <w:rsid w:val="00B85140"/>
    <w:rsid w:val="00B85403"/>
    <w:rsid w:val="00B857C1"/>
    <w:rsid w:val="00B85912"/>
    <w:rsid w:val="00B859B1"/>
    <w:rsid w:val="00B85D65"/>
    <w:rsid w:val="00B860FB"/>
    <w:rsid w:val="00B86287"/>
    <w:rsid w:val="00B86438"/>
    <w:rsid w:val="00B8647B"/>
    <w:rsid w:val="00B86891"/>
    <w:rsid w:val="00B8767F"/>
    <w:rsid w:val="00B87AF2"/>
    <w:rsid w:val="00B903FF"/>
    <w:rsid w:val="00B918FD"/>
    <w:rsid w:val="00B921EA"/>
    <w:rsid w:val="00B9274A"/>
    <w:rsid w:val="00B92B83"/>
    <w:rsid w:val="00B931A0"/>
    <w:rsid w:val="00B933DD"/>
    <w:rsid w:val="00B93902"/>
    <w:rsid w:val="00B93C7E"/>
    <w:rsid w:val="00B945DB"/>
    <w:rsid w:val="00B946D6"/>
    <w:rsid w:val="00B9498F"/>
    <w:rsid w:val="00B949A8"/>
    <w:rsid w:val="00B94B9E"/>
    <w:rsid w:val="00B94C98"/>
    <w:rsid w:val="00B96525"/>
    <w:rsid w:val="00B9659B"/>
    <w:rsid w:val="00B966DC"/>
    <w:rsid w:val="00B96807"/>
    <w:rsid w:val="00B96889"/>
    <w:rsid w:val="00B96A6F"/>
    <w:rsid w:val="00B96E87"/>
    <w:rsid w:val="00B96FD3"/>
    <w:rsid w:val="00B97136"/>
    <w:rsid w:val="00B971F7"/>
    <w:rsid w:val="00B977C8"/>
    <w:rsid w:val="00B97B41"/>
    <w:rsid w:val="00B97D67"/>
    <w:rsid w:val="00B97FE5"/>
    <w:rsid w:val="00BA05D9"/>
    <w:rsid w:val="00BA0DE4"/>
    <w:rsid w:val="00BA170A"/>
    <w:rsid w:val="00BA25C3"/>
    <w:rsid w:val="00BA2AAF"/>
    <w:rsid w:val="00BA30FA"/>
    <w:rsid w:val="00BA3619"/>
    <w:rsid w:val="00BA3D57"/>
    <w:rsid w:val="00BA406D"/>
    <w:rsid w:val="00BA44E5"/>
    <w:rsid w:val="00BA5635"/>
    <w:rsid w:val="00BA5900"/>
    <w:rsid w:val="00BA6A0E"/>
    <w:rsid w:val="00BA78E0"/>
    <w:rsid w:val="00BB0820"/>
    <w:rsid w:val="00BB08D8"/>
    <w:rsid w:val="00BB1142"/>
    <w:rsid w:val="00BB1843"/>
    <w:rsid w:val="00BB1849"/>
    <w:rsid w:val="00BB1C61"/>
    <w:rsid w:val="00BB2809"/>
    <w:rsid w:val="00BB2CCA"/>
    <w:rsid w:val="00BB36D2"/>
    <w:rsid w:val="00BB3766"/>
    <w:rsid w:val="00BB3828"/>
    <w:rsid w:val="00BB3A9E"/>
    <w:rsid w:val="00BB433E"/>
    <w:rsid w:val="00BB442E"/>
    <w:rsid w:val="00BB45AD"/>
    <w:rsid w:val="00BB4792"/>
    <w:rsid w:val="00BB4B5E"/>
    <w:rsid w:val="00BB5194"/>
    <w:rsid w:val="00BB5531"/>
    <w:rsid w:val="00BB59FF"/>
    <w:rsid w:val="00BB5B9D"/>
    <w:rsid w:val="00BB5EB2"/>
    <w:rsid w:val="00BB6086"/>
    <w:rsid w:val="00BB680A"/>
    <w:rsid w:val="00BB697A"/>
    <w:rsid w:val="00BB6D96"/>
    <w:rsid w:val="00BB70A5"/>
    <w:rsid w:val="00BB7586"/>
    <w:rsid w:val="00BB7747"/>
    <w:rsid w:val="00BB77E6"/>
    <w:rsid w:val="00BB7A3E"/>
    <w:rsid w:val="00BB7B81"/>
    <w:rsid w:val="00BC03E8"/>
    <w:rsid w:val="00BC0598"/>
    <w:rsid w:val="00BC0A5A"/>
    <w:rsid w:val="00BC0C48"/>
    <w:rsid w:val="00BC10E1"/>
    <w:rsid w:val="00BC1B74"/>
    <w:rsid w:val="00BC1F98"/>
    <w:rsid w:val="00BC235C"/>
    <w:rsid w:val="00BC2770"/>
    <w:rsid w:val="00BC2B90"/>
    <w:rsid w:val="00BC2CC6"/>
    <w:rsid w:val="00BC2D38"/>
    <w:rsid w:val="00BC2E6B"/>
    <w:rsid w:val="00BC3138"/>
    <w:rsid w:val="00BC3F58"/>
    <w:rsid w:val="00BC3F8E"/>
    <w:rsid w:val="00BC4440"/>
    <w:rsid w:val="00BC4545"/>
    <w:rsid w:val="00BC4836"/>
    <w:rsid w:val="00BC59B3"/>
    <w:rsid w:val="00BC5A5F"/>
    <w:rsid w:val="00BC62A2"/>
    <w:rsid w:val="00BC6674"/>
    <w:rsid w:val="00BC68F1"/>
    <w:rsid w:val="00BC6EB1"/>
    <w:rsid w:val="00BC6F42"/>
    <w:rsid w:val="00BC7645"/>
    <w:rsid w:val="00BC790D"/>
    <w:rsid w:val="00BC7E25"/>
    <w:rsid w:val="00BD0228"/>
    <w:rsid w:val="00BD0293"/>
    <w:rsid w:val="00BD098B"/>
    <w:rsid w:val="00BD0B8A"/>
    <w:rsid w:val="00BD12E4"/>
    <w:rsid w:val="00BD1687"/>
    <w:rsid w:val="00BD1C87"/>
    <w:rsid w:val="00BD2172"/>
    <w:rsid w:val="00BD3895"/>
    <w:rsid w:val="00BD3CFF"/>
    <w:rsid w:val="00BD4473"/>
    <w:rsid w:val="00BD4611"/>
    <w:rsid w:val="00BD4A76"/>
    <w:rsid w:val="00BD4B8E"/>
    <w:rsid w:val="00BD50C2"/>
    <w:rsid w:val="00BD53FE"/>
    <w:rsid w:val="00BD553A"/>
    <w:rsid w:val="00BD55A0"/>
    <w:rsid w:val="00BD56C4"/>
    <w:rsid w:val="00BD59CB"/>
    <w:rsid w:val="00BD5B1A"/>
    <w:rsid w:val="00BD6879"/>
    <w:rsid w:val="00BD6C62"/>
    <w:rsid w:val="00BD72EB"/>
    <w:rsid w:val="00BD7636"/>
    <w:rsid w:val="00BD7D6B"/>
    <w:rsid w:val="00BD7F4B"/>
    <w:rsid w:val="00BE008E"/>
    <w:rsid w:val="00BE0342"/>
    <w:rsid w:val="00BE0750"/>
    <w:rsid w:val="00BE07A5"/>
    <w:rsid w:val="00BE085F"/>
    <w:rsid w:val="00BE0AC3"/>
    <w:rsid w:val="00BE0EDE"/>
    <w:rsid w:val="00BE10D5"/>
    <w:rsid w:val="00BE14CF"/>
    <w:rsid w:val="00BE1DE3"/>
    <w:rsid w:val="00BE21C6"/>
    <w:rsid w:val="00BE2490"/>
    <w:rsid w:val="00BE2518"/>
    <w:rsid w:val="00BE2579"/>
    <w:rsid w:val="00BE26A7"/>
    <w:rsid w:val="00BE2C6B"/>
    <w:rsid w:val="00BE32E3"/>
    <w:rsid w:val="00BE32F3"/>
    <w:rsid w:val="00BE3B1C"/>
    <w:rsid w:val="00BE3F3B"/>
    <w:rsid w:val="00BE4522"/>
    <w:rsid w:val="00BE52E4"/>
    <w:rsid w:val="00BE5370"/>
    <w:rsid w:val="00BE5985"/>
    <w:rsid w:val="00BE612B"/>
    <w:rsid w:val="00BE6ED0"/>
    <w:rsid w:val="00BE75FE"/>
    <w:rsid w:val="00BE767A"/>
    <w:rsid w:val="00BE7FD1"/>
    <w:rsid w:val="00BF0136"/>
    <w:rsid w:val="00BF0631"/>
    <w:rsid w:val="00BF0877"/>
    <w:rsid w:val="00BF08A9"/>
    <w:rsid w:val="00BF0F73"/>
    <w:rsid w:val="00BF1216"/>
    <w:rsid w:val="00BF15AB"/>
    <w:rsid w:val="00BF2013"/>
    <w:rsid w:val="00BF2899"/>
    <w:rsid w:val="00BF297F"/>
    <w:rsid w:val="00BF2B9F"/>
    <w:rsid w:val="00BF2EC4"/>
    <w:rsid w:val="00BF30CF"/>
    <w:rsid w:val="00BF3436"/>
    <w:rsid w:val="00BF36A8"/>
    <w:rsid w:val="00BF3EDF"/>
    <w:rsid w:val="00BF44DD"/>
    <w:rsid w:val="00BF46AD"/>
    <w:rsid w:val="00BF4736"/>
    <w:rsid w:val="00BF4876"/>
    <w:rsid w:val="00BF4A12"/>
    <w:rsid w:val="00BF4DA2"/>
    <w:rsid w:val="00BF4EAA"/>
    <w:rsid w:val="00BF534F"/>
    <w:rsid w:val="00BF5732"/>
    <w:rsid w:val="00BF5D27"/>
    <w:rsid w:val="00BF60A4"/>
    <w:rsid w:val="00BF64C1"/>
    <w:rsid w:val="00BF64CF"/>
    <w:rsid w:val="00BF6586"/>
    <w:rsid w:val="00BF6853"/>
    <w:rsid w:val="00BF687B"/>
    <w:rsid w:val="00BF7C28"/>
    <w:rsid w:val="00BF7F72"/>
    <w:rsid w:val="00C001D1"/>
    <w:rsid w:val="00C0084E"/>
    <w:rsid w:val="00C00ADD"/>
    <w:rsid w:val="00C00E80"/>
    <w:rsid w:val="00C010CF"/>
    <w:rsid w:val="00C0139F"/>
    <w:rsid w:val="00C02727"/>
    <w:rsid w:val="00C02894"/>
    <w:rsid w:val="00C03158"/>
    <w:rsid w:val="00C0349E"/>
    <w:rsid w:val="00C03610"/>
    <w:rsid w:val="00C03C74"/>
    <w:rsid w:val="00C046BE"/>
    <w:rsid w:val="00C04BEA"/>
    <w:rsid w:val="00C04E46"/>
    <w:rsid w:val="00C06C3F"/>
    <w:rsid w:val="00C0795B"/>
    <w:rsid w:val="00C10696"/>
    <w:rsid w:val="00C10B71"/>
    <w:rsid w:val="00C10E0E"/>
    <w:rsid w:val="00C11035"/>
    <w:rsid w:val="00C1194F"/>
    <w:rsid w:val="00C11C07"/>
    <w:rsid w:val="00C12D9C"/>
    <w:rsid w:val="00C132A8"/>
    <w:rsid w:val="00C1339A"/>
    <w:rsid w:val="00C141D6"/>
    <w:rsid w:val="00C143E2"/>
    <w:rsid w:val="00C14412"/>
    <w:rsid w:val="00C144A7"/>
    <w:rsid w:val="00C1496A"/>
    <w:rsid w:val="00C152BD"/>
    <w:rsid w:val="00C164AF"/>
    <w:rsid w:val="00C164B3"/>
    <w:rsid w:val="00C16B08"/>
    <w:rsid w:val="00C16D12"/>
    <w:rsid w:val="00C176BD"/>
    <w:rsid w:val="00C17C46"/>
    <w:rsid w:val="00C17FD2"/>
    <w:rsid w:val="00C206B0"/>
    <w:rsid w:val="00C21E1E"/>
    <w:rsid w:val="00C22294"/>
    <w:rsid w:val="00C222C0"/>
    <w:rsid w:val="00C2245D"/>
    <w:rsid w:val="00C229C1"/>
    <w:rsid w:val="00C23533"/>
    <w:rsid w:val="00C238D7"/>
    <w:rsid w:val="00C2390B"/>
    <w:rsid w:val="00C23E41"/>
    <w:rsid w:val="00C244E4"/>
    <w:rsid w:val="00C2495A"/>
    <w:rsid w:val="00C24AEB"/>
    <w:rsid w:val="00C24D25"/>
    <w:rsid w:val="00C25785"/>
    <w:rsid w:val="00C26343"/>
    <w:rsid w:val="00C273C4"/>
    <w:rsid w:val="00C27528"/>
    <w:rsid w:val="00C27B25"/>
    <w:rsid w:val="00C27B5C"/>
    <w:rsid w:val="00C27B8D"/>
    <w:rsid w:val="00C27E36"/>
    <w:rsid w:val="00C3039A"/>
    <w:rsid w:val="00C30B95"/>
    <w:rsid w:val="00C30CF5"/>
    <w:rsid w:val="00C31440"/>
    <w:rsid w:val="00C3154F"/>
    <w:rsid w:val="00C318D3"/>
    <w:rsid w:val="00C323FB"/>
    <w:rsid w:val="00C329BC"/>
    <w:rsid w:val="00C329CC"/>
    <w:rsid w:val="00C3338A"/>
    <w:rsid w:val="00C33B02"/>
    <w:rsid w:val="00C33B2A"/>
    <w:rsid w:val="00C33B4A"/>
    <w:rsid w:val="00C34773"/>
    <w:rsid w:val="00C34BCE"/>
    <w:rsid w:val="00C35FB9"/>
    <w:rsid w:val="00C3600C"/>
    <w:rsid w:val="00C36064"/>
    <w:rsid w:val="00C367BA"/>
    <w:rsid w:val="00C36C0A"/>
    <w:rsid w:val="00C370F2"/>
    <w:rsid w:val="00C37286"/>
    <w:rsid w:val="00C37565"/>
    <w:rsid w:val="00C40001"/>
    <w:rsid w:val="00C4002B"/>
    <w:rsid w:val="00C412C0"/>
    <w:rsid w:val="00C42880"/>
    <w:rsid w:val="00C42DAF"/>
    <w:rsid w:val="00C42E68"/>
    <w:rsid w:val="00C43377"/>
    <w:rsid w:val="00C435F5"/>
    <w:rsid w:val="00C43B9D"/>
    <w:rsid w:val="00C43DFC"/>
    <w:rsid w:val="00C44262"/>
    <w:rsid w:val="00C4461B"/>
    <w:rsid w:val="00C44742"/>
    <w:rsid w:val="00C44757"/>
    <w:rsid w:val="00C45587"/>
    <w:rsid w:val="00C45795"/>
    <w:rsid w:val="00C45DD9"/>
    <w:rsid w:val="00C45EB8"/>
    <w:rsid w:val="00C45EDB"/>
    <w:rsid w:val="00C466B2"/>
    <w:rsid w:val="00C475F1"/>
    <w:rsid w:val="00C478F4"/>
    <w:rsid w:val="00C508DD"/>
    <w:rsid w:val="00C50AE2"/>
    <w:rsid w:val="00C50B49"/>
    <w:rsid w:val="00C51375"/>
    <w:rsid w:val="00C51403"/>
    <w:rsid w:val="00C51409"/>
    <w:rsid w:val="00C51511"/>
    <w:rsid w:val="00C51606"/>
    <w:rsid w:val="00C51693"/>
    <w:rsid w:val="00C5180C"/>
    <w:rsid w:val="00C51D1F"/>
    <w:rsid w:val="00C5208C"/>
    <w:rsid w:val="00C52411"/>
    <w:rsid w:val="00C52F47"/>
    <w:rsid w:val="00C53DA6"/>
    <w:rsid w:val="00C5467C"/>
    <w:rsid w:val="00C54705"/>
    <w:rsid w:val="00C553A6"/>
    <w:rsid w:val="00C555AB"/>
    <w:rsid w:val="00C55B26"/>
    <w:rsid w:val="00C56FE5"/>
    <w:rsid w:val="00C574D9"/>
    <w:rsid w:val="00C57755"/>
    <w:rsid w:val="00C601BC"/>
    <w:rsid w:val="00C60C97"/>
    <w:rsid w:val="00C632B2"/>
    <w:rsid w:val="00C6363D"/>
    <w:rsid w:val="00C63F02"/>
    <w:rsid w:val="00C6448B"/>
    <w:rsid w:val="00C64B44"/>
    <w:rsid w:val="00C64E30"/>
    <w:rsid w:val="00C64F26"/>
    <w:rsid w:val="00C655A1"/>
    <w:rsid w:val="00C6579F"/>
    <w:rsid w:val="00C65843"/>
    <w:rsid w:val="00C65AFE"/>
    <w:rsid w:val="00C65EAE"/>
    <w:rsid w:val="00C663E8"/>
    <w:rsid w:val="00C66430"/>
    <w:rsid w:val="00C67B7E"/>
    <w:rsid w:val="00C67D5A"/>
    <w:rsid w:val="00C70764"/>
    <w:rsid w:val="00C70AE0"/>
    <w:rsid w:val="00C70BF3"/>
    <w:rsid w:val="00C70CD6"/>
    <w:rsid w:val="00C70D94"/>
    <w:rsid w:val="00C71A70"/>
    <w:rsid w:val="00C71B44"/>
    <w:rsid w:val="00C71B97"/>
    <w:rsid w:val="00C71C37"/>
    <w:rsid w:val="00C71D0C"/>
    <w:rsid w:val="00C71ED8"/>
    <w:rsid w:val="00C72694"/>
    <w:rsid w:val="00C727C0"/>
    <w:rsid w:val="00C7424D"/>
    <w:rsid w:val="00C742EC"/>
    <w:rsid w:val="00C745B9"/>
    <w:rsid w:val="00C747C4"/>
    <w:rsid w:val="00C751D6"/>
    <w:rsid w:val="00C75322"/>
    <w:rsid w:val="00C754AF"/>
    <w:rsid w:val="00C75630"/>
    <w:rsid w:val="00C75A6C"/>
    <w:rsid w:val="00C762BF"/>
    <w:rsid w:val="00C76A4C"/>
    <w:rsid w:val="00C7757D"/>
    <w:rsid w:val="00C8034A"/>
    <w:rsid w:val="00C80635"/>
    <w:rsid w:val="00C8071D"/>
    <w:rsid w:val="00C8250B"/>
    <w:rsid w:val="00C829CC"/>
    <w:rsid w:val="00C82F60"/>
    <w:rsid w:val="00C8324D"/>
    <w:rsid w:val="00C833F8"/>
    <w:rsid w:val="00C83655"/>
    <w:rsid w:val="00C837A5"/>
    <w:rsid w:val="00C83C65"/>
    <w:rsid w:val="00C84118"/>
    <w:rsid w:val="00C842BF"/>
    <w:rsid w:val="00C874BF"/>
    <w:rsid w:val="00C875AE"/>
    <w:rsid w:val="00C87737"/>
    <w:rsid w:val="00C87867"/>
    <w:rsid w:val="00C879B6"/>
    <w:rsid w:val="00C87F16"/>
    <w:rsid w:val="00C90206"/>
    <w:rsid w:val="00C91D2B"/>
    <w:rsid w:val="00C91E75"/>
    <w:rsid w:val="00C9231A"/>
    <w:rsid w:val="00C9263B"/>
    <w:rsid w:val="00C93271"/>
    <w:rsid w:val="00C9356F"/>
    <w:rsid w:val="00C93A61"/>
    <w:rsid w:val="00C93CB5"/>
    <w:rsid w:val="00C94463"/>
    <w:rsid w:val="00C94A9A"/>
    <w:rsid w:val="00C9594C"/>
    <w:rsid w:val="00C95BA4"/>
    <w:rsid w:val="00C95C84"/>
    <w:rsid w:val="00C95E0F"/>
    <w:rsid w:val="00C971FB"/>
    <w:rsid w:val="00C9771E"/>
    <w:rsid w:val="00C97A44"/>
    <w:rsid w:val="00CA06A2"/>
    <w:rsid w:val="00CA06B9"/>
    <w:rsid w:val="00CA0AAD"/>
    <w:rsid w:val="00CA10DB"/>
    <w:rsid w:val="00CA12DA"/>
    <w:rsid w:val="00CA1BF0"/>
    <w:rsid w:val="00CA1DC3"/>
    <w:rsid w:val="00CA1F75"/>
    <w:rsid w:val="00CA215D"/>
    <w:rsid w:val="00CA235E"/>
    <w:rsid w:val="00CA27C1"/>
    <w:rsid w:val="00CA2C49"/>
    <w:rsid w:val="00CA2F85"/>
    <w:rsid w:val="00CA37C6"/>
    <w:rsid w:val="00CA38E6"/>
    <w:rsid w:val="00CA4B20"/>
    <w:rsid w:val="00CA4B4D"/>
    <w:rsid w:val="00CA4F26"/>
    <w:rsid w:val="00CA4F71"/>
    <w:rsid w:val="00CA50F3"/>
    <w:rsid w:val="00CA515A"/>
    <w:rsid w:val="00CA564A"/>
    <w:rsid w:val="00CA6470"/>
    <w:rsid w:val="00CA6C44"/>
    <w:rsid w:val="00CA7411"/>
    <w:rsid w:val="00CA785C"/>
    <w:rsid w:val="00CA7BE1"/>
    <w:rsid w:val="00CA7C20"/>
    <w:rsid w:val="00CB04B5"/>
    <w:rsid w:val="00CB098B"/>
    <w:rsid w:val="00CB179B"/>
    <w:rsid w:val="00CB220C"/>
    <w:rsid w:val="00CB24CF"/>
    <w:rsid w:val="00CB263A"/>
    <w:rsid w:val="00CB2AA1"/>
    <w:rsid w:val="00CB2CC7"/>
    <w:rsid w:val="00CB33D8"/>
    <w:rsid w:val="00CB3818"/>
    <w:rsid w:val="00CB38E5"/>
    <w:rsid w:val="00CB3B4F"/>
    <w:rsid w:val="00CB4A6D"/>
    <w:rsid w:val="00CB4D0C"/>
    <w:rsid w:val="00CB5144"/>
    <w:rsid w:val="00CB51BD"/>
    <w:rsid w:val="00CB5262"/>
    <w:rsid w:val="00CB5888"/>
    <w:rsid w:val="00CB5BD8"/>
    <w:rsid w:val="00CB5F1A"/>
    <w:rsid w:val="00CB67B3"/>
    <w:rsid w:val="00CB6F32"/>
    <w:rsid w:val="00CB759A"/>
    <w:rsid w:val="00CB7821"/>
    <w:rsid w:val="00CB7B2B"/>
    <w:rsid w:val="00CC01BF"/>
    <w:rsid w:val="00CC02C2"/>
    <w:rsid w:val="00CC0E16"/>
    <w:rsid w:val="00CC12C3"/>
    <w:rsid w:val="00CC1A8A"/>
    <w:rsid w:val="00CC2012"/>
    <w:rsid w:val="00CC244C"/>
    <w:rsid w:val="00CC2751"/>
    <w:rsid w:val="00CC2795"/>
    <w:rsid w:val="00CC2914"/>
    <w:rsid w:val="00CC2CDE"/>
    <w:rsid w:val="00CC3FBF"/>
    <w:rsid w:val="00CC450F"/>
    <w:rsid w:val="00CC470F"/>
    <w:rsid w:val="00CC49CF"/>
    <w:rsid w:val="00CC4B75"/>
    <w:rsid w:val="00CC4C68"/>
    <w:rsid w:val="00CC4E6F"/>
    <w:rsid w:val="00CC4F4D"/>
    <w:rsid w:val="00CC4FCD"/>
    <w:rsid w:val="00CC5614"/>
    <w:rsid w:val="00CC5935"/>
    <w:rsid w:val="00CC60DF"/>
    <w:rsid w:val="00CC6370"/>
    <w:rsid w:val="00CC6B4D"/>
    <w:rsid w:val="00CD0522"/>
    <w:rsid w:val="00CD0589"/>
    <w:rsid w:val="00CD0A73"/>
    <w:rsid w:val="00CD0AE4"/>
    <w:rsid w:val="00CD11C5"/>
    <w:rsid w:val="00CD14E4"/>
    <w:rsid w:val="00CD158F"/>
    <w:rsid w:val="00CD15E4"/>
    <w:rsid w:val="00CD17E2"/>
    <w:rsid w:val="00CD1AAE"/>
    <w:rsid w:val="00CD1BA6"/>
    <w:rsid w:val="00CD2222"/>
    <w:rsid w:val="00CD25E8"/>
    <w:rsid w:val="00CD26F9"/>
    <w:rsid w:val="00CD3504"/>
    <w:rsid w:val="00CD38C1"/>
    <w:rsid w:val="00CD393B"/>
    <w:rsid w:val="00CD3B82"/>
    <w:rsid w:val="00CD4560"/>
    <w:rsid w:val="00CD4D43"/>
    <w:rsid w:val="00CD531C"/>
    <w:rsid w:val="00CD557B"/>
    <w:rsid w:val="00CD5B26"/>
    <w:rsid w:val="00CD5C4B"/>
    <w:rsid w:val="00CD5E65"/>
    <w:rsid w:val="00CD6FB0"/>
    <w:rsid w:val="00CD751F"/>
    <w:rsid w:val="00CD785F"/>
    <w:rsid w:val="00CD7B06"/>
    <w:rsid w:val="00CE07CF"/>
    <w:rsid w:val="00CE0D06"/>
    <w:rsid w:val="00CE0DEA"/>
    <w:rsid w:val="00CE0E2B"/>
    <w:rsid w:val="00CE14ED"/>
    <w:rsid w:val="00CE15A0"/>
    <w:rsid w:val="00CE1746"/>
    <w:rsid w:val="00CE181B"/>
    <w:rsid w:val="00CE1AB2"/>
    <w:rsid w:val="00CE1BAE"/>
    <w:rsid w:val="00CE25CB"/>
    <w:rsid w:val="00CE2902"/>
    <w:rsid w:val="00CE2C65"/>
    <w:rsid w:val="00CE2CCA"/>
    <w:rsid w:val="00CE3823"/>
    <w:rsid w:val="00CE4BC2"/>
    <w:rsid w:val="00CE5181"/>
    <w:rsid w:val="00CE5202"/>
    <w:rsid w:val="00CE5210"/>
    <w:rsid w:val="00CE5940"/>
    <w:rsid w:val="00CE5B22"/>
    <w:rsid w:val="00CE62E3"/>
    <w:rsid w:val="00CE65F6"/>
    <w:rsid w:val="00CE6844"/>
    <w:rsid w:val="00CE6B57"/>
    <w:rsid w:val="00CE71B3"/>
    <w:rsid w:val="00CE7732"/>
    <w:rsid w:val="00CE7C88"/>
    <w:rsid w:val="00CF0394"/>
    <w:rsid w:val="00CF0CD2"/>
    <w:rsid w:val="00CF0E15"/>
    <w:rsid w:val="00CF1DD0"/>
    <w:rsid w:val="00CF1FCA"/>
    <w:rsid w:val="00CF282B"/>
    <w:rsid w:val="00CF28BB"/>
    <w:rsid w:val="00CF2FA3"/>
    <w:rsid w:val="00CF3489"/>
    <w:rsid w:val="00CF3A2C"/>
    <w:rsid w:val="00CF4922"/>
    <w:rsid w:val="00CF4B75"/>
    <w:rsid w:val="00CF546C"/>
    <w:rsid w:val="00CF55E6"/>
    <w:rsid w:val="00CF5C77"/>
    <w:rsid w:val="00CF6476"/>
    <w:rsid w:val="00CF683F"/>
    <w:rsid w:val="00CF69A4"/>
    <w:rsid w:val="00CF6C4B"/>
    <w:rsid w:val="00CF6CE6"/>
    <w:rsid w:val="00CF6F71"/>
    <w:rsid w:val="00CF714C"/>
    <w:rsid w:val="00CF7499"/>
    <w:rsid w:val="00CF74D6"/>
    <w:rsid w:val="00CF7661"/>
    <w:rsid w:val="00CF7AEA"/>
    <w:rsid w:val="00CF7C1E"/>
    <w:rsid w:val="00CF7D01"/>
    <w:rsid w:val="00D001C4"/>
    <w:rsid w:val="00D007AA"/>
    <w:rsid w:val="00D0095B"/>
    <w:rsid w:val="00D0124D"/>
    <w:rsid w:val="00D014E9"/>
    <w:rsid w:val="00D018B8"/>
    <w:rsid w:val="00D01922"/>
    <w:rsid w:val="00D01E80"/>
    <w:rsid w:val="00D01FAA"/>
    <w:rsid w:val="00D0210F"/>
    <w:rsid w:val="00D02982"/>
    <w:rsid w:val="00D02C6A"/>
    <w:rsid w:val="00D0316B"/>
    <w:rsid w:val="00D038CB"/>
    <w:rsid w:val="00D03A81"/>
    <w:rsid w:val="00D03A88"/>
    <w:rsid w:val="00D03EC7"/>
    <w:rsid w:val="00D03EE0"/>
    <w:rsid w:val="00D043A7"/>
    <w:rsid w:val="00D052A1"/>
    <w:rsid w:val="00D0591B"/>
    <w:rsid w:val="00D0594F"/>
    <w:rsid w:val="00D062A6"/>
    <w:rsid w:val="00D07081"/>
    <w:rsid w:val="00D070C7"/>
    <w:rsid w:val="00D0715A"/>
    <w:rsid w:val="00D074C2"/>
    <w:rsid w:val="00D07784"/>
    <w:rsid w:val="00D0787E"/>
    <w:rsid w:val="00D104A1"/>
    <w:rsid w:val="00D10522"/>
    <w:rsid w:val="00D1098A"/>
    <w:rsid w:val="00D10B66"/>
    <w:rsid w:val="00D10C8B"/>
    <w:rsid w:val="00D11282"/>
    <w:rsid w:val="00D11BE4"/>
    <w:rsid w:val="00D11EEA"/>
    <w:rsid w:val="00D12C91"/>
    <w:rsid w:val="00D132F2"/>
    <w:rsid w:val="00D136A2"/>
    <w:rsid w:val="00D13875"/>
    <w:rsid w:val="00D13FA4"/>
    <w:rsid w:val="00D140C2"/>
    <w:rsid w:val="00D1423E"/>
    <w:rsid w:val="00D1473F"/>
    <w:rsid w:val="00D147E8"/>
    <w:rsid w:val="00D154E7"/>
    <w:rsid w:val="00D15674"/>
    <w:rsid w:val="00D16697"/>
    <w:rsid w:val="00D166AF"/>
    <w:rsid w:val="00D16E0B"/>
    <w:rsid w:val="00D16F23"/>
    <w:rsid w:val="00D16FD1"/>
    <w:rsid w:val="00D172A6"/>
    <w:rsid w:val="00D17AC3"/>
    <w:rsid w:val="00D17C39"/>
    <w:rsid w:val="00D17D2E"/>
    <w:rsid w:val="00D17FE8"/>
    <w:rsid w:val="00D20073"/>
    <w:rsid w:val="00D202B7"/>
    <w:rsid w:val="00D20443"/>
    <w:rsid w:val="00D209A9"/>
    <w:rsid w:val="00D20C58"/>
    <w:rsid w:val="00D212F9"/>
    <w:rsid w:val="00D214EC"/>
    <w:rsid w:val="00D21598"/>
    <w:rsid w:val="00D21A3A"/>
    <w:rsid w:val="00D21D93"/>
    <w:rsid w:val="00D23082"/>
    <w:rsid w:val="00D2367A"/>
    <w:rsid w:val="00D237B5"/>
    <w:rsid w:val="00D23DE8"/>
    <w:rsid w:val="00D24A20"/>
    <w:rsid w:val="00D24DE5"/>
    <w:rsid w:val="00D24F1F"/>
    <w:rsid w:val="00D24FCD"/>
    <w:rsid w:val="00D2504D"/>
    <w:rsid w:val="00D253D4"/>
    <w:rsid w:val="00D25693"/>
    <w:rsid w:val="00D257F9"/>
    <w:rsid w:val="00D260F9"/>
    <w:rsid w:val="00D26542"/>
    <w:rsid w:val="00D272D5"/>
    <w:rsid w:val="00D2755C"/>
    <w:rsid w:val="00D27CED"/>
    <w:rsid w:val="00D3051A"/>
    <w:rsid w:val="00D30AFD"/>
    <w:rsid w:val="00D30DBF"/>
    <w:rsid w:val="00D31170"/>
    <w:rsid w:val="00D31CCE"/>
    <w:rsid w:val="00D321F7"/>
    <w:rsid w:val="00D3277E"/>
    <w:rsid w:val="00D32EAA"/>
    <w:rsid w:val="00D33077"/>
    <w:rsid w:val="00D331F1"/>
    <w:rsid w:val="00D336FB"/>
    <w:rsid w:val="00D338B0"/>
    <w:rsid w:val="00D339DB"/>
    <w:rsid w:val="00D36034"/>
    <w:rsid w:val="00D366C7"/>
    <w:rsid w:val="00D36CC2"/>
    <w:rsid w:val="00D36E7A"/>
    <w:rsid w:val="00D36F5B"/>
    <w:rsid w:val="00D37383"/>
    <w:rsid w:val="00D37AC8"/>
    <w:rsid w:val="00D401E6"/>
    <w:rsid w:val="00D4047C"/>
    <w:rsid w:val="00D4061B"/>
    <w:rsid w:val="00D41365"/>
    <w:rsid w:val="00D41487"/>
    <w:rsid w:val="00D418EE"/>
    <w:rsid w:val="00D41A78"/>
    <w:rsid w:val="00D41E21"/>
    <w:rsid w:val="00D4257E"/>
    <w:rsid w:val="00D42F98"/>
    <w:rsid w:val="00D4340B"/>
    <w:rsid w:val="00D43A10"/>
    <w:rsid w:val="00D44226"/>
    <w:rsid w:val="00D447DB"/>
    <w:rsid w:val="00D4648C"/>
    <w:rsid w:val="00D471F4"/>
    <w:rsid w:val="00D47329"/>
    <w:rsid w:val="00D4758A"/>
    <w:rsid w:val="00D4792A"/>
    <w:rsid w:val="00D5063D"/>
    <w:rsid w:val="00D506B0"/>
    <w:rsid w:val="00D50A34"/>
    <w:rsid w:val="00D50B60"/>
    <w:rsid w:val="00D5118A"/>
    <w:rsid w:val="00D512E4"/>
    <w:rsid w:val="00D517F3"/>
    <w:rsid w:val="00D51BE8"/>
    <w:rsid w:val="00D5299C"/>
    <w:rsid w:val="00D5389F"/>
    <w:rsid w:val="00D53978"/>
    <w:rsid w:val="00D541B0"/>
    <w:rsid w:val="00D54DEC"/>
    <w:rsid w:val="00D54E24"/>
    <w:rsid w:val="00D55668"/>
    <w:rsid w:val="00D556E8"/>
    <w:rsid w:val="00D55CD1"/>
    <w:rsid w:val="00D56390"/>
    <w:rsid w:val="00D5645B"/>
    <w:rsid w:val="00D56CCE"/>
    <w:rsid w:val="00D5737B"/>
    <w:rsid w:val="00D57680"/>
    <w:rsid w:val="00D5769A"/>
    <w:rsid w:val="00D60188"/>
    <w:rsid w:val="00D6033F"/>
    <w:rsid w:val="00D6064D"/>
    <w:rsid w:val="00D60B84"/>
    <w:rsid w:val="00D60D0C"/>
    <w:rsid w:val="00D6197F"/>
    <w:rsid w:val="00D6198B"/>
    <w:rsid w:val="00D61B8C"/>
    <w:rsid w:val="00D61ECB"/>
    <w:rsid w:val="00D627C1"/>
    <w:rsid w:val="00D62E25"/>
    <w:rsid w:val="00D63D05"/>
    <w:rsid w:val="00D63E1A"/>
    <w:rsid w:val="00D63F6F"/>
    <w:rsid w:val="00D64116"/>
    <w:rsid w:val="00D644DC"/>
    <w:rsid w:val="00D64CDE"/>
    <w:rsid w:val="00D65176"/>
    <w:rsid w:val="00D65DCD"/>
    <w:rsid w:val="00D660AF"/>
    <w:rsid w:val="00D66286"/>
    <w:rsid w:val="00D666C6"/>
    <w:rsid w:val="00D667B4"/>
    <w:rsid w:val="00D677CF"/>
    <w:rsid w:val="00D701CA"/>
    <w:rsid w:val="00D71154"/>
    <w:rsid w:val="00D71727"/>
    <w:rsid w:val="00D71A79"/>
    <w:rsid w:val="00D71CD8"/>
    <w:rsid w:val="00D71E38"/>
    <w:rsid w:val="00D72663"/>
    <w:rsid w:val="00D72F99"/>
    <w:rsid w:val="00D73A0A"/>
    <w:rsid w:val="00D73B8E"/>
    <w:rsid w:val="00D740FF"/>
    <w:rsid w:val="00D74D53"/>
    <w:rsid w:val="00D74E4C"/>
    <w:rsid w:val="00D756F0"/>
    <w:rsid w:val="00D756FF"/>
    <w:rsid w:val="00D7590F"/>
    <w:rsid w:val="00D767C3"/>
    <w:rsid w:val="00D7704B"/>
    <w:rsid w:val="00D77114"/>
    <w:rsid w:val="00D809F8"/>
    <w:rsid w:val="00D80BE6"/>
    <w:rsid w:val="00D81907"/>
    <w:rsid w:val="00D81E2E"/>
    <w:rsid w:val="00D81FAE"/>
    <w:rsid w:val="00D82256"/>
    <w:rsid w:val="00D82600"/>
    <w:rsid w:val="00D82D27"/>
    <w:rsid w:val="00D838BD"/>
    <w:rsid w:val="00D840DF"/>
    <w:rsid w:val="00D843C7"/>
    <w:rsid w:val="00D848E0"/>
    <w:rsid w:val="00D85210"/>
    <w:rsid w:val="00D854D6"/>
    <w:rsid w:val="00D85CE9"/>
    <w:rsid w:val="00D85D38"/>
    <w:rsid w:val="00D85EEE"/>
    <w:rsid w:val="00D860A6"/>
    <w:rsid w:val="00D8615A"/>
    <w:rsid w:val="00D8682B"/>
    <w:rsid w:val="00D86890"/>
    <w:rsid w:val="00D8707F"/>
    <w:rsid w:val="00D8741C"/>
    <w:rsid w:val="00D875F5"/>
    <w:rsid w:val="00D87AE6"/>
    <w:rsid w:val="00D87D01"/>
    <w:rsid w:val="00D87FF4"/>
    <w:rsid w:val="00D907ED"/>
    <w:rsid w:val="00D9126C"/>
    <w:rsid w:val="00D9164B"/>
    <w:rsid w:val="00D9176C"/>
    <w:rsid w:val="00D91A5B"/>
    <w:rsid w:val="00D91D8B"/>
    <w:rsid w:val="00D91E44"/>
    <w:rsid w:val="00D92EDF"/>
    <w:rsid w:val="00D93769"/>
    <w:rsid w:val="00D93958"/>
    <w:rsid w:val="00D93C90"/>
    <w:rsid w:val="00D94368"/>
    <w:rsid w:val="00D95117"/>
    <w:rsid w:val="00D95121"/>
    <w:rsid w:val="00D9523B"/>
    <w:rsid w:val="00D95500"/>
    <w:rsid w:val="00D95A6A"/>
    <w:rsid w:val="00D95FE9"/>
    <w:rsid w:val="00D962EF"/>
    <w:rsid w:val="00D965C7"/>
    <w:rsid w:val="00D966BA"/>
    <w:rsid w:val="00D966C9"/>
    <w:rsid w:val="00D97B07"/>
    <w:rsid w:val="00DA027F"/>
    <w:rsid w:val="00DA0A4E"/>
    <w:rsid w:val="00DA0E3A"/>
    <w:rsid w:val="00DA1199"/>
    <w:rsid w:val="00DA12BA"/>
    <w:rsid w:val="00DA18CA"/>
    <w:rsid w:val="00DA1E99"/>
    <w:rsid w:val="00DA21F3"/>
    <w:rsid w:val="00DA22BD"/>
    <w:rsid w:val="00DA2EB7"/>
    <w:rsid w:val="00DA3320"/>
    <w:rsid w:val="00DA353C"/>
    <w:rsid w:val="00DA3B8E"/>
    <w:rsid w:val="00DA4A9A"/>
    <w:rsid w:val="00DA4DE9"/>
    <w:rsid w:val="00DA526D"/>
    <w:rsid w:val="00DA5F32"/>
    <w:rsid w:val="00DA6A8B"/>
    <w:rsid w:val="00DA7DFD"/>
    <w:rsid w:val="00DB01B0"/>
    <w:rsid w:val="00DB0377"/>
    <w:rsid w:val="00DB0E4C"/>
    <w:rsid w:val="00DB10FF"/>
    <w:rsid w:val="00DB1366"/>
    <w:rsid w:val="00DB2865"/>
    <w:rsid w:val="00DB303A"/>
    <w:rsid w:val="00DB36DB"/>
    <w:rsid w:val="00DB384B"/>
    <w:rsid w:val="00DB384F"/>
    <w:rsid w:val="00DB39FE"/>
    <w:rsid w:val="00DB3D34"/>
    <w:rsid w:val="00DB4FE1"/>
    <w:rsid w:val="00DB553B"/>
    <w:rsid w:val="00DB554F"/>
    <w:rsid w:val="00DB59EE"/>
    <w:rsid w:val="00DB5AA8"/>
    <w:rsid w:val="00DB607B"/>
    <w:rsid w:val="00DB683B"/>
    <w:rsid w:val="00DB72BE"/>
    <w:rsid w:val="00DB7900"/>
    <w:rsid w:val="00DB7AA3"/>
    <w:rsid w:val="00DB7AC9"/>
    <w:rsid w:val="00DC126B"/>
    <w:rsid w:val="00DC1291"/>
    <w:rsid w:val="00DC1CEF"/>
    <w:rsid w:val="00DC2A39"/>
    <w:rsid w:val="00DC3109"/>
    <w:rsid w:val="00DC3ACA"/>
    <w:rsid w:val="00DC3F3C"/>
    <w:rsid w:val="00DC4C00"/>
    <w:rsid w:val="00DC4DBE"/>
    <w:rsid w:val="00DC534A"/>
    <w:rsid w:val="00DC53E5"/>
    <w:rsid w:val="00DC5A30"/>
    <w:rsid w:val="00DC62C7"/>
    <w:rsid w:val="00DC62EC"/>
    <w:rsid w:val="00DC6467"/>
    <w:rsid w:val="00DC6480"/>
    <w:rsid w:val="00DC6C41"/>
    <w:rsid w:val="00DC6F96"/>
    <w:rsid w:val="00DC73AF"/>
    <w:rsid w:val="00DC74EB"/>
    <w:rsid w:val="00DC77AE"/>
    <w:rsid w:val="00DC7C1D"/>
    <w:rsid w:val="00DC7EB9"/>
    <w:rsid w:val="00DC7F4E"/>
    <w:rsid w:val="00DD0011"/>
    <w:rsid w:val="00DD13B8"/>
    <w:rsid w:val="00DD143F"/>
    <w:rsid w:val="00DD1C63"/>
    <w:rsid w:val="00DD1F74"/>
    <w:rsid w:val="00DD2A26"/>
    <w:rsid w:val="00DD2D89"/>
    <w:rsid w:val="00DD2ED4"/>
    <w:rsid w:val="00DD3125"/>
    <w:rsid w:val="00DD38FE"/>
    <w:rsid w:val="00DD3EFE"/>
    <w:rsid w:val="00DD40E8"/>
    <w:rsid w:val="00DD41C7"/>
    <w:rsid w:val="00DD47FA"/>
    <w:rsid w:val="00DD4960"/>
    <w:rsid w:val="00DD4CAA"/>
    <w:rsid w:val="00DD4ED6"/>
    <w:rsid w:val="00DD50D1"/>
    <w:rsid w:val="00DD5932"/>
    <w:rsid w:val="00DD5979"/>
    <w:rsid w:val="00DD5F61"/>
    <w:rsid w:val="00DD695A"/>
    <w:rsid w:val="00DD6E67"/>
    <w:rsid w:val="00DD7A4D"/>
    <w:rsid w:val="00DD7BA1"/>
    <w:rsid w:val="00DD7E73"/>
    <w:rsid w:val="00DD7EEC"/>
    <w:rsid w:val="00DE01CA"/>
    <w:rsid w:val="00DE0432"/>
    <w:rsid w:val="00DE069F"/>
    <w:rsid w:val="00DE099B"/>
    <w:rsid w:val="00DE09D7"/>
    <w:rsid w:val="00DE1193"/>
    <w:rsid w:val="00DE136D"/>
    <w:rsid w:val="00DE1674"/>
    <w:rsid w:val="00DE1908"/>
    <w:rsid w:val="00DE2E45"/>
    <w:rsid w:val="00DE36BF"/>
    <w:rsid w:val="00DE3C55"/>
    <w:rsid w:val="00DE3FA3"/>
    <w:rsid w:val="00DE40F2"/>
    <w:rsid w:val="00DE41C7"/>
    <w:rsid w:val="00DE455C"/>
    <w:rsid w:val="00DE478C"/>
    <w:rsid w:val="00DE47B0"/>
    <w:rsid w:val="00DE4910"/>
    <w:rsid w:val="00DE4ACE"/>
    <w:rsid w:val="00DE4FB9"/>
    <w:rsid w:val="00DE5044"/>
    <w:rsid w:val="00DE5553"/>
    <w:rsid w:val="00DE56F8"/>
    <w:rsid w:val="00DE597C"/>
    <w:rsid w:val="00DE6107"/>
    <w:rsid w:val="00DE65BF"/>
    <w:rsid w:val="00DE6642"/>
    <w:rsid w:val="00DE68CF"/>
    <w:rsid w:val="00DE6CC7"/>
    <w:rsid w:val="00DE6CE3"/>
    <w:rsid w:val="00DE6D55"/>
    <w:rsid w:val="00DE70F3"/>
    <w:rsid w:val="00DE7A16"/>
    <w:rsid w:val="00DE7F11"/>
    <w:rsid w:val="00DF0022"/>
    <w:rsid w:val="00DF04BC"/>
    <w:rsid w:val="00DF053F"/>
    <w:rsid w:val="00DF063A"/>
    <w:rsid w:val="00DF06E9"/>
    <w:rsid w:val="00DF0B96"/>
    <w:rsid w:val="00DF0ECE"/>
    <w:rsid w:val="00DF1279"/>
    <w:rsid w:val="00DF19C6"/>
    <w:rsid w:val="00DF1BA7"/>
    <w:rsid w:val="00DF20BF"/>
    <w:rsid w:val="00DF24A6"/>
    <w:rsid w:val="00DF385C"/>
    <w:rsid w:val="00DF40FD"/>
    <w:rsid w:val="00DF4E2C"/>
    <w:rsid w:val="00DF5176"/>
    <w:rsid w:val="00DF57E0"/>
    <w:rsid w:val="00DF6D26"/>
    <w:rsid w:val="00DF6F7B"/>
    <w:rsid w:val="00DF72DE"/>
    <w:rsid w:val="00DF72FA"/>
    <w:rsid w:val="00DF73F4"/>
    <w:rsid w:val="00DF7DC3"/>
    <w:rsid w:val="00DF7E8E"/>
    <w:rsid w:val="00E00B1B"/>
    <w:rsid w:val="00E00BE2"/>
    <w:rsid w:val="00E0135F"/>
    <w:rsid w:val="00E01A81"/>
    <w:rsid w:val="00E01BED"/>
    <w:rsid w:val="00E022A0"/>
    <w:rsid w:val="00E02590"/>
    <w:rsid w:val="00E026C9"/>
    <w:rsid w:val="00E027BA"/>
    <w:rsid w:val="00E029A4"/>
    <w:rsid w:val="00E02D9B"/>
    <w:rsid w:val="00E036F5"/>
    <w:rsid w:val="00E03E4A"/>
    <w:rsid w:val="00E06902"/>
    <w:rsid w:val="00E0735B"/>
    <w:rsid w:val="00E10B05"/>
    <w:rsid w:val="00E10C98"/>
    <w:rsid w:val="00E10ED0"/>
    <w:rsid w:val="00E10F49"/>
    <w:rsid w:val="00E1102D"/>
    <w:rsid w:val="00E110F1"/>
    <w:rsid w:val="00E123C8"/>
    <w:rsid w:val="00E12EFE"/>
    <w:rsid w:val="00E13102"/>
    <w:rsid w:val="00E13852"/>
    <w:rsid w:val="00E139CB"/>
    <w:rsid w:val="00E13F6A"/>
    <w:rsid w:val="00E14BBF"/>
    <w:rsid w:val="00E14C09"/>
    <w:rsid w:val="00E16CA6"/>
    <w:rsid w:val="00E17099"/>
    <w:rsid w:val="00E170CA"/>
    <w:rsid w:val="00E172CF"/>
    <w:rsid w:val="00E17973"/>
    <w:rsid w:val="00E17E98"/>
    <w:rsid w:val="00E17FFC"/>
    <w:rsid w:val="00E201A0"/>
    <w:rsid w:val="00E204AD"/>
    <w:rsid w:val="00E2192F"/>
    <w:rsid w:val="00E2244B"/>
    <w:rsid w:val="00E2276C"/>
    <w:rsid w:val="00E22946"/>
    <w:rsid w:val="00E22B8A"/>
    <w:rsid w:val="00E234BA"/>
    <w:rsid w:val="00E23854"/>
    <w:rsid w:val="00E23AD7"/>
    <w:rsid w:val="00E23B0A"/>
    <w:rsid w:val="00E2429F"/>
    <w:rsid w:val="00E24911"/>
    <w:rsid w:val="00E2491F"/>
    <w:rsid w:val="00E25479"/>
    <w:rsid w:val="00E2618B"/>
    <w:rsid w:val="00E26880"/>
    <w:rsid w:val="00E27D2B"/>
    <w:rsid w:val="00E3018D"/>
    <w:rsid w:val="00E3056D"/>
    <w:rsid w:val="00E30CE6"/>
    <w:rsid w:val="00E3100F"/>
    <w:rsid w:val="00E319E1"/>
    <w:rsid w:val="00E32370"/>
    <w:rsid w:val="00E329F7"/>
    <w:rsid w:val="00E32C84"/>
    <w:rsid w:val="00E32D88"/>
    <w:rsid w:val="00E331B1"/>
    <w:rsid w:val="00E33295"/>
    <w:rsid w:val="00E34543"/>
    <w:rsid w:val="00E3477A"/>
    <w:rsid w:val="00E34A84"/>
    <w:rsid w:val="00E35CF5"/>
    <w:rsid w:val="00E35F33"/>
    <w:rsid w:val="00E3629B"/>
    <w:rsid w:val="00E36557"/>
    <w:rsid w:val="00E3710E"/>
    <w:rsid w:val="00E377D6"/>
    <w:rsid w:val="00E37D2E"/>
    <w:rsid w:val="00E37DE9"/>
    <w:rsid w:val="00E40476"/>
    <w:rsid w:val="00E40EC1"/>
    <w:rsid w:val="00E41058"/>
    <w:rsid w:val="00E411A1"/>
    <w:rsid w:val="00E429AB"/>
    <w:rsid w:val="00E42D46"/>
    <w:rsid w:val="00E44BC0"/>
    <w:rsid w:val="00E44D45"/>
    <w:rsid w:val="00E44D52"/>
    <w:rsid w:val="00E4555F"/>
    <w:rsid w:val="00E45668"/>
    <w:rsid w:val="00E456C8"/>
    <w:rsid w:val="00E45A62"/>
    <w:rsid w:val="00E46655"/>
    <w:rsid w:val="00E46EBE"/>
    <w:rsid w:val="00E46F5C"/>
    <w:rsid w:val="00E47071"/>
    <w:rsid w:val="00E47202"/>
    <w:rsid w:val="00E474AC"/>
    <w:rsid w:val="00E4792E"/>
    <w:rsid w:val="00E5054B"/>
    <w:rsid w:val="00E50B04"/>
    <w:rsid w:val="00E50D03"/>
    <w:rsid w:val="00E50E72"/>
    <w:rsid w:val="00E511CC"/>
    <w:rsid w:val="00E514B8"/>
    <w:rsid w:val="00E51AE4"/>
    <w:rsid w:val="00E520AC"/>
    <w:rsid w:val="00E523C7"/>
    <w:rsid w:val="00E52620"/>
    <w:rsid w:val="00E52AA7"/>
    <w:rsid w:val="00E53F9D"/>
    <w:rsid w:val="00E547A7"/>
    <w:rsid w:val="00E55109"/>
    <w:rsid w:val="00E552D8"/>
    <w:rsid w:val="00E55593"/>
    <w:rsid w:val="00E55C4A"/>
    <w:rsid w:val="00E56131"/>
    <w:rsid w:val="00E56533"/>
    <w:rsid w:val="00E5679F"/>
    <w:rsid w:val="00E569B5"/>
    <w:rsid w:val="00E56CC3"/>
    <w:rsid w:val="00E57039"/>
    <w:rsid w:val="00E5711A"/>
    <w:rsid w:val="00E5711C"/>
    <w:rsid w:val="00E576A7"/>
    <w:rsid w:val="00E57D6D"/>
    <w:rsid w:val="00E57F21"/>
    <w:rsid w:val="00E6013D"/>
    <w:rsid w:val="00E6054A"/>
    <w:rsid w:val="00E6061D"/>
    <w:rsid w:val="00E60BEB"/>
    <w:rsid w:val="00E62A38"/>
    <w:rsid w:val="00E62D6A"/>
    <w:rsid w:val="00E62EF0"/>
    <w:rsid w:val="00E62F88"/>
    <w:rsid w:val="00E63221"/>
    <w:rsid w:val="00E633F0"/>
    <w:rsid w:val="00E63B17"/>
    <w:rsid w:val="00E64163"/>
    <w:rsid w:val="00E6430D"/>
    <w:rsid w:val="00E643A5"/>
    <w:rsid w:val="00E6451A"/>
    <w:rsid w:val="00E65C0C"/>
    <w:rsid w:val="00E66242"/>
    <w:rsid w:val="00E67722"/>
    <w:rsid w:val="00E67832"/>
    <w:rsid w:val="00E67A13"/>
    <w:rsid w:val="00E67CBB"/>
    <w:rsid w:val="00E70127"/>
    <w:rsid w:val="00E70663"/>
    <w:rsid w:val="00E706A6"/>
    <w:rsid w:val="00E708DD"/>
    <w:rsid w:val="00E712AD"/>
    <w:rsid w:val="00E713AE"/>
    <w:rsid w:val="00E72E68"/>
    <w:rsid w:val="00E73680"/>
    <w:rsid w:val="00E73F12"/>
    <w:rsid w:val="00E741DA"/>
    <w:rsid w:val="00E74A8F"/>
    <w:rsid w:val="00E74B74"/>
    <w:rsid w:val="00E74FD9"/>
    <w:rsid w:val="00E751AE"/>
    <w:rsid w:val="00E7555B"/>
    <w:rsid w:val="00E75A46"/>
    <w:rsid w:val="00E764C9"/>
    <w:rsid w:val="00E76A57"/>
    <w:rsid w:val="00E76D83"/>
    <w:rsid w:val="00E76E08"/>
    <w:rsid w:val="00E7769B"/>
    <w:rsid w:val="00E77D7F"/>
    <w:rsid w:val="00E80540"/>
    <w:rsid w:val="00E80837"/>
    <w:rsid w:val="00E80BD2"/>
    <w:rsid w:val="00E81433"/>
    <w:rsid w:val="00E81BB6"/>
    <w:rsid w:val="00E81D5A"/>
    <w:rsid w:val="00E81E7A"/>
    <w:rsid w:val="00E823D6"/>
    <w:rsid w:val="00E82407"/>
    <w:rsid w:val="00E826FE"/>
    <w:rsid w:val="00E82FDB"/>
    <w:rsid w:val="00E83014"/>
    <w:rsid w:val="00E83B0D"/>
    <w:rsid w:val="00E84813"/>
    <w:rsid w:val="00E84D6C"/>
    <w:rsid w:val="00E84F9F"/>
    <w:rsid w:val="00E85C22"/>
    <w:rsid w:val="00E85C7C"/>
    <w:rsid w:val="00E85E9D"/>
    <w:rsid w:val="00E86203"/>
    <w:rsid w:val="00E86847"/>
    <w:rsid w:val="00E87181"/>
    <w:rsid w:val="00E87790"/>
    <w:rsid w:val="00E87F38"/>
    <w:rsid w:val="00E900F5"/>
    <w:rsid w:val="00E90D97"/>
    <w:rsid w:val="00E91274"/>
    <w:rsid w:val="00E9134C"/>
    <w:rsid w:val="00E91373"/>
    <w:rsid w:val="00E9143C"/>
    <w:rsid w:val="00E91C89"/>
    <w:rsid w:val="00E92820"/>
    <w:rsid w:val="00E93091"/>
    <w:rsid w:val="00E94203"/>
    <w:rsid w:val="00E94726"/>
    <w:rsid w:val="00E9483E"/>
    <w:rsid w:val="00E94DA3"/>
    <w:rsid w:val="00E95077"/>
    <w:rsid w:val="00E95205"/>
    <w:rsid w:val="00E95284"/>
    <w:rsid w:val="00E95CED"/>
    <w:rsid w:val="00E95EFD"/>
    <w:rsid w:val="00E96698"/>
    <w:rsid w:val="00E96B25"/>
    <w:rsid w:val="00E971EC"/>
    <w:rsid w:val="00E97547"/>
    <w:rsid w:val="00E9763E"/>
    <w:rsid w:val="00E97EE2"/>
    <w:rsid w:val="00E97F73"/>
    <w:rsid w:val="00EA00B5"/>
    <w:rsid w:val="00EA058C"/>
    <w:rsid w:val="00EA08C8"/>
    <w:rsid w:val="00EA10B7"/>
    <w:rsid w:val="00EA1659"/>
    <w:rsid w:val="00EA1CA1"/>
    <w:rsid w:val="00EA248C"/>
    <w:rsid w:val="00EA25AE"/>
    <w:rsid w:val="00EA292E"/>
    <w:rsid w:val="00EA3484"/>
    <w:rsid w:val="00EA3C9E"/>
    <w:rsid w:val="00EA3F9A"/>
    <w:rsid w:val="00EA4686"/>
    <w:rsid w:val="00EA4792"/>
    <w:rsid w:val="00EA6647"/>
    <w:rsid w:val="00EA665E"/>
    <w:rsid w:val="00EA6D47"/>
    <w:rsid w:val="00EA721F"/>
    <w:rsid w:val="00EA7535"/>
    <w:rsid w:val="00EA760E"/>
    <w:rsid w:val="00EA7CC8"/>
    <w:rsid w:val="00EA7CCC"/>
    <w:rsid w:val="00EA7F2F"/>
    <w:rsid w:val="00EA7FEF"/>
    <w:rsid w:val="00EB011E"/>
    <w:rsid w:val="00EB0B52"/>
    <w:rsid w:val="00EB0EBA"/>
    <w:rsid w:val="00EB15A4"/>
    <w:rsid w:val="00EB170C"/>
    <w:rsid w:val="00EB1962"/>
    <w:rsid w:val="00EB1AD6"/>
    <w:rsid w:val="00EB1CB6"/>
    <w:rsid w:val="00EB1E9B"/>
    <w:rsid w:val="00EB2118"/>
    <w:rsid w:val="00EB23A6"/>
    <w:rsid w:val="00EB2480"/>
    <w:rsid w:val="00EB264A"/>
    <w:rsid w:val="00EB2CCD"/>
    <w:rsid w:val="00EB3013"/>
    <w:rsid w:val="00EB30DC"/>
    <w:rsid w:val="00EB3CBC"/>
    <w:rsid w:val="00EB4FD2"/>
    <w:rsid w:val="00EB542B"/>
    <w:rsid w:val="00EB5A53"/>
    <w:rsid w:val="00EB5AF7"/>
    <w:rsid w:val="00EB5B63"/>
    <w:rsid w:val="00EB5C7F"/>
    <w:rsid w:val="00EB67DB"/>
    <w:rsid w:val="00EB6B49"/>
    <w:rsid w:val="00EB6FF7"/>
    <w:rsid w:val="00EB7657"/>
    <w:rsid w:val="00EC0349"/>
    <w:rsid w:val="00EC10D7"/>
    <w:rsid w:val="00EC120F"/>
    <w:rsid w:val="00EC185D"/>
    <w:rsid w:val="00EC193C"/>
    <w:rsid w:val="00EC1C29"/>
    <w:rsid w:val="00EC1E81"/>
    <w:rsid w:val="00EC24A1"/>
    <w:rsid w:val="00EC2F98"/>
    <w:rsid w:val="00EC3084"/>
    <w:rsid w:val="00EC35C1"/>
    <w:rsid w:val="00EC3DB5"/>
    <w:rsid w:val="00EC4706"/>
    <w:rsid w:val="00EC4A76"/>
    <w:rsid w:val="00EC4D50"/>
    <w:rsid w:val="00EC4DF8"/>
    <w:rsid w:val="00EC59B4"/>
    <w:rsid w:val="00EC6072"/>
    <w:rsid w:val="00EC6223"/>
    <w:rsid w:val="00EC64EF"/>
    <w:rsid w:val="00EC6572"/>
    <w:rsid w:val="00EC6777"/>
    <w:rsid w:val="00EC6A39"/>
    <w:rsid w:val="00EC6C45"/>
    <w:rsid w:val="00EC6DCE"/>
    <w:rsid w:val="00EC70D5"/>
    <w:rsid w:val="00EC7339"/>
    <w:rsid w:val="00EC7430"/>
    <w:rsid w:val="00EC785C"/>
    <w:rsid w:val="00EC79A8"/>
    <w:rsid w:val="00EC7AC2"/>
    <w:rsid w:val="00ED11B7"/>
    <w:rsid w:val="00ED2196"/>
    <w:rsid w:val="00ED22B2"/>
    <w:rsid w:val="00ED30A3"/>
    <w:rsid w:val="00ED313E"/>
    <w:rsid w:val="00ED31BE"/>
    <w:rsid w:val="00ED326B"/>
    <w:rsid w:val="00ED3421"/>
    <w:rsid w:val="00ED3AD9"/>
    <w:rsid w:val="00ED3C4A"/>
    <w:rsid w:val="00ED3DCE"/>
    <w:rsid w:val="00ED3FFB"/>
    <w:rsid w:val="00ED48A0"/>
    <w:rsid w:val="00ED4A38"/>
    <w:rsid w:val="00ED4E9B"/>
    <w:rsid w:val="00ED511A"/>
    <w:rsid w:val="00ED5B5C"/>
    <w:rsid w:val="00ED63D0"/>
    <w:rsid w:val="00ED6BBF"/>
    <w:rsid w:val="00ED75B2"/>
    <w:rsid w:val="00ED76B3"/>
    <w:rsid w:val="00ED79BC"/>
    <w:rsid w:val="00ED7D51"/>
    <w:rsid w:val="00EE075D"/>
    <w:rsid w:val="00EE0C77"/>
    <w:rsid w:val="00EE1477"/>
    <w:rsid w:val="00EE1987"/>
    <w:rsid w:val="00EE2BEB"/>
    <w:rsid w:val="00EE2D65"/>
    <w:rsid w:val="00EE2E67"/>
    <w:rsid w:val="00EE3BE9"/>
    <w:rsid w:val="00EE3E11"/>
    <w:rsid w:val="00EE3ED0"/>
    <w:rsid w:val="00EE4022"/>
    <w:rsid w:val="00EE426E"/>
    <w:rsid w:val="00EE4657"/>
    <w:rsid w:val="00EE4844"/>
    <w:rsid w:val="00EE5074"/>
    <w:rsid w:val="00EE5186"/>
    <w:rsid w:val="00EE51E4"/>
    <w:rsid w:val="00EE5A4D"/>
    <w:rsid w:val="00EE5D5A"/>
    <w:rsid w:val="00EE666B"/>
    <w:rsid w:val="00EE6934"/>
    <w:rsid w:val="00EE69F5"/>
    <w:rsid w:val="00EE73C6"/>
    <w:rsid w:val="00EE74B5"/>
    <w:rsid w:val="00EE7F6B"/>
    <w:rsid w:val="00EF127C"/>
    <w:rsid w:val="00EF1444"/>
    <w:rsid w:val="00EF1A16"/>
    <w:rsid w:val="00EF1AE6"/>
    <w:rsid w:val="00EF1B14"/>
    <w:rsid w:val="00EF1D76"/>
    <w:rsid w:val="00EF1EFA"/>
    <w:rsid w:val="00EF2708"/>
    <w:rsid w:val="00EF2958"/>
    <w:rsid w:val="00EF2BE3"/>
    <w:rsid w:val="00EF2ECE"/>
    <w:rsid w:val="00EF3325"/>
    <w:rsid w:val="00EF34CD"/>
    <w:rsid w:val="00EF37F8"/>
    <w:rsid w:val="00EF39AC"/>
    <w:rsid w:val="00EF3B73"/>
    <w:rsid w:val="00EF3CEF"/>
    <w:rsid w:val="00EF4194"/>
    <w:rsid w:val="00EF4DBD"/>
    <w:rsid w:val="00EF4FE5"/>
    <w:rsid w:val="00EF51D0"/>
    <w:rsid w:val="00EF52AA"/>
    <w:rsid w:val="00EF5351"/>
    <w:rsid w:val="00EF6785"/>
    <w:rsid w:val="00EF6F6E"/>
    <w:rsid w:val="00EF6FE3"/>
    <w:rsid w:val="00EF7273"/>
    <w:rsid w:val="00EF74F6"/>
    <w:rsid w:val="00EF7ADC"/>
    <w:rsid w:val="00F003D1"/>
    <w:rsid w:val="00F00703"/>
    <w:rsid w:val="00F00716"/>
    <w:rsid w:val="00F00AEB"/>
    <w:rsid w:val="00F00B0D"/>
    <w:rsid w:val="00F00E11"/>
    <w:rsid w:val="00F00EAF"/>
    <w:rsid w:val="00F0137E"/>
    <w:rsid w:val="00F016CC"/>
    <w:rsid w:val="00F0187E"/>
    <w:rsid w:val="00F02BCC"/>
    <w:rsid w:val="00F02C52"/>
    <w:rsid w:val="00F02EAD"/>
    <w:rsid w:val="00F02EC0"/>
    <w:rsid w:val="00F02FAA"/>
    <w:rsid w:val="00F03413"/>
    <w:rsid w:val="00F040D8"/>
    <w:rsid w:val="00F044B3"/>
    <w:rsid w:val="00F04B0B"/>
    <w:rsid w:val="00F04B4F"/>
    <w:rsid w:val="00F04D33"/>
    <w:rsid w:val="00F04EAC"/>
    <w:rsid w:val="00F04FC3"/>
    <w:rsid w:val="00F05A7D"/>
    <w:rsid w:val="00F05C85"/>
    <w:rsid w:val="00F067DA"/>
    <w:rsid w:val="00F06ED8"/>
    <w:rsid w:val="00F072CF"/>
    <w:rsid w:val="00F079BB"/>
    <w:rsid w:val="00F07A4D"/>
    <w:rsid w:val="00F07B23"/>
    <w:rsid w:val="00F07D53"/>
    <w:rsid w:val="00F10013"/>
    <w:rsid w:val="00F1011C"/>
    <w:rsid w:val="00F10245"/>
    <w:rsid w:val="00F104CC"/>
    <w:rsid w:val="00F10722"/>
    <w:rsid w:val="00F10852"/>
    <w:rsid w:val="00F10AAB"/>
    <w:rsid w:val="00F10D27"/>
    <w:rsid w:val="00F11473"/>
    <w:rsid w:val="00F11F2D"/>
    <w:rsid w:val="00F1202B"/>
    <w:rsid w:val="00F12384"/>
    <w:rsid w:val="00F12619"/>
    <w:rsid w:val="00F12714"/>
    <w:rsid w:val="00F12C05"/>
    <w:rsid w:val="00F12D41"/>
    <w:rsid w:val="00F12D7B"/>
    <w:rsid w:val="00F13087"/>
    <w:rsid w:val="00F13A65"/>
    <w:rsid w:val="00F140CF"/>
    <w:rsid w:val="00F142C8"/>
    <w:rsid w:val="00F149CE"/>
    <w:rsid w:val="00F149EA"/>
    <w:rsid w:val="00F14B57"/>
    <w:rsid w:val="00F155C2"/>
    <w:rsid w:val="00F15A74"/>
    <w:rsid w:val="00F15B22"/>
    <w:rsid w:val="00F16C82"/>
    <w:rsid w:val="00F16D35"/>
    <w:rsid w:val="00F17447"/>
    <w:rsid w:val="00F17B3E"/>
    <w:rsid w:val="00F17F4B"/>
    <w:rsid w:val="00F17F66"/>
    <w:rsid w:val="00F17F68"/>
    <w:rsid w:val="00F20448"/>
    <w:rsid w:val="00F20868"/>
    <w:rsid w:val="00F20A94"/>
    <w:rsid w:val="00F20CAC"/>
    <w:rsid w:val="00F210A8"/>
    <w:rsid w:val="00F214A4"/>
    <w:rsid w:val="00F2174E"/>
    <w:rsid w:val="00F21931"/>
    <w:rsid w:val="00F219B4"/>
    <w:rsid w:val="00F2215C"/>
    <w:rsid w:val="00F222F7"/>
    <w:rsid w:val="00F22501"/>
    <w:rsid w:val="00F2260C"/>
    <w:rsid w:val="00F22E8A"/>
    <w:rsid w:val="00F23282"/>
    <w:rsid w:val="00F23D46"/>
    <w:rsid w:val="00F23F0E"/>
    <w:rsid w:val="00F2488E"/>
    <w:rsid w:val="00F24AD8"/>
    <w:rsid w:val="00F24C18"/>
    <w:rsid w:val="00F24F45"/>
    <w:rsid w:val="00F26461"/>
    <w:rsid w:val="00F26631"/>
    <w:rsid w:val="00F267D7"/>
    <w:rsid w:val="00F26975"/>
    <w:rsid w:val="00F26D92"/>
    <w:rsid w:val="00F30917"/>
    <w:rsid w:val="00F309DF"/>
    <w:rsid w:val="00F31274"/>
    <w:rsid w:val="00F317BC"/>
    <w:rsid w:val="00F317DE"/>
    <w:rsid w:val="00F31A36"/>
    <w:rsid w:val="00F31C41"/>
    <w:rsid w:val="00F32393"/>
    <w:rsid w:val="00F32613"/>
    <w:rsid w:val="00F32D25"/>
    <w:rsid w:val="00F33642"/>
    <w:rsid w:val="00F33D87"/>
    <w:rsid w:val="00F34A4A"/>
    <w:rsid w:val="00F34A8F"/>
    <w:rsid w:val="00F34B35"/>
    <w:rsid w:val="00F34D8D"/>
    <w:rsid w:val="00F34DEE"/>
    <w:rsid w:val="00F350E0"/>
    <w:rsid w:val="00F35366"/>
    <w:rsid w:val="00F35418"/>
    <w:rsid w:val="00F354B7"/>
    <w:rsid w:val="00F3551E"/>
    <w:rsid w:val="00F35655"/>
    <w:rsid w:val="00F35678"/>
    <w:rsid w:val="00F36678"/>
    <w:rsid w:val="00F36E18"/>
    <w:rsid w:val="00F37421"/>
    <w:rsid w:val="00F37942"/>
    <w:rsid w:val="00F40205"/>
    <w:rsid w:val="00F40394"/>
    <w:rsid w:val="00F4041E"/>
    <w:rsid w:val="00F40617"/>
    <w:rsid w:val="00F40729"/>
    <w:rsid w:val="00F41B0F"/>
    <w:rsid w:val="00F41C47"/>
    <w:rsid w:val="00F41CDA"/>
    <w:rsid w:val="00F42F2D"/>
    <w:rsid w:val="00F42FC3"/>
    <w:rsid w:val="00F43BCF"/>
    <w:rsid w:val="00F43C7F"/>
    <w:rsid w:val="00F44A18"/>
    <w:rsid w:val="00F44AEA"/>
    <w:rsid w:val="00F44CEB"/>
    <w:rsid w:val="00F44DD9"/>
    <w:rsid w:val="00F44E46"/>
    <w:rsid w:val="00F44E59"/>
    <w:rsid w:val="00F4597A"/>
    <w:rsid w:val="00F45C8A"/>
    <w:rsid w:val="00F4624F"/>
    <w:rsid w:val="00F46695"/>
    <w:rsid w:val="00F4683D"/>
    <w:rsid w:val="00F469DE"/>
    <w:rsid w:val="00F47661"/>
    <w:rsid w:val="00F47CA9"/>
    <w:rsid w:val="00F47F21"/>
    <w:rsid w:val="00F50767"/>
    <w:rsid w:val="00F50870"/>
    <w:rsid w:val="00F50DDB"/>
    <w:rsid w:val="00F50E92"/>
    <w:rsid w:val="00F5140B"/>
    <w:rsid w:val="00F51710"/>
    <w:rsid w:val="00F51DEE"/>
    <w:rsid w:val="00F52BB6"/>
    <w:rsid w:val="00F53CDB"/>
    <w:rsid w:val="00F53FDE"/>
    <w:rsid w:val="00F5566D"/>
    <w:rsid w:val="00F55B23"/>
    <w:rsid w:val="00F55B3D"/>
    <w:rsid w:val="00F56711"/>
    <w:rsid w:val="00F57058"/>
    <w:rsid w:val="00F57135"/>
    <w:rsid w:val="00F578AA"/>
    <w:rsid w:val="00F578C8"/>
    <w:rsid w:val="00F57ADA"/>
    <w:rsid w:val="00F57C8A"/>
    <w:rsid w:val="00F60918"/>
    <w:rsid w:val="00F60AFF"/>
    <w:rsid w:val="00F6117E"/>
    <w:rsid w:val="00F63561"/>
    <w:rsid w:val="00F642E5"/>
    <w:rsid w:val="00F64623"/>
    <w:rsid w:val="00F648A1"/>
    <w:rsid w:val="00F64B30"/>
    <w:rsid w:val="00F64F68"/>
    <w:rsid w:val="00F6514D"/>
    <w:rsid w:val="00F65353"/>
    <w:rsid w:val="00F65523"/>
    <w:rsid w:val="00F65884"/>
    <w:rsid w:val="00F659DB"/>
    <w:rsid w:val="00F65F63"/>
    <w:rsid w:val="00F66F08"/>
    <w:rsid w:val="00F67399"/>
    <w:rsid w:val="00F678CC"/>
    <w:rsid w:val="00F67BF3"/>
    <w:rsid w:val="00F67DFB"/>
    <w:rsid w:val="00F701FA"/>
    <w:rsid w:val="00F7080F"/>
    <w:rsid w:val="00F70EC1"/>
    <w:rsid w:val="00F710BC"/>
    <w:rsid w:val="00F71C2C"/>
    <w:rsid w:val="00F7232D"/>
    <w:rsid w:val="00F727EC"/>
    <w:rsid w:val="00F72883"/>
    <w:rsid w:val="00F73783"/>
    <w:rsid w:val="00F73948"/>
    <w:rsid w:val="00F73A57"/>
    <w:rsid w:val="00F742D5"/>
    <w:rsid w:val="00F746C6"/>
    <w:rsid w:val="00F747B5"/>
    <w:rsid w:val="00F75778"/>
    <w:rsid w:val="00F75BD8"/>
    <w:rsid w:val="00F75E6B"/>
    <w:rsid w:val="00F7638C"/>
    <w:rsid w:val="00F76C49"/>
    <w:rsid w:val="00F76F16"/>
    <w:rsid w:val="00F775B4"/>
    <w:rsid w:val="00F776AD"/>
    <w:rsid w:val="00F801E8"/>
    <w:rsid w:val="00F80456"/>
    <w:rsid w:val="00F8137D"/>
    <w:rsid w:val="00F81695"/>
    <w:rsid w:val="00F817E1"/>
    <w:rsid w:val="00F81E4D"/>
    <w:rsid w:val="00F81F66"/>
    <w:rsid w:val="00F822F8"/>
    <w:rsid w:val="00F83282"/>
    <w:rsid w:val="00F838A1"/>
    <w:rsid w:val="00F84A85"/>
    <w:rsid w:val="00F84E33"/>
    <w:rsid w:val="00F85838"/>
    <w:rsid w:val="00F85B5F"/>
    <w:rsid w:val="00F85DA8"/>
    <w:rsid w:val="00F85E03"/>
    <w:rsid w:val="00F86257"/>
    <w:rsid w:val="00F8643E"/>
    <w:rsid w:val="00F864EC"/>
    <w:rsid w:val="00F86714"/>
    <w:rsid w:val="00F86B18"/>
    <w:rsid w:val="00F86BB3"/>
    <w:rsid w:val="00F86CD2"/>
    <w:rsid w:val="00F86FCB"/>
    <w:rsid w:val="00F873E6"/>
    <w:rsid w:val="00F8797E"/>
    <w:rsid w:val="00F879CF"/>
    <w:rsid w:val="00F87E07"/>
    <w:rsid w:val="00F87E74"/>
    <w:rsid w:val="00F90684"/>
    <w:rsid w:val="00F907CF"/>
    <w:rsid w:val="00F91DAA"/>
    <w:rsid w:val="00F92038"/>
    <w:rsid w:val="00F9252F"/>
    <w:rsid w:val="00F93289"/>
    <w:rsid w:val="00F93517"/>
    <w:rsid w:val="00F93AE7"/>
    <w:rsid w:val="00F93F3D"/>
    <w:rsid w:val="00F942A9"/>
    <w:rsid w:val="00F94740"/>
    <w:rsid w:val="00F94E30"/>
    <w:rsid w:val="00F95197"/>
    <w:rsid w:val="00F95272"/>
    <w:rsid w:val="00F95674"/>
    <w:rsid w:val="00F95A77"/>
    <w:rsid w:val="00F96694"/>
    <w:rsid w:val="00F97067"/>
    <w:rsid w:val="00F970E6"/>
    <w:rsid w:val="00F9726C"/>
    <w:rsid w:val="00F97278"/>
    <w:rsid w:val="00F97B29"/>
    <w:rsid w:val="00F97D17"/>
    <w:rsid w:val="00F97E6C"/>
    <w:rsid w:val="00FA084A"/>
    <w:rsid w:val="00FA1038"/>
    <w:rsid w:val="00FA141A"/>
    <w:rsid w:val="00FA2068"/>
    <w:rsid w:val="00FA2B4D"/>
    <w:rsid w:val="00FA30BF"/>
    <w:rsid w:val="00FA3505"/>
    <w:rsid w:val="00FA3D54"/>
    <w:rsid w:val="00FA3DB0"/>
    <w:rsid w:val="00FA45CE"/>
    <w:rsid w:val="00FA47EA"/>
    <w:rsid w:val="00FA5C3C"/>
    <w:rsid w:val="00FA5DCE"/>
    <w:rsid w:val="00FA69BF"/>
    <w:rsid w:val="00FA7720"/>
    <w:rsid w:val="00FA77EC"/>
    <w:rsid w:val="00FA7F6F"/>
    <w:rsid w:val="00FB0454"/>
    <w:rsid w:val="00FB08FE"/>
    <w:rsid w:val="00FB0B4C"/>
    <w:rsid w:val="00FB1BCA"/>
    <w:rsid w:val="00FB1CAF"/>
    <w:rsid w:val="00FB2163"/>
    <w:rsid w:val="00FB2A0F"/>
    <w:rsid w:val="00FB2F0C"/>
    <w:rsid w:val="00FB30E9"/>
    <w:rsid w:val="00FB3E2E"/>
    <w:rsid w:val="00FB3FD9"/>
    <w:rsid w:val="00FB42AE"/>
    <w:rsid w:val="00FB46AE"/>
    <w:rsid w:val="00FB49D5"/>
    <w:rsid w:val="00FB58EF"/>
    <w:rsid w:val="00FB74DD"/>
    <w:rsid w:val="00FB7686"/>
    <w:rsid w:val="00FB7F90"/>
    <w:rsid w:val="00FC11EA"/>
    <w:rsid w:val="00FC18DE"/>
    <w:rsid w:val="00FC19DE"/>
    <w:rsid w:val="00FC1B32"/>
    <w:rsid w:val="00FC1BB4"/>
    <w:rsid w:val="00FC2D7E"/>
    <w:rsid w:val="00FC2DA6"/>
    <w:rsid w:val="00FC3314"/>
    <w:rsid w:val="00FC405A"/>
    <w:rsid w:val="00FC4238"/>
    <w:rsid w:val="00FC4367"/>
    <w:rsid w:val="00FC45ED"/>
    <w:rsid w:val="00FC46E0"/>
    <w:rsid w:val="00FC47A6"/>
    <w:rsid w:val="00FC4C9E"/>
    <w:rsid w:val="00FC4FC0"/>
    <w:rsid w:val="00FC5640"/>
    <w:rsid w:val="00FC5887"/>
    <w:rsid w:val="00FC5925"/>
    <w:rsid w:val="00FC593F"/>
    <w:rsid w:val="00FC5BA4"/>
    <w:rsid w:val="00FC664C"/>
    <w:rsid w:val="00FC706C"/>
    <w:rsid w:val="00FC7294"/>
    <w:rsid w:val="00FC7569"/>
    <w:rsid w:val="00FC7889"/>
    <w:rsid w:val="00FD0517"/>
    <w:rsid w:val="00FD0853"/>
    <w:rsid w:val="00FD0D36"/>
    <w:rsid w:val="00FD103D"/>
    <w:rsid w:val="00FD279D"/>
    <w:rsid w:val="00FD2825"/>
    <w:rsid w:val="00FD35EA"/>
    <w:rsid w:val="00FD3B69"/>
    <w:rsid w:val="00FD3D1D"/>
    <w:rsid w:val="00FD41B7"/>
    <w:rsid w:val="00FD4531"/>
    <w:rsid w:val="00FD48A1"/>
    <w:rsid w:val="00FD48A7"/>
    <w:rsid w:val="00FD6334"/>
    <w:rsid w:val="00FD6661"/>
    <w:rsid w:val="00FD6C59"/>
    <w:rsid w:val="00FD729C"/>
    <w:rsid w:val="00FD7657"/>
    <w:rsid w:val="00FD79CC"/>
    <w:rsid w:val="00FD7BDD"/>
    <w:rsid w:val="00FD7C22"/>
    <w:rsid w:val="00FD7C26"/>
    <w:rsid w:val="00FD7CBA"/>
    <w:rsid w:val="00FE004B"/>
    <w:rsid w:val="00FE0105"/>
    <w:rsid w:val="00FE03B8"/>
    <w:rsid w:val="00FE09C8"/>
    <w:rsid w:val="00FE1535"/>
    <w:rsid w:val="00FE18FA"/>
    <w:rsid w:val="00FE1942"/>
    <w:rsid w:val="00FE194D"/>
    <w:rsid w:val="00FE19CC"/>
    <w:rsid w:val="00FE1AFB"/>
    <w:rsid w:val="00FE1D9A"/>
    <w:rsid w:val="00FE2200"/>
    <w:rsid w:val="00FE2991"/>
    <w:rsid w:val="00FE2D8C"/>
    <w:rsid w:val="00FE317D"/>
    <w:rsid w:val="00FE31BC"/>
    <w:rsid w:val="00FE3224"/>
    <w:rsid w:val="00FE3496"/>
    <w:rsid w:val="00FE3693"/>
    <w:rsid w:val="00FE36D4"/>
    <w:rsid w:val="00FE388E"/>
    <w:rsid w:val="00FE3D50"/>
    <w:rsid w:val="00FE3FA0"/>
    <w:rsid w:val="00FE42C2"/>
    <w:rsid w:val="00FE4549"/>
    <w:rsid w:val="00FE45DE"/>
    <w:rsid w:val="00FE556B"/>
    <w:rsid w:val="00FE56B9"/>
    <w:rsid w:val="00FE591B"/>
    <w:rsid w:val="00FE5B4F"/>
    <w:rsid w:val="00FE5F0D"/>
    <w:rsid w:val="00FE5F3A"/>
    <w:rsid w:val="00FE649D"/>
    <w:rsid w:val="00FE721E"/>
    <w:rsid w:val="00FE7355"/>
    <w:rsid w:val="00FE7986"/>
    <w:rsid w:val="00FE7C7E"/>
    <w:rsid w:val="00FF0695"/>
    <w:rsid w:val="00FF08FA"/>
    <w:rsid w:val="00FF0AC5"/>
    <w:rsid w:val="00FF1778"/>
    <w:rsid w:val="00FF193C"/>
    <w:rsid w:val="00FF1B0D"/>
    <w:rsid w:val="00FF1D7C"/>
    <w:rsid w:val="00FF1E97"/>
    <w:rsid w:val="00FF1F37"/>
    <w:rsid w:val="00FF1F87"/>
    <w:rsid w:val="00FF354B"/>
    <w:rsid w:val="00FF356B"/>
    <w:rsid w:val="00FF3577"/>
    <w:rsid w:val="00FF3646"/>
    <w:rsid w:val="00FF3691"/>
    <w:rsid w:val="00FF371C"/>
    <w:rsid w:val="00FF3A8F"/>
    <w:rsid w:val="00FF3DBE"/>
    <w:rsid w:val="00FF40E3"/>
    <w:rsid w:val="00FF41DF"/>
    <w:rsid w:val="00FF447F"/>
    <w:rsid w:val="00FF4D28"/>
    <w:rsid w:val="00FF547A"/>
    <w:rsid w:val="00FF5535"/>
    <w:rsid w:val="00FF737C"/>
    <w:rsid w:val="010158D6"/>
    <w:rsid w:val="01032876"/>
    <w:rsid w:val="010A478A"/>
    <w:rsid w:val="010C5220"/>
    <w:rsid w:val="011A24F4"/>
    <w:rsid w:val="011C0F32"/>
    <w:rsid w:val="0123584C"/>
    <w:rsid w:val="01247F56"/>
    <w:rsid w:val="012A2BC3"/>
    <w:rsid w:val="012B4701"/>
    <w:rsid w:val="012D0479"/>
    <w:rsid w:val="012F2443"/>
    <w:rsid w:val="013627B1"/>
    <w:rsid w:val="01390BCC"/>
    <w:rsid w:val="014643F0"/>
    <w:rsid w:val="014B08FF"/>
    <w:rsid w:val="01585620"/>
    <w:rsid w:val="015B6D94"/>
    <w:rsid w:val="015C2B0C"/>
    <w:rsid w:val="015C70DD"/>
    <w:rsid w:val="01610122"/>
    <w:rsid w:val="01635C49"/>
    <w:rsid w:val="016A7234"/>
    <w:rsid w:val="016B230B"/>
    <w:rsid w:val="016B4D07"/>
    <w:rsid w:val="01706C6B"/>
    <w:rsid w:val="017265DB"/>
    <w:rsid w:val="01746289"/>
    <w:rsid w:val="01785B98"/>
    <w:rsid w:val="017B2B13"/>
    <w:rsid w:val="0183452C"/>
    <w:rsid w:val="018A58CB"/>
    <w:rsid w:val="018B22D5"/>
    <w:rsid w:val="01965C55"/>
    <w:rsid w:val="019D73AC"/>
    <w:rsid w:val="01A6582C"/>
    <w:rsid w:val="01A8508C"/>
    <w:rsid w:val="01A87AFF"/>
    <w:rsid w:val="01B6046E"/>
    <w:rsid w:val="01BD53AC"/>
    <w:rsid w:val="01C05F2B"/>
    <w:rsid w:val="01C23BCB"/>
    <w:rsid w:val="01C74C9C"/>
    <w:rsid w:val="01CA216C"/>
    <w:rsid w:val="01CE3A0A"/>
    <w:rsid w:val="01D152A8"/>
    <w:rsid w:val="01D504AD"/>
    <w:rsid w:val="01D628BE"/>
    <w:rsid w:val="01E10C9F"/>
    <w:rsid w:val="01E814AD"/>
    <w:rsid w:val="01EC20E2"/>
    <w:rsid w:val="01ED654E"/>
    <w:rsid w:val="01EE5E5A"/>
    <w:rsid w:val="01EF7A5D"/>
    <w:rsid w:val="01F002ED"/>
    <w:rsid w:val="01F64D0F"/>
    <w:rsid w:val="01FA5486"/>
    <w:rsid w:val="01FD60CF"/>
    <w:rsid w:val="02005B8D"/>
    <w:rsid w:val="020415DC"/>
    <w:rsid w:val="020E2058"/>
    <w:rsid w:val="02145195"/>
    <w:rsid w:val="021A0519"/>
    <w:rsid w:val="022434EB"/>
    <w:rsid w:val="02265790"/>
    <w:rsid w:val="022B3571"/>
    <w:rsid w:val="022B40C3"/>
    <w:rsid w:val="022C6982"/>
    <w:rsid w:val="022F7E9A"/>
    <w:rsid w:val="02313F99"/>
    <w:rsid w:val="02383B49"/>
    <w:rsid w:val="02385327"/>
    <w:rsid w:val="023F0464"/>
    <w:rsid w:val="023F1A82"/>
    <w:rsid w:val="02405F8A"/>
    <w:rsid w:val="024737BC"/>
    <w:rsid w:val="02493090"/>
    <w:rsid w:val="02535CBD"/>
    <w:rsid w:val="02543CE2"/>
    <w:rsid w:val="02554B69"/>
    <w:rsid w:val="02567774"/>
    <w:rsid w:val="025B32B1"/>
    <w:rsid w:val="025F0B06"/>
    <w:rsid w:val="02775E4F"/>
    <w:rsid w:val="027B461D"/>
    <w:rsid w:val="027D020B"/>
    <w:rsid w:val="02881E0B"/>
    <w:rsid w:val="02883939"/>
    <w:rsid w:val="028C11CF"/>
    <w:rsid w:val="02900CBF"/>
    <w:rsid w:val="02902A6D"/>
    <w:rsid w:val="029D6A57"/>
    <w:rsid w:val="029F4D63"/>
    <w:rsid w:val="029F7E9C"/>
    <w:rsid w:val="02A62291"/>
    <w:rsid w:val="02B71295"/>
    <w:rsid w:val="02BE75AE"/>
    <w:rsid w:val="02BF2193"/>
    <w:rsid w:val="02BF23FC"/>
    <w:rsid w:val="02C31531"/>
    <w:rsid w:val="02C4662B"/>
    <w:rsid w:val="02CF3DDF"/>
    <w:rsid w:val="02D01386"/>
    <w:rsid w:val="02D12A6D"/>
    <w:rsid w:val="02D23086"/>
    <w:rsid w:val="02D82FEA"/>
    <w:rsid w:val="02E01C47"/>
    <w:rsid w:val="02E132C9"/>
    <w:rsid w:val="02E42DB9"/>
    <w:rsid w:val="02E5796C"/>
    <w:rsid w:val="02EB4148"/>
    <w:rsid w:val="02ED4364"/>
    <w:rsid w:val="030555C0"/>
    <w:rsid w:val="03086AA8"/>
    <w:rsid w:val="030A23FA"/>
    <w:rsid w:val="030E7E36"/>
    <w:rsid w:val="030F3FA6"/>
    <w:rsid w:val="03127926"/>
    <w:rsid w:val="03127943"/>
    <w:rsid w:val="031747D3"/>
    <w:rsid w:val="031B2C7F"/>
    <w:rsid w:val="03247659"/>
    <w:rsid w:val="032A1114"/>
    <w:rsid w:val="032B3C1C"/>
    <w:rsid w:val="032C4E8C"/>
    <w:rsid w:val="032C7F14"/>
    <w:rsid w:val="03351867"/>
    <w:rsid w:val="03372A1A"/>
    <w:rsid w:val="03393105"/>
    <w:rsid w:val="03404493"/>
    <w:rsid w:val="034321D6"/>
    <w:rsid w:val="034621EB"/>
    <w:rsid w:val="034F2928"/>
    <w:rsid w:val="035954C6"/>
    <w:rsid w:val="035B7DA1"/>
    <w:rsid w:val="035C62E4"/>
    <w:rsid w:val="035E2049"/>
    <w:rsid w:val="03634626"/>
    <w:rsid w:val="03667EC9"/>
    <w:rsid w:val="036F4D79"/>
    <w:rsid w:val="03724FB1"/>
    <w:rsid w:val="037738B0"/>
    <w:rsid w:val="037A4482"/>
    <w:rsid w:val="037E0AF9"/>
    <w:rsid w:val="038F0F77"/>
    <w:rsid w:val="03991DF6"/>
    <w:rsid w:val="0399430E"/>
    <w:rsid w:val="03996B49"/>
    <w:rsid w:val="03A63E0F"/>
    <w:rsid w:val="03AC1B29"/>
    <w:rsid w:val="03AC38D7"/>
    <w:rsid w:val="03B01967"/>
    <w:rsid w:val="03B364B5"/>
    <w:rsid w:val="03B93559"/>
    <w:rsid w:val="03BE185C"/>
    <w:rsid w:val="03C33F93"/>
    <w:rsid w:val="03C52BEB"/>
    <w:rsid w:val="03C74AF8"/>
    <w:rsid w:val="03CE7CF1"/>
    <w:rsid w:val="03D82A59"/>
    <w:rsid w:val="03DB41BC"/>
    <w:rsid w:val="03DF5953"/>
    <w:rsid w:val="03E14352"/>
    <w:rsid w:val="03EA43FF"/>
    <w:rsid w:val="03EE3EEF"/>
    <w:rsid w:val="040145C5"/>
    <w:rsid w:val="04082AD7"/>
    <w:rsid w:val="04090D29"/>
    <w:rsid w:val="04095165"/>
    <w:rsid w:val="041268EE"/>
    <w:rsid w:val="04163446"/>
    <w:rsid w:val="041B0A5C"/>
    <w:rsid w:val="041D4120"/>
    <w:rsid w:val="042D5ACB"/>
    <w:rsid w:val="043164D2"/>
    <w:rsid w:val="043438CC"/>
    <w:rsid w:val="04365896"/>
    <w:rsid w:val="04387860"/>
    <w:rsid w:val="04390EE3"/>
    <w:rsid w:val="043B4C5B"/>
    <w:rsid w:val="043B53EF"/>
    <w:rsid w:val="043D4E77"/>
    <w:rsid w:val="04402271"/>
    <w:rsid w:val="044340F8"/>
    <w:rsid w:val="04500E36"/>
    <w:rsid w:val="04543ED4"/>
    <w:rsid w:val="04572E04"/>
    <w:rsid w:val="045A1585"/>
    <w:rsid w:val="045D1075"/>
    <w:rsid w:val="045D2B16"/>
    <w:rsid w:val="0464767F"/>
    <w:rsid w:val="04675A50"/>
    <w:rsid w:val="04690873"/>
    <w:rsid w:val="04695C6C"/>
    <w:rsid w:val="047363D2"/>
    <w:rsid w:val="04781A0B"/>
    <w:rsid w:val="047C66AE"/>
    <w:rsid w:val="047C774D"/>
    <w:rsid w:val="04810C06"/>
    <w:rsid w:val="04877EA0"/>
    <w:rsid w:val="049727D9"/>
    <w:rsid w:val="049D5915"/>
    <w:rsid w:val="04AD777A"/>
    <w:rsid w:val="04B74C29"/>
    <w:rsid w:val="04BE1A1B"/>
    <w:rsid w:val="04C3537C"/>
    <w:rsid w:val="04C742A1"/>
    <w:rsid w:val="04CC2600"/>
    <w:rsid w:val="04D01847"/>
    <w:rsid w:val="04D035F5"/>
    <w:rsid w:val="04D97978"/>
    <w:rsid w:val="04DC4690"/>
    <w:rsid w:val="04E010E8"/>
    <w:rsid w:val="04EB042F"/>
    <w:rsid w:val="04ED7C3B"/>
    <w:rsid w:val="04F01EE9"/>
    <w:rsid w:val="04F75026"/>
    <w:rsid w:val="04F80D9E"/>
    <w:rsid w:val="04FA68C4"/>
    <w:rsid w:val="05047734"/>
    <w:rsid w:val="051554AC"/>
    <w:rsid w:val="05184F9C"/>
    <w:rsid w:val="051924E5"/>
    <w:rsid w:val="051B7443"/>
    <w:rsid w:val="051E25B2"/>
    <w:rsid w:val="051F632A"/>
    <w:rsid w:val="05237BC9"/>
    <w:rsid w:val="052501E7"/>
    <w:rsid w:val="05290F57"/>
    <w:rsid w:val="052A0CDB"/>
    <w:rsid w:val="052B1173"/>
    <w:rsid w:val="053D466A"/>
    <w:rsid w:val="054B35C3"/>
    <w:rsid w:val="054E0BD0"/>
    <w:rsid w:val="05526700"/>
    <w:rsid w:val="055406CA"/>
    <w:rsid w:val="055F2BCB"/>
    <w:rsid w:val="056D353A"/>
    <w:rsid w:val="056E219E"/>
    <w:rsid w:val="057A6F53"/>
    <w:rsid w:val="057F3D31"/>
    <w:rsid w:val="058021A2"/>
    <w:rsid w:val="0581047D"/>
    <w:rsid w:val="0596483F"/>
    <w:rsid w:val="059A0E96"/>
    <w:rsid w:val="059A3C03"/>
    <w:rsid w:val="05A512C7"/>
    <w:rsid w:val="05B63298"/>
    <w:rsid w:val="05BD626F"/>
    <w:rsid w:val="05C66E38"/>
    <w:rsid w:val="05C9581A"/>
    <w:rsid w:val="05E41A4E"/>
    <w:rsid w:val="05E7422F"/>
    <w:rsid w:val="05E80E12"/>
    <w:rsid w:val="05EF03F3"/>
    <w:rsid w:val="05F26039"/>
    <w:rsid w:val="05F61781"/>
    <w:rsid w:val="05F91229"/>
    <w:rsid w:val="0600615C"/>
    <w:rsid w:val="0607513C"/>
    <w:rsid w:val="060914B4"/>
    <w:rsid w:val="06091535"/>
    <w:rsid w:val="060A3675"/>
    <w:rsid w:val="06113AEC"/>
    <w:rsid w:val="061C2CBF"/>
    <w:rsid w:val="061D6D0E"/>
    <w:rsid w:val="06293905"/>
    <w:rsid w:val="063A78C0"/>
    <w:rsid w:val="06450013"/>
    <w:rsid w:val="0648365F"/>
    <w:rsid w:val="064C75F3"/>
    <w:rsid w:val="065624AB"/>
    <w:rsid w:val="065668D5"/>
    <w:rsid w:val="06590BF7"/>
    <w:rsid w:val="065C74ED"/>
    <w:rsid w:val="065D29AD"/>
    <w:rsid w:val="066C52D8"/>
    <w:rsid w:val="067139D7"/>
    <w:rsid w:val="067508F8"/>
    <w:rsid w:val="0676641E"/>
    <w:rsid w:val="067B3A34"/>
    <w:rsid w:val="067B57E2"/>
    <w:rsid w:val="06826B71"/>
    <w:rsid w:val="06840B3B"/>
    <w:rsid w:val="068428E9"/>
    <w:rsid w:val="06897040"/>
    <w:rsid w:val="06935222"/>
    <w:rsid w:val="069D323A"/>
    <w:rsid w:val="06A85B68"/>
    <w:rsid w:val="06AA696E"/>
    <w:rsid w:val="06AD1D55"/>
    <w:rsid w:val="06B25C3E"/>
    <w:rsid w:val="06B50CF4"/>
    <w:rsid w:val="06BD5DFB"/>
    <w:rsid w:val="06C52986"/>
    <w:rsid w:val="06C70A28"/>
    <w:rsid w:val="06C947A0"/>
    <w:rsid w:val="06CD49B3"/>
    <w:rsid w:val="06D00C65"/>
    <w:rsid w:val="06D53145"/>
    <w:rsid w:val="06D57225"/>
    <w:rsid w:val="06D73361"/>
    <w:rsid w:val="06E23AB3"/>
    <w:rsid w:val="06E70A73"/>
    <w:rsid w:val="06EC048E"/>
    <w:rsid w:val="06F061D0"/>
    <w:rsid w:val="06F35CC1"/>
    <w:rsid w:val="06F67604"/>
    <w:rsid w:val="06F7130D"/>
    <w:rsid w:val="06FD5CF4"/>
    <w:rsid w:val="06FF37C7"/>
    <w:rsid w:val="06FF4665"/>
    <w:rsid w:val="07033CC6"/>
    <w:rsid w:val="07054490"/>
    <w:rsid w:val="070563A8"/>
    <w:rsid w:val="07061550"/>
    <w:rsid w:val="070677A2"/>
    <w:rsid w:val="0708351A"/>
    <w:rsid w:val="07131EBF"/>
    <w:rsid w:val="07181283"/>
    <w:rsid w:val="071B62B2"/>
    <w:rsid w:val="071C6FC5"/>
    <w:rsid w:val="071F545F"/>
    <w:rsid w:val="072A0749"/>
    <w:rsid w:val="072A7934"/>
    <w:rsid w:val="07372051"/>
    <w:rsid w:val="073E6F3C"/>
    <w:rsid w:val="073F0721"/>
    <w:rsid w:val="07434552"/>
    <w:rsid w:val="0743798D"/>
    <w:rsid w:val="074A1D85"/>
    <w:rsid w:val="074D53D1"/>
    <w:rsid w:val="075176D6"/>
    <w:rsid w:val="075B48E7"/>
    <w:rsid w:val="075E1961"/>
    <w:rsid w:val="075F7B92"/>
    <w:rsid w:val="0764271A"/>
    <w:rsid w:val="07660241"/>
    <w:rsid w:val="07740BAF"/>
    <w:rsid w:val="07751FFB"/>
    <w:rsid w:val="077D7D70"/>
    <w:rsid w:val="077F14C3"/>
    <w:rsid w:val="07807554"/>
    <w:rsid w:val="078D3A1F"/>
    <w:rsid w:val="078D3D72"/>
    <w:rsid w:val="0797664C"/>
    <w:rsid w:val="079B5FAE"/>
    <w:rsid w:val="07A441B9"/>
    <w:rsid w:val="07BA1396"/>
    <w:rsid w:val="07C80D81"/>
    <w:rsid w:val="07CD1555"/>
    <w:rsid w:val="07CF2DCA"/>
    <w:rsid w:val="07CF5DE6"/>
    <w:rsid w:val="07D17BEF"/>
    <w:rsid w:val="07D653C6"/>
    <w:rsid w:val="07DA3C7E"/>
    <w:rsid w:val="07DA558D"/>
    <w:rsid w:val="07DC1277"/>
    <w:rsid w:val="07DE7CF0"/>
    <w:rsid w:val="07F81306"/>
    <w:rsid w:val="07F96AAF"/>
    <w:rsid w:val="07FD1E57"/>
    <w:rsid w:val="07FE491D"/>
    <w:rsid w:val="08013837"/>
    <w:rsid w:val="08033CE1"/>
    <w:rsid w:val="080B3C78"/>
    <w:rsid w:val="080D517C"/>
    <w:rsid w:val="08104ABC"/>
    <w:rsid w:val="08114650"/>
    <w:rsid w:val="08123F24"/>
    <w:rsid w:val="08167EB9"/>
    <w:rsid w:val="081859DF"/>
    <w:rsid w:val="0828199A"/>
    <w:rsid w:val="082A4BAF"/>
    <w:rsid w:val="082C3238"/>
    <w:rsid w:val="08316AA1"/>
    <w:rsid w:val="0834033F"/>
    <w:rsid w:val="08362309"/>
    <w:rsid w:val="083A3B72"/>
    <w:rsid w:val="083E4D1A"/>
    <w:rsid w:val="08493DEA"/>
    <w:rsid w:val="084C5688"/>
    <w:rsid w:val="084D7F0F"/>
    <w:rsid w:val="085D5AE7"/>
    <w:rsid w:val="085F10A3"/>
    <w:rsid w:val="086E23B9"/>
    <w:rsid w:val="08776EA3"/>
    <w:rsid w:val="087B41C0"/>
    <w:rsid w:val="088072A7"/>
    <w:rsid w:val="088210AA"/>
    <w:rsid w:val="08836BD0"/>
    <w:rsid w:val="08836E44"/>
    <w:rsid w:val="08844E22"/>
    <w:rsid w:val="08852948"/>
    <w:rsid w:val="088766C0"/>
    <w:rsid w:val="0889068B"/>
    <w:rsid w:val="088B6743"/>
    <w:rsid w:val="088D63FF"/>
    <w:rsid w:val="089A4646"/>
    <w:rsid w:val="08A54D99"/>
    <w:rsid w:val="08A74BAF"/>
    <w:rsid w:val="08A80BF9"/>
    <w:rsid w:val="08B1373D"/>
    <w:rsid w:val="08B41C63"/>
    <w:rsid w:val="08B90206"/>
    <w:rsid w:val="08C06C18"/>
    <w:rsid w:val="08C07F22"/>
    <w:rsid w:val="08E04023"/>
    <w:rsid w:val="08E21B49"/>
    <w:rsid w:val="08E22397"/>
    <w:rsid w:val="08E60796"/>
    <w:rsid w:val="08EB4EA1"/>
    <w:rsid w:val="08ED6E6B"/>
    <w:rsid w:val="08FD13DF"/>
    <w:rsid w:val="08FF4497"/>
    <w:rsid w:val="090E6DE2"/>
    <w:rsid w:val="0917773B"/>
    <w:rsid w:val="0922463B"/>
    <w:rsid w:val="092621BD"/>
    <w:rsid w:val="09263E2D"/>
    <w:rsid w:val="0926412B"/>
    <w:rsid w:val="09310546"/>
    <w:rsid w:val="093323A4"/>
    <w:rsid w:val="093A1985"/>
    <w:rsid w:val="093F6F9B"/>
    <w:rsid w:val="094576C5"/>
    <w:rsid w:val="094713A9"/>
    <w:rsid w:val="09497E1A"/>
    <w:rsid w:val="094E3197"/>
    <w:rsid w:val="094E36A6"/>
    <w:rsid w:val="094E71DE"/>
    <w:rsid w:val="095073FA"/>
    <w:rsid w:val="0952649D"/>
    <w:rsid w:val="09526CCE"/>
    <w:rsid w:val="09534587"/>
    <w:rsid w:val="0955714E"/>
    <w:rsid w:val="09572537"/>
    <w:rsid w:val="095A3DD5"/>
    <w:rsid w:val="096064EB"/>
    <w:rsid w:val="096E59C3"/>
    <w:rsid w:val="097035F9"/>
    <w:rsid w:val="09850374"/>
    <w:rsid w:val="09904F19"/>
    <w:rsid w:val="09930116"/>
    <w:rsid w:val="099472E7"/>
    <w:rsid w:val="09970B85"/>
    <w:rsid w:val="09A6701A"/>
    <w:rsid w:val="09B41187"/>
    <w:rsid w:val="09B434E5"/>
    <w:rsid w:val="09BC05EC"/>
    <w:rsid w:val="09BC6BD8"/>
    <w:rsid w:val="09C000DC"/>
    <w:rsid w:val="09C864A0"/>
    <w:rsid w:val="09CD1222"/>
    <w:rsid w:val="09CF6DEE"/>
    <w:rsid w:val="09D73678"/>
    <w:rsid w:val="09D92F4C"/>
    <w:rsid w:val="09DB7E50"/>
    <w:rsid w:val="09E22951"/>
    <w:rsid w:val="09E65669"/>
    <w:rsid w:val="09EB2C7F"/>
    <w:rsid w:val="09ED3F02"/>
    <w:rsid w:val="09EF451D"/>
    <w:rsid w:val="09F213E5"/>
    <w:rsid w:val="09F80285"/>
    <w:rsid w:val="09FE0C04"/>
    <w:rsid w:val="0A0552DC"/>
    <w:rsid w:val="0A0674F1"/>
    <w:rsid w:val="0A083831"/>
    <w:rsid w:val="0A132A38"/>
    <w:rsid w:val="0A196E22"/>
    <w:rsid w:val="0A1C7B60"/>
    <w:rsid w:val="0A256191"/>
    <w:rsid w:val="0A2D217F"/>
    <w:rsid w:val="0A2F212A"/>
    <w:rsid w:val="0A4A5BF8"/>
    <w:rsid w:val="0A4C0A3A"/>
    <w:rsid w:val="0A544CC8"/>
    <w:rsid w:val="0A650C83"/>
    <w:rsid w:val="0A6C33C7"/>
    <w:rsid w:val="0A71142C"/>
    <w:rsid w:val="0A79472F"/>
    <w:rsid w:val="0A8F7AAE"/>
    <w:rsid w:val="0A917CCA"/>
    <w:rsid w:val="0AA04887"/>
    <w:rsid w:val="0AA07F0D"/>
    <w:rsid w:val="0AA6773F"/>
    <w:rsid w:val="0AA74DF8"/>
    <w:rsid w:val="0AA90552"/>
    <w:rsid w:val="0AA9231F"/>
    <w:rsid w:val="0AAC77CD"/>
    <w:rsid w:val="0AB50447"/>
    <w:rsid w:val="0AB731E2"/>
    <w:rsid w:val="0AB87005"/>
    <w:rsid w:val="0ABA6B90"/>
    <w:rsid w:val="0ABC77BD"/>
    <w:rsid w:val="0AC77248"/>
    <w:rsid w:val="0AD02A5C"/>
    <w:rsid w:val="0AD46087"/>
    <w:rsid w:val="0ADA71CA"/>
    <w:rsid w:val="0AE0655C"/>
    <w:rsid w:val="0AE20526"/>
    <w:rsid w:val="0AF52007"/>
    <w:rsid w:val="0AFA13CC"/>
    <w:rsid w:val="0B071D3B"/>
    <w:rsid w:val="0B0A26E0"/>
    <w:rsid w:val="0B0E46C9"/>
    <w:rsid w:val="0B1070B9"/>
    <w:rsid w:val="0B1A0C31"/>
    <w:rsid w:val="0B1C57E6"/>
    <w:rsid w:val="0B1D32F6"/>
    <w:rsid w:val="0B1F7084"/>
    <w:rsid w:val="0B294B7B"/>
    <w:rsid w:val="0B294C45"/>
    <w:rsid w:val="0B331B59"/>
    <w:rsid w:val="0B3D39AE"/>
    <w:rsid w:val="0B3D750A"/>
    <w:rsid w:val="0B407FF4"/>
    <w:rsid w:val="0B460E7A"/>
    <w:rsid w:val="0B470389"/>
    <w:rsid w:val="0B4B3477"/>
    <w:rsid w:val="0B574A70"/>
    <w:rsid w:val="0B5807E8"/>
    <w:rsid w:val="0B593B92"/>
    <w:rsid w:val="0B6B22C9"/>
    <w:rsid w:val="0B6F1C37"/>
    <w:rsid w:val="0B760B1D"/>
    <w:rsid w:val="0B771008"/>
    <w:rsid w:val="0B7849E6"/>
    <w:rsid w:val="0B7A0D25"/>
    <w:rsid w:val="0B7D1FFD"/>
    <w:rsid w:val="0B7F7591"/>
    <w:rsid w:val="0B8571EF"/>
    <w:rsid w:val="0B8849A2"/>
    <w:rsid w:val="0B896BF3"/>
    <w:rsid w:val="0B9C06D5"/>
    <w:rsid w:val="0BB377CC"/>
    <w:rsid w:val="0BB54D18"/>
    <w:rsid w:val="0BB55B0D"/>
    <w:rsid w:val="0BBC2B25"/>
    <w:rsid w:val="0BBE637E"/>
    <w:rsid w:val="0BBF6171"/>
    <w:rsid w:val="0BCB4B16"/>
    <w:rsid w:val="0BCF0AAA"/>
    <w:rsid w:val="0BD47E6F"/>
    <w:rsid w:val="0BD9521E"/>
    <w:rsid w:val="0BEF4CA9"/>
    <w:rsid w:val="0BF422BF"/>
    <w:rsid w:val="0BFA53FB"/>
    <w:rsid w:val="0BFA694E"/>
    <w:rsid w:val="0C040CA4"/>
    <w:rsid w:val="0C085D6A"/>
    <w:rsid w:val="0C0B13B7"/>
    <w:rsid w:val="0C0C2D55"/>
    <w:rsid w:val="0C1C35C4"/>
    <w:rsid w:val="0C221812"/>
    <w:rsid w:val="0C2732B4"/>
    <w:rsid w:val="0C3D1EB8"/>
    <w:rsid w:val="0C405504"/>
    <w:rsid w:val="0C415E2F"/>
    <w:rsid w:val="0C452B1A"/>
    <w:rsid w:val="0C466580"/>
    <w:rsid w:val="0C485C69"/>
    <w:rsid w:val="0C4D7C21"/>
    <w:rsid w:val="0C6218D8"/>
    <w:rsid w:val="0C6236CC"/>
    <w:rsid w:val="0C650D19"/>
    <w:rsid w:val="0C6968FB"/>
    <w:rsid w:val="0C6A4BF2"/>
    <w:rsid w:val="0C6C331C"/>
    <w:rsid w:val="0C6F48C0"/>
    <w:rsid w:val="0C774C9E"/>
    <w:rsid w:val="0C776A4C"/>
    <w:rsid w:val="0C790A16"/>
    <w:rsid w:val="0C7915F5"/>
    <w:rsid w:val="0C833643"/>
    <w:rsid w:val="0C873133"/>
    <w:rsid w:val="0C8973F9"/>
    <w:rsid w:val="0C8A01D8"/>
    <w:rsid w:val="0C8A49D1"/>
    <w:rsid w:val="0C8C0749"/>
    <w:rsid w:val="0C943AA2"/>
    <w:rsid w:val="0CB35CD6"/>
    <w:rsid w:val="0CB8153E"/>
    <w:rsid w:val="0CC0427B"/>
    <w:rsid w:val="0CCE1AC4"/>
    <w:rsid w:val="0CCE2B10"/>
    <w:rsid w:val="0CDA7E69"/>
    <w:rsid w:val="0CDB347F"/>
    <w:rsid w:val="0CE02843"/>
    <w:rsid w:val="0CE73BD2"/>
    <w:rsid w:val="0CED12FD"/>
    <w:rsid w:val="0CED62ED"/>
    <w:rsid w:val="0CF06885"/>
    <w:rsid w:val="0CF307C8"/>
    <w:rsid w:val="0CFD33F5"/>
    <w:rsid w:val="0CFF716D"/>
    <w:rsid w:val="0D004C93"/>
    <w:rsid w:val="0D0C188A"/>
    <w:rsid w:val="0D0C53E6"/>
    <w:rsid w:val="0D1B2F9F"/>
    <w:rsid w:val="0D1E49FB"/>
    <w:rsid w:val="0D1F15BD"/>
    <w:rsid w:val="0D246BC6"/>
    <w:rsid w:val="0D2941EA"/>
    <w:rsid w:val="0D3315DB"/>
    <w:rsid w:val="0D33184B"/>
    <w:rsid w:val="0D3A1F53"/>
    <w:rsid w:val="0D411534"/>
    <w:rsid w:val="0D417786"/>
    <w:rsid w:val="0D42494F"/>
    <w:rsid w:val="0D4350B1"/>
    <w:rsid w:val="0D435855"/>
    <w:rsid w:val="0D442CEA"/>
    <w:rsid w:val="0D505C1B"/>
    <w:rsid w:val="0D512C16"/>
    <w:rsid w:val="0D51729D"/>
    <w:rsid w:val="0D674D12"/>
    <w:rsid w:val="0D6B0236"/>
    <w:rsid w:val="0D6D19B3"/>
    <w:rsid w:val="0D6E60A1"/>
    <w:rsid w:val="0D731909"/>
    <w:rsid w:val="0D754463"/>
    <w:rsid w:val="0D815DD4"/>
    <w:rsid w:val="0D841421"/>
    <w:rsid w:val="0D851C9F"/>
    <w:rsid w:val="0D9F625A"/>
    <w:rsid w:val="0DA16476"/>
    <w:rsid w:val="0DA21BF2"/>
    <w:rsid w:val="0DA442E1"/>
    <w:rsid w:val="0DA64DA0"/>
    <w:rsid w:val="0DA83892"/>
    <w:rsid w:val="0DAA1045"/>
    <w:rsid w:val="0DAB10A3"/>
    <w:rsid w:val="0DAC149F"/>
    <w:rsid w:val="0DC43F13"/>
    <w:rsid w:val="0DC65EDD"/>
    <w:rsid w:val="0DCC3373"/>
    <w:rsid w:val="0DCD726B"/>
    <w:rsid w:val="0DD26630"/>
    <w:rsid w:val="0DD71E98"/>
    <w:rsid w:val="0DDA7292"/>
    <w:rsid w:val="0DDC6A48"/>
    <w:rsid w:val="0DEB059C"/>
    <w:rsid w:val="0DEC48DE"/>
    <w:rsid w:val="0DEE2A18"/>
    <w:rsid w:val="0DF10651"/>
    <w:rsid w:val="0DFC36AD"/>
    <w:rsid w:val="0E010CC3"/>
    <w:rsid w:val="0E083E00"/>
    <w:rsid w:val="0E0A401C"/>
    <w:rsid w:val="0E0E518E"/>
    <w:rsid w:val="0E0F33E0"/>
    <w:rsid w:val="0E184B61"/>
    <w:rsid w:val="0E190991"/>
    <w:rsid w:val="0E1E1A34"/>
    <w:rsid w:val="0E213113"/>
    <w:rsid w:val="0E237112"/>
    <w:rsid w:val="0E26072A"/>
    <w:rsid w:val="0E266475"/>
    <w:rsid w:val="0E2844A2"/>
    <w:rsid w:val="0E2B5D40"/>
    <w:rsid w:val="0E342E47"/>
    <w:rsid w:val="0E407A3D"/>
    <w:rsid w:val="0E424441"/>
    <w:rsid w:val="0E4868F2"/>
    <w:rsid w:val="0E492AD6"/>
    <w:rsid w:val="0E4D5F06"/>
    <w:rsid w:val="0E4F11D9"/>
    <w:rsid w:val="0E535C12"/>
    <w:rsid w:val="0E5434E9"/>
    <w:rsid w:val="0E611573"/>
    <w:rsid w:val="0E63197E"/>
    <w:rsid w:val="0E682AF0"/>
    <w:rsid w:val="0E6B0E94"/>
    <w:rsid w:val="0E736CD5"/>
    <w:rsid w:val="0E7F107C"/>
    <w:rsid w:val="0E813BB2"/>
    <w:rsid w:val="0E88543D"/>
    <w:rsid w:val="0E8C0F17"/>
    <w:rsid w:val="0E8C2C83"/>
    <w:rsid w:val="0E8D69FB"/>
    <w:rsid w:val="0E910299"/>
    <w:rsid w:val="0EA82C30"/>
    <w:rsid w:val="0EAD4E22"/>
    <w:rsid w:val="0EAE483F"/>
    <w:rsid w:val="0EB61AAE"/>
    <w:rsid w:val="0EB84C8D"/>
    <w:rsid w:val="0EB9334C"/>
    <w:rsid w:val="0EBA02CF"/>
    <w:rsid w:val="0ECC12D1"/>
    <w:rsid w:val="0ED14B39"/>
    <w:rsid w:val="0ED84277"/>
    <w:rsid w:val="0EDB59B8"/>
    <w:rsid w:val="0EDC362F"/>
    <w:rsid w:val="0EDE2DB2"/>
    <w:rsid w:val="0EE26D46"/>
    <w:rsid w:val="0EEF4FBF"/>
    <w:rsid w:val="0EF32D02"/>
    <w:rsid w:val="0EF54A74"/>
    <w:rsid w:val="0EF83E74"/>
    <w:rsid w:val="0EFB7AC4"/>
    <w:rsid w:val="0EFF0F08"/>
    <w:rsid w:val="0F0535D0"/>
    <w:rsid w:val="0F0A3BA7"/>
    <w:rsid w:val="0F105B51"/>
    <w:rsid w:val="0F16254C"/>
    <w:rsid w:val="0F1B3897"/>
    <w:rsid w:val="0F1C2932"/>
    <w:rsid w:val="0F29227F"/>
    <w:rsid w:val="0F380CF4"/>
    <w:rsid w:val="0F3B2FEA"/>
    <w:rsid w:val="0F4152A0"/>
    <w:rsid w:val="0F4277E5"/>
    <w:rsid w:val="0F503CB0"/>
    <w:rsid w:val="0F5B2655"/>
    <w:rsid w:val="0F5B4403"/>
    <w:rsid w:val="0F646976"/>
    <w:rsid w:val="0F6A2898"/>
    <w:rsid w:val="0F784FB5"/>
    <w:rsid w:val="0F797617"/>
    <w:rsid w:val="0F876D07"/>
    <w:rsid w:val="0F884C20"/>
    <w:rsid w:val="0F8C6CB2"/>
    <w:rsid w:val="0F8D0895"/>
    <w:rsid w:val="0F9242C9"/>
    <w:rsid w:val="0F931DEF"/>
    <w:rsid w:val="0F9B0CA3"/>
    <w:rsid w:val="0F9C52EC"/>
    <w:rsid w:val="0FA57681"/>
    <w:rsid w:val="0FB02475"/>
    <w:rsid w:val="0FBA737B"/>
    <w:rsid w:val="0FC401FA"/>
    <w:rsid w:val="0FC7596C"/>
    <w:rsid w:val="0FCE2E27"/>
    <w:rsid w:val="0FCE72CB"/>
    <w:rsid w:val="0FD22917"/>
    <w:rsid w:val="0FDA17CC"/>
    <w:rsid w:val="0FED59A3"/>
    <w:rsid w:val="0FF075FC"/>
    <w:rsid w:val="0FF30ADF"/>
    <w:rsid w:val="0FF46464"/>
    <w:rsid w:val="0FF46D31"/>
    <w:rsid w:val="0FF64731"/>
    <w:rsid w:val="0FFA4248"/>
    <w:rsid w:val="10042187"/>
    <w:rsid w:val="100625C1"/>
    <w:rsid w:val="100B407B"/>
    <w:rsid w:val="100B5E29"/>
    <w:rsid w:val="10135B48"/>
    <w:rsid w:val="10137E61"/>
    <w:rsid w:val="101414CD"/>
    <w:rsid w:val="101C3B92"/>
    <w:rsid w:val="10240C99"/>
    <w:rsid w:val="102962AF"/>
    <w:rsid w:val="102D5D9F"/>
    <w:rsid w:val="1034348A"/>
    <w:rsid w:val="103C5FE2"/>
    <w:rsid w:val="104B26C9"/>
    <w:rsid w:val="104D01F0"/>
    <w:rsid w:val="104E5594"/>
    <w:rsid w:val="10507CE0"/>
    <w:rsid w:val="105570A4"/>
    <w:rsid w:val="1057207C"/>
    <w:rsid w:val="107734BE"/>
    <w:rsid w:val="107B2FAF"/>
    <w:rsid w:val="10831E63"/>
    <w:rsid w:val="10833C11"/>
    <w:rsid w:val="10904417"/>
    <w:rsid w:val="1095254D"/>
    <w:rsid w:val="1097159C"/>
    <w:rsid w:val="10975F76"/>
    <w:rsid w:val="10993435"/>
    <w:rsid w:val="10AB12C6"/>
    <w:rsid w:val="10AD6EE0"/>
    <w:rsid w:val="10BE03C5"/>
    <w:rsid w:val="10BE2E9B"/>
    <w:rsid w:val="10BE6ECD"/>
    <w:rsid w:val="10C83D1A"/>
    <w:rsid w:val="10C85EC9"/>
    <w:rsid w:val="10D71991"/>
    <w:rsid w:val="10D91A83"/>
    <w:rsid w:val="10F008F0"/>
    <w:rsid w:val="10FF35BE"/>
    <w:rsid w:val="11021117"/>
    <w:rsid w:val="1102722C"/>
    <w:rsid w:val="110411F6"/>
    <w:rsid w:val="11056D1C"/>
    <w:rsid w:val="11063C09"/>
    <w:rsid w:val="110C7E5C"/>
    <w:rsid w:val="1111121D"/>
    <w:rsid w:val="111156C1"/>
    <w:rsid w:val="11140D0D"/>
    <w:rsid w:val="11190846"/>
    <w:rsid w:val="111A1347"/>
    <w:rsid w:val="112472F5"/>
    <w:rsid w:val="112609B5"/>
    <w:rsid w:val="112702AD"/>
    <w:rsid w:val="11270A41"/>
    <w:rsid w:val="11281252"/>
    <w:rsid w:val="1129146A"/>
    <w:rsid w:val="11315B0C"/>
    <w:rsid w:val="11317B11"/>
    <w:rsid w:val="113A2C05"/>
    <w:rsid w:val="11416BFC"/>
    <w:rsid w:val="11494E5B"/>
    <w:rsid w:val="115022D5"/>
    <w:rsid w:val="11680E76"/>
    <w:rsid w:val="11697A2D"/>
    <w:rsid w:val="116C0B49"/>
    <w:rsid w:val="116C34F3"/>
    <w:rsid w:val="117A04B7"/>
    <w:rsid w:val="117A6082"/>
    <w:rsid w:val="117F262B"/>
    <w:rsid w:val="117F400B"/>
    <w:rsid w:val="11824908"/>
    <w:rsid w:val="118659F4"/>
    <w:rsid w:val="118C1040"/>
    <w:rsid w:val="118E6C24"/>
    <w:rsid w:val="11916802"/>
    <w:rsid w:val="1193257A"/>
    <w:rsid w:val="1193320B"/>
    <w:rsid w:val="119654BE"/>
    <w:rsid w:val="11965573"/>
    <w:rsid w:val="119955E4"/>
    <w:rsid w:val="119B4F8B"/>
    <w:rsid w:val="11A23A75"/>
    <w:rsid w:val="11A6405B"/>
    <w:rsid w:val="11A71B81"/>
    <w:rsid w:val="11A85EC4"/>
    <w:rsid w:val="11AF7B88"/>
    <w:rsid w:val="11B5429E"/>
    <w:rsid w:val="11B5604C"/>
    <w:rsid w:val="11B8120C"/>
    <w:rsid w:val="11BD381D"/>
    <w:rsid w:val="11C4143B"/>
    <w:rsid w:val="11C87F42"/>
    <w:rsid w:val="11CA4231"/>
    <w:rsid w:val="11CB5870"/>
    <w:rsid w:val="11CC783A"/>
    <w:rsid w:val="11D5049D"/>
    <w:rsid w:val="11DD55A3"/>
    <w:rsid w:val="11E319B4"/>
    <w:rsid w:val="11E76422"/>
    <w:rsid w:val="11EC3A38"/>
    <w:rsid w:val="11EF3214"/>
    <w:rsid w:val="11F821AA"/>
    <w:rsid w:val="11F8418B"/>
    <w:rsid w:val="11F93499"/>
    <w:rsid w:val="11FD5C45"/>
    <w:rsid w:val="1202325C"/>
    <w:rsid w:val="12051B67"/>
    <w:rsid w:val="120668A8"/>
    <w:rsid w:val="1211524D"/>
    <w:rsid w:val="1219391F"/>
    <w:rsid w:val="1220260A"/>
    <w:rsid w:val="1220603B"/>
    <w:rsid w:val="1222745A"/>
    <w:rsid w:val="12272B3F"/>
    <w:rsid w:val="122F522F"/>
    <w:rsid w:val="123A0C48"/>
    <w:rsid w:val="123A74FE"/>
    <w:rsid w:val="12413CE6"/>
    <w:rsid w:val="124311D7"/>
    <w:rsid w:val="125910CE"/>
    <w:rsid w:val="125A3098"/>
    <w:rsid w:val="125F3A56"/>
    <w:rsid w:val="12655CC4"/>
    <w:rsid w:val="126F08F1"/>
    <w:rsid w:val="127647B5"/>
    <w:rsid w:val="12771554"/>
    <w:rsid w:val="127B54E8"/>
    <w:rsid w:val="12893DF8"/>
    <w:rsid w:val="12903F11"/>
    <w:rsid w:val="1294457F"/>
    <w:rsid w:val="12982AF8"/>
    <w:rsid w:val="1299771C"/>
    <w:rsid w:val="129E4BC1"/>
    <w:rsid w:val="12A367ED"/>
    <w:rsid w:val="12AA57E2"/>
    <w:rsid w:val="12AB3CA5"/>
    <w:rsid w:val="12BB58E4"/>
    <w:rsid w:val="12C549B5"/>
    <w:rsid w:val="12CA430C"/>
    <w:rsid w:val="12CE31C0"/>
    <w:rsid w:val="12CE4B5C"/>
    <w:rsid w:val="12D21BB6"/>
    <w:rsid w:val="12D34BE9"/>
    <w:rsid w:val="12D544CC"/>
    <w:rsid w:val="12DA6F43"/>
    <w:rsid w:val="12E110C3"/>
    <w:rsid w:val="12EE044E"/>
    <w:rsid w:val="12F31522"/>
    <w:rsid w:val="12F708E7"/>
    <w:rsid w:val="12FB4D96"/>
    <w:rsid w:val="12FD57C9"/>
    <w:rsid w:val="12FE1719"/>
    <w:rsid w:val="12FE7EC7"/>
    <w:rsid w:val="130C7119"/>
    <w:rsid w:val="131D3A26"/>
    <w:rsid w:val="1327572D"/>
    <w:rsid w:val="1332191F"/>
    <w:rsid w:val="13390EFF"/>
    <w:rsid w:val="133B2C38"/>
    <w:rsid w:val="133E2072"/>
    <w:rsid w:val="13494DE8"/>
    <w:rsid w:val="134C29E0"/>
    <w:rsid w:val="1353161F"/>
    <w:rsid w:val="13547AE7"/>
    <w:rsid w:val="135A1352"/>
    <w:rsid w:val="135A44E0"/>
    <w:rsid w:val="13611E4B"/>
    <w:rsid w:val="136179A4"/>
    <w:rsid w:val="13653AA2"/>
    <w:rsid w:val="13653F72"/>
    <w:rsid w:val="13733DDB"/>
    <w:rsid w:val="13761F94"/>
    <w:rsid w:val="137B5074"/>
    <w:rsid w:val="13824657"/>
    <w:rsid w:val="138B678C"/>
    <w:rsid w:val="138F0B1F"/>
    <w:rsid w:val="13915EF1"/>
    <w:rsid w:val="139305A0"/>
    <w:rsid w:val="139323BD"/>
    <w:rsid w:val="13960100"/>
    <w:rsid w:val="139C2A02"/>
    <w:rsid w:val="13A44AF4"/>
    <w:rsid w:val="13A7230D"/>
    <w:rsid w:val="13AA70E5"/>
    <w:rsid w:val="13AB75EB"/>
    <w:rsid w:val="13B32A60"/>
    <w:rsid w:val="13C37816"/>
    <w:rsid w:val="13C7650B"/>
    <w:rsid w:val="13D07BF2"/>
    <w:rsid w:val="13D35C6C"/>
    <w:rsid w:val="13E76BAD"/>
    <w:rsid w:val="13ED41C3"/>
    <w:rsid w:val="13EE5846"/>
    <w:rsid w:val="14060DE1"/>
    <w:rsid w:val="140C7A1E"/>
    <w:rsid w:val="14221993"/>
    <w:rsid w:val="142259AD"/>
    <w:rsid w:val="142420D7"/>
    <w:rsid w:val="142474B9"/>
    <w:rsid w:val="142676D5"/>
    <w:rsid w:val="14275069"/>
    <w:rsid w:val="142B0848"/>
    <w:rsid w:val="143E3535"/>
    <w:rsid w:val="144162BD"/>
    <w:rsid w:val="1444190A"/>
    <w:rsid w:val="144933C4"/>
    <w:rsid w:val="14537D9F"/>
    <w:rsid w:val="14567173"/>
    <w:rsid w:val="145D0881"/>
    <w:rsid w:val="145E6E6F"/>
    <w:rsid w:val="14607150"/>
    <w:rsid w:val="14636234"/>
    <w:rsid w:val="146F3792"/>
    <w:rsid w:val="146F4EE8"/>
    <w:rsid w:val="14701650"/>
    <w:rsid w:val="147C5547"/>
    <w:rsid w:val="14826483"/>
    <w:rsid w:val="14841EBA"/>
    <w:rsid w:val="148569E3"/>
    <w:rsid w:val="148C0616"/>
    <w:rsid w:val="148D397C"/>
    <w:rsid w:val="149045C0"/>
    <w:rsid w:val="14997EA7"/>
    <w:rsid w:val="149A777C"/>
    <w:rsid w:val="149C08DA"/>
    <w:rsid w:val="149E54BE"/>
    <w:rsid w:val="14A21F50"/>
    <w:rsid w:val="14AB1989"/>
    <w:rsid w:val="14AF7DDE"/>
    <w:rsid w:val="14BB36F2"/>
    <w:rsid w:val="14BC6A71"/>
    <w:rsid w:val="14C12F5A"/>
    <w:rsid w:val="14C173FE"/>
    <w:rsid w:val="14C842E9"/>
    <w:rsid w:val="14CB202B"/>
    <w:rsid w:val="14D007F8"/>
    <w:rsid w:val="14D02DF5"/>
    <w:rsid w:val="14D33A52"/>
    <w:rsid w:val="14E60C13"/>
    <w:rsid w:val="14F312C6"/>
    <w:rsid w:val="14F50E56"/>
    <w:rsid w:val="14F52C04"/>
    <w:rsid w:val="14F74BCE"/>
    <w:rsid w:val="1508619E"/>
    <w:rsid w:val="15190FE8"/>
    <w:rsid w:val="151F78A1"/>
    <w:rsid w:val="152100B3"/>
    <w:rsid w:val="15233C15"/>
    <w:rsid w:val="15267261"/>
    <w:rsid w:val="15286DC6"/>
    <w:rsid w:val="15294E65"/>
    <w:rsid w:val="152B78F9"/>
    <w:rsid w:val="152D6469"/>
    <w:rsid w:val="152D6842"/>
    <w:rsid w:val="15316332"/>
    <w:rsid w:val="15376730"/>
    <w:rsid w:val="15422A58"/>
    <w:rsid w:val="15453B8B"/>
    <w:rsid w:val="15496F89"/>
    <w:rsid w:val="154F3BD1"/>
    <w:rsid w:val="155250C1"/>
    <w:rsid w:val="155260CD"/>
    <w:rsid w:val="15593193"/>
    <w:rsid w:val="15596A7E"/>
    <w:rsid w:val="155E5D3B"/>
    <w:rsid w:val="156758B0"/>
    <w:rsid w:val="15681628"/>
    <w:rsid w:val="156A35F2"/>
    <w:rsid w:val="156C55BC"/>
    <w:rsid w:val="157717EE"/>
    <w:rsid w:val="15797E41"/>
    <w:rsid w:val="1587635B"/>
    <w:rsid w:val="158C2ACE"/>
    <w:rsid w:val="159863B1"/>
    <w:rsid w:val="159F60D3"/>
    <w:rsid w:val="15A07BB3"/>
    <w:rsid w:val="15A823B8"/>
    <w:rsid w:val="15B848AC"/>
    <w:rsid w:val="15BF56EC"/>
    <w:rsid w:val="15C31A47"/>
    <w:rsid w:val="15C43FE5"/>
    <w:rsid w:val="15C727F2"/>
    <w:rsid w:val="15CC7E09"/>
    <w:rsid w:val="15D04C3A"/>
    <w:rsid w:val="15E147E4"/>
    <w:rsid w:val="15E52977"/>
    <w:rsid w:val="15E769F0"/>
    <w:rsid w:val="15F623A2"/>
    <w:rsid w:val="16061A90"/>
    <w:rsid w:val="1606331B"/>
    <w:rsid w:val="160C2AF1"/>
    <w:rsid w:val="16104199"/>
    <w:rsid w:val="16135A37"/>
    <w:rsid w:val="16161084"/>
    <w:rsid w:val="16181094"/>
    <w:rsid w:val="161A0F05"/>
    <w:rsid w:val="161F618A"/>
    <w:rsid w:val="16210CAE"/>
    <w:rsid w:val="162363B7"/>
    <w:rsid w:val="162C4310"/>
    <w:rsid w:val="162D2B22"/>
    <w:rsid w:val="16302145"/>
    <w:rsid w:val="163211DF"/>
    <w:rsid w:val="16453622"/>
    <w:rsid w:val="16640041"/>
    <w:rsid w:val="16652C9E"/>
    <w:rsid w:val="16775FC6"/>
    <w:rsid w:val="16783AEC"/>
    <w:rsid w:val="169A1CB5"/>
    <w:rsid w:val="16BC1C2B"/>
    <w:rsid w:val="16BE1E47"/>
    <w:rsid w:val="16C15493"/>
    <w:rsid w:val="16C513AF"/>
    <w:rsid w:val="16C531D6"/>
    <w:rsid w:val="16C84A74"/>
    <w:rsid w:val="16CA07EC"/>
    <w:rsid w:val="16D1518C"/>
    <w:rsid w:val="16D72361"/>
    <w:rsid w:val="16E66CA8"/>
    <w:rsid w:val="16E7270D"/>
    <w:rsid w:val="16E949A3"/>
    <w:rsid w:val="16F338A1"/>
    <w:rsid w:val="16FD3C56"/>
    <w:rsid w:val="17027988"/>
    <w:rsid w:val="17033CFE"/>
    <w:rsid w:val="170351DB"/>
    <w:rsid w:val="171C4DC0"/>
    <w:rsid w:val="171E4694"/>
    <w:rsid w:val="171E5930"/>
    <w:rsid w:val="171F4A71"/>
    <w:rsid w:val="1740285C"/>
    <w:rsid w:val="17430327"/>
    <w:rsid w:val="174A630E"/>
    <w:rsid w:val="17525714"/>
    <w:rsid w:val="1753262A"/>
    <w:rsid w:val="17571954"/>
    <w:rsid w:val="175C434E"/>
    <w:rsid w:val="1767603B"/>
    <w:rsid w:val="176D1177"/>
    <w:rsid w:val="176F5258"/>
    <w:rsid w:val="17714B81"/>
    <w:rsid w:val="17764362"/>
    <w:rsid w:val="177B1AE6"/>
    <w:rsid w:val="177F5B60"/>
    <w:rsid w:val="17881EF7"/>
    <w:rsid w:val="178A7F7B"/>
    <w:rsid w:val="178C3C55"/>
    <w:rsid w:val="178F5592"/>
    <w:rsid w:val="17935237"/>
    <w:rsid w:val="179761F4"/>
    <w:rsid w:val="179C380B"/>
    <w:rsid w:val="179D1A5D"/>
    <w:rsid w:val="179D69EE"/>
    <w:rsid w:val="17A04DC9"/>
    <w:rsid w:val="17AC6144"/>
    <w:rsid w:val="17B10BE3"/>
    <w:rsid w:val="17B40D82"/>
    <w:rsid w:val="17B60D70"/>
    <w:rsid w:val="17B9616B"/>
    <w:rsid w:val="17B967E2"/>
    <w:rsid w:val="17C1746A"/>
    <w:rsid w:val="17C52D61"/>
    <w:rsid w:val="17C75FE2"/>
    <w:rsid w:val="17D336D0"/>
    <w:rsid w:val="17DB34F3"/>
    <w:rsid w:val="17DD62FD"/>
    <w:rsid w:val="17DE3E23"/>
    <w:rsid w:val="17E02C2C"/>
    <w:rsid w:val="17E104FE"/>
    <w:rsid w:val="17E13079"/>
    <w:rsid w:val="17E66F5B"/>
    <w:rsid w:val="17FB2C27"/>
    <w:rsid w:val="18003D99"/>
    <w:rsid w:val="180102EB"/>
    <w:rsid w:val="180939DF"/>
    <w:rsid w:val="180C273E"/>
    <w:rsid w:val="180D189D"/>
    <w:rsid w:val="180F1325"/>
    <w:rsid w:val="181A30AD"/>
    <w:rsid w:val="181D2FD6"/>
    <w:rsid w:val="18207E76"/>
    <w:rsid w:val="18267CA4"/>
    <w:rsid w:val="18307719"/>
    <w:rsid w:val="183352B9"/>
    <w:rsid w:val="183F0D66"/>
    <w:rsid w:val="18475E6C"/>
    <w:rsid w:val="18477C1A"/>
    <w:rsid w:val="184C63F2"/>
    <w:rsid w:val="184E0FA9"/>
    <w:rsid w:val="184F2802"/>
    <w:rsid w:val="185232C7"/>
    <w:rsid w:val="18550589"/>
    <w:rsid w:val="185A5BA0"/>
    <w:rsid w:val="185D7190"/>
    <w:rsid w:val="18602A8A"/>
    <w:rsid w:val="1861496D"/>
    <w:rsid w:val="1864189A"/>
    <w:rsid w:val="186708C6"/>
    <w:rsid w:val="18680600"/>
    <w:rsid w:val="186D58D3"/>
    <w:rsid w:val="186F4E48"/>
    <w:rsid w:val="186F4FFF"/>
    <w:rsid w:val="18787DD4"/>
    <w:rsid w:val="18790898"/>
    <w:rsid w:val="187B285A"/>
    <w:rsid w:val="187C6DCE"/>
    <w:rsid w:val="188A4958"/>
    <w:rsid w:val="18A64941"/>
    <w:rsid w:val="18B169F7"/>
    <w:rsid w:val="18BA5105"/>
    <w:rsid w:val="18C64FE3"/>
    <w:rsid w:val="18C82B09"/>
    <w:rsid w:val="18CB3AA9"/>
    <w:rsid w:val="18D84A68"/>
    <w:rsid w:val="18DC0363"/>
    <w:rsid w:val="18E37943"/>
    <w:rsid w:val="18E45469"/>
    <w:rsid w:val="18E55B7C"/>
    <w:rsid w:val="18E86D07"/>
    <w:rsid w:val="18F002B2"/>
    <w:rsid w:val="18F64BB9"/>
    <w:rsid w:val="18FA6A3B"/>
    <w:rsid w:val="18FB6A9F"/>
    <w:rsid w:val="18FD3358"/>
    <w:rsid w:val="1901601B"/>
    <w:rsid w:val="190B50EC"/>
    <w:rsid w:val="190D49C0"/>
    <w:rsid w:val="190E5306"/>
    <w:rsid w:val="1912647A"/>
    <w:rsid w:val="19197366"/>
    <w:rsid w:val="191B7F41"/>
    <w:rsid w:val="191F46F3"/>
    <w:rsid w:val="191F64A1"/>
    <w:rsid w:val="192310D9"/>
    <w:rsid w:val="19232435"/>
    <w:rsid w:val="19286530"/>
    <w:rsid w:val="193F08F1"/>
    <w:rsid w:val="19405E92"/>
    <w:rsid w:val="19406B43"/>
    <w:rsid w:val="19467ED2"/>
    <w:rsid w:val="19481E38"/>
    <w:rsid w:val="19483C4A"/>
    <w:rsid w:val="19510CE1"/>
    <w:rsid w:val="195D6EAA"/>
    <w:rsid w:val="196D545F"/>
    <w:rsid w:val="198527A8"/>
    <w:rsid w:val="19861C81"/>
    <w:rsid w:val="19866520"/>
    <w:rsid w:val="198A7DBF"/>
    <w:rsid w:val="199450E1"/>
    <w:rsid w:val="19AB65F7"/>
    <w:rsid w:val="19B25567"/>
    <w:rsid w:val="19BB6883"/>
    <w:rsid w:val="19BD354E"/>
    <w:rsid w:val="19C201A3"/>
    <w:rsid w:val="19C42A9E"/>
    <w:rsid w:val="19CE23A1"/>
    <w:rsid w:val="19D70DE8"/>
    <w:rsid w:val="19DD7B0C"/>
    <w:rsid w:val="19DE010A"/>
    <w:rsid w:val="19E562D7"/>
    <w:rsid w:val="19E75211"/>
    <w:rsid w:val="19E971DB"/>
    <w:rsid w:val="19EF056A"/>
    <w:rsid w:val="19F31E08"/>
    <w:rsid w:val="19F333ED"/>
    <w:rsid w:val="19F7652D"/>
    <w:rsid w:val="19F8741E"/>
    <w:rsid w:val="19F96E8E"/>
    <w:rsid w:val="19FB0CBC"/>
    <w:rsid w:val="19FE4FDA"/>
    <w:rsid w:val="1A083090"/>
    <w:rsid w:val="1A0C2EC9"/>
    <w:rsid w:val="1A0E09F0"/>
    <w:rsid w:val="1A0E6C42"/>
    <w:rsid w:val="1A1648BE"/>
    <w:rsid w:val="1A165AF6"/>
    <w:rsid w:val="1A1F492F"/>
    <w:rsid w:val="1A2024D1"/>
    <w:rsid w:val="1A232EE0"/>
    <w:rsid w:val="1A2469E5"/>
    <w:rsid w:val="1A27385F"/>
    <w:rsid w:val="1A366198"/>
    <w:rsid w:val="1A39021D"/>
    <w:rsid w:val="1A3A2D21"/>
    <w:rsid w:val="1A3F2FDA"/>
    <w:rsid w:val="1A3F6AE4"/>
    <w:rsid w:val="1A4256D6"/>
    <w:rsid w:val="1A447C3F"/>
    <w:rsid w:val="1A4E5290"/>
    <w:rsid w:val="1A5A3C35"/>
    <w:rsid w:val="1A676352"/>
    <w:rsid w:val="1A6B030B"/>
    <w:rsid w:val="1A6B57F9"/>
    <w:rsid w:val="1A774EAE"/>
    <w:rsid w:val="1A7D49DD"/>
    <w:rsid w:val="1A7D7923"/>
    <w:rsid w:val="1A8353F5"/>
    <w:rsid w:val="1A840CB2"/>
    <w:rsid w:val="1A8E275C"/>
    <w:rsid w:val="1A9459CD"/>
    <w:rsid w:val="1A947301"/>
    <w:rsid w:val="1A954C6D"/>
    <w:rsid w:val="1A9B5FFB"/>
    <w:rsid w:val="1A9E5CA4"/>
    <w:rsid w:val="1AA43E6C"/>
    <w:rsid w:val="1AAC0209"/>
    <w:rsid w:val="1ABA4FD5"/>
    <w:rsid w:val="1ABC48F0"/>
    <w:rsid w:val="1AC15A62"/>
    <w:rsid w:val="1AC437A4"/>
    <w:rsid w:val="1ADD7EA4"/>
    <w:rsid w:val="1AE45BF4"/>
    <w:rsid w:val="1AE63A6C"/>
    <w:rsid w:val="1AEA0468"/>
    <w:rsid w:val="1AEE0821"/>
    <w:rsid w:val="1AF217E7"/>
    <w:rsid w:val="1AF35E37"/>
    <w:rsid w:val="1AF802D2"/>
    <w:rsid w:val="1AFA4A54"/>
    <w:rsid w:val="1B027E29"/>
    <w:rsid w:val="1B063DBD"/>
    <w:rsid w:val="1B092C23"/>
    <w:rsid w:val="1B0A2E67"/>
    <w:rsid w:val="1B0B13E3"/>
    <w:rsid w:val="1B132036"/>
    <w:rsid w:val="1B180E8D"/>
    <w:rsid w:val="1B1A33C4"/>
    <w:rsid w:val="1B1F09DB"/>
    <w:rsid w:val="1B1F1731"/>
    <w:rsid w:val="1B24401C"/>
    <w:rsid w:val="1B2E007E"/>
    <w:rsid w:val="1B302BE8"/>
    <w:rsid w:val="1B33402F"/>
    <w:rsid w:val="1B580EA0"/>
    <w:rsid w:val="1B5C1C2F"/>
    <w:rsid w:val="1B5C578B"/>
    <w:rsid w:val="1B6050F1"/>
    <w:rsid w:val="1B682381"/>
    <w:rsid w:val="1B6C00C4"/>
    <w:rsid w:val="1B6F7BB2"/>
    <w:rsid w:val="1B707488"/>
    <w:rsid w:val="1B737891"/>
    <w:rsid w:val="1B743DF0"/>
    <w:rsid w:val="1B793B73"/>
    <w:rsid w:val="1B803B6F"/>
    <w:rsid w:val="1B9238A2"/>
    <w:rsid w:val="1B9F61CC"/>
    <w:rsid w:val="1BB235FD"/>
    <w:rsid w:val="1BB455C7"/>
    <w:rsid w:val="1BC752FA"/>
    <w:rsid w:val="1BC872C4"/>
    <w:rsid w:val="1BCD1B0E"/>
    <w:rsid w:val="1BCF41AF"/>
    <w:rsid w:val="1BCF57C6"/>
    <w:rsid w:val="1BD31C64"/>
    <w:rsid w:val="1BD37B94"/>
    <w:rsid w:val="1BD6553D"/>
    <w:rsid w:val="1BD85FEA"/>
    <w:rsid w:val="1BD87507"/>
    <w:rsid w:val="1BE37C5A"/>
    <w:rsid w:val="1BEA548C"/>
    <w:rsid w:val="1BF32008"/>
    <w:rsid w:val="1BFD51C0"/>
    <w:rsid w:val="1BFE2CE6"/>
    <w:rsid w:val="1C0A3439"/>
    <w:rsid w:val="1C1222ED"/>
    <w:rsid w:val="1C124648"/>
    <w:rsid w:val="1C177904"/>
    <w:rsid w:val="1C1D4FC2"/>
    <w:rsid w:val="1C1F3E01"/>
    <w:rsid w:val="1C26258F"/>
    <w:rsid w:val="1C3322A2"/>
    <w:rsid w:val="1C362480"/>
    <w:rsid w:val="1C3873EF"/>
    <w:rsid w:val="1C3B2611"/>
    <w:rsid w:val="1C3B5CE8"/>
    <w:rsid w:val="1C3F7D9D"/>
    <w:rsid w:val="1C451BF3"/>
    <w:rsid w:val="1C46388C"/>
    <w:rsid w:val="1C480284"/>
    <w:rsid w:val="1C4E1577"/>
    <w:rsid w:val="1C5D6E56"/>
    <w:rsid w:val="1C6F6673"/>
    <w:rsid w:val="1C8256C5"/>
    <w:rsid w:val="1C856F63"/>
    <w:rsid w:val="1C905B65"/>
    <w:rsid w:val="1C933A87"/>
    <w:rsid w:val="1C986C96"/>
    <w:rsid w:val="1C997BE2"/>
    <w:rsid w:val="1CA23671"/>
    <w:rsid w:val="1CA473E9"/>
    <w:rsid w:val="1CA76EDA"/>
    <w:rsid w:val="1CA95CFF"/>
    <w:rsid w:val="1CAD1AA7"/>
    <w:rsid w:val="1CB66E24"/>
    <w:rsid w:val="1CB6711D"/>
    <w:rsid w:val="1CBB4733"/>
    <w:rsid w:val="1CBC0BD7"/>
    <w:rsid w:val="1CC26A23"/>
    <w:rsid w:val="1CCE26B8"/>
    <w:rsid w:val="1CCE4466"/>
    <w:rsid w:val="1CD23B03"/>
    <w:rsid w:val="1CD75B9F"/>
    <w:rsid w:val="1CDA5127"/>
    <w:rsid w:val="1CF76CE0"/>
    <w:rsid w:val="1CF85987"/>
    <w:rsid w:val="1CF97F6B"/>
    <w:rsid w:val="1D020928"/>
    <w:rsid w:val="1D024E79"/>
    <w:rsid w:val="1D03070D"/>
    <w:rsid w:val="1D0936F0"/>
    <w:rsid w:val="1D0B4BD2"/>
    <w:rsid w:val="1D1A5123"/>
    <w:rsid w:val="1D1A76AB"/>
    <w:rsid w:val="1D1C3424"/>
    <w:rsid w:val="1D1F4CC2"/>
    <w:rsid w:val="1D21521F"/>
    <w:rsid w:val="1D21751F"/>
    <w:rsid w:val="1D24052A"/>
    <w:rsid w:val="1D2422D8"/>
    <w:rsid w:val="1D24677C"/>
    <w:rsid w:val="1D25052C"/>
    <w:rsid w:val="1D297F8A"/>
    <w:rsid w:val="1D2A019D"/>
    <w:rsid w:val="1D383FD6"/>
    <w:rsid w:val="1D3C3AC6"/>
    <w:rsid w:val="1D3E15EC"/>
    <w:rsid w:val="1D440BCC"/>
    <w:rsid w:val="1D4961E3"/>
    <w:rsid w:val="1D4B66BA"/>
    <w:rsid w:val="1D4D182F"/>
    <w:rsid w:val="1D5232E9"/>
    <w:rsid w:val="1D596426"/>
    <w:rsid w:val="1D63314B"/>
    <w:rsid w:val="1D646B79"/>
    <w:rsid w:val="1D6D0123"/>
    <w:rsid w:val="1D742412"/>
    <w:rsid w:val="1D756FD8"/>
    <w:rsid w:val="1D772D50"/>
    <w:rsid w:val="1D7C3E6A"/>
    <w:rsid w:val="1D7C3EC2"/>
    <w:rsid w:val="1D876114"/>
    <w:rsid w:val="1D8F11D2"/>
    <w:rsid w:val="1D903E12"/>
    <w:rsid w:val="1DA13929"/>
    <w:rsid w:val="1DA35C31"/>
    <w:rsid w:val="1DAA23C2"/>
    <w:rsid w:val="1DAC1331"/>
    <w:rsid w:val="1DAD174D"/>
    <w:rsid w:val="1DAF4298"/>
    <w:rsid w:val="1DB01DBE"/>
    <w:rsid w:val="1DB52BB9"/>
    <w:rsid w:val="1DBB28C6"/>
    <w:rsid w:val="1DC37D43"/>
    <w:rsid w:val="1DC6338F"/>
    <w:rsid w:val="1DE46AC8"/>
    <w:rsid w:val="1DFF4C9A"/>
    <w:rsid w:val="1E03765B"/>
    <w:rsid w:val="1E071570"/>
    <w:rsid w:val="1E1354B2"/>
    <w:rsid w:val="1E1467F1"/>
    <w:rsid w:val="1E1A5D06"/>
    <w:rsid w:val="1E221847"/>
    <w:rsid w:val="1E2318A6"/>
    <w:rsid w:val="1E2C58E8"/>
    <w:rsid w:val="1E391DB3"/>
    <w:rsid w:val="1E3E4FB4"/>
    <w:rsid w:val="1E42335E"/>
    <w:rsid w:val="1E42510C"/>
    <w:rsid w:val="1E450758"/>
    <w:rsid w:val="1E450D02"/>
    <w:rsid w:val="1E472D0F"/>
    <w:rsid w:val="1E4A5D6E"/>
    <w:rsid w:val="1E55089B"/>
    <w:rsid w:val="1E5B23A0"/>
    <w:rsid w:val="1E5B7F7C"/>
    <w:rsid w:val="1E5E181A"/>
    <w:rsid w:val="1E6A42D5"/>
    <w:rsid w:val="1E6F37A0"/>
    <w:rsid w:val="1E702911"/>
    <w:rsid w:val="1E734B49"/>
    <w:rsid w:val="1E7361D3"/>
    <w:rsid w:val="1E766B63"/>
    <w:rsid w:val="1E780B2E"/>
    <w:rsid w:val="1E7B57AE"/>
    <w:rsid w:val="1E7D5652"/>
    <w:rsid w:val="1E7D7557"/>
    <w:rsid w:val="1E8307FC"/>
    <w:rsid w:val="1E8474D2"/>
    <w:rsid w:val="1E8F40C9"/>
    <w:rsid w:val="1E984D2C"/>
    <w:rsid w:val="1E9A4F48"/>
    <w:rsid w:val="1E9D2342"/>
    <w:rsid w:val="1E9E60BA"/>
    <w:rsid w:val="1EA25BAA"/>
    <w:rsid w:val="1EA336D1"/>
    <w:rsid w:val="1EAC48D6"/>
    <w:rsid w:val="1EB37DB8"/>
    <w:rsid w:val="1EB63EED"/>
    <w:rsid w:val="1EBB1B01"/>
    <w:rsid w:val="1EBD5E36"/>
    <w:rsid w:val="1EC024D4"/>
    <w:rsid w:val="1EC51899"/>
    <w:rsid w:val="1ECA7F7C"/>
    <w:rsid w:val="1ECC5F04"/>
    <w:rsid w:val="1ECC70CB"/>
    <w:rsid w:val="1ECE2E43"/>
    <w:rsid w:val="1ED33FB6"/>
    <w:rsid w:val="1ED65854"/>
    <w:rsid w:val="1EDA1621"/>
    <w:rsid w:val="1EE055DB"/>
    <w:rsid w:val="1EEC5078"/>
    <w:rsid w:val="1EF17361"/>
    <w:rsid w:val="1EF503D0"/>
    <w:rsid w:val="1EF74148"/>
    <w:rsid w:val="1EFC62AD"/>
    <w:rsid w:val="1F070103"/>
    <w:rsid w:val="1F1D6826"/>
    <w:rsid w:val="1F201020"/>
    <w:rsid w:val="1F26058A"/>
    <w:rsid w:val="1F2D434F"/>
    <w:rsid w:val="1F2D5E39"/>
    <w:rsid w:val="1F337C3F"/>
    <w:rsid w:val="1F372797"/>
    <w:rsid w:val="1F380351"/>
    <w:rsid w:val="1F3C1B5B"/>
    <w:rsid w:val="1F3F33F9"/>
    <w:rsid w:val="1F42113B"/>
    <w:rsid w:val="1F4311CA"/>
    <w:rsid w:val="1F512138"/>
    <w:rsid w:val="1F552C1D"/>
    <w:rsid w:val="1F56785D"/>
    <w:rsid w:val="1F5844BB"/>
    <w:rsid w:val="1F5A7BA4"/>
    <w:rsid w:val="1F66307C"/>
    <w:rsid w:val="1F775289"/>
    <w:rsid w:val="1F7E03C6"/>
    <w:rsid w:val="1F8202CA"/>
    <w:rsid w:val="1F881244"/>
    <w:rsid w:val="1F890B18"/>
    <w:rsid w:val="1F8D23B7"/>
    <w:rsid w:val="1F8D383C"/>
    <w:rsid w:val="1F935D9F"/>
    <w:rsid w:val="1F9C084C"/>
    <w:rsid w:val="1FA45F70"/>
    <w:rsid w:val="1FA47700"/>
    <w:rsid w:val="1FA96BE7"/>
    <w:rsid w:val="1FAE057F"/>
    <w:rsid w:val="1FB5190D"/>
    <w:rsid w:val="1FBC0EEE"/>
    <w:rsid w:val="1FC658C9"/>
    <w:rsid w:val="1FCB25E9"/>
    <w:rsid w:val="1FD92077"/>
    <w:rsid w:val="1FD9384E"/>
    <w:rsid w:val="1FE025A0"/>
    <w:rsid w:val="1FE3647B"/>
    <w:rsid w:val="20000F5F"/>
    <w:rsid w:val="20052895"/>
    <w:rsid w:val="20060617"/>
    <w:rsid w:val="200A1C59"/>
    <w:rsid w:val="200D1749"/>
    <w:rsid w:val="200D34B3"/>
    <w:rsid w:val="201725C8"/>
    <w:rsid w:val="20176124"/>
    <w:rsid w:val="20185012"/>
    <w:rsid w:val="201B3E66"/>
    <w:rsid w:val="201E3957"/>
    <w:rsid w:val="2020322B"/>
    <w:rsid w:val="2024078E"/>
    <w:rsid w:val="202C7E22"/>
    <w:rsid w:val="202D418F"/>
    <w:rsid w:val="20384A18"/>
    <w:rsid w:val="2048319D"/>
    <w:rsid w:val="204F3B10"/>
    <w:rsid w:val="20541126"/>
    <w:rsid w:val="20591B68"/>
    <w:rsid w:val="206D77B9"/>
    <w:rsid w:val="206F41B2"/>
    <w:rsid w:val="206F5F60"/>
    <w:rsid w:val="20757A1D"/>
    <w:rsid w:val="207C5C3E"/>
    <w:rsid w:val="2080183A"/>
    <w:rsid w:val="208C5913"/>
    <w:rsid w:val="208D38F2"/>
    <w:rsid w:val="2096173F"/>
    <w:rsid w:val="209634ED"/>
    <w:rsid w:val="209B0B03"/>
    <w:rsid w:val="20A526F6"/>
    <w:rsid w:val="20A7794A"/>
    <w:rsid w:val="20AA7F2B"/>
    <w:rsid w:val="20AD0837"/>
    <w:rsid w:val="20AE6A88"/>
    <w:rsid w:val="20AF2801"/>
    <w:rsid w:val="20AF45AF"/>
    <w:rsid w:val="20B77C0E"/>
    <w:rsid w:val="20BB2F53"/>
    <w:rsid w:val="20BC398C"/>
    <w:rsid w:val="20BD316F"/>
    <w:rsid w:val="20C22534"/>
    <w:rsid w:val="20CA3197"/>
    <w:rsid w:val="20D364EF"/>
    <w:rsid w:val="20D52267"/>
    <w:rsid w:val="20DA787E"/>
    <w:rsid w:val="20DB01C7"/>
    <w:rsid w:val="20E424AA"/>
    <w:rsid w:val="20F16975"/>
    <w:rsid w:val="20FF246A"/>
    <w:rsid w:val="21025026"/>
    <w:rsid w:val="210747D9"/>
    <w:rsid w:val="210D32B3"/>
    <w:rsid w:val="211508B6"/>
    <w:rsid w:val="211865F8"/>
    <w:rsid w:val="211B39F2"/>
    <w:rsid w:val="2128213A"/>
    <w:rsid w:val="2129625D"/>
    <w:rsid w:val="212A1E87"/>
    <w:rsid w:val="21300795"/>
    <w:rsid w:val="21322057"/>
    <w:rsid w:val="213608D5"/>
    <w:rsid w:val="2139168B"/>
    <w:rsid w:val="213F1DD6"/>
    <w:rsid w:val="214D44F3"/>
    <w:rsid w:val="21521B0A"/>
    <w:rsid w:val="21584C46"/>
    <w:rsid w:val="215C0087"/>
    <w:rsid w:val="215C6F6C"/>
    <w:rsid w:val="21655286"/>
    <w:rsid w:val="21657A7E"/>
    <w:rsid w:val="216A4942"/>
    <w:rsid w:val="21701F90"/>
    <w:rsid w:val="217750CC"/>
    <w:rsid w:val="21780E44"/>
    <w:rsid w:val="217A2579"/>
    <w:rsid w:val="217A5B78"/>
    <w:rsid w:val="217C26E3"/>
    <w:rsid w:val="21843C8D"/>
    <w:rsid w:val="218A114B"/>
    <w:rsid w:val="218A371D"/>
    <w:rsid w:val="218B6DCA"/>
    <w:rsid w:val="2191285E"/>
    <w:rsid w:val="21913B3E"/>
    <w:rsid w:val="21920158"/>
    <w:rsid w:val="21930386"/>
    <w:rsid w:val="2197165E"/>
    <w:rsid w:val="21985D45"/>
    <w:rsid w:val="219905C2"/>
    <w:rsid w:val="219C2D85"/>
    <w:rsid w:val="219F0A64"/>
    <w:rsid w:val="21A1314A"/>
    <w:rsid w:val="21A25EC1"/>
    <w:rsid w:val="21A97250"/>
    <w:rsid w:val="21B42607"/>
    <w:rsid w:val="21C443C4"/>
    <w:rsid w:val="21C509EB"/>
    <w:rsid w:val="21CB18BC"/>
    <w:rsid w:val="21CE5BCE"/>
    <w:rsid w:val="21CF481A"/>
    <w:rsid w:val="21D00C81"/>
    <w:rsid w:val="21DC5A2F"/>
    <w:rsid w:val="21F11323"/>
    <w:rsid w:val="21F305CB"/>
    <w:rsid w:val="21F3410C"/>
    <w:rsid w:val="21F4496F"/>
    <w:rsid w:val="21F4671D"/>
    <w:rsid w:val="21FE0CAD"/>
    <w:rsid w:val="22001531"/>
    <w:rsid w:val="22017C82"/>
    <w:rsid w:val="220256DD"/>
    <w:rsid w:val="220D3F0E"/>
    <w:rsid w:val="221A0A87"/>
    <w:rsid w:val="221F0AB7"/>
    <w:rsid w:val="222114DC"/>
    <w:rsid w:val="22232AD2"/>
    <w:rsid w:val="22247DE7"/>
    <w:rsid w:val="22260A38"/>
    <w:rsid w:val="222A7F2C"/>
    <w:rsid w:val="22304C18"/>
    <w:rsid w:val="2237485C"/>
    <w:rsid w:val="223A67D8"/>
    <w:rsid w:val="22462CF1"/>
    <w:rsid w:val="22494569"/>
    <w:rsid w:val="224B13A6"/>
    <w:rsid w:val="224B66BA"/>
    <w:rsid w:val="2250206B"/>
    <w:rsid w:val="225B010F"/>
    <w:rsid w:val="225B66FF"/>
    <w:rsid w:val="226513C9"/>
    <w:rsid w:val="22680EB9"/>
    <w:rsid w:val="226E03E6"/>
    <w:rsid w:val="22715FC0"/>
    <w:rsid w:val="22725C4A"/>
    <w:rsid w:val="22737F8A"/>
    <w:rsid w:val="22765384"/>
    <w:rsid w:val="227C3E1C"/>
    <w:rsid w:val="227E06DD"/>
    <w:rsid w:val="228026A7"/>
    <w:rsid w:val="228F2E8F"/>
    <w:rsid w:val="22920758"/>
    <w:rsid w:val="229879F0"/>
    <w:rsid w:val="22A53EBB"/>
    <w:rsid w:val="22AE5D05"/>
    <w:rsid w:val="22B12634"/>
    <w:rsid w:val="22B30384"/>
    <w:rsid w:val="22BB548D"/>
    <w:rsid w:val="22CA56D0"/>
    <w:rsid w:val="22D87DED"/>
    <w:rsid w:val="22DB168B"/>
    <w:rsid w:val="22DD3655"/>
    <w:rsid w:val="22E77054"/>
    <w:rsid w:val="22EE12A9"/>
    <w:rsid w:val="22F41A48"/>
    <w:rsid w:val="22F538D8"/>
    <w:rsid w:val="22F64717"/>
    <w:rsid w:val="22F83FEB"/>
    <w:rsid w:val="22FE742A"/>
    <w:rsid w:val="23027B69"/>
    <w:rsid w:val="2309269C"/>
    <w:rsid w:val="230E380E"/>
    <w:rsid w:val="231078CE"/>
    <w:rsid w:val="231150AD"/>
    <w:rsid w:val="2316524E"/>
    <w:rsid w:val="2322375E"/>
    <w:rsid w:val="23243032"/>
    <w:rsid w:val="23244DE0"/>
    <w:rsid w:val="232E09E9"/>
    <w:rsid w:val="2333183B"/>
    <w:rsid w:val="23353491"/>
    <w:rsid w:val="233B65CE"/>
    <w:rsid w:val="233C3474"/>
    <w:rsid w:val="2342795C"/>
    <w:rsid w:val="23470A99"/>
    <w:rsid w:val="23492A98"/>
    <w:rsid w:val="234E00AF"/>
    <w:rsid w:val="23502079"/>
    <w:rsid w:val="23503E27"/>
    <w:rsid w:val="235077BF"/>
    <w:rsid w:val="235B6220"/>
    <w:rsid w:val="235D02F2"/>
    <w:rsid w:val="2366587C"/>
    <w:rsid w:val="236740B4"/>
    <w:rsid w:val="2369138D"/>
    <w:rsid w:val="236A4208"/>
    <w:rsid w:val="236D2C2B"/>
    <w:rsid w:val="23741AE3"/>
    <w:rsid w:val="23753192"/>
    <w:rsid w:val="23757D31"/>
    <w:rsid w:val="237815D0"/>
    <w:rsid w:val="237A5348"/>
    <w:rsid w:val="2382413B"/>
    <w:rsid w:val="23871813"/>
    <w:rsid w:val="238B139E"/>
    <w:rsid w:val="23972202"/>
    <w:rsid w:val="23984E73"/>
    <w:rsid w:val="239C4510"/>
    <w:rsid w:val="23A1214F"/>
    <w:rsid w:val="23A14683"/>
    <w:rsid w:val="23A3664D"/>
    <w:rsid w:val="23A979DB"/>
    <w:rsid w:val="23B26890"/>
    <w:rsid w:val="23B51118"/>
    <w:rsid w:val="23B83C9F"/>
    <w:rsid w:val="23B9273F"/>
    <w:rsid w:val="23BA1BE8"/>
    <w:rsid w:val="23D42CAA"/>
    <w:rsid w:val="23D5257E"/>
    <w:rsid w:val="23D700A4"/>
    <w:rsid w:val="23E0449C"/>
    <w:rsid w:val="23E427C1"/>
    <w:rsid w:val="23E629DD"/>
    <w:rsid w:val="23EF1892"/>
    <w:rsid w:val="23FD40B9"/>
    <w:rsid w:val="23FF6755"/>
    <w:rsid w:val="23FF6851"/>
    <w:rsid w:val="24066BDB"/>
    <w:rsid w:val="240A0FA6"/>
    <w:rsid w:val="240D1E25"/>
    <w:rsid w:val="240E50B4"/>
    <w:rsid w:val="24163F6F"/>
    <w:rsid w:val="24180B6C"/>
    <w:rsid w:val="241A4435"/>
    <w:rsid w:val="241B6F4C"/>
    <w:rsid w:val="241F2A4B"/>
    <w:rsid w:val="242011F8"/>
    <w:rsid w:val="24283AD9"/>
    <w:rsid w:val="242937C1"/>
    <w:rsid w:val="24297877"/>
    <w:rsid w:val="24313460"/>
    <w:rsid w:val="2435126F"/>
    <w:rsid w:val="243B4AD7"/>
    <w:rsid w:val="24455956"/>
    <w:rsid w:val="245F1B71"/>
    <w:rsid w:val="24612064"/>
    <w:rsid w:val="246D18CE"/>
    <w:rsid w:val="247128C1"/>
    <w:rsid w:val="24713137"/>
    <w:rsid w:val="24795EC5"/>
    <w:rsid w:val="247F5FB6"/>
    <w:rsid w:val="24834B78"/>
    <w:rsid w:val="24893F41"/>
    <w:rsid w:val="2492221D"/>
    <w:rsid w:val="249266C1"/>
    <w:rsid w:val="249661B1"/>
    <w:rsid w:val="24A41392"/>
    <w:rsid w:val="24A445F5"/>
    <w:rsid w:val="24A51F50"/>
    <w:rsid w:val="24A563F4"/>
    <w:rsid w:val="24A56A39"/>
    <w:rsid w:val="24AA3A0B"/>
    <w:rsid w:val="24AE15FD"/>
    <w:rsid w:val="24B148C0"/>
    <w:rsid w:val="24B407CD"/>
    <w:rsid w:val="24D6035C"/>
    <w:rsid w:val="24DE1906"/>
    <w:rsid w:val="24E84972"/>
    <w:rsid w:val="24F41B49"/>
    <w:rsid w:val="24FD3B3B"/>
    <w:rsid w:val="24FE2B79"/>
    <w:rsid w:val="25056E93"/>
    <w:rsid w:val="250749B9"/>
    <w:rsid w:val="250B43D0"/>
    <w:rsid w:val="25162E4E"/>
    <w:rsid w:val="25186BC6"/>
    <w:rsid w:val="251C2AE9"/>
    <w:rsid w:val="25201F1F"/>
    <w:rsid w:val="252217F3"/>
    <w:rsid w:val="2527505B"/>
    <w:rsid w:val="252D79D0"/>
    <w:rsid w:val="252E598D"/>
    <w:rsid w:val="252F5F84"/>
    <w:rsid w:val="253D487F"/>
    <w:rsid w:val="253F4153"/>
    <w:rsid w:val="25463F33"/>
    <w:rsid w:val="254951A4"/>
    <w:rsid w:val="254E4396"/>
    <w:rsid w:val="25565941"/>
    <w:rsid w:val="255F2A47"/>
    <w:rsid w:val="25641E0C"/>
    <w:rsid w:val="25657932"/>
    <w:rsid w:val="256C0CC0"/>
    <w:rsid w:val="25716FE5"/>
    <w:rsid w:val="25781413"/>
    <w:rsid w:val="257D053A"/>
    <w:rsid w:val="25882EB2"/>
    <w:rsid w:val="25886B4D"/>
    <w:rsid w:val="258C1362"/>
    <w:rsid w:val="258F3977"/>
    <w:rsid w:val="259113A8"/>
    <w:rsid w:val="259643DB"/>
    <w:rsid w:val="259A75DB"/>
    <w:rsid w:val="259C1492"/>
    <w:rsid w:val="259F2D5C"/>
    <w:rsid w:val="25A246E2"/>
    <w:rsid w:val="25A90B2E"/>
    <w:rsid w:val="25AD6621"/>
    <w:rsid w:val="25B14A02"/>
    <w:rsid w:val="25BA0C9E"/>
    <w:rsid w:val="25BC39F6"/>
    <w:rsid w:val="25C66024"/>
    <w:rsid w:val="25C95F02"/>
    <w:rsid w:val="25D0541A"/>
    <w:rsid w:val="25D663C1"/>
    <w:rsid w:val="25E35426"/>
    <w:rsid w:val="25E82A3D"/>
    <w:rsid w:val="25E87DB6"/>
    <w:rsid w:val="25EC3BAF"/>
    <w:rsid w:val="25F0544D"/>
    <w:rsid w:val="25F211C5"/>
    <w:rsid w:val="25F3318F"/>
    <w:rsid w:val="260251A3"/>
    <w:rsid w:val="260D4251"/>
    <w:rsid w:val="2613738E"/>
    <w:rsid w:val="261E3BA2"/>
    <w:rsid w:val="261F21D6"/>
    <w:rsid w:val="26296BB1"/>
    <w:rsid w:val="26324658"/>
    <w:rsid w:val="26345C82"/>
    <w:rsid w:val="26375C7E"/>
    <w:rsid w:val="2641214D"/>
    <w:rsid w:val="26415CA9"/>
    <w:rsid w:val="264D464E"/>
    <w:rsid w:val="264F5178"/>
    <w:rsid w:val="26543C2E"/>
    <w:rsid w:val="26633E71"/>
    <w:rsid w:val="26660F08"/>
    <w:rsid w:val="266876DA"/>
    <w:rsid w:val="266F0A68"/>
    <w:rsid w:val="26750479"/>
    <w:rsid w:val="267D6F10"/>
    <w:rsid w:val="267F67D1"/>
    <w:rsid w:val="26866DB1"/>
    <w:rsid w:val="268B33C8"/>
    <w:rsid w:val="268D0EEE"/>
    <w:rsid w:val="26971D6D"/>
    <w:rsid w:val="269943C5"/>
    <w:rsid w:val="26A145DE"/>
    <w:rsid w:val="26AB2D3C"/>
    <w:rsid w:val="26AB75C6"/>
    <w:rsid w:val="26AE3A3C"/>
    <w:rsid w:val="26B32736"/>
    <w:rsid w:val="26C30DB4"/>
    <w:rsid w:val="26C75F02"/>
    <w:rsid w:val="26CD1C69"/>
    <w:rsid w:val="26D20FF7"/>
    <w:rsid w:val="26D42FC1"/>
    <w:rsid w:val="26D62895"/>
    <w:rsid w:val="26D903F6"/>
    <w:rsid w:val="26E36D60"/>
    <w:rsid w:val="26E74AA2"/>
    <w:rsid w:val="26E825C8"/>
    <w:rsid w:val="26F3146A"/>
    <w:rsid w:val="26F57CEA"/>
    <w:rsid w:val="26F9076F"/>
    <w:rsid w:val="26FD2518"/>
    <w:rsid w:val="27005B64"/>
    <w:rsid w:val="270B59D1"/>
    <w:rsid w:val="270D0281"/>
    <w:rsid w:val="27111B1F"/>
    <w:rsid w:val="27114136"/>
    <w:rsid w:val="271D04C4"/>
    <w:rsid w:val="27207FB4"/>
    <w:rsid w:val="27223D2C"/>
    <w:rsid w:val="272D3C01"/>
    <w:rsid w:val="27400656"/>
    <w:rsid w:val="27450D3D"/>
    <w:rsid w:val="274517C9"/>
    <w:rsid w:val="2751016E"/>
    <w:rsid w:val="275109D1"/>
    <w:rsid w:val="27533EE6"/>
    <w:rsid w:val="275A11BC"/>
    <w:rsid w:val="276A59DB"/>
    <w:rsid w:val="276E2ACE"/>
    <w:rsid w:val="27722EAC"/>
    <w:rsid w:val="27750300"/>
    <w:rsid w:val="27767BD4"/>
    <w:rsid w:val="277B6DDB"/>
    <w:rsid w:val="277D510B"/>
    <w:rsid w:val="277F2F2D"/>
    <w:rsid w:val="27837D07"/>
    <w:rsid w:val="2786213D"/>
    <w:rsid w:val="27911943"/>
    <w:rsid w:val="27952750"/>
    <w:rsid w:val="27983FEE"/>
    <w:rsid w:val="279D676B"/>
    <w:rsid w:val="27A7629E"/>
    <w:rsid w:val="27A836BA"/>
    <w:rsid w:val="27AF6820"/>
    <w:rsid w:val="27B16E5E"/>
    <w:rsid w:val="27B5694E"/>
    <w:rsid w:val="27B57C0C"/>
    <w:rsid w:val="27B86B07"/>
    <w:rsid w:val="27BB429E"/>
    <w:rsid w:val="27BB7CDD"/>
    <w:rsid w:val="27D13614"/>
    <w:rsid w:val="27D56FF1"/>
    <w:rsid w:val="27D721ED"/>
    <w:rsid w:val="27DD5EA5"/>
    <w:rsid w:val="27DF39CB"/>
    <w:rsid w:val="27E86D24"/>
    <w:rsid w:val="27ED433A"/>
    <w:rsid w:val="27F31225"/>
    <w:rsid w:val="28013942"/>
    <w:rsid w:val="280D678A"/>
    <w:rsid w:val="28123DA1"/>
    <w:rsid w:val="28137B19"/>
    <w:rsid w:val="28156DA2"/>
    <w:rsid w:val="281830EA"/>
    <w:rsid w:val="2818686F"/>
    <w:rsid w:val="281A61A3"/>
    <w:rsid w:val="281F201A"/>
    <w:rsid w:val="282615FA"/>
    <w:rsid w:val="282835C4"/>
    <w:rsid w:val="28292E99"/>
    <w:rsid w:val="282B6C11"/>
    <w:rsid w:val="28303E31"/>
    <w:rsid w:val="283914D3"/>
    <w:rsid w:val="283D3AFA"/>
    <w:rsid w:val="284101E2"/>
    <w:rsid w:val="28414686"/>
    <w:rsid w:val="28425D08"/>
    <w:rsid w:val="2849353B"/>
    <w:rsid w:val="284D4DD9"/>
    <w:rsid w:val="286A6B64"/>
    <w:rsid w:val="286E6AFD"/>
    <w:rsid w:val="28732579"/>
    <w:rsid w:val="28745BC3"/>
    <w:rsid w:val="287629C1"/>
    <w:rsid w:val="287E31E4"/>
    <w:rsid w:val="287F0D0A"/>
    <w:rsid w:val="287F7FEF"/>
    <w:rsid w:val="28844573"/>
    <w:rsid w:val="2886653D"/>
    <w:rsid w:val="288F53F1"/>
    <w:rsid w:val="28920A3E"/>
    <w:rsid w:val="289902DD"/>
    <w:rsid w:val="28A65C60"/>
    <w:rsid w:val="28A7152D"/>
    <w:rsid w:val="28AB1AEF"/>
    <w:rsid w:val="28B01054"/>
    <w:rsid w:val="28B3368E"/>
    <w:rsid w:val="28B766F6"/>
    <w:rsid w:val="28B83BA0"/>
    <w:rsid w:val="28B97DC4"/>
    <w:rsid w:val="28BA5033"/>
    <w:rsid w:val="28BC3D0D"/>
    <w:rsid w:val="28BE5CD7"/>
    <w:rsid w:val="28C167AC"/>
    <w:rsid w:val="28C17575"/>
    <w:rsid w:val="28C87E31"/>
    <w:rsid w:val="28D01367"/>
    <w:rsid w:val="28DA4193"/>
    <w:rsid w:val="28DE0127"/>
    <w:rsid w:val="28DE61E0"/>
    <w:rsid w:val="28EA087A"/>
    <w:rsid w:val="28EC2844"/>
    <w:rsid w:val="28F62AB3"/>
    <w:rsid w:val="28F811E9"/>
    <w:rsid w:val="28F96D0F"/>
    <w:rsid w:val="28FC12C9"/>
    <w:rsid w:val="290450D1"/>
    <w:rsid w:val="29112508"/>
    <w:rsid w:val="2911302F"/>
    <w:rsid w:val="291C6B14"/>
    <w:rsid w:val="29233D8C"/>
    <w:rsid w:val="293043A1"/>
    <w:rsid w:val="293B7327"/>
    <w:rsid w:val="293E4722"/>
    <w:rsid w:val="29422464"/>
    <w:rsid w:val="29457F4C"/>
    <w:rsid w:val="294D3731"/>
    <w:rsid w:val="295201CD"/>
    <w:rsid w:val="29520529"/>
    <w:rsid w:val="2952512A"/>
    <w:rsid w:val="29534671"/>
    <w:rsid w:val="296A1CA7"/>
    <w:rsid w:val="296F0D7F"/>
    <w:rsid w:val="296F5223"/>
    <w:rsid w:val="29771EC1"/>
    <w:rsid w:val="297D388F"/>
    <w:rsid w:val="297E2DA6"/>
    <w:rsid w:val="29866055"/>
    <w:rsid w:val="299D3B3E"/>
    <w:rsid w:val="29AB625B"/>
    <w:rsid w:val="29C63095"/>
    <w:rsid w:val="29C966E1"/>
    <w:rsid w:val="29D127F2"/>
    <w:rsid w:val="29D532D8"/>
    <w:rsid w:val="29D67050"/>
    <w:rsid w:val="29E0041A"/>
    <w:rsid w:val="29E277A3"/>
    <w:rsid w:val="29E5576E"/>
    <w:rsid w:val="29F101C0"/>
    <w:rsid w:val="29F80D74"/>
    <w:rsid w:val="2A017196"/>
    <w:rsid w:val="2A07797A"/>
    <w:rsid w:val="2A0C2A72"/>
    <w:rsid w:val="2A0F0615"/>
    <w:rsid w:val="2A135BAE"/>
    <w:rsid w:val="2A191689"/>
    <w:rsid w:val="2A2C6C70"/>
    <w:rsid w:val="2A2E0C3A"/>
    <w:rsid w:val="2A2E29E8"/>
    <w:rsid w:val="2A303835"/>
    <w:rsid w:val="2A321930"/>
    <w:rsid w:val="2A3357C4"/>
    <w:rsid w:val="2A3A313B"/>
    <w:rsid w:val="2A3C6EB3"/>
    <w:rsid w:val="2A4553E2"/>
    <w:rsid w:val="2A457487"/>
    <w:rsid w:val="2A4D7312"/>
    <w:rsid w:val="2A5561C7"/>
    <w:rsid w:val="2A564569"/>
    <w:rsid w:val="2A612A9D"/>
    <w:rsid w:val="2A6401B8"/>
    <w:rsid w:val="2A655235"/>
    <w:rsid w:val="2A663F30"/>
    <w:rsid w:val="2A693630"/>
    <w:rsid w:val="2A6B45BF"/>
    <w:rsid w:val="2A6C2D90"/>
    <w:rsid w:val="2A6C6582"/>
    <w:rsid w:val="2A6F54DA"/>
    <w:rsid w:val="2A73489F"/>
    <w:rsid w:val="2A7445E5"/>
    <w:rsid w:val="2A746495"/>
    <w:rsid w:val="2A7D1FF6"/>
    <w:rsid w:val="2A860961"/>
    <w:rsid w:val="2A864B66"/>
    <w:rsid w:val="2A8F792B"/>
    <w:rsid w:val="2A924D25"/>
    <w:rsid w:val="2A931B61"/>
    <w:rsid w:val="2A97058D"/>
    <w:rsid w:val="2A9C2048"/>
    <w:rsid w:val="2AA76BFC"/>
    <w:rsid w:val="2AA81E79"/>
    <w:rsid w:val="2AAF23F1"/>
    <w:rsid w:val="2AB0164F"/>
    <w:rsid w:val="2AC70A1B"/>
    <w:rsid w:val="2AC84BEB"/>
    <w:rsid w:val="2ACD0453"/>
    <w:rsid w:val="2ACF41CB"/>
    <w:rsid w:val="2ADC2444"/>
    <w:rsid w:val="2ADE0972"/>
    <w:rsid w:val="2AE31B1F"/>
    <w:rsid w:val="2AF23A16"/>
    <w:rsid w:val="2AF26F65"/>
    <w:rsid w:val="2AF43EB6"/>
    <w:rsid w:val="2AF57C94"/>
    <w:rsid w:val="2AFC6824"/>
    <w:rsid w:val="2AFE2FA6"/>
    <w:rsid w:val="2AFE685E"/>
    <w:rsid w:val="2B0054E6"/>
    <w:rsid w:val="2B035C23"/>
    <w:rsid w:val="2B0721E6"/>
    <w:rsid w:val="2B0B34C8"/>
    <w:rsid w:val="2B0F6376"/>
    <w:rsid w:val="2B1240B8"/>
    <w:rsid w:val="2B157704"/>
    <w:rsid w:val="2B1716CE"/>
    <w:rsid w:val="2B1971F4"/>
    <w:rsid w:val="2B215E6F"/>
    <w:rsid w:val="2B224D45"/>
    <w:rsid w:val="2B297614"/>
    <w:rsid w:val="2B2C33CC"/>
    <w:rsid w:val="2B2C517A"/>
    <w:rsid w:val="2B2D3242"/>
    <w:rsid w:val="2B381D70"/>
    <w:rsid w:val="2B3E30FF"/>
    <w:rsid w:val="2B404781"/>
    <w:rsid w:val="2B457FE9"/>
    <w:rsid w:val="2B47222D"/>
    <w:rsid w:val="2B473D61"/>
    <w:rsid w:val="2B541789"/>
    <w:rsid w:val="2B563FA5"/>
    <w:rsid w:val="2B5F3D96"/>
    <w:rsid w:val="2B626DED"/>
    <w:rsid w:val="2B650A06"/>
    <w:rsid w:val="2B69017C"/>
    <w:rsid w:val="2B6E5792"/>
    <w:rsid w:val="2B744EE8"/>
    <w:rsid w:val="2B77216D"/>
    <w:rsid w:val="2B8319AD"/>
    <w:rsid w:val="2B836D64"/>
    <w:rsid w:val="2B8E1990"/>
    <w:rsid w:val="2B9176D3"/>
    <w:rsid w:val="2B964CE9"/>
    <w:rsid w:val="2B980FEB"/>
    <w:rsid w:val="2B9F3B9D"/>
    <w:rsid w:val="2BA16D31"/>
    <w:rsid w:val="2BA2543C"/>
    <w:rsid w:val="2BA45F27"/>
    <w:rsid w:val="2BAA0794"/>
    <w:rsid w:val="2BAB69D0"/>
    <w:rsid w:val="2BB138D1"/>
    <w:rsid w:val="2BB20D78"/>
    <w:rsid w:val="2BB37649"/>
    <w:rsid w:val="2BC74EA2"/>
    <w:rsid w:val="2BCD0048"/>
    <w:rsid w:val="2BD80E5D"/>
    <w:rsid w:val="2BE24C19"/>
    <w:rsid w:val="2BE617CC"/>
    <w:rsid w:val="2BE710A1"/>
    <w:rsid w:val="2BE92674"/>
    <w:rsid w:val="2BEB4050"/>
    <w:rsid w:val="2BEC2B5B"/>
    <w:rsid w:val="2BED00C2"/>
    <w:rsid w:val="2BF043F9"/>
    <w:rsid w:val="2BF33EE9"/>
    <w:rsid w:val="2BF44F91"/>
    <w:rsid w:val="2C126758"/>
    <w:rsid w:val="2C2E0A7D"/>
    <w:rsid w:val="2C2E3173"/>
    <w:rsid w:val="2C302A48"/>
    <w:rsid w:val="2C345715"/>
    <w:rsid w:val="2C414C55"/>
    <w:rsid w:val="2C416B4C"/>
    <w:rsid w:val="2C4E2ECE"/>
    <w:rsid w:val="2C550700"/>
    <w:rsid w:val="2C5B55EB"/>
    <w:rsid w:val="2C5F50DB"/>
    <w:rsid w:val="2C6239D1"/>
    <w:rsid w:val="2C624BCB"/>
    <w:rsid w:val="2C6C77F8"/>
    <w:rsid w:val="2C70553A"/>
    <w:rsid w:val="2C78619D"/>
    <w:rsid w:val="2C802A45"/>
    <w:rsid w:val="2C8836C3"/>
    <w:rsid w:val="2C8D1C48"/>
    <w:rsid w:val="2CA13945"/>
    <w:rsid w:val="2CA314D7"/>
    <w:rsid w:val="2CA46F92"/>
    <w:rsid w:val="2CA60B37"/>
    <w:rsid w:val="2CAA5762"/>
    <w:rsid w:val="2CAC701E"/>
    <w:rsid w:val="2CBF201D"/>
    <w:rsid w:val="2CC542E3"/>
    <w:rsid w:val="2CCA5BBC"/>
    <w:rsid w:val="2CD27E87"/>
    <w:rsid w:val="2CD5539D"/>
    <w:rsid w:val="2CD94E8D"/>
    <w:rsid w:val="2CDA12C6"/>
    <w:rsid w:val="2CDE5DF5"/>
    <w:rsid w:val="2CDF61DC"/>
    <w:rsid w:val="2CDF7FCA"/>
    <w:rsid w:val="2CE43832"/>
    <w:rsid w:val="2CE57901"/>
    <w:rsid w:val="2CEA50D4"/>
    <w:rsid w:val="2CED26E7"/>
    <w:rsid w:val="2CF25CFE"/>
    <w:rsid w:val="2CF41CC7"/>
    <w:rsid w:val="2CFB4412"/>
    <w:rsid w:val="2D0619FA"/>
    <w:rsid w:val="2D0E1994"/>
    <w:rsid w:val="2D102879"/>
    <w:rsid w:val="2D18504B"/>
    <w:rsid w:val="2D1E1AAF"/>
    <w:rsid w:val="2D1F486A"/>
    <w:rsid w:val="2D2105E2"/>
    <w:rsid w:val="2D236108"/>
    <w:rsid w:val="2D275088"/>
    <w:rsid w:val="2D306A77"/>
    <w:rsid w:val="2D322E67"/>
    <w:rsid w:val="2D326948"/>
    <w:rsid w:val="2D37564E"/>
    <w:rsid w:val="2D3C4B7E"/>
    <w:rsid w:val="2D412A32"/>
    <w:rsid w:val="2D4367AA"/>
    <w:rsid w:val="2D462BD9"/>
    <w:rsid w:val="2D485545"/>
    <w:rsid w:val="2D4B1037"/>
    <w:rsid w:val="2D4D7629"/>
    <w:rsid w:val="2D4F6EFD"/>
    <w:rsid w:val="2D546C0A"/>
    <w:rsid w:val="2D577E8D"/>
    <w:rsid w:val="2D6A34D4"/>
    <w:rsid w:val="2D6D3827"/>
    <w:rsid w:val="2D7921CC"/>
    <w:rsid w:val="2D7939EC"/>
    <w:rsid w:val="2D7A6FB8"/>
    <w:rsid w:val="2D7C00C1"/>
    <w:rsid w:val="2D7D21A4"/>
    <w:rsid w:val="2D81582B"/>
    <w:rsid w:val="2D8A43D9"/>
    <w:rsid w:val="2D984D48"/>
    <w:rsid w:val="2D9915EC"/>
    <w:rsid w:val="2D995D50"/>
    <w:rsid w:val="2DA134D1"/>
    <w:rsid w:val="2DA82AB1"/>
    <w:rsid w:val="2DAA682A"/>
    <w:rsid w:val="2DB87CA4"/>
    <w:rsid w:val="2DC45D43"/>
    <w:rsid w:val="2DCB765C"/>
    <w:rsid w:val="2DCD23CC"/>
    <w:rsid w:val="2DD42D84"/>
    <w:rsid w:val="2DDD319E"/>
    <w:rsid w:val="2DDE64D3"/>
    <w:rsid w:val="2DE41BEC"/>
    <w:rsid w:val="2DE57862"/>
    <w:rsid w:val="2DE7182C"/>
    <w:rsid w:val="2DEF22D1"/>
    <w:rsid w:val="2DF7019E"/>
    <w:rsid w:val="2DFA13B7"/>
    <w:rsid w:val="2DFE54A0"/>
    <w:rsid w:val="2E0B0CD4"/>
    <w:rsid w:val="2E0F48DF"/>
    <w:rsid w:val="2E187C37"/>
    <w:rsid w:val="2E1C7A7B"/>
    <w:rsid w:val="2E1D61F9"/>
    <w:rsid w:val="2E1E574B"/>
    <w:rsid w:val="2E220862"/>
    <w:rsid w:val="2E236E2A"/>
    <w:rsid w:val="2E25123C"/>
    <w:rsid w:val="2E291E44"/>
    <w:rsid w:val="2E2A1718"/>
    <w:rsid w:val="2E2C5FB6"/>
    <w:rsid w:val="2E313681"/>
    <w:rsid w:val="2E31728A"/>
    <w:rsid w:val="2E382ECE"/>
    <w:rsid w:val="2E386250"/>
    <w:rsid w:val="2E3A5DFF"/>
    <w:rsid w:val="2E4118B3"/>
    <w:rsid w:val="2E541169"/>
    <w:rsid w:val="2E570FD5"/>
    <w:rsid w:val="2E597675"/>
    <w:rsid w:val="2E5D389C"/>
    <w:rsid w:val="2E60513A"/>
    <w:rsid w:val="2E620EB2"/>
    <w:rsid w:val="2E666C21"/>
    <w:rsid w:val="2E7129BA"/>
    <w:rsid w:val="2E741224"/>
    <w:rsid w:val="2E765FCC"/>
    <w:rsid w:val="2E782AC4"/>
    <w:rsid w:val="2E7A2941"/>
    <w:rsid w:val="2E7C01C6"/>
    <w:rsid w:val="2E7C1A67"/>
    <w:rsid w:val="2E7F7CB6"/>
    <w:rsid w:val="2E811902"/>
    <w:rsid w:val="2E814FBA"/>
    <w:rsid w:val="2E871365"/>
    <w:rsid w:val="2E89643F"/>
    <w:rsid w:val="2E967FED"/>
    <w:rsid w:val="2E980D78"/>
    <w:rsid w:val="2E9D7C7D"/>
    <w:rsid w:val="2E9F3EB4"/>
    <w:rsid w:val="2E9F4737"/>
    <w:rsid w:val="2EA27501"/>
    <w:rsid w:val="2EA4543D"/>
    <w:rsid w:val="2EA911F8"/>
    <w:rsid w:val="2EAC7F9E"/>
    <w:rsid w:val="2EAE6CDC"/>
    <w:rsid w:val="2EB140AC"/>
    <w:rsid w:val="2EB767EB"/>
    <w:rsid w:val="2EBD433B"/>
    <w:rsid w:val="2EC2522B"/>
    <w:rsid w:val="2EC60F6B"/>
    <w:rsid w:val="2ED00512"/>
    <w:rsid w:val="2ED20747"/>
    <w:rsid w:val="2ED2428A"/>
    <w:rsid w:val="2ED973E5"/>
    <w:rsid w:val="2EE10029"/>
    <w:rsid w:val="2EE518E7"/>
    <w:rsid w:val="2EE63A9C"/>
    <w:rsid w:val="2EEC3C0C"/>
    <w:rsid w:val="2EED10C4"/>
    <w:rsid w:val="2EEE362A"/>
    <w:rsid w:val="2EF73CF0"/>
    <w:rsid w:val="2F0816A0"/>
    <w:rsid w:val="2F097064"/>
    <w:rsid w:val="2F0D0FDF"/>
    <w:rsid w:val="2F102DB2"/>
    <w:rsid w:val="2F16265C"/>
    <w:rsid w:val="2F17664F"/>
    <w:rsid w:val="2F1A178D"/>
    <w:rsid w:val="2F1F0B51"/>
    <w:rsid w:val="2F205BE3"/>
    <w:rsid w:val="2F285C58"/>
    <w:rsid w:val="2F2919D0"/>
    <w:rsid w:val="2F2A5E74"/>
    <w:rsid w:val="2F2B1BEC"/>
    <w:rsid w:val="2F2C593F"/>
    <w:rsid w:val="2F3A506A"/>
    <w:rsid w:val="2F4800A8"/>
    <w:rsid w:val="2F4B7B98"/>
    <w:rsid w:val="2F4F461B"/>
    <w:rsid w:val="2F4F58DB"/>
    <w:rsid w:val="2F522CD5"/>
    <w:rsid w:val="2F542417"/>
    <w:rsid w:val="2F5922B5"/>
    <w:rsid w:val="2F597E59"/>
    <w:rsid w:val="2F6649D2"/>
    <w:rsid w:val="2F6B3D97"/>
    <w:rsid w:val="2F700B7C"/>
    <w:rsid w:val="2F792957"/>
    <w:rsid w:val="2F81180C"/>
    <w:rsid w:val="2F854E58"/>
    <w:rsid w:val="2F8B2B67"/>
    <w:rsid w:val="2F8E7D26"/>
    <w:rsid w:val="2F933CB1"/>
    <w:rsid w:val="2F950E14"/>
    <w:rsid w:val="2F994DA8"/>
    <w:rsid w:val="2FA07EE4"/>
    <w:rsid w:val="2FA15353"/>
    <w:rsid w:val="2FA42983"/>
    <w:rsid w:val="2FA513FC"/>
    <w:rsid w:val="2FA774C5"/>
    <w:rsid w:val="2FAC57A5"/>
    <w:rsid w:val="2FB25905"/>
    <w:rsid w:val="2FB27C17"/>
    <w:rsid w:val="2FB76FDC"/>
    <w:rsid w:val="2FBA673F"/>
    <w:rsid w:val="2FBB7481"/>
    <w:rsid w:val="2FBC1B76"/>
    <w:rsid w:val="2FBD0A96"/>
    <w:rsid w:val="2FBE5BA9"/>
    <w:rsid w:val="2FBF7D8F"/>
    <w:rsid w:val="2FC01FC5"/>
    <w:rsid w:val="2FC33BD3"/>
    <w:rsid w:val="2FC851B0"/>
    <w:rsid w:val="2FCB4A5B"/>
    <w:rsid w:val="2FCD67FF"/>
    <w:rsid w:val="2FCF07C9"/>
    <w:rsid w:val="2FD224D7"/>
    <w:rsid w:val="2FD30FFB"/>
    <w:rsid w:val="2FD34BA4"/>
    <w:rsid w:val="2FE37DD1"/>
    <w:rsid w:val="2FE6542E"/>
    <w:rsid w:val="2FE77D87"/>
    <w:rsid w:val="2FE85162"/>
    <w:rsid w:val="2FE8682E"/>
    <w:rsid w:val="2FF06D0B"/>
    <w:rsid w:val="2FF26266"/>
    <w:rsid w:val="2FF67B04"/>
    <w:rsid w:val="2FFA779F"/>
    <w:rsid w:val="30127D04"/>
    <w:rsid w:val="301614A4"/>
    <w:rsid w:val="30183F1E"/>
    <w:rsid w:val="30186FC0"/>
    <w:rsid w:val="30196984"/>
    <w:rsid w:val="301D32E3"/>
    <w:rsid w:val="30204B81"/>
    <w:rsid w:val="30234DC3"/>
    <w:rsid w:val="30295150"/>
    <w:rsid w:val="3029612C"/>
    <w:rsid w:val="30330D58"/>
    <w:rsid w:val="3038011D"/>
    <w:rsid w:val="303B19BB"/>
    <w:rsid w:val="303E0AB7"/>
    <w:rsid w:val="30403475"/>
    <w:rsid w:val="30444D13"/>
    <w:rsid w:val="30446AC1"/>
    <w:rsid w:val="30504191"/>
    <w:rsid w:val="305E51CA"/>
    <w:rsid w:val="306561A6"/>
    <w:rsid w:val="306F7EC8"/>
    <w:rsid w:val="30764BE7"/>
    <w:rsid w:val="30817E06"/>
    <w:rsid w:val="30937A49"/>
    <w:rsid w:val="30950ABF"/>
    <w:rsid w:val="309B06AC"/>
    <w:rsid w:val="30A12166"/>
    <w:rsid w:val="30A92DC8"/>
    <w:rsid w:val="30AB4D93"/>
    <w:rsid w:val="30B66434"/>
    <w:rsid w:val="30B9255C"/>
    <w:rsid w:val="30BA610E"/>
    <w:rsid w:val="30C16364"/>
    <w:rsid w:val="30D7445F"/>
    <w:rsid w:val="30D8545C"/>
    <w:rsid w:val="30E91417"/>
    <w:rsid w:val="30E958BB"/>
    <w:rsid w:val="30F304E8"/>
    <w:rsid w:val="30F749E2"/>
    <w:rsid w:val="310444A3"/>
    <w:rsid w:val="31085D41"/>
    <w:rsid w:val="310D2BEB"/>
    <w:rsid w:val="311346E6"/>
    <w:rsid w:val="3119785A"/>
    <w:rsid w:val="312B7C81"/>
    <w:rsid w:val="312D31F0"/>
    <w:rsid w:val="312E4AF2"/>
    <w:rsid w:val="31347E3C"/>
    <w:rsid w:val="313C0256"/>
    <w:rsid w:val="31454F1C"/>
    <w:rsid w:val="314629EF"/>
    <w:rsid w:val="314D2A32"/>
    <w:rsid w:val="31570A76"/>
    <w:rsid w:val="3157161F"/>
    <w:rsid w:val="31580A3E"/>
    <w:rsid w:val="317202AE"/>
    <w:rsid w:val="31723B02"/>
    <w:rsid w:val="317346CE"/>
    <w:rsid w:val="31745184"/>
    <w:rsid w:val="31861B48"/>
    <w:rsid w:val="318D4356"/>
    <w:rsid w:val="31947FB6"/>
    <w:rsid w:val="3199459D"/>
    <w:rsid w:val="31997D9D"/>
    <w:rsid w:val="319E4674"/>
    <w:rsid w:val="319F3583"/>
    <w:rsid w:val="31A1395E"/>
    <w:rsid w:val="31A413B5"/>
    <w:rsid w:val="31A43456"/>
    <w:rsid w:val="31A67308"/>
    <w:rsid w:val="31A75229"/>
    <w:rsid w:val="31A83080"/>
    <w:rsid w:val="31A84B32"/>
    <w:rsid w:val="31B1462B"/>
    <w:rsid w:val="31B349CA"/>
    <w:rsid w:val="31C61758"/>
    <w:rsid w:val="31D8203D"/>
    <w:rsid w:val="31E05E96"/>
    <w:rsid w:val="31E4208A"/>
    <w:rsid w:val="31E56082"/>
    <w:rsid w:val="31EC7411"/>
    <w:rsid w:val="31EE4C2D"/>
    <w:rsid w:val="31F42769"/>
    <w:rsid w:val="31F55D43"/>
    <w:rsid w:val="31F77B2B"/>
    <w:rsid w:val="31F938FD"/>
    <w:rsid w:val="32096681"/>
    <w:rsid w:val="321014BD"/>
    <w:rsid w:val="32161061"/>
    <w:rsid w:val="32163E9C"/>
    <w:rsid w:val="321B7281"/>
    <w:rsid w:val="3220355E"/>
    <w:rsid w:val="3223046E"/>
    <w:rsid w:val="322672D4"/>
    <w:rsid w:val="323245B1"/>
    <w:rsid w:val="323B47BC"/>
    <w:rsid w:val="32496611"/>
    <w:rsid w:val="324E3C27"/>
    <w:rsid w:val="32566F80"/>
    <w:rsid w:val="326276D3"/>
    <w:rsid w:val="326B5459"/>
    <w:rsid w:val="327D3916"/>
    <w:rsid w:val="32821B23"/>
    <w:rsid w:val="328238D1"/>
    <w:rsid w:val="328435A8"/>
    <w:rsid w:val="32867865"/>
    <w:rsid w:val="3291418B"/>
    <w:rsid w:val="3291620A"/>
    <w:rsid w:val="32A47CEB"/>
    <w:rsid w:val="32A56DE7"/>
    <w:rsid w:val="32AA1B15"/>
    <w:rsid w:val="32AB5D01"/>
    <w:rsid w:val="32AC26CF"/>
    <w:rsid w:val="32B0662D"/>
    <w:rsid w:val="32BC3F4F"/>
    <w:rsid w:val="32BD1813"/>
    <w:rsid w:val="32C14CB4"/>
    <w:rsid w:val="32C1784B"/>
    <w:rsid w:val="32C24615"/>
    <w:rsid w:val="32CB171C"/>
    <w:rsid w:val="32D00AE0"/>
    <w:rsid w:val="32D21991"/>
    <w:rsid w:val="32D61E6F"/>
    <w:rsid w:val="32D81743"/>
    <w:rsid w:val="32DA54BB"/>
    <w:rsid w:val="32DC56D7"/>
    <w:rsid w:val="32E14A9C"/>
    <w:rsid w:val="32E77BD8"/>
    <w:rsid w:val="32ED09C7"/>
    <w:rsid w:val="32EF6290"/>
    <w:rsid w:val="32F50547"/>
    <w:rsid w:val="32F56DB7"/>
    <w:rsid w:val="32F95710"/>
    <w:rsid w:val="32FB6C0B"/>
    <w:rsid w:val="32FC18D5"/>
    <w:rsid w:val="32FE549C"/>
    <w:rsid w:val="33057AA5"/>
    <w:rsid w:val="330C524D"/>
    <w:rsid w:val="330F2A41"/>
    <w:rsid w:val="33133CD2"/>
    <w:rsid w:val="33134E71"/>
    <w:rsid w:val="331D7A9E"/>
    <w:rsid w:val="332350B4"/>
    <w:rsid w:val="33254926"/>
    <w:rsid w:val="332A7484"/>
    <w:rsid w:val="332B3C8B"/>
    <w:rsid w:val="33332332"/>
    <w:rsid w:val="334B61C4"/>
    <w:rsid w:val="334C44C1"/>
    <w:rsid w:val="335164FE"/>
    <w:rsid w:val="33586E76"/>
    <w:rsid w:val="335F322A"/>
    <w:rsid w:val="33604EE2"/>
    <w:rsid w:val="33614230"/>
    <w:rsid w:val="33633703"/>
    <w:rsid w:val="33693FB2"/>
    <w:rsid w:val="336A2CE3"/>
    <w:rsid w:val="336B6A5B"/>
    <w:rsid w:val="336C7ADC"/>
    <w:rsid w:val="336D27D3"/>
    <w:rsid w:val="33862F29"/>
    <w:rsid w:val="33895FAB"/>
    <w:rsid w:val="33A1247D"/>
    <w:rsid w:val="33A26A1C"/>
    <w:rsid w:val="33A81A9A"/>
    <w:rsid w:val="33AA61FD"/>
    <w:rsid w:val="33AB50A9"/>
    <w:rsid w:val="33B0446E"/>
    <w:rsid w:val="33B156CA"/>
    <w:rsid w:val="33C4261F"/>
    <w:rsid w:val="33C67960"/>
    <w:rsid w:val="33CA09CE"/>
    <w:rsid w:val="33CB6BD3"/>
    <w:rsid w:val="33D77C4D"/>
    <w:rsid w:val="33DA14EB"/>
    <w:rsid w:val="33DA46B1"/>
    <w:rsid w:val="33DD6BEA"/>
    <w:rsid w:val="33E071DF"/>
    <w:rsid w:val="33E10ACB"/>
    <w:rsid w:val="33E30990"/>
    <w:rsid w:val="33ED7470"/>
    <w:rsid w:val="33EF31E8"/>
    <w:rsid w:val="33F00D0E"/>
    <w:rsid w:val="33FE27B0"/>
    <w:rsid w:val="34014CC9"/>
    <w:rsid w:val="3402116D"/>
    <w:rsid w:val="34050C5E"/>
    <w:rsid w:val="340522A2"/>
    <w:rsid w:val="340C18DA"/>
    <w:rsid w:val="341744ED"/>
    <w:rsid w:val="341B3FDD"/>
    <w:rsid w:val="341C5D39"/>
    <w:rsid w:val="341D7D55"/>
    <w:rsid w:val="342133BD"/>
    <w:rsid w:val="342872A0"/>
    <w:rsid w:val="342A4220"/>
    <w:rsid w:val="342A5093"/>
    <w:rsid w:val="342C3B6D"/>
    <w:rsid w:val="34321327"/>
    <w:rsid w:val="3434509F"/>
    <w:rsid w:val="343A0036"/>
    <w:rsid w:val="343D21A6"/>
    <w:rsid w:val="344057F2"/>
    <w:rsid w:val="344277BC"/>
    <w:rsid w:val="34433534"/>
    <w:rsid w:val="34441786"/>
    <w:rsid w:val="34453D7F"/>
    <w:rsid w:val="344828F8"/>
    <w:rsid w:val="34527C21"/>
    <w:rsid w:val="345B4E3E"/>
    <w:rsid w:val="345C2724"/>
    <w:rsid w:val="345D45F6"/>
    <w:rsid w:val="34611F40"/>
    <w:rsid w:val="346D06AE"/>
    <w:rsid w:val="346E05B1"/>
    <w:rsid w:val="346F257B"/>
    <w:rsid w:val="34761F29"/>
    <w:rsid w:val="347A51A8"/>
    <w:rsid w:val="34840842"/>
    <w:rsid w:val="348C3D23"/>
    <w:rsid w:val="348E565A"/>
    <w:rsid w:val="34A301BF"/>
    <w:rsid w:val="34AC1CED"/>
    <w:rsid w:val="34AC2E87"/>
    <w:rsid w:val="34BD6E42"/>
    <w:rsid w:val="34BE4682"/>
    <w:rsid w:val="34BF2BBB"/>
    <w:rsid w:val="34C60DB8"/>
    <w:rsid w:val="34CC17C3"/>
    <w:rsid w:val="34CD7BFA"/>
    <w:rsid w:val="34D16D92"/>
    <w:rsid w:val="34D97170"/>
    <w:rsid w:val="34DB19BE"/>
    <w:rsid w:val="34DD1293"/>
    <w:rsid w:val="34DD6E60"/>
    <w:rsid w:val="34DF2FE2"/>
    <w:rsid w:val="34DF5E3D"/>
    <w:rsid w:val="34EF0FC6"/>
    <w:rsid w:val="350A6A1C"/>
    <w:rsid w:val="350C7DCA"/>
    <w:rsid w:val="35126DD7"/>
    <w:rsid w:val="351333BE"/>
    <w:rsid w:val="35245113"/>
    <w:rsid w:val="352944D8"/>
    <w:rsid w:val="352B7A88"/>
    <w:rsid w:val="352E7D40"/>
    <w:rsid w:val="35366BF5"/>
    <w:rsid w:val="353E6F73"/>
    <w:rsid w:val="35417FC0"/>
    <w:rsid w:val="354271FD"/>
    <w:rsid w:val="3550415A"/>
    <w:rsid w:val="35522D73"/>
    <w:rsid w:val="35531555"/>
    <w:rsid w:val="3558617C"/>
    <w:rsid w:val="35595A03"/>
    <w:rsid w:val="355E0625"/>
    <w:rsid w:val="356373DB"/>
    <w:rsid w:val="356B07BA"/>
    <w:rsid w:val="3572419E"/>
    <w:rsid w:val="357D4824"/>
    <w:rsid w:val="35812566"/>
    <w:rsid w:val="3586192A"/>
    <w:rsid w:val="35884863"/>
    <w:rsid w:val="358F41C3"/>
    <w:rsid w:val="359342B5"/>
    <w:rsid w:val="359A53D6"/>
    <w:rsid w:val="359F29EC"/>
    <w:rsid w:val="35A3072E"/>
    <w:rsid w:val="35AD5109"/>
    <w:rsid w:val="35B32EAC"/>
    <w:rsid w:val="35B66451"/>
    <w:rsid w:val="35BE2E72"/>
    <w:rsid w:val="35C12962"/>
    <w:rsid w:val="35C97A69"/>
    <w:rsid w:val="35CB37E1"/>
    <w:rsid w:val="35CD7920"/>
    <w:rsid w:val="35D16939"/>
    <w:rsid w:val="35E831D9"/>
    <w:rsid w:val="35F378CA"/>
    <w:rsid w:val="35F42D38"/>
    <w:rsid w:val="35F753F7"/>
    <w:rsid w:val="35F9034E"/>
    <w:rsid w:val="35FB2318"/>
    <w:rsid w:val="35FE3505"/>
    <w:rsid w:val="35FE7442"/>
    <w:rsid w:val="36174C78"/>
    <w:rsid w:val="361F1583"/>
    <w:rsid w:val="362058DB"/>
    <w:rsid w:val="362421D0"/>
    <w:rsid w:val="36246370"/>
    <w:rsid w:val="36252EF1"/>
    <w:rsid w:val="362548FD"/>
    <w:rsid w:val="36296BDA"/>
    <w:rsid w:val="362974AF"/>
    <w:rsid w:val="36323860"/>
    <w:rsid w:val="36370E76"/>
    <w:rsid w:val="364F57B2"/>
    <w:rsid w:val="36625EF3"/>
    <w:rsid w:val="366462B0"/>
    <w:rsid w:val="366A124C"/>
    <w:rsid w:val="366B4F91"/>
    <w:rsid w:val="366B6B24"/>
    <w:rsid w:val="366B78C7"/>
    <w:rsid w:val="366E7640"/>
    <w:rsid w:val="366F6862"/>
    <w:rsid w:val="36730AC0"/>
    <w:rsid w:val="367A57DD"/>
    <w:rsid w:val="368247AC"/>
    <w:rsid w:val="368D3288"/>
    <w:rsid w:val="368E5890"/>
    <w:rsid w:val="36914A2B"/>
    <w:rsid w:val="36917653"/>
    <w:rsid w:val="36A67AE4"/>
    <w:rsid w:val="36A812EB"/>
    <w:rsid w:val="36B50719"/>
    <w:rsid w:val="36BB3856"/>
    <w:rsid w:val="36BD312A"/>
    <w:rsid w:val="36BE437D"/>
    <w:rsid w:val="36C73FA8"/>
    <w:rsid w:val="36CD4B67"/>
    <w:rsid w:val="36D2136C"/>
    <w:rsid w:val="36D36DF1"/>
    <w:rsid w:val="36E20DE2"/>
    <w:rsid w:val="36E508D2"/>
    <w:rsid w:val="36EE3C2B"/>
    <w:rsid w:val="36F32FEF"/>
    <w:rsid w:val="36F823B4"/>
    <w:rsid w:val="370451FC"/>
    <w:rsid w:val="3704584B"/>
    <w:rsid w:val="370F76FD"/>
    <w:rsid w:val="37146819"/>
    <w:rsid w:val="37146E1D"/>
    <w:rsid w:val="37166CDE"/>
    <w:rsid w:val="37180CA8"/>
    <w:rsid w:val="3718335F"/>
    <w:rsid w:val="3720190B"/>
    <w:rsid w:val="372A2BA2"/>
    <w:rsid w:val="372C1D7E"/>
    <w:rsid w:val="372E4027"/>
    <w:rsid w:val="372F49AE"/>
    <w:rsid w:val="373A0C1E"/>
    <w:rsid w:val="373F7FE3"/>
    <w:rsid w:val="37482CF9"/>
    <w:rsid w:val="374A0FD2"/>
    <w:rsid w:val="37554894"/>
    <w:rsid w:val="37555A58"/>
    <w:rsid w:val="37571505"/>
    <w:rsid w:val="375C75A7"/>
    <w:rsid w:val="375F0FBA"/>
    <w:rsid w:val="376143FD"/>
    <w:rsid w:val="37667C65"/>
    <w:rsid w:val="376C4B50"/>
    <w:rsid w:val="376E6B1A"/>
    <w:rsid w:val="376F3581"/>
    <w:rsid w:val="37702892"/>
    <w:rsid w:val="377774B2"/>
    <w:rsid w:val="377D0D37"/>
    <w:rsid w:val="378105FB"/>
    <w:rsid w:val="378E64BD"/>
    <w:rsid w:val="37943E0C"/>
    <w:rsid w:val="379540A7"/>
    <w:rsid w:val="379A346B"/>
    <w:rsid w:val="37A4078E"/>
    <w:rsid w:val="37A62D93"/>
    <w:rsid w:val="37A82960"/>
    <w:rsid w:val="37B15A8F"/>
    <w:rsid w:val="37B33CE2"/>
    <w:rsid w:val="37B85CC9"/>
    <w:rsid w:val="37BC7138"/>
    <w:rsid w:val="37C52BDE"/>
    <w:rsid w:val="37C624B2"/>
    <w:rsid w:val="37CD3411"/>
    <w:rsid w:val="37CE75B8"/>
    <w:rsid w:val="37CF18B8"/>
    <w:rsid w:val="37D16BE0"/>
    <w:rsid w:val="37DC7F27"/>
    <w:rsid w:val="37DD6B5F"/>
    <w:rsid w:val="37EE37B7"/>
    <w:rsid w:val="37F4125D"/>
    <w:rsid w:val="37F61A68"/>
    <w:rsid w:val="37FE6BD3"/>
    <w:rsid w:val="3801798E"/>
    <w:rsid w:val="38057969"/>
    <w:rsid w:val="381218DA"/>
    <w:rsid w:val="381C4C62"/>
    <w:rsid w:val="381D0773"/>
    <w:rsid w:val="381D36F6"/>
    <w:rsid w:val="381D5309"/>
    <w:rsid w:val="38205C05"/>
    <w:rsid w:val="38213B8C"/>
    <w:rsid w:val="382471D8"/>
    <w:rsid w:val="382B18D9"/>
    <w:rsid w:val="382D4893"/>
    <w:rsid w:val="382D5E8D"/>
    <w:rsid w:val="382D7AEA"/>
    <w:rsid w:val="383F49B0"/>
    <w:rsid w:val="385555E4"/>
    <w:rsid w:val="385775AE"/>
    <w:rsid w:val="386B3F3C"/>
    <w:rsid w:val="386E5688"/>
    <w:rsid w:val="3870241E"/>
    <w:rsid w:val="38740160"/>
    <w:rsid w:val="387B14EE"/>
    <w:rsid w:val="387B504A"/>
    <w:rsid w:val="387C0352"/>
    <w:rsid w:val="387C536A"/>
    <w:rsid w:val="388365F5"/>
    <w:rsid w:val="38855411"/>
    <w:rsid w:val="388859B9"/>
    <w:rsid w:val="388C478E"/>
    <w:rsid w:val="388F6D48"/>
    <w:rsid w:val="389053A4"/>
    <w:rsid w:val="389205E6"/>
    <w:rsid w:val="3894296A"/>
    <w:rsid w:val="38983E4E"/>
    <w:rsid w:val="38A071A7"/>
    <w:rsid w:val="38A807AA"/>
    <w:rsid w:val="38AB691C"/>
    <w:rsid w:val="38B819FD"/>
    <w:rsid w:val="38B8629F"/>
    <w:rsid w:val="38BD1B07"/>
    <w:rsid w:val="38CC3CD9"/>
    <w:rsid w:val="38D06672"/>
    <w:rsid w:val="38D429AD"/>
    <w:rsid w:val="38DA217A"/>
    <w:rsid w:val="38DC6881"/>
    <w:rsid w:val="38E30E42"/>
    <w:rsid w:val="38E35FF9"/>
    <w:rsid w:val="38EE7F12"/>
    <w:rsid w:val="38F507D9"/>
    <w:rsid w:val="38FB667D"/>
    <w:rsid w:val="38FD626D"/>
    <w:rsid w:val="390E2362"/>
    <w:rsid w:val="390E5EBF"/>
    <w:rsid w:val="391023DC"/>
    <w:rsid w:val="3913791C"/>
    <w:rsid w:val="391F477E"/>
    <w:rsid w:val="3929719C"/>
    <w:rsid w:val="392C0A3B"/>
    <w:rsid w:val="392C27E9"/>
    <w:rsid w:val="39315EB6"/>
    <w:rsid w:val="3935280F"/>
    <w:rsid w:val="394144E6"/>
    <w:rsid w:val="394202DF"/>
    <w:rsid w:val="39423601"/>
    <w:rsid w:val="39431198"/>
    <w:rsid w:val="39453307"/>
    <w:rsid w:val="39477622"/>
    <w:rsid w:val="394C636C"/>
    <w:rsid w:val="3952389C"/>
    <w:rsid w:val="39557F91"/>
    <w:rsid w:val="3961052E"/>
    <w:rsid w:val="39622FFD"/>
    <w:rsid w:val="39793242"/>
    <w:rsid w:val="397A79F8"/>
    <w:rsid w:val="397D3044"/>
    <w:rsid w:val="39842625"/>
    <w:rsid w:val="3986014B"/>
    <w:rsid w:val="398919E9"/>
    <w:rsid w:val="398E3FA4"/>
    <w:rsid w:val="399A7FF8"/>
    <w:rsid w:val="39A71FAF"/>
    <w:rsid w:val="39AD0584"/>
    <w:rsid w:val="39B05BD2"/>
    <w:rsid w:val="39B06F76"/>
    <w:rsid w:val="39B27192"/>
    <w:rsid w:val="39B527DE"/>
    <w:rsid w:val="39BB5F1B"/>
    <w:rsid w:val="39BF540B"/>
    <w:rsid w:val="39C3314D"/>
    <w:rsid w:val="39C965A4"/>
    <w:rsid w:val="39CA501E"/>
    <w:rsid w:val="39CE564E"/>
    <w:rsid w:val="39CE6157"/>
    <w:rsid w:val="39D172DA"/>
    <w:rsid w:val="39D57E7A"/>
    <w:rsid w:val="39D80976"/>
    <w:rsid w:val="39E46D1E"/>
    <w:rsid w:val="39E84962"/>
    <w:rsid w:val="39EC23F2"/>
    <w:rsid w:val="39F07CBA"/>
    <w:rsid w:val="39F94DC1"/>
    <w:rsid w:val="39FC21BB"/>
    <w:rsid w:val="39FE6467"/>
    <w:rsid w:val="39FF0A72"/>
    <w:rsid w:val="3A004BE6"/>
    <w:rsid w:val="3A033549"/>
    <w:rsid w:val="3A0472C2"/>
    <w:rsid w:val="3A07612D"/>
    <w:rsid w:val="3A114F18"/>
    <w:rsid w:val="3A143F37"/>
    <w:rsid w:val="3A1B20AE"/>
    <w:rsid w:val="3A1E0383"/>
    <w:rsid w:val="3A1E073A"/>
    <w:rsid w:val="3A213691"/>
    <w:rsid w:val="3A23599A"/>
    <w:rsid w:val="3A2611F5"/>
    <w:rsid w:val="3A2D6818"/>
    <w:rsid w:val="3A2E433E"/>
    <w:rsid w:val="3A311757"/>
    <w:rsid w:val="3A3A2CE3"/>
    <w:rsid w:val="3A3E6C77"/>
    <w:rsid w:val="3A3F1455"/>
    <w:rsid w:val="3A406FC9"/>
    <w:rsid w:val="3A41172F"/>
    <w:rsid w:val="3A455684"/>
    <w:rsid w:val="3A4678DA"/>
    <w:rsid w:val="3A484004"/>
    <w:rsid w:val="3A540249"/>
    <w:rsid w:val="3A61092F"/>
    <w:rsid w:val="3A6A315B"/>
    <w:rsid w:val="3A704957"/>
    <w:rsid w:val="3A7818C2"/>
    <w:rsid w:val="3A793796"/>
    <w:rsid w:val="3A856654"/>
    <w:rsid w:val="3A8B1791"/>
    <w:rsid w:val="3A8B7E16"/>
    <w:rsid w:val="3A916DA7"/>
    <w:rsid w:val="3A971569"/>
    <w:rsid w:val="3A976388"/>
    <w:rsid w:val="3A991BBE"/>
    <w:rsid w:val="3A9A5F27"/>
    <w:rsid w:val="3AA54031"/>
    <w:rsid w:val="3AAF722D"/>
    <w:rsid w:val="3ABE3914"/>
    <w:rsid w:val="3ABE56C2"/>
    <w:rsid w:val="3AC05082"/>
    <w:rsid w:val="3AC56426"/>
    <w:rsid w:val="3AD07894"/>
    <w:rsid w:val="3AD41A9E"/>
    <w:rsid w:val="3AD4224F"/>
    <w:rsid w:val="3AD60C5E"/>
    <w:rsid w:val="3AD924FC"/>
    <w:rsid w:val="3ADA0A41"/>
    <w:rsid w:val="3ADA4875"/>
    <w:rsid w:val="3AE4166A"/>
    <w:rsid w:val="3AE63920"/>
    <w:rsid w:val="3AEA4709"/>
    <w:rsid w:val="3AED26D9"/>
    <w:rsid w:val="3AEF3ACE"/>
    <w:rsid w:val="3AF2453E"/>
    <w:rsid w:val="3AF27395"/>
    <w:rsid w:val="3AF97DF8"/>
    <w:rsid w:val="3AFC735A"/>
    <w:rsid w:val="3AFF1C16"/>
    <w:rsid w:val="3B021A53"/>
    <w:rsid w:val="3B057795"/>
    <w:rsid w:val="3B073DC4"/>
    <w:rsid w:val="3B0F5F1E"/>
    <w:rsid w:val="3B1524F8"/>
    <w:rsid w:val="3B1A1659"/>
    <w:rsid w:val="3B2319C9"/>
    <w:rsid w:val="3B2F036E"/>
    <w:rsid w:val="3B3616FD"/>
    <w:rsid w:val="3B363CCC"/>
    <w:rsid w:val="3B3B5748"/>
    <w:rsid w:val="3B424545"/>
    <w:rsid w:val="3B497682"/>
    <w:rsid w:val="3B4A33FA"/>
    <w:rsid w:val="3B4C6D7D"/>
    <w:rsid w:val="3B506C62"/>
    <w:rsid w:val="3B5953EB"/>
    <w:rsid w:val="3B5E2A01"/>
    <w:rsid w:val="3B5F3FC3"/>
    <w:rsid w:val="3B6029BB"/>
    <w:rsid w:val="3B651FE2"/>
    <w:rsid w:val="3B665226"/>
    <w:rsid w:val="3B6B584A"/>
    <w:rsid w:val="3B6C0CBF"/>
    <w:rsid w:val="3B705168"/>
    <w:rsid w:val="3B7B35B3"/>
    <w:rsid w:val="3B8263A7"/>
    <w:rsid w:val="3B9052B1"/>
    <w:rsid w:val="3B984165"/>
    <w:rsid w:val="3B9D5C20"/>
    <w:rsid w:val="3BAB20EB"/>
    <w:rsid w:val="3BB15227"/>
    <w:rsid w:val="3BB865B6"/>
    <w:rsid w:val="3BC75CC8"/>
    <w:rsid w:val="3BDF7FE6"/>
    <w:rsid w:val="3BE14667"/>
    <w:rsid w:val="3BE23632"/>
    <w:rsid w:val="3BE455FD"/>
    <w:rsid w:val="3BEB555A"/>
    <w:rsid w:val="3BEC5FAD"/>
    <w:rsid w:val="3BEE6454"/>
    <w:rsid w:val="3BEF30BA"/>
    <w:rsid w:val="3BF05D4F"/>
    <w:rsid w:val="3BF135B5"/>
    <w:rsid w:val="3BFC64A2"/>
    <w:rsid w:val="3C004C62"/>
    <w:rsid w:val="3C0E5959"/>
    <w:rsid w:val="3C137C90"/>
    <w:rsid w:val="3C2123AD"/>
    <w:rsid w:val="3C21415B"/>
    <w:rsid w:val="3C240331"/>
    <w:rsid w:val="3C241E9D"/>
    <w:rsid w:val="3C3A6FCB"/>
    <w:rsid w:val="3C3B6FA3"/>
    <w:rsid w:val="3C451A90"/>
    <w:rsid w:val="3C4E0CC8"/>
    <w:rsid w:val="3C577B7C"/>
    <w:rsid w:val="3C6978B0"/>
    <w:rsid w:val="3C75741A"/>
    <w:rsid w:val="3C7732F6"/>
    <w:rsid w:val="3C833D4A"/>
    <w:rsid w:val="3C836BC3"/>
    <w:rsid w:val="3C89004C"/>
    <w:rsid w:val="3C8A7F52"/>
    <w:rsid w:val="3C8D17F0"/>
    <w:rsid w:val="3C8D5A7B"/>
    <w:rsid w:val="3C8D7A42"/>
    <w:rsid w:val="3C9A2914"/>
    <w:rsid w:val="3CA42B32"/>
    <w:rsid w:val="3CBA07BD"/>
    <w:rsid w:val="3CBB635D"/>
    <w:rsid w:val="3CC1713F"/>
    <w:rsid w:val="3CC2593E"/>
    <w:rsid w:val="3CC52D38"/>
    <w:rsid w:val="3CDB1EF1"/>
    <w:rsid w:val="3CDE6477"/>
    <w:rsid w:val="3CE07B72"/>
    <w:rsid w:val="3CE164BB"/>
    <w:rsid w:val="3CE550F7"/>
    <w:rsid w:val="3CEB7CAA"/>
    <w:rsid w:val="3CED75F4"/>
    <w:rsid w:val="3CF11D7F"/>
    <w:rsid w:val="3CF42FF2"/>
    <w:rsid w:val="3CF8135F"/>
    <w:rsid w:val="3D042E52"/>
    <w:rsid w:val="3D097EF5"/>
    <w:rsid w:val="3D1C0827"/>
    <w:rsid w:val="3D1D0DC6"/>
    <w:rsid w:val="3D2757A1"/>
    <w:rsid w:val="3D281519"/>
    <w:rsid w:val="3D314871"/>
    <w:rsid w:val="3D363781"/>
    <w:rsid w:val="3D393726"/>
    <w:rsid w:val="3D3B124C"/>
    <w:rsid w:val="3D3D4FC4"/>
    <w:rsid w:val="3D404AB5"/>
    <w:rsid w:val="3D4E71D1"/>
    <w:rsid w:val="3D516CC2"/>
    <w:rsid w:val="3D536596"/>
    <w:rsid w:val="3D5D7415"/>
    <w:rsid w:val="3D6A0A80"/>
    <w:rsid w:val="3D6B7230"/>
    <w:rsid w:val="3D6F71B7"/>
    <w:rsid w:val="3D7C62A8"/>
    <w:rsid w:val="3D801C4E"/>
    <w:rsid w:val="3D806AA1"/>
    <w:rsid w:val="3D8726E3"/>
    <w:rsid w:val="3D8F130B"/>
    <w:rsid w:val="3D8F673A"/>
    <w:rsid w:val="3D94413C"/>
    <w:rsid w:val="3D9F5C7F"/>
    <w:rsid w:val="3DA45043"/>
    <w:rsid w:val="3DA60DBB"/>
    <w:rsid w:val="3DA976C1"/>
    <w:rsid w:val="3DB13526"/>
    <w:rsid w:val="3DB77087"/>
    <w:rsid w:val="3DBF0683"/>
    <w:rsid w:val="3DC96176"/>
    <w:rsid w:val="3DCE273D"/>
    <w:rsid w:val="3DD31485"/>
    <w:rsid w:val="3DD4074A"/>
    <w:rsid w:val="3DD516A1"/>
    <w:rsid w:val="3DD60F75"/>
    <w:rsid w:val="3DDF7E2A"/>
    <w:rsid w:val="3DE17A4B"/>
    <w:rsid w:val="3DE2196F"/>
    <w:rsid w:val="3DE4182F"/>
    <w:rsid w:val="3DF338D5"/>
    <w:rsid w:val="3DFA4C63"/>
    <w:rsid w:val="3E021D6A"/>
    <w:rsid w:val="3E0379A2"/>
    <w:rsid w:val="3E0B07AB"/>
    <w:rsid w:val="3E116551"/>
    <w:rsid w:val="3E157CEF"/>
    <w:rsid w:val="3E1A3557"/>
    <w:rsid w:val="3E223A0D"/>
    <w:rsid w:val="3E2241BA"/>
    <w:rsid w:val="3E2651B1"/>
    <w:rsid w:val="3E295549"/>
    <w:rsid w:val="3E330A7D"/>
    <w:rsid w:val="3E3C1720"/>
    <w:rsid w:val="3E3F4D6C"/>
    <w:rsid w:val="3E4134F8"/>
    <w:rsid w:val="3E4203B8"/>
    <w:rsid w:val="3E442382"/>
    <w:rsid w:val="3E4839FF"/>
    <w:rsid w:val="3E4F7F6C"/>
    <w:rsid w:val="3E50768A"/>
    <w:rsid w:val="3E530452"/>
    <w:rsid w:val="3E5A4BD7"/>
    <w:rsid w:val="3E5A7DF8"/>
    <w:rsid w:val="3E5C147A"/>
    <w:rsid w:val="3E611186"/>
    <w:rsid w:val="3E69591B"/>
    <w:rsid w:val="3E6B3098"/>
    <w:rsid w:val="3E6D18D9"/>
    <w:rsid w:val="3E7419B2"/>
    <w:rsid w:val="3E7C3950"/>
    <w:rsid w:val="3E874E56"/>
    <w:rsid w:val="3E886766"/>
    <w:rsid w:val="3E9D0346"/>
    <w:rsid w:val="3E9E1A93"/>
    <w:rsid w:val="3EA1023D"/>
    <w:rsid w:val="3EAD617A"/>
    <w:rsid w:val="3EAF2EDB"/>
    <w:rsid w:val="3EB06114"/>
    <w:rsid w:val="3EB772F7"/>
    <w:rsid w:val="3EC322DA"/>
    <w:rsid w:val="3ECF7E9E"/>
    <w:rsid w:val="3ED57B2D"/>
    <w:rsid w:val="3ED81E60"/>
    <w:rsid w:val="3ED83693"/>
    <w:rsid w:val="3EDC25BB"/>
    <w:rsid w:val="3EE07560"/>
    <w:rsid w:val="3EE53B65"/>
    <w:rsid w:val="3EE55A09"/>
    <w:rsid w:val="3EE576C2"/>
    <w:rsid w:val="3EE60EFB"/>
    <w:rsid w:val="3EEB27FE"/>
    <w:rsid w:val="3EEC4EF4"/>
    <w:rsid w:val="3EED2A1A"/>
    <w:rsid w:val="3EF20030"/>
    <w:rsid w:val="3EF678E2"/>
    <w:rsid w:val="3F074281"/>
    <w:rsid w:val="3F094FA9"/>
    <w:rsid w:val="3F0A5EFF"/>
    <w:rsid w:val="3F0A7128"/>
    <w:rsid w:val="3F126122"/>
    <w:rsid w:val="3F1261D2"/>
    <w:rsid w:val="3F147AE4"/>
    <w:rsid w:val="3F1735F3"/>
    <w:rsid w:val="3F2504D1"/>
    <w:rsid w:val="3F253F62"/>
    <w:rsid w:val="3F36616F"/>
    <w:rsid w:val="3F3D0D94"/>
    <w:rsid w:val="3F3F260B"/>
    <w:rsid w:val="3F47037C"/>
    <w:rsid w:val="3F486BA2"/>
    <w:rsid w:val="3F520ACF"/>
    <w:rsid w:val="3F526431"/>
    <w:rsid w:val="3F536256"/>
    <w:rsid w:val="3F55677C"/>
    <w:rsid w:val="3F56236D"/>
    <w:rsid w:val="3F5C5CEE"/>
    <w:rsid w:val="3F60143E"/>
    <w:rsid w:val="3F616053"/>
    <w:rsid w:val="3F63123E"/>
    <w:rsid w:val="3F676329"/>
    <w:rsid w:val="3F6E046A"/>
    <w:rsid w:val="3F7039D5"/>
    <w:rsid w:val="3F7171A7"/>
    <w:rsid w:val="3F7C5620"/>
    <w:rsid w:val="3F7E3672"/>
    <w:rsid w:val="3F8073EA"/>
    <w:rsid w:val="3F9133A5"/>
    <w:rsid w:val="3FA13628"/>
    <w:rsid w:val="3FA26850"/>
    <w:rsid w:val="3FA44371"/>
    <w:rsid w:val="3FAE03FB"/>
    <w:rsid w:val="3FB45814"/>
    <w:rsid w:val="3FB82BCE"/>
    <w:rsid w:val="3FB83028"/>
    <w:rsid w:val="3FC372A1"/>
    <w:rsid w:val="3FCA68B7"/>
    <w:rsid w:val="3FCB2D5B"/>
    <w:rsid w:val="3FCB3C58"/>
    <w:rsid w:val="3FD57736"/>
    <w:rsid w:val="3FE43E1D"/>
    <w:rsid w:val="3FEE25A6"/>
    <w:rsid w:val="3FF1653A"/>
    <w:rsid w:val="3FF17F6E"/>
    <w:rsid w:val="3FF57DD8"/>
    <w:rsid w:val="3FF8575E"/>
    <w:rsid w:val="3FFE3D07"/>
    <w:rsid w:val="40110B4E"/>
    <w:rsid w:val="401378FD"/>
    <w:rsid w:val="40175FA1"/>
    <w:rsid w:val="401B43EF"/>
    <w:rsid w:val="401C35B7"/>
    <w:rsid w:val="4024246B"/>
    <w:rsid w:val="40260FAA"/>
    <w:rsid w:val="40267F92"/>
    <w:rsid w:val="4037219F"/>
    <w:rsid w:val="40384169"/>
    <w:rsid w:val="40435F16"/>
    <w:rsid w:val="40486B6A"/>
    <w:rsid w:val="404B23C8"/>
    <w:rsid w:val="404C1982"/>
    <w:rsid w:val="404E41FB"/>
    <w:rsid w:val="40532D51"/>
    <w:rsid w:val="4056459D"/>
    <w:rsid w:val="405C442F"/>
    <w:rsid w:val="405C7E57"/>
    <w:rsid w:val="405D09DB"/>
    <w:rsid w:val="405F34A4"/>
    <w:rsid w:val="40646D0C"/>
    <w:rsid w:val="406B5CFC"/>
    <w:rsid w:val="40714F85"/>
    <w:rsid w:val="407422FD"/>
    <w:rsid w:val="40786454"/>
    <w:rsid w:val="407C55DC"/>
    <w:rsid w:val="407D392A"/>
    <w:rsid w:val="408619AE"/>
    <w:rsid w:val="408829FA"/>
    <w:rsid w:val="408A03DD"/>
    <w:rsid w:val="40956EC5"/>
    <w:rsid w:val="4097721C"/>
    <w:rsid w:val="40A02476"/>
    <w:rsid w:val="40A4535A"/>
    <w:rsid w:val="40AB477C"/>
    <w:rsid w:val="40AD7FB4"/>
    <w:rsid w:val="40AF10F4"/>
    <w:rsid w:val="40AF442B"/>
    <w:rsid w:val="40B030CD"/>
    <w:rsid w:val="40BA0E4F"/>
    <w:rsid w:val="40BD03D8"/>
    <w:rsid w:val="40C00DAF"/>
    <w:rsid w:val="40C571CA"/>
    <w:rsid w:val="40CB4334"/>
    <w:rsid w:val="40E1210B"/>
    <w:rsid w:val="40E628C2"/>
    <w:rsid w:val="40FC0E04"/>
    <w:rsid w:val="40FE4A6B"/>
    <w:rsid w:val="41004C87"/>
    <w:rsid w:val="410A5D60"/>
    <w:rsid w:val="411C7FEC"/>
    <w:rsid w:val="41306BEE"/>
    <w:rsid w:val="413B181B"/>
    <w:rsid w:val="413D18AA"/>
    <w:rsid w:val="41523E15"/>
    <w:rsid w:val="41546D80"/>
    <w:rsid w:val="41566655"/>
    <w:rsid w:val="415E375B"/>
    <w:rsid w:val="41656898"/>
    <w:rsid w:val="416845DA"/>
    <w:rsid w:val="416A0F1E"/>
    <w:rsid w:val="41717932"/>
    <w:rsid w:val="41731496"/>
    <w:rsid w:val="417A4C32"/>
    <w:rsid w:val="417B1D88"/>
    <w:rsid w:val="41872CB2"/>
    <w:rsid w:val="41904E88"/>
    <w:rsid w:val="419773F0"/>
    <w:rsid w:val="41A3330C"/>
    <w:rsid w:val="41AC53A5"/>
    <w:rsid w:val="41AD023F"/>
    <w:rsid w:val="41AF4840"/>
    <w:rsid w:val="41B72FE8"/>
    <w:rsid w:val="41B8730F"/>
    <w:rsid w:val="41BE244C"/>
    <w:rsid w:val="41C06A73"/>
    <w:rsid w:val="41C37A62"/>
    <w:rsid w:val="41C55588"/>
    <w:rsid w:val="41CC4B69"/>
    <w:rsid w:val="41CE268F"/>
    <w:rsid w:val="41D43A1D"/>
    <w:rsid w:val="41D9208D"/>
    <w:rsid w:val="41DC5B0C"/>
    <w:rsid w:val="41E00614"/>
    <w:rsid w:val="41E236C0"/>
    <w:rsid w:val="41E33C60"/>
    <w:rsid w:val="41EA0D9C"/>
    <w:rsid w:val="41EA4FEF"/>
    <w:rsid w:val="41F0713D"/>
    <w:rsid w:val="41F145CF"/>
    <w:rsid w:val="41F34391"/>
    <w:rsid w:val="41F50307"/>
    <w:rsid w:val="41F61CF1"/>
    <w:rsid w:val="41FA3C86"/>
    <w:rsid w:val="41FD11C6"/>
    <w:rsid w:val="42023D60"/>
    <w:rsid w:val="42044303"/>
    <w:rsid w:val="42067190"/>
    <w:rsid w:val="42093152"/>
    <w:rsid w:val="420F2CA7"/>
    <w:rsid w:val="421309EA"/>
    <w:rsid w:val="42187DAE"/>
    <w:rsid w:val="42240501"/>
    <w:rsid w:val="42254279"/>
    <w:rsid w:val="4234765C"/>
    <w:rsid w:val="423544BC"/>
    <w:rsid w:val="423D2FF2"/>
    <w:rsid w:val="42416B0C"/>
    <w:rsid w:val="42462B6D"/>
    <w:rsid w:val="4248228D"/>
    <w:rsid w:val="42521512"/>
    <w:rsid w:val="42576B28"/>
    <w:rsid w:val="4258464E"/>
    <w:rsid w:val="425E2F4E"/>
    <w:rsid w:val="426204B3"/>
    <w:rsid w:val="42653860"/>
    <w:rsid w:val="426C1EA8"/>
    <w:rsid w:val="42723999"/>
    <w:rsid w:val="42727CDA"/>
    <w:rsid w:val="427A1B56"/>
    <w:rsid w:val="428611BC"/>
    <w:rsid w:val="42884F34"/>
    <w:rsid w:val="428B0580"/>
    <w:rsid w:val="428B0805"/>
    <w:rsid w:val="42935686"/>
    <w:rsid w:val="42937435"/>
    <w:rsid w:val="42975177"/>
    <w:rsid w:val="4299174F"/>
    <w:rsid w:val="42992DA8"/>
    <w:rsid w:val="429A07C3"/>
    <w:rsid w:val="42AE426E"/>
    <w:rsid w:val="42AF1E4A"/>
    <w:rsid w:val="42B5384F"/>
    <w:rsid w:val="42BA3AC0"/>
    <w:rsid w:val="42BE6BA7"/>
    <w:rsid w:val="42BF1091"/>
    <w:rsid w:val="42BF3635"/>
    <w:rsid w:val="42C27BE5"/>
    <w:rsid w:val="42C712E3"/>
    <w:rsid w:val="42C85330"/>
    <w:rsid w:val="42DA5063"/>
    <w:rsid w:val="42E63A08"/>
    <w:rsid w:val="42EE045D"/>
    <w:rsid w:val="42EE5F86"/>
    <w:rsid w:val="42F119C2"/>
    <w:rsid w:val="42F13F7A"/>
    <w:rsid w:val="42F57B14"/>
    <w:rsid w:val="42FE4480"/>
    <w:rsid w:val="430622FC"/>
    <w:rsid w:val="430E5199"/>
    <w:rsid w:val="430F11B1"/>
    <w:rsid w:val="431247FD"/>
    <w:rsid w:val="431D286B"/>
    <w:rsid w:val="43236A0A"/>
    <w:rsid w:val="432664FB"/>
    <w:rsid w:val="43273A09"/>
    <w:rsid w:val="432F7D19"/>
    <w:rsid w:val="433B1FA6"/>
    <w:rsid w:val="433D3CFB"/>
    <w:rsid w:val="433E3844"/>
    <w:rsid w:val="433E4686"/>
    <w:rsid w:val="43422F5A"/>
    <w:rsid w:val="434626F9"/>
    <w:rsid w:val="4352109E"/>
    <w:rsid w:val="4354379C"/>
    <w:rsid w:val="435842D7"/>
    <w:rsid w:val="435B61A4"/>
    <w:rsid w:val="43624020"/>
    <w:rsid w:val="43664B49"/>
    <w:rsid w:val="436A5D90"/>
    <w:rsid w:val="43747266"/>
    <w:rsid w:val="43770B04"/>
    <w:rsid w:val="438020AF"/>
    <w:rsid w:val="4385083C"/>
    <w:rsid w:val="438A0218"/>
    <w:rsid w:val="438A0837"/>
    <w:rsid w:val="438A6A5F"/>
    <w:rsid w:val="439116E1"/>
    <w:rsid w:val="43931DE2"/>
    <w:rsid w:val="439722B1"/>
    <w:rsid w:val="43A6315D"/>
    <w:rsid w:val="43B47DBF"/>
    <w:rsid w:val="43BE6733"/>
    <w:rsid w:val="43BF16A5"/>
    <w:rsid w:val="43C755E8"/>
    <w:rsid w:val="43CA3C9D"/>
    <w:rsid w:val="43CC2BFE"/>
    <w:rsid w:val="43D6599C"/>
    <w:rsid w:val="43DA0BC1"/>
    <w:rsid w:val="43DB1093"/>
    <w:rsid w:val="43E21F24"/>
    <w:rsid w:val="43E268C5"/>
    <w:rsid w:val="43F14D5A"/>
    <w:rsid w:val="43F860E9"/>
    <w:rsid w:val="43F87B9F"/>
    <w:rsid w:val="43F95711"/>
    <w:rsid w:val="43FB1D8B"/>
    <w:rsid w:val="43FB25CF"/>
    <w:rsid w:val="43FB2FD3"/>
    <w:rsid w:val="43FB34E3"/>
    <w:rsid w:val="43FE2640"/>
    <w:rsid w:val="4408546B"/>
    <w:rsid w:val="440A3726"/>
    <w:rsid w:val="440C2FD9"/>
    <w:rsid w:val="440C3942"/>
    <w:rsid w:val="440C6F05"/>
    <w:rsid w:val="441A605F"/>
    <w:rsid w:val="441F5424"/>
    <w:rsid w:val="442073EE"/>
    <w:rsid w:val="44283AC1"/>
    <w:rsid w:val="44352E99"/>
    <w:rsid w:val="443F1622"/>
    <w:rsid w:val="44406889"/>
    <w:rsid w:val="4441631B"/>
    <w:rsid w:val="44440F87"/>
    <w:rsid w:val="444C1F91"/>
    <w:rsid w:val="445724EF"/>
    <w:rsid w:val="445805FE"/>
    <w:rsid w:val="445A645C"/>
    <w:rsid w:val="445C242C"/>
    <w:rsid w:val="44646F08"/>
    <w:rsid w:val="446A2480"/>
    <w:rsid w:val="44757C81"/>
    <w:rsid w:val="447B3AE6"/>
    <w:rsid w:val="447C0AC8"/>
    <w:rsid w:val="447F10A1"/>
    <w:rsid w:val="44872FC9"/>
    <w:rsid w:val="448E3D1D"/>
    <w:rsid w:val="44965B23"/>
    <w:rsid w:val="449B0822"/>
    <w:rsid w:val="449E5853"/>
    <w:rsid w:val="44A1408B"/>
    <w:rsid w:val="44A65B45"/>
    <w:rsid w:val="44AC2A30"/>
    <w:rsid w:val="44B26298"/>
    <w:rsid w:val="44B30262"/>
    <w:rsid w:val="44BA1A34"/>
    <w:rsid w:val="44BD6AC2"/>
    <w:rsid w:val="44BE2E8F"/>
    <w:rsid w:val="44C1768E"/>
    <w:rsid w:val="44C640B0"/>
    <w:rsid w:val="44C80E26"/>
    <w:rsid w:val="44CE29A6"/>
    <w:rsid w:val="44CE7C32"/>
    <w:rsid w:val="44D06640"/>
    <w:rsid w:val="44D206E8"/>
    <w:rsid w:val="44E64FE3"/>
    <w:rsid w:val="44EE3048"/>
    <w:rsid w:val="44F87A23"/>
    <w:rsid w:val="44FC5765"/>
    <w:rsid w:val="44FC7AC5"/>
    <w:rsid w:val="4500354B"/>
    <w:rsid w:val="4504286C"/>
    <w:rsid w:val="45091C30"/>
    <w:rsid w:val="45107462"/>
    <w:rsid w:val="4517434D"/>
    <w:rsid w:val="452704C1"/>
    <w:rsid w:val="4529115C"/>
    <w:rsid w:val="45294080"/>
    <w:rsid w:val="45321187"/>
    <w:rsid w:val="453A003B"/>
    <w:rsid w:val="453E18DA"/>
    <w:rsid w:val="45416129"/>
    <w:rsid w:val="45450EC4"/>
    <w:rsid w:val="454A45C3"/>
    <w:rsid w:val="454B6546"/>
    <w:rsid w:val="455455A1"/>
    <w:rsid w:val="4555790A"/>
    <w:rsid w:val="45576E3F"/>
    <w:rsid w:val="45625ABA"/>
    <w:rsid w:val="45690320"/>
    <w:rsid w:val="456D0411"/>
    <w:rsid w:val="45733CB5"/>
    <w:rsid w:val="45790B64"/>
    <w:rsid w:val="45795008"/>
    <w:rsid w:val="45806396"/>
    <w:rsid w:val="45844CEF"/>
    <w:rsid w:val="45883CCF"/>
    <w:rsid w:val="458C268C"/>
    <w:rsid w:val="458D0AB3"/>
    <w:rsid w:val="459040FF"/>
    <w:rsid w:val="459338F2"/>
    <w:rsid w:val="459F1AEF"/>
    <w:rsid w:val="45A007E6"/>
    <w:rsid w:val="45A8769B"/>
    <w:rsid w:val="45AF04BD"/>
    <w:rsid w:val="45BC6CA2"/>
    <w:rsid w:val="45C30031"/>
    <w:rsid w:val="45C7169E"/>
    <w:rsid w:val="45C85647"/>
    <w:rsid w:val="45C9460B"/>
    <w:rsid w:val="45CD0EAF"/>
    <w:rsid w:val="45CF40F8"/>
    <w:rsid w:val="45D2241E"/>
    <w:rsid w:val="45D93CF8"/>
    <w:rsid w:val="45DC15B0"/>
    <w:rsid w:val="45E06E35"/>
    <w:rsid w:val="45E61D15"/>
    <w:rsid w:val="45E8729D"/>
    <w:rsid w:val="45F0376A"/>
    <w:rsid w:val="45F24541"/>
    <w:rsid w:val="45F4468E"/>
    <w:rsid w:val="46121906"/>
    <w:rsid w:val="46133FF3"/>
    <w:rsid w:val="462815D3"/>
    <w:rsid w:val="462A63A3"/>
    <w:rsid w:val="46353A57"/>
    <w:rsid w:val="463902F3"/>
    <w:rsid w:val="463D6035"/>
    <w:rsid w:val="4665733A"/>
    <w:rsid w:val="466D4392"/>
    <w:rsid w:val="466E65F8"/>
    <w:rsid w:val="46717A8D"/>
    <w:rsid w:val="467A05FE"/>
    <w:rsid w:val="46804174"/>
    <w:rsid w:val="468474F6"/>
    <w:rsid w:val="468772B0"/>
    <w:rsid w:val="46894FDD"/>
    <w:rsid w:val="468B10D8"/>
    <w:rsid w:val="46955E71"/>
    <w:rsid w:val="469B0FAE"/>
    <w:rsid w:val="46A02970"/>
    <w:rsid w:val="46B04A59"/>
    <w:rsid w:val="46B24F72"/>
    <w:rsid w:val="46B81B60"/>
    <w:rsid w:val="46BA7113"/>
    <w:rsid w:val="46BC33FE"/>
    <w:rsid w:val="46C16C66"/>
    <w:rsid w:val="46C422B2"/>
    <w:rsid w:val="46D558C1"/>
    <w:rsid w:val="46DA3884"/>
    <w:rsid w:val="46E07469"/>
    <w:rsid w:val="46F012F9"/>
    <w:rsid w:val="46FC5DBC"/>
    <w:rsid w:val="46FD7762"/>
    <w:rsid w:val="46FF3BE9"/>
    <w:rsid w:val="4703102D"/>
    <w:rsid w:val="470A2D54"/>
    <w:rsid w:val="47171D52"/>
    <w:rsid w:val="471F1A45"/>
    <w:rsid w:val="471F2BF8"/>
    <w:rsid w:val="47222787"/>
    <w:rsid w:val="472D53D2"/>
    <w:rsid w:val="47341CE9"/>
    <w:rsid w:val="47346FF8"/>
    <w:rsid w:val="474156B1"/>
    <w:rsid w:val="47480785"/>
    <w:rsid w:val="47503B46"/>
    <w:rsid w:val="47543636"/>
    <w:rsid w:val="475C073D"/>
    <w:rsid w:val="475E6263"/>
    <w:rsid w:val="47685334"/>
    <w:rsid w:val="4770243A"/>
    <w:rsid w:val="477770F6"/>
    <w:rsid w:val="47811A62"/>
    <w:rsid w:val="479E6FA7"/>
    <w:rsid w:val="479F062A"/>
    <w:rsid w:val="47A125F4"/>
    <w:rsid w:val="47A256DD"/>
    <w:rsid w:val="47A345BE"/>
    <w:rsid w:val="47A3636C"/>
    <w:rsid w:val="47A45C40"/>
    <w:rsid w:val="47A65E5C"/>
    <w:rsid w:val="47A81BD4"/>
    <w:rsid w:val="47AA14A8"/>
    <w:rsid w:val="47AA76FA"/>
    <w:rsid w:val="47B33D05"/>
    <w:rsid w:val="47B642F1"/>
    <w:rsid w:val="47B95B8F"/>
    <w:rsid w:val="47B9793D"/>
    <w:rsid w:val="47BC742D"/>
    <w:rsid w:val="47C23CF7"/>
    <w:rsid w:val="47C65E45"/>
    <w:rsid w:val="47CD5197"/>
    <w:rsid w:val="47D0052A"/>
    <w:rsid w:val="47D74267"/>
    <w:rsid w:val="47D91D8D"/>
    <w:rsid w:val="47E4400D"/>
    <w:rsid w:val="47E56984"/>
    <w:rsid w:val="47E744AA"/>
    <w:rsid w:val="47EB342D"/>
    <w:rsid w:val="47EC7D13"/>
    <w:rsid w:val="47ED5839"/>
    <w:rsid w:val="47F15329"/>
    <w:rsid w:val="47F15FD3"/>
    <w:rsid w:val="47F27449"/>
    <w:rsid w:val="47F612F7"/>
    <w:rsid w:val="47FC11A5"/>
    <w:rsid w:val="480706A9"/>
    <w:rsid w:val="48142DC6"/>
    <w:rsid w:val="4819662E"/>
    <w:rsid w:val="481D4D1A"/>
    <w:rsid w:val="481E59F2"/>
    <w:rsid w:val="48333607"/>
    <w:rsid w:val="48376AB4"/>
    <w:rsid w:val="4844595B"/>
    <w:rsid w:val="48464B79"/>
    <w:rsid w:val="484A2C8B"/>
    <w:rsid w:val="484A4A39"/>
    <w:rsid w:val="484D62D8"/>
    <w:rsid w:val="48517468"/>
    <w:rsid w:val="4856782D"/>
    <w:rsid w:val="48587156"/>
    <w:rsid w:val="485E04E5"/>
    <w:rsid w:val="48615081"/>
    <w:rsid w:val="48671147"/>
    <w:rsid w:val="4868342A"/>
    <w:rsid w:val="486C2C02"/>
    <w:rsid w:val="487321E2"/>
    <w:rsid w:val="487815A6"/>
    <w:rsid w:val="4879285D"/>
    <w:rsid w:val="48797903"/>
    <w:rsid w:val="487D4DCB"/>
    <w:rsid w:val="48831CF9"/>
    <w:rsid w:val="489553A5"/>
    <w:rsid w:val="48A136C6"/>
    <w:rsid w:val="48A17D68"/>
    <w:rsid w:val="48A203D1"/>
    <w:rsid w:val="48A87B16"/>
    <w:rsid w:val="48AA54D8"/>
    <w:rsid w:val="48AF2AEE"/>
    <w:rsid w:val="48B652DD"/>
    <w:rsid w:val="48BF5427"/>
    <w:rsid w:val="48C738C6"/>
    <w:rsid w:val="48CA7928"/>
    <w:rsid w:val="48D10CB7"/>
    <w:rsid w:val="48D16F09"/>
    <w:rsid w:val="48D32C81"/>
    <w:rsid w:val="48DA400F"/>
    <w:rsid w:val="48E21518"/>
    <w:rsid w:val="48E629B4"/>
    <w:rsid w:val="48EC583F"/>
    <w:rsid w:val="48EC5AF0"/>
    <w:rsid w:val="48F54394"/>
    <w:rsid w:val="48FD49D8"/>
    <w:rsid w:val="48FE4984"/>
    <w:rsid w:val="490177EE"/>
    <w:rsid w:val="490E45BC"/>
    <w:rsid w:val="49127896"/>
    <w:rsid w:val="491419B8"/>
    <w:rsid w:val="49216E1C"/>
    <w:rsid w:val="49247038"/>
    <w:rsid w:val="492B03C7"/>
    <w:rsid w:val="492C413F"/>
    <w:rsid w:val="492D05E3"/>
    <w:rsid w:val="492E435B"/>
    <w:rsid w:val="492E6109"/>
    <w:rsid w:val="492E7EB7"/>
    <w:rsid w:val="493059DD"/>
    <w:rsid w:val="49336566"/>
    <w:rsid w:val="4941408E"/>
    <w:rsid w:val="49456CD3"/>
    <w:rsid w:val="494801D5"/>
    <w:rsid w:val="4948541D"/>
    <w:rsid w:val="494F491F"/>
    <w:rsid w:val="4957252F"/>
    <w:rsid w:val="495A0CAC"/>
    <w:rsid w:val="496140CE"/>
    <w:rsid w:val="4963696E"/>
    <w:rsid w:val="496658A3"/>
    <w:rsid w:val="49667651"/>
    <w:rsid w:val="496B6728"/>
    <w:rsid w:val="497179F9"/>
    <w:rsid w:val="49787E20"/>
    <w:rsid w:val="49813B63"/>
    <w:rsid w:val="49865F45"/>
    <w:rsid w:val="498975CF"/>
    <w:rsid w:val="49956188"/>
    <w:rsid w:val="49975A5C"/>
    <w:rsid w:val="49A563CB"/>
    <w:rsid w:val="49B130F6"/>
    <w:rsid w:val="49C76B77"/>
    <w:rsid w:val="49D24CE6"/>
    <w:rsid w:val="49EA2030"/>
    <w:rsid w:val="49ED38CE"/>
    <w:rsid w:val="49F20EE5"/>
    <w:rsid w:val="49F41101"/>
    <w:rsid w:val="49FB5E05"/>
    <w:rsid w:val="4A0008D3"/>
    <w:rsid w:val="4A031627"/>
    <w:rsid w:val="4A05330E"/>
    <w:rsid w:val="4A090012"/>
    <w:rsid w:val="4A0A26D2"/>
    <w:rsid w:val="4A0B01F8"/>
    <w:rsid w:val="4A0F7519"/>
    <w:rsid w:val="4A113A61"/>
    <w:rsid w:val="4A143551"/>
    <w:rsid w:val="4A1D524E"/>
    <w:rsid w:val="4A270E80"/>
    <w:rsid w:val="4A2D016F"/>
    <w:rsid w:val="4A3459A1"/>
    <w:rsid w:val="4A361719"/>
    <w:rsid w:val="4A3C4B89"/>
    <w:rsid w:val="4A4554B8"/>
    <w:rsid w:val="4A4864C0"/>
    <w:rsid w:val="4A4C61F3"/>
    <w:rsid w:val="4A4D25BF"/>
    <w:rsid w:val="4A525E27"/>
    <w:rsid w:val="4A5358A9"/>
    <w:rsid w:val="4A541B9F"/>
    <w:rsid w:val="4A566ACD"/>
    <w:rsid w:val="4A650626"/>
    <w:rsid w:val="4A673681"/>
    <w:rsid w:val="4A711A97"/>
    <w:rsid w:val="4A767D68"/>
    <w:rsid w:val="4A77763C"/>
    <w:rsid w:val="4A7D10F6"/>
    <w:rsid w:val="4A82495E"/>
    <w:rsid w:val="4A8B46DC"/>
    <w:rsid w:val="4A8E7961"/>
    <w:rsid w:val="4A93210D"/>
    <w:rsid w:val="4A9638ED"/>
    <w:rsid w:val="4A967FD3"/>
    <w:rsid w:val="4AA246B9"/>
    <w:rsid w:val="4AA523FB"/>
    <w:rsid w:val="4AAC5537"/>
    <w:rsid w:val="4AAE7501"/>
    <w:rsid w:val="4AB67801"/>
    <w:rsid w:val="4ABD41CB"/>
    <w:rsid w:val="4ABF34BD"/>
    <w:rsid w:val="4AC24D5B"/>
    <w:rsid w:val="4ACB00B3"/>
    <w:rsid w:val="4ACC5BD9"/>
    <w:rsid w:val="4AD02CA1"/>
    <w:rsid w:val="4AD11644"/>
    <w:rsid w:val="4AD222D3"/>
    <w:rsid w:val="4AD60806"/>
    <w:rsid w:val="4AD625B4"/>
    <w:rsid w:val="4ADD1F43"/>
    <w:rsid w:val="4ADD2A93"/>
    <w:rsid w:val="4ADE33F2"/>
    <w:rsid w:val="4AE03433"/>
    <w:rsid w:val="4AEF126B"/>
    <w:rsid w:val="4AF018C8"/>
    <w:rsid w:val="4AF07B1A"/>
    <w:rsid w:val="4AF110D8"/>
    <w:rsid w:val="4AF34F14"/>
    <w:rsid w:val="4AF851BC"/>
    <w:rsid w:val="4B075940"/>
    <w:rsid w:val="4B0C4228"/>
    <w:rsid w:val="4B0D0BD1"/>
    <w:rsid w:val="4B0E7FA0"/>
    <w:rsid w:val="4B103D18"/>
    <w:rsid w:val="4B106704"/>
    <w:rsid w:val="4B1650A7"/>
    <w:rsid w:val="4B180A5F"/>
    <w:rsid w:val="4B1C090F"/>
    <w:rsid w:val="4B2B2900"/>
    <w:rsid w:val="4B3520E1"/>
    <w:rsid w:val="4B38501D"/>
    <w:rsid w:val="4B3D0885"/>
    <w:rsid w:val="4B4439C2"/>
    <w:rsid w:val="4B4B2FA2"/>
    <w:rsid w:val="4B553E21"/>
    <w:rsid w:val="4B555C31"/>
    <w:rsid w:val="4B5873AF"/>
    <w:rsid w:val="4B65383D"/>
    <w:rsid w:val="4B7342A7"/>
    <w:rsid w:val="4B7A5635"/>
    <w:rsid w:val="4B8115B5"/>
    <w:rsid w:val="4B8464B4"/>
    <w:rsid w:val="4B8B15F1"/>
    <w:rsid w:val="4B9805B5"/>
    <w:rsid w:val="4B9A1834"/>
    <w:rsid w:val="4B9B709A"/>
    <w:rsid w:val="4BA66A37"/>
    <w:rsid w:val="4BA803F5"/>
    <w:rsid w:val="4BAD08D1"/>
    <w:rsid w:val="4BB770C8"/>
    <w:rsid w:val="4BB8782E"/>
    <w:rsid w:val="4BB87F0C"/>
    <w:rsid w:val="4BBF3957"/>
    <w:rsid w:val="4BCA1267"/>
    <w:rsid w:val="4BCE772F"/>
    <w:rsid w:val="4BD24278"/>
    <w:rsid w:val="4BD31551"/>
    <w:rsid w:val="4BDB2578"/>
    <w:rsid w:val="4BDC4AE7"/>
    <w:rsid w:val="4BE86A43"/>
    <w:rsid w:val="4BE96317"/>
    <w:rsid w:val="4BF03B4A"/>
    <w:rsid w:val="4BF41935"/>
    <w:rsid w:val="4BF733A2"/>
    <w:rsid w:val="4BFD6BC8"/>
    <w:rsid w:val="4C030BF4"/>
    <w:rsid w:val="4C0E2D4E"/>
    <w:rsid w:val="4C0F2222"/>
    <w:rsid w:val="4C281885"/>
    <w:rsid w:val="4C3439F7"/>
    <w:rsid w:val="4C3E6663"/>
    <w:rsid w:val="4C427483"/>
    <w:rsid w:val="4C4F6B15"/>
    <w:rsid w:val="4C6A38FC"/>
    <w:rsid w:val="4C6C35DA"/>
    <w:rsid w:val="4C6E6DB3"/>
    <w:rsid w:val="4C724B17"/>
    <w:rsid w:val="4C7B6158"/>
    <w:rsid w:val="4C7F703B"/>
    <w:rsid w:val="4C7F7765"/>
    <w:rsid w:val="4C831EDD"/>
    <w:rsid w:val="4C885B30"/>
    <w:rsid w:val="4C8A7526"/>
    <w:rsid w:val="4C8F5111"/>
    <w:rsid w:val="4C904513"/>
    <w:rsid w:val="4C983BFA"/>
    <w:rsid w:val="4C9A51B6"/>
    <w:rsid w:val="4C9C0900"/>
    <w:rsid w:val="4C9E5354"/>
    <w:rsid w:val="4CA02E7A"/>
    <w:rsid w:val="4CA46E0E"/>
    <w:rsid w:val="4CA9677A"/>
    <w:rsid w:val="4CAC5CC3"/>
    <w:rsid w:val="4CB20978"/>
    <w:rsid w:val="4CB44B77"/>
    <w:rsid w:val="4CB61D91"/>
    <w:rsid w:val="4CB75AA4"/>
    <w:rsid w:val="4CB86415"/>
    <w:rsid w:val="4CBF4695"/>
    <w:rsid w:val="4CC05283"/>
    <w:rsid w:val="4CC529C0"/>
    <w:rsid w:val="4CCA2449"/>
    <w:rsid w:val="4CCE5C39"/>
    <w:rsid w:val="4CD60F91"/>
    <w:rsid w:val="4CDA2830"/>
    <w:rsid w:val="4CE27936"/>
    <w:rsid w:val="4CE50950"/>
    <w:rsid w:val="4CE57A75"/>
    <w:rsid w:val="4CEC2563"/>
    <w:rsid w:val="4CEE1649"/>
    <w:rsid w:val="4CF10C69"/>
    <w:rsid w:val="4CF24DCE"/>
    <w:rsid w:val="4CF338F1"/>
    <w:rsid w:val="4CF82CB6"/>
    <w:rsid w:val="4D0553D3"/>
    <w:rsid w:val="4D064DFF"/>
    <w:rsid w:val="4D085CBD"/>
    <w:rsid w:val="4D0905EE"/>
    <w:rsid w:val="4D0A29E9"/>
    <w:rsid w:val="4D0C504C"/>
    <w:rsid w:val="4D245E25"/>
    <w:rsid w:val="4D262EC8"/>
    <w:rsid w:val="4D2E5D95"/>
    <w:rsid w:val="4D3870E3"/>
    <w:rsid w:val="4D3B0DF4"/>
    <w:rsid w:val="4D3C2FDB"/>
    <w:rsid w:val="4D4C0F3F"/>
    <w:rsid w:val="4D5048A0"/>
    <w:rsid w:val="4D514DDC"/>
    <w:rsid w:val="4D534390"/>
    <w:rsid w:val="4D544298"/>
    <w:rsid w:val="4D6C0FAE"/>
    <w:rsid w:val="4D7E700D"/>
    <w:rsid w:val="4D7F6F33"/>
    <w:rsid w:val="4D8602C2"/>
    <w:rsid w:val="4D890B1B"/>
    <w:rsid w:val="4D9008BD"/>
    <w:rsid w:val="4D9549A9"/>
    <w:rsid w:val="4D9D1B7A"/>
    <w:rsid w:val="4D9E2ACF"/>
    <w:rsid w:val="4DA43C98"/>
    <w:rsid w:val="4DAD2FFB"/>
    <w:rsid w:val="4DAD3AA0"/>
    <w:rsid w:val="4DAE39CA"/>
    <w:rsid w:val="4DB61222"/>
    <w:rsid w:val="4DBC1F35"/>
    <w:rsid w:val="4DC6783B"/>
    <w:rsid w:val="4DC82688"/>
    <w:rsid w:val="4DCD4142"/>
    <w:rsid w:val="4DCE3A17"/>
    <w:rsid w:val="4DD00BB9"/>
    <w:rsid w:val="4DD02600"/>
    <w:rsid w:val="4DD952EB"/>
    <w:rsid w:val="4DDA4A35"/>
    <w:rsid w:val="4DDD42AD"/>
    <w:rsid w:val="4DE82D2A"/>
    <w:rsid w:val="4DEE5E67"/>
    <w:rsid w:val="4DF06083"/>
    <w:rsid w:val="4DF55447"/>
    <w:rsid w:val="4DF7478D"/>
    <w:rsid w:val="4E090D54"/>
    <w:rsid w:val="4E0C0BF7"/>
    <w:rsid w:val="4E0D5345"/>
    <w:rsid w:val="4E197388"/>
    <w:rsid w:val="4E1F13EF"/>
    <w:rsid w:val="4E222C70"/>
    <w:rsid w:val="4E263531"/>
    <w:rsid w:val="4E37108F"/>
    <w:rsid w:val="4E382BA2"/>
    <w:rsid w:val="4E393586"/>
    <w:rsid w:val="4E3C42A6"/>
    <w:rsid w:val="4E402B82"/>
    <w:rsid w:val="4E4471D8"/>
    <w:rsid w:val="4E45017D"/>
    <w:rsid w:val="4E481A1B"/>
    <w:rsid w:val="4E483F72"/>
    <w:rsid w:val="4E492CF4"/>
    <w:rsid w:val="4E4F3CEB"/>
    <w:rsid w:val="4E58133B"/>
    <w:rsid w:val="4E5B61F3"/>
    <w:rsid w:val="4E685C19"/>
    <w:rsid w:val="4E6D3230"/>
    <w:rsid w:val="4E6F5F02"/>
    <w:rsid w:val="4E7520E4"/>
    <w:rsid w:val="4E756EEF"/>
    <w:rsid w:val="4E7660AF"/>
    <w:rsid w:val="4E782E22"/>
    <w:rsid w:val="4E7C3473"/>
    <w:rsid w:val="4E7E368F"/>
    <w:rsid w:val="4E807407"/>
    <w:rsid w:val="4E816CDB"/>
    <w:rsid w:val="4E8A0B3A"/>
    <w:rsid w:val="4E940A4C"/>
    <w:rsid w:val="4E962786"/>
    <w:rsid w:val="4E9E163B"/>
    <w:rsid w:val="4EA01857"/>
    <w:rsid w:val="4EA01E66"/>
    <w:rsid w:val="4EA66D9B"/>
    <w:rsid w:val="4EA77CF5"/>
    <w:rsid w:val="4EA824BA"/>
    <w:rsid w:val="4EAC5AE0"/>
    <w:rsid w:val="4EB45680"/>
    <w:rsid w:val="4EBC2F92"/>
    <w:rsid w:val="4EBD5F65"/>
    <w:rsid w:val="4EC61781"/>
    <w:rsid w:val="4EC70B92"/>
    <w:rsid w:val="4ECB45B0"/>
    <w:rsid w:val="4ED80FF1"/>
    <w:rsid w:val="4EE927D0"/>
    <w:rsid w:val="4EED36CF"/>
    <w:rsid w:val="4EED715B"/>
    <w:rsid w:val="4EEF1E97"/>
    <w:rsid w:val="4EF3102C"/>
    <w:rsid w:val="4EF676C9"/>
    <w:rsid w:val="4EF678D7"/>
    <w:rsid w:val="4EF94AC3"/>
    <w:rsid w:val="4F027E1C"/>
    <w:rsid w:val="4F0750C4"/>
    <w:rsid w:val="4F196F13"/>
    <w:rsid w:val="4F1F277C"/>
    <w:rsid w:val="4F33620F"/>
    <w:rsid w:val="4F393A10"/>
    <w:rsid w:val="4F3F2E1E"/>
    <w:rsid w:val="4F4A531F"/>
    <w:rsid w:val="4F5166AD"/>
    <w:rsid w:val="4F5B577E"/>
    <w:rsid w:val="4F5C39D0"/>
    <w:rsid w:val="4F5F0A3F"/>
    <w:rsid w:val="4F6035BE"/>
    <w:rsid w:val="4F640AB5"/>
    <w:rsid w:val="4F675ED1"/>
    <w:rsid w:val="4F6B3C13"/>
    <w:rsid w:val="4F6C798B"/>
    <w:rsid w:val="4F7052EC"/>
    <w:rsid w:val="4F716D4F"/>
    <w:rsid w:val="4F833B28"/>
    <w:rsid w:val="4F8434CA"/>
    <w:rsid w:val="4F8B1BBF"/>
    <w:rsid w:val="4F8D1DDB"/>
    <w:rsid w:val="4F91412B"/>
    <w:rsid w:val="4F9C002F"/>
    <w:rsid w:val="4FA02098"/>
    <w:rsid w:val="4FA05C21"/>
    <w:rsid w:val="4FA113E3"/>
    <w:rsid w:val="4FA27764"/>
    <w:rsid w:val="4FA95B6E"/>
    <w:rsid w:val="4FB530E0"/>
    <w:rsid w:val="4FB54E8E"/>
    <w:rsid w:val="4FBB0B6D"/>
    <w:rsid w:val="4FBC446F"/>
    <w:rsid w:val="4FC913A8"/>
    <w:rsid w:val="4FDC4C2E"/>
    <w:rsid w:val="4FDD6EE1"/>
    <w:rsid w:val="4FDF22DA"/>
    <w:rsid w:val="4FE43130"/>
    <w:rsid w:val="4FF36959"/>
    <w:rsid w:val="4FF534DD"/>
    <w:rsid w:val="4FF614D2"/>
    <w:rsid w:val="4FF84D7B"/>
    <w:rsid w:val="4FFD05E3"/>
    <w:rsid w:val="50041972"/>
    <w:rsid w:val="50067498"/>
    <w:rsid w:val="500B0F52"/>
    <w:rsid w:val="501871CB"/>
    <w:rsid w:val="50193B3F"/>
    <w:rsid w:val="50204B60"/>
    <w:rsid w:val="5029166D"/>
    <w:rsid w:val="50353B24"/>
    <w:rsid w:val="50384FA9"/>
    <w:rsid w:val="503A35E5"/>
    <w:rsid w:val="50410259"/>
    <w:rsid w:val="504A60E8"/>
    <w:rsid w:val="505072AB"/>
    <w:rsid w:val="505A5A36"/>
    <w:rsid w:val="50615016"/>
    <w:rsid w:val="50663347"/>
    <w:rsid w:val="507B2243"/>
    <w:rsid w:val="507C4CF9"/>
    <w:rsid w:val="50852AB2"/>
    <w:rsid w:val="508F3931"/>
    <w:rsid w:val="50AA42C7"/>
    <w:rsid w:val="50B05655"/>
    <w:rsid w:val="50B476EF"/>
    <w:rsid w:val="50B67110"/>
    <w:rsid w:val="50B7359F"/>
    <w:rsid w:val="50B74C36"/>
    <w:rsid w:val="50CF32A9"/>
    <w:rsid w:val="50D6330E"/>
    <w:rsid w:val="50DE21C3"/>
    <w:rsid w:val="50E7376D"/>
    <w:rsid w:val="50EF17B7"/>
    <w:rsid w:val="50F32112"/>
    <w:rsid w:val="50F43794"/>
    <w:rsid w:val="50F861FD"/>
    <w:rsid w:val="50FB4B23"/>
    <w:rsid w:val="50FC089B"/>
    <w:rsid w:val="50FE086A"/>
    <w:rsid w:val="51021879"/>
    <w:rsid w:val="51066C50"/>
    <w:rsid w:val="510E0CFA"/>
    <w:rsid w:val="51155535"/>
    <w:rsid w:val="51172D27"/>
    <w:rsid w:val="511B24AE"/>
    <w:rsid w:val="51206EDC"/>
    <w:rsid w:val="51220301"/>
    <w:rsid w:val="512247A5"/>
    <w:rsid w:val="512821BB"/>
    <w:rsid w:val="51283135"/>
    <w:rsid w:val="51291D97"/>
    <w:rsid w:val="512C3D35"/>
    <w:rsid w:val="513149E8"/>
    <w:rsid w:val="51317729"/>
    <w:rsid w:val="51422751"/>
    <w:rsid w:val="51452242"/>
    <w:rsid w:val="5147420C"/>
    <w:rsid w:val="51474AA5"/>
    <w:rsid w:val="51491D32"/>
    <w:rsid w:val="514A7858"/>
    <w:rsid w:val="514C537E"/>
    <w:rsid w:val="51523F5C"/>
    <w:rsid w:val="51532BB1"/>
    <w:rsid w:val="515D3A2F"/>
    <w:rsid w:val="51700F8A"/>
    <w:rsid w:val="5178022F"/>
    <w:rsid w:val="5181771E"/>
    <w:rsid w:val="518F1542"/>
    <w:rsid w:val="51900F72"/>
    <w:rsid w:val="51907961"/>
    <w:rsid w:val="51915CE5"/>
    <w:rsid w:val="5195022D"/>
    <w:rsid w:val="51976F41"/>
    <w:rsid w:val="519D3E2C"/>
    <w:rsid w:val="51A27694"/>
    <w:rsid w:val="51A74305"/>
    <w:rsid w:val="51B00003"/>
    <w:rsid w:val="51B3364F"/>
    <w:rsid w:val="51B97834"/>
    <w:rsid w:val="51BB336A"/>
    <w:rsid w:val="51BC2848"/>
    <w:rsid w:val="51C413B8"/>
    <w:rsid w:val="51C43DEC"/>
    <w:rsid w:val="51C71BE5"/>
    <w:rsid w:val="51CF1181"/>
    <w:rsid w:val="51D35A9F"/>
    <w:rsid w:val="51D421DB"/>
    <w:rsid w:val="51DD333F"/>
    <w:rsid w:val="51E11F6A"/>
    <w:rsid w:val="51E1554A"/>
    <w:rsid w:val="51E4278A"/>
    <w:rsid w:val="51E43809"/>
    <w:rsid w:val="51EA3159"/>
    <w:rsid w:val="51EB103B"/>
    <w:rsid w:val="51EB468E"/>
    <w:rsid w:val="51FD4C6A"/>
    <w:rsid w:val="51FF0643"/>
    <w:rsid w:val="52041D74"/>
    <w:rsid w:val="52046E9E"/>
    <w:rsid w:val="521560B8"/>
    <w:rsid w:val="52271947"/>
    <w:rsid w:val="522D3402"/>
    <w:rsid w:val="523A78CD"/>
    <w:rsid w:val="523C3645"/>
    <w:rsid w:val="523C5A8D"/>
    <w:rsid w:val="523E42B2"/>
    <w:rsid w:val="5244074B"/>
    <w:rsid w:val="5245699D"/>
    <w:rsid w:val="524B4D99"/>
    <w:rsid w:val="52546BE0"/>
    <w:rsid w:val="5257047F"/>
    <w:rsid w:val="526929C3"/>
    <w:rsid w:val="526D37FE"/>
    <w:rsid w:val="52727066"/>
    <w:rsid w:val="52765273"/>
    <w:rsid w:val="527B665E"/>
    <w:rsid w:val="528E28F0"/>
    <w:rsid w:val="52977353"/>
    <w:rsid w:val="52A1794C"/>
    <w:rsid w:val="52A179C0"/>
    <w:rsid w:val="52B0205E"/>
    <w:rsid w:val="52BA27BB"/>
    <w:rsid w:val="52C5363A"/>
    <w:rsid w:val="52C939F6"/>
    <w:rsid w:val="52D03D8D"/>
    <w:rsid w:val="52D25D57"/>
    <w:rsid w:val="52D70E9F"/>
    <w:rsid w:val="52DA2442"/>
    <w:rsid w:val="52E272C3"/>
    <w:rsid w:val="52E85D8E"/>
    <w:rsid w:val="52EC6168"/>
    <w:rsid w:val="52F644E2"/>
    <w:rsid w:val="52FB6C1F"/>
    <w:rsid w:val="52FC4B82"/>
    <w:rsid w:val="52FE49DA"/>
    <w:rsid w:val="53071EA5"/>
    <w:rsid w:val="530A2C46"/>
    <w:rsid w:val="530F0D59"/>
    <w:rsid w:val="53157440"/>
    <w:rsid w:val="531B14AC"/>
    <w:rsid w:val="531B4467"/>
    <w:rsid w:val="531D31D9"/>
    <w:rsid w:val="5325232B"/>
    <w:rsid w:val="53284E02"/>
    <w:rsid w:val="53332C9A"/>
    <w:rsid w:val="53353036"/>
    <w:rsid w:val="533C0767"/>
    <w:rsid w:val="53513262"/>
    <w:rsid w:val="535334A5"/>
    <w:rsid w:val="535813F7"/>
    <w:rsid w:val="535914C6"/>
    <w:rsid w:val="535A4FDD"/>
    <w:rsid w:val="535D7C11"/>
    <w:rsid w:val="536015B5"/>
    <w:rsid w:val="53603363"/>
    <w:rsid w:val="536A571C"/>
    <w:rsid w:val="536C1D08"/>
    <w:rsid w:val="537137C2"/>
    <w:rsid w:val="53746AEF"/>
    <w:rsid w:val="53773BC2"/>
    <w:rsid w:val="53774E87"/>
    <w:rsid w:val="53794425"/>
    <w:rsid w:val="537A1BC0"/>
    <w:rsid w:val="537F56DF"/>
    <w:rsid w:val="53803A05"/>
    <w:rsid w:val="538A03E0"/>
    <w:rsid w:val="538A6632"/>
    <w:rsid w:val="539B25ED"/>
    <w:rsid w:val="539D45B7"/>
    <w:rsid w:val="53A476F3"/>
    <w:rsid w:val="53A95E5E"/>
    <w:rsid w:val="53AD2AF9"/>
    <w:rsid w:val="53B77E0F"/>
    <w:rsid w:val="53BF26A8"/>
    <w:rsid w:val="53C74666"/>
    <w:rsid w:val="53CE753B"/>
    <w:rsid w:val="53D82A21"/>
    <w:rsid w:val="53DA4EC3"/>
    <w:rsid w:val="53DD2125"/>
    <w:rsid w:val="53E05C42"/>
    <w:rsid w:val="53E75832"/>
    <w:rsid w:val="53ED0749"/>
    <w:rsid w:val="53F3063D"/>
    <w:rsid w:val="53F812DC"/>
    <w:rsid w:val="53FD6E04"/>
    <w:rsid w:val="540B4634"/>
    <w:rsid w:val="540B7773"/>
    <w:rsid w:val="541008E5"/>
    <w:rsid w:val="54134879"/>
    <w:rsid w:val="541E2AAC"/>
    <w:rsid w:val="54250021"/>
    <w:rsid w:val="54280325"/>
    <w:rsid w:val="542D1473"/>
    <w:rsid w:val="5434309B"/>
    <w:rsid w:val="54377B7E"/>
    <w:rsid w:val="54397099"/>
    <w:rsid w:val="54413194"/>
    <w:rsid w:val="54420CBA"/>
    <w:rsid w:val="54436F0C"/>
    <w:rsid w:val="54442C85"/>
    <w:rsid w:val="54520EFE"/>
    <w:rsid w:val="545E3D46"/>
    <w:rsid w:val="546209A3"/>
    <w:rsid w:val="546450D5"/>
    <w:rsid w:val="546A2608"/>
    <w:rsid w:val="546B47CF"/>
    <w:rsid w:val="546C4119"/>
    <w:rsid w:val="54796BED"/>
    <w:rsid w:val="547C41CC"/>
    <w:rsid w:val="547E7A23"/>
    <w:rsid w:val="5486504B"/>
    <w:rsid w:val="54894CC3"/>
    <w:rsid w:val="548968E9"/>
    <w:rsid w:val="548B08B3"/>
    <w:rsid w:val="548D462B"/>
    <w:rsid w:val="549534E0"/>
    <w:rsid w:val="54997B31"/>
    <w:rsid w:val="54A022DD"/>
    <w:rsid w:val="54AE7204"/>
    <w:rsid w:val="54B24FF9"/>
    <w:rsid w:val="54B716A8"/>
    <w:rsid w:val="54B75132"/>
    <w:rsid w:val="54BB16A0"/>
    <w:rsid w:val="54BF40B9"/>
    <w:rsid w:val="54C647DE"/>
    <w:rsid w:val="54CE505A"/>
    <w:rsid w:val="54D33B35"/>
    <w:rsid w:val="54E016AD"/>
    <w:rsid w:val="54ED50CA"/>
    <w:rsid w:val="54EF499E"/>
    <w:rsid w:val="54F77CF7"/>
    <w:rsid w:val="54F975CB"/>
    <w:rsid w:val="5503669C"/>
    <w:rsid w:val="55064393"/>
    <w:rsid w:val="55083CB2"/>
    <w:rsid w:val="55124B31"/>
    <w:rsid w:val="551B5793"/>
    <w:rsid w:val="55222FC6"/>
    <w:rsid w:val="552879B8"/>
    <w:rsid w:val="55306D65"/>
    <w:rsid w:val="55376345"/>
    <w:rsid w:val="55421273"/>
    <w:rsid w:val="55473DC7"/>
    <w:rsid w:val="55515659"/>
    <w:rsid w:val="555358A3"/>
    <w:rsid w:val="555E7D76"/>
    <w:rsid w:val="55621614"/>
    <w:rsid w:val="55652EB2"/>
    <w:rsid w:val="55661575"/>
    <w:rsid w:val="55691AE9"/>
    <w:rsid w:val="55735EAD"/>
    <w:rsid w:val="558D39A8"/>
    <w:rsid w:val="55901A60"/>
    <w:rsid w:val="55955E1E"/>
    <w:rsid w:val="55956932"/>
    <w:rsid w:val="559E63C4"/>
    <w:rsid w:val="55A51501"/>
    <w:rsid w:val="55A82D9F"/>
    <w:rsid w:val="55A97243"/>
    <w:rsid w:val="55BB0D24"/>
    <w:rsid w:val="55BE125E"/>
    <w:rsid w:val="55C220B3"/>
    <w:rsid w:val="55C37BD9"/>
    <w:rsid w:val="55CA3992"/>
    <w:rsid w:val="55CB56A6"/>
    <w:rsid w:val="55DD6EED"/>
    <w:rsid w:val="55DF0EB7"/>
    <w:rsid w:val="55E34B09"/>
    <w:rsid w:val="55E738C7"/>
    <w:rsid w:val="55EE6C62"/>
    <w:rsid w:val="55F11349"/>
    <w:rsid w:val="55F43710"/>
    <w:rsid w:val="55F636FE"/>
    <w:rsid w:val="55FD1D6D"/>
    <w:rsid w:val="5602797A"/>
    <w:rsid w:val="56161F3A"/>
    <w:rsid w:val="561B17FF"/>
    <w:rsid w:val="561E49EC"/>
    <w:rsid w:val="56243888"/>
    <w:rsid w:val="56293EE0"/>
    <w:rsid w:val="562C1083"/>
    <w:rsid w:val="562C47CA"/>
    <w:rsid w:val="56310FE7"/>
    <w:rsid w:val="5632548A"/>
    <w:rsid w:val="5633592F"/>
    <w:rsid w:val="5637574C"/>
    <w:rsid w:val="563C3388"/>
    <w:rsid w:val="56410322"/>
    <w:rsid w:val="56451190"/>
    <w:rsid w:val="56462CE4"/>
    <w:rsid w:val="564D4072"/>
    <w:rsid w:val="56513140"/>
    <w:rsid w:val="565371AF"/>
    <w:rsid w:val="56574EF1"/>
    <w:rsid w:val="565C42B5"/>
    <w:rsid w:val="565C6063"/>
    <w:rsid w:val="56625829"/>
    <w:rsid w:val="56667B03"/>
    <w:rsid w:val="56683C9B"/>
    <w:rsid w:val="566B7DFC"/>
    <w:rsid w:val="56720743"/>
    <w:rsid w:val="567A298E"/>
    <w:rsid w:val="567A5C4F"/>
    <w:rsid w:val="567F7FA4"/>
    <w:rsid w:val="56861332"/>
    <w:rsid w:val="568A2007"/>
    <w:rsid w:val="56A65531"/>
    <w:rsid w:val="56A9670D"/>
    <w:rsid w:val="56B22127"/>
    <w:rsid w:val="56B51C18"/>
    <w:rsid w:val="56BA703A"/>
    <w:rsid w:val="56C41968"/>
    <w:rsid w:val="56CD4EE5"/>
    <w:rsid w:val="56DD31B6"/>
    <w:rsid w:val="56DF1090"/>
    <w:rsid w:val="56E66275"/>
    <w:rsid w:val="56E66C7F"/>
    <w:rsid w:val="56F24C1A"/>
    <w:rsid w:val="56F72230"/>
    <w:rsid w:val="56F91E47"/>
    <w:rsid w:val="56FC7846"/>
    <w:rsid w:val="56FE35BF"/>
    <w:rsid w:val="57055882"/>
    <w:rsid w:val="57064221"/>
    <w:rsid w:val="570E0DDA"/>
    <w:rsid w:val="57120E18"/>
    <w:rsid w:val="571C4CFA"/>
    <w:rsid w:val="57251F36"/>
    <w:rsid w:val="572F5526"/>
    <w:rsid w:val="573362C4"/>
    <w:rsid w:val="5737262D"/>
    <w:rsid w:val="57376AD1"/>
    <w:rsid w:val="57392849"/>
    <w:rsid w:val="573C7C43"/>
    <w:rsid w:val="57414789"/>
    <w:rsid w:val="574A05B2"/>
    <w:rsid w:val="5752025D"/>
    <w:rsid w:val="5765719A"/>
    <w:rsid w:val="576B7542"/>
    <w:rsid w:val="577218B7"/>
    <w:rsid w:val="57722CF3"/>
    <w:rsid w:val="57726482"/>
    <w:rsid w:val="57781194"/>
    <w:rsid w:val="5778511F"/>
    <w:rsid w:val="577B076B"/>
    <w:rsid w:val="577B4C0F"/>
    <w:rsid w:val="577D03F6"/>
    <w:rsid w:val="57835872"/>
    <w:rsid w:val="57887358"/>
    <w:rsid w:val="579730CB"/>
    <w:rsid w:val="579F1C59"/>
    <w:rsid w:val="57A10CFA"/>
    <w:rsid w:val="57A3471B"/>
    <w:rsid w:val="57A35F14"/>
    <w:rsid w:val="57A74DE0"/>
    <w:rsid w:val="57AA29D6"/>
    <w:rsid w:val="57AF48B9"/>
    <w:rsid w:val="57B022EC"/>
    <w:rsid w:val="57BA7533"/>
    <w:rsid w:val="57BC3BA7"/>
    <w:rsid w:val="57C61656"/>
    <w:rsid w:val="57C64F2C"/>
    <w:rsid w:val="57C706A8"/>
    <w:rsid w:val="57C74812"/>
    <w:rsid w:val="57CB5604"/>
    <w:rsid w:val="57D04F5B"/>
    <w:rsid w:val="57E35419"/>
    <w:rsid w:val="57E41F5C"/>
    <w:rsid w:val="57E502DB"/>
    <w:rsid w:val="57E81EE8"/>
    <w:rsid w:val="57EA390C"/>
    <w:rsid w:val="57F329F7"/>
    <w:rsid w:val="57F624E8"/>
    <w:rsid w:val="57FD5624"/>
    <w:rsid w:val="58003366"/>
    <w:rsid w:val="58042D03"/>
    <w:rsid w:val="580544D9"/>
    <w:rsid w:val="580773BC"/>
    <w:rsid w:val="580A7D41"/>
    <w:rsid w:val="580C1D0B"/>
    <w:rsid w:val="581D5CC6"/>
    <w:rsid w:val="58240E03"/>
    <w:rsid w:val="582448D6"/>
    <w:rsid w:val="582558AD"/>
    <w:rsid w:val="582D0FFC"/>
    <w:rsid w:val="582E57DE"/>
    <w:rsid w:val="582F01FA"/>
    <w:rsid w:val="583258A0"/>
    <w:rsid w:val="58355EA3"/>
    <w:rsid w:val="583D1EC5"/>
    <w:rsid w:val="584119B5"/>
    <w:rsid w:val="584124F7"/>
    <w:rsid w:val="5847689F"/>
    <w:rsid w:val="585079B9"/>
    <w:rsid w:val="585115FE"/>
    <w:rsid w:val="585A4825"/>
    <w:rsid w:val="585E549A"/>
    <w:rsid w:val="58607961"/>
    <w:rsid w:val="58705DF6"/>
    <w:rsid w:val="587468F9"/>
    <w:rsid w:val="58810003"/>
    <w:rsid w:val="58823D7B"/>
    <w:rsid w:val="58845D45"/>
    <w:rsid w:val="5886386C"/>
    <w:rsid w:val="5889218D"/>
    <w:rsid w:val="588A16DB"/>
    <w:rsid w:val="588C69A8"/>
    <w:rsid w:val="588D1A19"/>
    <w:rsid w:val="588D4BFA"/>
    <w:rsid w:val="588E2720"/>
    <w:rsid w:val="588E512F"/>
    <w:rsid w:val="58911DBC"/>
    <w:rsid w:val="58923791"/>
    <w:rsid w:val="58931AE5"/>
    <w:rsid w:val="589467CD"/>
    <w:rsid w:val="58997C0E"/>
    <w:rsid w:val="589F0F60"/>
    <w:rsid w:val="58A11B1B"/>
    <w:rsid w:val="58A91308"/>
    <w:rsid w:val="58AF2A5F"/>
    <w:rsid w:val="58B648BA"/>
    <w:rsid w:val="58BA1767"/>
    <w:rsid w:val="58BF28DA"/>
    <w:rsid w:val="58C16652"/>
    <w:rsid w:val="58CF3F50"/>
    <w:rsid w:val="58D0535A"/>
    <w:rsid w:val="58D1508D"/>
    <w:rsid w:val="58D2085F"/>
    <w:rsid w:val="58E10AA2"/>
    <w:rsid w:val="58E14F46"/>
    <w:rsid w:val="58E81E30"/>
    <w:rsid w:val="58E95BA9"/>
    <w:rsid w:val="58EF7663"/>
    <w:rsid w:val="58F5257B"/>
    <w:rsid w:val="58FC2F6D"/>
    <w:rsid w:val="58FE4022"/>
    <w:rsid w:val="5900361E"/>
    <w:rsid w:val="590B279D"/>
    <w:rsid w:val="590D6ECD"/>
    <w:rsid w:val="5910793D"/>
    <w:rsid w:val="5919658A"/>
    <w:rsid w:val="592941F7"/>
    <w:rsid w:val="592B7F6F"/>
    <w:rsid w:val="59350DEE"/>
    <w:rsid w:val="59353C7C"/>
    <w:rsid w:val="59367040"/>
    <w:rsid w:val="593A4AEF"/>
    <w:rsid w:val="593A4C8A"/>
    <w:rsid w:val="59414C58"/>
    <w:rsid w:val="59421D05"/>
    <w:rsid w:val="5943350B"/>
    <w:rsid w:val="59441031"/>
    <w:rsid w:val="59457283"/>
    <w:rsid w:val="594A0CAC"/>
    <w:rsid w:val="594E4BB9"/>
    <w:rsid w:val="59591602"/>
    <w:rsid w:val="595B6AA6"/>
    <w:rsid w:val="5960230F"/>
    <w:rsid w:val="59611BE3"/>
    <w:rsid w:val="59653481"/>
    <w:rsid w:val="596E5588"/>
    <w:rsid w:val="596F5DC6"/>
    <w:rsid w:val="597072EF"/>
    <w:rsid w:val="59710803"/>
    <w:rsid w:val="59745B13"/>
    <w:rsid w:val="59777658"/>
    <w:rsid w:val="597F3DDB"/>
    <w:rsid w:val="5988716F"/>
    <w:rsid w:val="598A4139"/>
    <w:rsid w:val="598C6DF6"/>
    <w:rsid w:val="598F04FE"/>
    <w:rsid w:val="598F49A2"/>
    <w:rsid w:val="59901778"/>
    <w:rsid w:val="59904BAF"/>
    <w:rsid w:val="59913058"/>
    <w:rsid w:val="59927FEE"/>
    <w:rsid w:val="59941407"/>
    <w:rsid w:val="59945B14"/>
    <w:rsid w:val="599C0E6D"/>
    <w:rsid w:val="59B85CA7"/>
    <w:rsid w:val="59BE7035"/>
    <w:rsid w:val="59C04B5B"/>
    <w:rsid w:val="59C75EEA"/>
    <w:rsid w:val="59C94586"/>
    <w:rsid w:val="59CD3CAA"/>
    <w:rsid w:val="59D32AE1"/>
    <w:rsid w:val="59D46859"/>
    <w:rsid w:val="59DD6E9D"/>
    <w:rsid w:val="59E52814"/>
    <w:rsid w:val="59EB44D7"/>
    <w:rsid w:val="59EF6CCF"/>
    <w:rsid w:val="59F36B5D"/>
    <w:rsid w:val="59F36CDF"/>
    <w:rsid w:val="5A140981"/>
    <w:rsid w:val="5A1F4B06"/>
    <w:rsid w:val="5A1F5D26"/>
    <w:rsid w:val="5A272E2C"/>
    <w:rsid w:val="5A296BA4"/>
    <w:rsid w:val="5A2A55E4"/>
    <w:rsid w:val="5A317807"/>
    <w:rsid w:val="5A3B2434"/>
    <w:rsid w:val="5A405C9C"/>
    <w:rsid w:val="5A430CF2"/>
    <w:rsid w:val="5A45098C"/>
    <w:rsid w:val="5A455061"/>
    <w:rsid w:val="5A4B3967"/>
    <w:rsid w:val="5A4D5A7E"/>
    <w:rsid w:val="5A50493C"/>
    <w:rsid w:val="5A5359CF"/>
    <w:rsid w:val="5A557999"/>
    <w:rsid w:val="5A596039"/>
    <w:rsid w:val="5A5B4884"/>
    <w:rsid w:val="5A621C57"/>
    <w:rsid w:val="5A624D10"/>
    <w:rsid w:val="5A67147B"/>
    <w:rsid w:val="5A6B5B61"/>
    <w:rsid w:val="5A6F20DD"/>
    <w:rsid w:val="5A805D61"/>
    <w:rsid w:val="5A820063"/>
    <w:rsid w:val="5A865DA5"/>
    <w:rsid w:val="5A8E0E1C"/>
    <w:rsid w:val="5A92249C"/>
    <w:rsid w:val="5AA07C63"/>
    <w:rsid w:val="5AA44950"/>
    <w:rsid w:val="5AA71877"/>
    <w:rsid w:val="5AA75D1B"/>
    <w:rsid w:val="5AAA0414"/>
    <w:rsid w:val="5AB63E60"/>
    <w:rsid w:val="5AD07020"/>
    <w:rsid w:val="5AD1145D"/>
    <w:rsid w:val="5AD46225"/>
    <w:rsid w:val="5ADA39FB"/>
    <w:rsid w:val="5ADA7E9F"/>
    <w:rsid w:val="5ADE4B8C"/>
    <w:rsid w:val="5AE0077D"/>
    <w:rsid w:val="5AE14B07"/>
    <w:rsid w:val="5AE73860"/>
    <w:rsid w:val="5AF115D8"/>
    <w:rsid w:val="5AFD7032"/>
    <w:rsid w:val="5B0171D9"/>
    <w:rsid w:val="5B136F0D"/>
    <w:rsid w:val="5B206DA7"/>
    <w:rsid w:val="5B305D11"/>
    <w:rsid w:val="5B386973"/>
    <w:rsid w:val="5B3A0998"/>
    <w:rsid w:val="5B4A364F"/>
    <w:rsid w:val="5B5F1DFE"/>
    <w:rsid w:val="5B6836FC"/>
    <w:rsid w:val="5B6D0D13"/>
    <w:rsid w:val="5B6F27C8"/>
    <w:rsid w:val="5B731AE1"/>
    <w:rsid w:val="5B7A1106"/>
    <w:rsid w:val="5B88494E"/>
    <w:rsid w:val="5B885111"/>
    <w:rsid w:val="5B8C23BF"/>
    <w:rsid w:val="5B910D65"/>
    <w:rsid w:val="5B9A574B"/>
    <w:rsid w:val="5B9A5D8F"/>
    <w:rsid w:val="5B9F4645"/>
    <w:rsid w:val="5BA34735"/>
    <w:rsid w:val="5BB43E59"/>
    <w:rsid w:val="5BB64468"/>
    <w:rsid w:val="5BB846A5"/>
    <w:rsid w:val="5BB93F58"/>
    <w:rsid w:val="5BBE0AA9"/>
    <w:rsid w:val="5BC621D1"/>
    <w:rsid w:val="5BCC6CC6"/>
    <w:rsid w:val="5BD3328F"/>
    <w:rsid w:val="5BD55073"/>
    <w:rsid w:val="5BE2700B"/>
    <w:rsid w:val="5BF402DD"/>
    <w:rsid w:val="5BF8137B"/>
    <w:rsid w:val="5C013209"/>
    <w:rsid w:val="5C0351D3"/>
    <w:rsid w:val="5C043425"/>
    <w:rsid w:val="5C0E3323"/>
    <w:rsid w:val="5C105A42"/>
    <w:rsid w:val="5C125416"/>
    <w:rsid w:val="5C1271C4"/>
    <w:rsid w:val="5C182738"/>
    <w:rsid w:val="5C1F5C38"/>
    <w:rsid w:val="5C244A1A"/>
    <w:rsid w:val="5C2568AB"/>
    <w:rsid w:val="5C272C70"/>
    <w:rsid w:val="5C3272A5"/>
    <w:rsid w:val="5C335AB8"/>
    <w:rsid w:val="5C341831"/>
    <w:rsid w:val="5C3464F9"/>
    <w:rsid w:val="5C3744D8"/>
    <w:rsid w:val="5C3830CF"/>
    <w:rsid w:val="5C390F33"/>
    <w:rsid w:val="5C3B691E"/>
    <w:rsid w:val="5C3E0583"/>
    <w:rsid w:val="5C3E620B"/>
    <w:rsid w:val="5C401F83"/>
    <w:rsid w:val="5C4F0418"/>
    <w:rsid w:val="5C5447B6"/>
    <w:rsid w:val="5C563555"/>
    <w:rsid w:val="5C594DF3"/>
    <w:rsid w:val="5C62639E"/>
    <w:rsid w:val="5C6C0FCA"/>
    <w:rsid w:val="5C743932"/>
    <w:rsid w:val="5C7659A5"/>
    <w:rsid w:val="5C7C77AE"/>
    <w:rsid w:val="5C7E485A"/>
    <w:rsid w:val="5C983B6D"/>
    <w:rsid w:val="5C9F5B66"/>
    <w:rsid w:val="5CA551FA"/>
    <w:rsid w:val="5CB62246"/>
    <w:rsid w:val="5CBA6D8C"/>
    <w:rsid w:val="5CBD1826"/>
    <w:rsid w:val="5CC2508E"/>
    <w:rsid w:val="5CD26EE3"/>
    <w:rsid w:val="5CD31049"/>
    <w:rsid w:val="5CE06619"/>
    <w:rsid w:val="5CE93616"/>
    <w:rsid w:val="5CF17DFA"/>
    <w:rsid w:val="5CF27722"/>
    <w:rsid w:val="5CFA0384"/>
    <w:rsid w:val="5CFB5EAA"/>
    <w:rsid w:val="5CFE60C6"/>
    <w:rsid w:val="5D066D29"/>
    <w:rsid w:val="5D170190"/>
    <w:rsid w:val="5D1F0D86"/>
    <w:rsid w:val="5D282254"/>
    <w:rsid w:val="5D2A0663"/>
    <w:rsid w:val="5D2D69A4"/>
    <w:rsid w:val="5D311A33"/>
    <w:rsid w:val="5D317A51"/>
    <w:rsid w:val="5D331AE8"/>
    <w:rsid w:val="5D3739F9"/>
    <w:rsid w:val="5D50269A"/>
    <w:rsid w:val="5D582151"/>
    <w:rsid w:val="5D591684"/>
    <w:rsid w:val="5D5932FD"/>
    <w:rsid w:val="5D7B501F"/>
    <w:rsid w:val="5D866758"/>
    <w:rsid w:val="5D8778D2"/>
    <w:rsid w:val="5D8B36D2"/>
    <w:rsid w:val="5D8E4944"/>
    <w:rsid w:val="5D941FC0"/>
    <w:rsid w:val="5D9C58DF"/>
    <w:rsid w:val="5DC92FEC"/>
    <w:rsid w:val="5DCD6387"/>
    <w:rsid w:val="5DD0290D"/>
    <w:rsid w:val="5DD0445A"/>
    <w:rsid w:val="5DD15589"/>
    <w:rsid w:val="5DD6447A"/>
    <w:rsid w:val="5DDB1F64"/>
    <w:rsid w:val="5DE226C6"/>
    <w:rsid w:val="5DE51034"/>
    <w:rsid w:val="5DED0147"/>
    <w:rsid w:val="5DED613B"/>
    <w:rsid w:val="5DEF5A0F"/>
    <w:rsid w:val="5DF136A3"/>
    <w:rsid w:val="5DF57B35"/>
    <w:rsid w:val="5DFA7BE2"/>
    <w:rsid w:val="5E0123B4"/>
    <w:rsid w:val="5E070FAB"/>
    <w:rsid w:val="5E08087F"/>
    <w:rsid w:val="5E111E29"/>
    <w:rsid w:val="5E137FDE"/>
    <w:rsid w:val="5E14191A"/>
    <w:rsid w:val="5E174F66"/>
    <w:rsid w:val="5E1B3922"/>
    <w:rsid w:val="5E1C5015"/>
    <w:rsid w:val="5E224037"/>
    <w:rsid w:val="5E327FF5"/>
    <w:rsid w:val="5E345B18"/>
    <w:rsid w:val="5E35701B"/>
    <w:rsid w:val="5E3745F6"/>
    <w:rsid w:val="5E3817DF"/>
    <w:rsid w:val="5E3A5878"/>
    <w:rsid w:val="5E3C62B2"/>
    <w:rsid w:val="5E4A0092"/>
    <w:rsid w:val="5E4B7FB9"/>
    <w:rsid w:val="5E54157C"/>
    <w:rsid w:val="5E581806"/>
    <w:rsid w:val="5E596C5B"/>
    <w:rsid w:val="5E631CB7"/>
    <w:rsid w:val="5E671A49"/>
    <w:rsid w:val="5E700844"/>
    <w:rsid w:val="5E765C43"/>
    <w:rsid w:val="5E7B72A3"/>
    <w:rsid w:val="5E7D301B"/>
    <w:rsid w:val="5E8C325E"/>
    <w:rsid w:val="5E914D18"/>
    <w:rsid w:val="5E935FBF"/>
    <w:rsid w:val="5E9465B6"/>
    <w:rsid w:val="5E960E48"/>
    <w:rsid w:val="5EA50D97"/>
    <w:rsid w:val="5EAF45CA"/>
    <w:rsid w:val="5EB007E5"/>
    <w:rsid w:val="5EB10F16"/>
    <w:rsid w:val="5EB2659A"/>
    <w:rsid w:val="5EC14A14"/>
    <w:rsid w:val="5ED533DF"/>
    <w:rsid w:val="5ED54C05"/>
    <w:rsid w:val="5ED634A9"/>
    <w:rsid w:val="5EE017FC"/>
    <w:rsid w:val="5EEA09A8"/>
    <w:rsid w:val="5EEA61D6"/>
    <w:rsid w:val="5EF07FAF"/>
    <w:rsid w:val="5EFC2E4E"/>
    <w:rsid w:val="5EFF6126"/>
    <w:rsid w:val="5F013C4C"/>
    <w:rsid w:val="5F0A5107"/>
    <w:rsid w:val="5F1514A5"/>
    <w:rsid w:val="5F155949"/>
    <w:rsid w:val="5F180F96"/>
    <w:rsid w:val="5F1B5F67"/>
    <w:rsid w:val="5F1C6CD8"/>
    <w:rsid w:val="5F1D29CD"/>
    <w:rsid w:val="5F1E322F"/>
    <w:rsid w:val="5F21609C"/>
    <w:rsid w:val="5F225970"/>
    <w:rsid w:val="5F256F1B"/>
    <w:rsid w:val="5F26509F"/>
    <w:rsid w:val="5F2B0CC9"/>
    <w:rsid w:val="5F334D2E"/>
    <w:rsid w:val="5F351B48"/>
    <w:rsid w:val="5F381638"/>
    <w:rsid w:val="5F38637A"/>
    <w:rsid w:val="5F3D27AA"/>
    <w:rsid w:val="5F5B32F9"/>
    <w:rsid w:val="5F5D4BFA"/>
    <w:rsid w:val="5F5E109E"/>
    <w:rsid w:val="5F5E19C2"/>
    <w:rsid w:val="5F645F89"/>
    <w:rsid w:val="5F693D64"/>
    <w:rsid w:val="5F6F0AAE"/>
    <w:rsid w:val="5F724EC3"/>
    <w:rsid w:val="5F763CA8"/>
    <w:rsid w:val="5F795ED8"/>
    <w:rsid w:val="5F7A1C50"/>
    <w:rsid w:val="5F814D8D"/>
    <w:rsid w:val="5F89013A"/>
    <w:rsid w:val="5F912B2C"/>
    <w:rsid w:val="5F993E84"/>
    <w:rsid w:val="5FA456B2"/>
    <w:rsid w:val="5FAB01E9"/>
    <w:rsid w:val="5FAB3BB8"/>
    <w:rsid w:val="5FAC1731"/>
    <w:rsid w:val="5FB05970"/>
    <w:rsid w:val="5FB10E8E"/>
    <w:rsid w:val="5FB648F6"/>
    <w:rsid w:val="5FB707AE"/>
    <w:rsid w:val="5FBD0D16"/>
    <w:rsid w:val="5FBE38EB"/>
    <w:rsid w:val="5FC9470A"/>
    <w:rsid w:val="5FCC24AC"/>
    <w:rsid w:val="5FCD1D80"/>
    <w:rsid w:val="5FD23E08"/>
    <w:rsid w:val="5FD44EBD"/>
    <w:rsid w:val="5FD72BFF"/>
    <w:rsid w:val="5FDA1493"/>
    <w:rsid w:val="5FDE21DF"/>
    <w:rsid w:val="5FE47061"/>
    <w:rsid w:val="5FE559CD"/>
    <w:rsid w:val="5FEA0B84"/>
    <w:rsid w:val="5FED5F7E"/>
    <w:rsid w:val="5FEE3FDA"/>
    <w:rsid w:val="5FF11F12"/>
    <w:rsid w:val="5FF4555F"/>
    <w:rsid w:val="5FF612D7"/>
    <w:rsid w:val="5FF94923"/>
    <w:rsid w:val="5FFC0394"/>
    <w:rsid w:val="60002637"/>
    <w:rsid w:val="60061FD1"/>
    <w:rsid w:val="60093B87"/>
    <w:rsid w:val="60147621"/>
    <w:rsid w:val="60166991"/>
    <w:rsid w:val="60172FFB"/>
    <w:rsid w:val="60177F68"/>
    <w:rsid w:val="60194FC5"/>
    <w:rsid w:val="601B0D3D"/>
    <w:rsid w:val="6022225C"/>
    <w:rsid w:val="6024175C"/>
    <w:rsid w:val="602472A5"/>
    <w:rsid w:val="602A0F80"/>
    <w:rsid w:val="602C4A56"/>
    <w:rsid w:val="602E2384"/>
    <w:rsid w:val="60335C18"/>
    <w:rsid w:val="60374683"/>
    <w:rsid w:val="603D6F06"/>
    <w:rsid w:val="604064FB"/>
    <w:rsid w:val="60421833"/>
    <w:rsid w:val="6045400C"/>
    <w:rsid w:val="60471B32"/>
    <w:rsid w:val="604A1623"/>
    <w:rsid w:val="604D2EC1"/>
    <w:rsid w:val="604F6C39"/>
    <w:rsid w:val="6053284B"/>
    <w:rsid w:val="605675DF"/>
    <w:rsid w:val="6057789C"/>
    <w:rsid w:val="60593614"/>
    <w:rsid w:val="60602BF4"/>
    <w:rsid w:val="6062071A"/>
    <w:rsid w:val="606908B2"/>
    <w:rsid w:val="6074799E"/>
    <w:rsid w:val="607C7AE6"/>
    <w:rsid w:val="607F642D"/>
    <w:rsid w:val="608508AD"/>
    <w:rsid w:val="608624B6"/>
    <w:rsid w:val="60885CA7"/>
    <w:rsid w:val="608C1C3B"/>
    <w:rsid w:val="609603C4"/>
    <w:rsid w:val="609E54CA"/>
    <w:rsid w:val="60A52652"/>
    <w:rsid w:val="60AE0CBB"/>
    <w:rsid w:val="60AE7E03"/>
    <w:rsid w:val="60C62EAA"/>
    <w:rsid w:val="60CF3D71"/>
    <w:rsid w:val="60D94755"/>
    <w:rsid w:val="60DF620F"/>
    <w:rsid w:val="60E07891"/>
    <w:rsid w:val="60EA0710"/>
    <w:rsid w:val="60EE6452"/>
    <w:rsid w:val="60F021CA"/>
    <w:rsid w:val="60F06B95"/>
    <w:rsid w:val="60F43F81"/>
    <w:rsid w:val="610141AC"/>
    <w:rsid w:val="610269BC"/>
    <w:rsid w:val="610C4B2A"/>
    <w:rsid w:val="610C68D8"/>
    <w:rsid w:val="610F0176"/>
    <w:rsid w:val="611A6E56"/>
    <w:rsid w:val="61314591"/>
    <w:rsid w:val="61326ED7"/>
    <w:rsid w:val="613528C1"/>
    <w:rsid w:val="61387BDF"/>
    <w:rsid w:val="613E043D"/>
    <w:rsid w:val="613F280A"/>
    <w:rsid w:val="61406425"/>
    <w:rsid w:val="61483DB4"/>
    <w:rsid w:val="61530D2A"/>
    <w:rsid w:val="61542AA3"/>
    <w:rsid w:val="61601145"/>
    <w:rsid w:val="61616C24"/>
    <w:rsid w:val="61695AD8"/>
    <w:rsid w:val="616C5E36"/>
    <w:rsid w:val="616E30EF"/>
    <w:rsid w:val="6170330B"/>
    <w:rsid w:val="61722BDF"/>
    <w:rsid w:val="61730705"/>
    <w:rsid w:val="617646CA"/>
    <w:rsid w:val="61941B7F"/>
    <w:rsid w:val="61941E9B"/>
    <w:rsid w:val="61946007"/>
    <w:rsid w:val="619B1C62"/>
    <w:rsid w:val="61AD1E69"/>
    <w:rsid w:val="61AF1DF2"/>
    <w:rsid w:val="61BA6334"/>
    <w:rsid w:val="61BC20AC"/>
    <w:rsid w:val="61BF1B9C"/>
    <w:rsid w:val="61D94A0C"/>
    <w:rsid w:val="61DA69D6"/>
    <w:rsid w:val="61DC44FC"/>
    <w:rsid w:val="61DF3FED"/>
    <w:rsid w:val="61EA6C19"/>
    <w:rsid w:val="61EB6143"/>
    <w:rsid w:val="61EC23C6"/>
    <w:rsid w:val="62022DBF"/>
    <w:rsid w:val="620A1069"/>
    <w:rsid w:val="620D2908"/>
    <w:rsid w:val="62127F1E"/>
    <w:rsid w:val="62130133"/>
    <w:rsid w:val="621517BC"/>
    <w:rsid w:val="62173786"/>
    <w:rsid w:val="62232758"/>
    <w:rsid w:val="622540F5"/>
    <w:rsid w:val="622D684C"/>
    <w:rsid w:val="62312A9A"/>
    <w:rsid w:val="62346D04"/>
    <w:rsid w:val="623E6F65"/>
    <w:rsid w:val="62507D0F"/>
    <w:rsid w:val="6252656D"/>
    <w:rsid w:val="625543D8"/>
    <w:rsid w:val="62595B4D"/>
    <w:rsid w:val="626369CC"/>
    <w:rsid w:val="62682234"/>
    <w:rsid w:val="626A0316"/>
    <w:rsid w:val="626D79D5"/>
    <w:rsid w:val="627211D5"/>
    <w:rsid w:val="62724E61"/>
    <w:rsid w:val="627B1F67"/>
    <w:rsid w:val="6282100F"/>
    <w:rsid w:val="62891EB9"/>
    <w:rsid w:val="628C5F22"/>
    <w:rsid w:val="628E1C9B"/>
    <w:rsid w:val="6291178B"/>
    <w:rsid w:val="6295188B"/>
    <w:rsid w:val="6299419B"/>
    <w:rsid w:val="629E7A04"/>
    <w:rsid w:val="62A0377C"/>
    <w:rsid w:val="62A0794C"/>
    <w:rsid w:val="62A4734A"/>
    <w:rsid w:val="62A80882"/>
    <w:rsid w:val="62B30B23"/>
    <w:rsid w:val="62BE08F6"/>
    <w:rsid w:val="62CA05DA"/>
    <w:rsid w:val="62CC761B"/>
    <w:rsid w:val="62D578C9"/>
    <w:rsid w:val="62D653F0"/>
    <w:rsid w:val="62D70941"/>
    <w:rsid w:val="62DD677E"/>
    <w:rsid w:val="62E535D5"/>
    <w:rsid w:val="62F154D7"/>
    <w:rsid w:val="62F23DA7"/>
    <w:rsid w:val="62F45876"/>
    <w:rsid w:val="62F615EE"/>
    <w:rsid w:val="62F67840"/>
    <w:rsid w:val="62F96876"/>
    <w:rsid w:val="62FA40E4"/>
    <w:rsid w:val="6300246C"/>
    <w:rsid w:val="63023018"/>
    <w:rsid w:val="63043D0B"/>
    <w:rsid w:val="630A5099"/>
    <w:rsid w:val="631657EC"/>
    <w:rsid w:val="63183BE3"/>
    <w:rsid w:val="631F5EFB"/>
    <w:rsid w:val="63212B0F"/>
    <w:rsid w:val="63260883"/>
    <w:rsid w:val="63267BA3"/>
    <w:rsid w:val="6331036B"/>
    <w:rsid w:val="63365E8E"/>
    <w:rsid w:val="63371168"/>
    <w:rsid w:val="633A152C"/>
    <w:rsid w:val="633A50B8"/>
    <w:rsid w:val="633B16F7"/>
    <w:rsid w:val="633B5253"/>
    <w:rsid w:val="63416D0D"/>
    <w:rsid w:val="63491A70"/>
    <w:rsid w:val="634B7B8C"/>
    <w:rsid w:val="63501214"/>
    <w:rsid w:val="63640C4D"/>
    <w:rsid w:val="63674FF9"/>
    <w:rsid w:val="63676048"/>
    <w:rsid w:val="636B2C69"/>
    <w:rsid w:val="636B3D8A"/>
    <w:rsid w:val="637013A0"/>
    <w:rsid w:val="637075F2"/>
    <w:rsid w:val="637A221F"/>
    <w:rsid w:val="637D3ABD"/>
    <w:rsid w:val="63846BFA"/>
    <w:rsid w:val="638766EA"/>
    <w:rsid w:val="63892E93"/>
    <w:rsid w:val="63926450"/>
    <w:rsid w:val="6395148E"/>
    <w:rsid w:val="639826A5"/>
    <w:rsid w:val="639A0EFA"/>
    <w:rsid w:val="639D6F0D"/>
    <w:rsid w:val="63AA1795"/>
    <w:rsid w:val="63AC7EFE"/>
    <w:rsid w:val="63B212A3"/>
    <w:rsid w:val="63B70D7D"/>
    <w:rsid w:val="63B8146D"/>
    <w:rsid w:val="63B82D47"/>
    <w:rsid w:val="63C05186"/>
    <w:rsid w:val="63C06274"/>
    <w:rsid w:val="63C1621C"/>
    <w:rsid w:val="63C47F47"/>
    <w:rsid w:val="63C67212"/>
    <w:rsid w:val="63C94F54"/>
    <w:rsid w:val="63D34B90"/>
    <w:rsid w:val="63D538F9"/>
    <w:rsid w:val="63DF02D4"/>
    <w:rsid w:val="63E31B72"/>
    <w:rsid w:val="63E67AA7"/>
    <w:rsid w:val="63E71BDC"/>
    <w:rsid w:val="63EA11C6"/>
    <w:rsid w:val="63EB0A27"/>
    <w:rsid w:val="63F60FCB"/>
    <w:rsid w:val="63F676DC"/>
    <w:rsid w:val="63FF4309"/>
    <w:rsid w:val="64047D3A"/>
    <w:rsid w:val="64065861"/>
    <w:rsid w:val="640E0AB2"/>
    <w:rsid w:val="64144421"/>
    <w:rsid w:val="641A3791"/>
    <w:rsid w:val="641C38B2"/>
    <w:rsid w:val="641E4AFE"/>
    <w:rsid w:val="64216B3E"/>
    <w:rsid w:val="6421719D"/>
    <w:rsid w:val="64265F03"/>
    <w:rsid w:val="64300B2F"/>
    <w:rsid w:val="64310280"/>
    <w:rsid w:val="643F0D73"/>
    <w:rsid w:val="64416899"/>
    <w:rsid w:val="64460353"/>
    <w:rsid w:val="64465F3C"/>
    <w:rsid w:val="6446666D"/>
    <w:rsid w:val="6447556D"/>
    <w:rsid w:val="64477E65"/>
    <w:rsid w:val="64550596"/>
    <w:rsid w:val="645962D8"/>
    <w:rsid w:val="645A5BAC"/>
    <w:rsid w:val="645B0266"/>
    <w:rsid w:val="6462694A"/>
    <w:rsid w:val="64642182"/>
    <w:rsid w:val="646A07F0"/>
    <w:rsid w:val="6481138B"/>
    <w:rsid w:val="64835103"/>
    <w:rsid w:val="64837248"/>
    <w:rsid w:val="6486074F"/>
    <w:rsid w:val="648A6492"/>
    <w:rsid w:val="648C045C"/>
    <w:rsid w:val="648F3AA8"/>
    <w:rsid w:val="649C7F73"/>
    <w:rsid w:val="64A5151D"/>
    <w:rsid w:val="64AD2180"/>
    <w:rsid w:val="64AD3F2E"/>
    <w:rsid w:val="64B20D48"/>
    <w:rsid w:val="64B67287"/>
    <w:rsid w:val="64B81584"/>
    <w:rsid w:val="64BE2D8D"/>
    <w:rsid w:val="64BE613B"/>
    <w:rsid w:val="64C073C8"/>
    <w:rsid w:val="64C319A4"/>
    <w:rsid w:val="64C33752"/>
    <w:rsid w:val="64CC6AAA"/>
    <w:rsid w:val="64CD45D0"/>
    <w:rsid w:val="64DA2ADC"/>
    <w:rsid w:val="64E21E2A"/>
    <w:rsid w:val="64E25360"/>
    <w:rsid w:val="64E42A92"/>
    <w:rsid w:val="64E503DD"/>
    <w:rsid w:val="64E559D4"/>
    <w:rsid w:val="64EC401C"/>
    <w:rsid w:val="64F8164D"/>
    <w:rsid w:val="65000502"/>
    <w:rsid w:val="65001597"/>
    <w:rsid w:val="65037FF2"/>
    <w:rsid w:val="65050A27"/>
    <w:rsid w:val="651303A0"/>
    <w:rsid w:val="65150451"/>
    <w:rsid w:val="6515726C"/>
    <w:rsid w:val="65173632"/>
    <w:rsid w:val="65181CEF"/>
    <w:rsid w:val="6525440C"/>
    <w:rsid w:val="652C77A4"/>
    <w:rsid w:val="6533396A"/>
    <w:rsid w:val="65424FBE"/>
    <w:rsid w:val="6550176C"/>
    <w:rsid w:val="6558033E"/>
    <w:rsid w:val="65595E64"/>
    <w:rsid w:val="655B7E2E"/>
    <w:rsid w:val="655E14AB"/>
    <w:rsid w:val="656767D3"/>
    <w:rsid w:val="65735178"/>
    <w:rsid w:val="65744A4C"/>
    <w:rsid w:val="657A02B4"/>
    <w:rsid w:val="657B069D"/>
    <w:rsid w:val="65815896"/>
    <w:rsid w:val="658600E3"/>
    <w:rsid w:val="658B7375"/>
    <w:rsid w:val="658D3481"/>
    <w:rsid w:val="658D4074"/>
    <w:rsid w:val="658E5B0E"/>
    <w:rsid w:val="6597728E"/>
    <w:rsid w:val="659A6BA8"/>
    <w:rsid w:val="659F7D1B"/>
    <w:rsid w:val="65A111FA"/>
    <w:rsid w:val="65AC2438"/>
    <w:rsid w:val="65B40DF5"/>
    <w:rsid w:val="65B807DC"/>
    <w:rsid w:val="65BC70E8"/>
    <w:rsid w:val="65C23A09"/>
    <w:rsid w:val="65D22FEB"/>
    <w:rsid w:val="65D84BAE"/>
    <w:rsid w:val="65DC0990"/>
    <w:rsid w:val="65E57200"/>
    <w:rsid w:val="65E9368C"/>
    <w:rsid w:val="65EA4E7B"/>
    <w:rsid w:val="65EB2F60"/>
    <w:rsid w:val="65EF653B"/>
    <w:rsid w:val="65F242EE"/>
    <w:rsid w:val="65FE0EE5"/>
    <w:rsid w:val="660758C0"/>
    <w:rsid w:val="660A5ADC"/>
    <w:rsid w:val="660B219B"/>
    <w:rsid w:val="660C498C"/>
    <w:rsid w:val="66140692"/>
    <w:rsid w:val="661E50E3"/>
    <w:rsid w:val="66236B9E"/>
    <w:rsid w:val="662446C4"/>
    <w:rsid w:val="66270337"/>
    <w:rsid w:val="662E35F9"/>
    <w:rsid w:val="66310BCF"/>
    <w:rsid w:val="664B292E"/>
    <w:rsid w:val="664D793E"/>
    <w:rsid w:val="664E03BF"/>
    <w:rsid w:val="66507267"/>
    <w:rsid w:val="666176C6"/>
    <w:rsid w:val="66663797"/>
    <w:rsid w:val="66686827"/>
    <w:rsid w:val="666F1DE3"/>
    <w:rsid w:val="66761DF0"/>
    <w:rsid w:val="66772A46"/>
    <w:rsid w:val="667A36C0"/>
    <w:rsid w:val="66865F6C"/>
    <w:rsid w:val="66882927"/>
    <w:rsid w:val="669E5C19"/>
    <w:rsid w:val="66A001EE"/>
    <w:rsid w:val="66A31A8D"/>
    <w:rsid w:val="66A47A79"/>
    <w:rsid w:val="66A979FF"/>
    <w:rsid w:val="66B16100"/>
    <w:rsid w:val="66B955E9"/>
    <w:rsid w:val="66BA0941"/>
    <w:rsid w:val="66BB5028"/>
    <w:rsid w:val="66C2676C"/>
    <w:rsid w:val="66C35C8B"/>
    <w:rsid w:val="66C508A8"/>
    <w:rsid w:val="66C937A8"/>
    <w:rsid w:val="66CA288E"/>
    <w:rsid w:val="66CC47CD"/>
    <w:rsid w:val="66D32372"/>
    <w:rsid w:val="66D86595"/>
    <w:rsid w:val="66DC0AFB"/>
    <w:rsid w:val="66DD4F9F"/>
    <w:rsid w:val="66E356BB"/>
    <w:rsid w:val="66E5418B"/>
    <w:rsid w:val="66EF082E"/>
    <w:rsid w:val="66F531E4"/>
    <w:rsid w:val="67006EDF"/>
    <w:rsid w:val="67053C39"/>
    <w:rsid w:val="67075FC6"/>
    <w:rsid w:val="670B5E1B"/>
    <w:rsid w:val="670C205F"/>
    <w:rsid w:val="6712022A"/>
    <w:rsid w:val="67140294"/>
    <w:rsid w:val="67173557"/>
    <w:rsid w:val="671A71BF"/>
    <w:rsid w:val="671E7365"/>
    <w:rsid w:val="67221F8C"/>
    <w:rsid w:val="672524A2"/>
    <w:rsid w:val="67287B29"/>
    <w:rsid w:val="672C1A82"/>
    <w:rsid w:val="67307332"/>
    <w:rsid w:val="67340937"/>
    <w:rsid w:val="67365F91"/>
    <w:rsid w:val="67386679"/>
    <w:rsid w:val="674D1FF3"/>
    <w:rsid w:val="674E66DB"/>
    <w:rsid w:val="67566AFF"/>
    <w:rsid w:val="675B2F19"/>
    <w:rsid w:val="675D1C3B"/>
    <w:rsid w:val="675D5E64"/>
    <w:rsid w:val="675D7E8D"/>
    <w:rsid w:val="6760172C"/>
    <w:rsid w:val="67607A04"/>
    <w:rsid w:val="67610705"/>
    <w:rsid w:val="676615B3"/>
    <w:rsid w:val="67666B8F"/>
    <w:rsid w:val="67677C3C"/>
    <w:rsid w:val="676F196F"/>
    <w:rsid w:val="67704ED8"/>
    <w:rsid w:val="678418BE"/>
    <w:rsid w:val="67851192"/>
    <w:rsid w:val="679035FD"/>
    <w:rsid w:val="67971C9B"/>
    <w:rsid w:val="67997DE7"/>
    <w:rsid w:val="679B344B"/>
    <w:rsid w:val="67A27F96"/>
    <w:rsid w:val="67A61834"/>
    <w:rsid w:val="67B35CFF"/>
    <w:rsid w:val="67D0065F"/>
    <w:rsid w:val="67D55C76"/>
    <w:rsid w:val="67D625DA"/>
    <w:rsid w:val="67DA2D22"/>
    <w:rsid w:val="67DF7F7B"/>
    <w:rsid w:val="67E1461B"/>
    <w:rsid w:val="67E97973"/>
    <w:rsid w:val="67ED788B"/>
    <w:rsid w:val="680421A6"/>
    <w:rsid w:val="680B5A60"/>
    <w:rsid w:val="68106CAE"/>
    <w:rsid w:val="6832131A"/>
    <w:rsid w:val="683706DE"/>
    <w:rsid w:val="68386205"/>
    <w:rsid w:val="684150B9"/>
    <w:rsid w:val="68490412"/>
    <w:rsid w:val="684C0137"/>
    <w:rsid w:val="684F5B48"/>
    <w:rsid w:val="6853163D"/>
    <w:rsid w:val="686261EC"/>
    <w:rsid w:val="68664B20"/>
    <w:rsid w:val="686C6CDB"/>
    <w:rsid w:val="687A05CB"/>
    <w:rsid w:val="687B426A"/>
    <w:rsid w:val="687D6946"/>
    <w:rsid w:val="687F7319"/>
    <w:rsid w:val="6888718C"/>
    <w:rsid w:val="68921DB9"/>
    <w:rsid w:val="68987E30"/>
    <w:rsid w:val="689A7940"/>
    <w:rsid w:val="68AF296B"/>
    <w:rsid w:val="68AF64C7"/>
    <w:rsid w:val="68B00491"/>
    <w:rsid w:val="68B1523C"/>
    <w:rsid w:val="68B4325D"/>
    <w:rsid w:val="68BC0BE4"/>
    <w:rsid w:val="68BE630C"/>
    <w:rsid w:val="68C078DD"/>
    <w:rsid w:val="68C1269E"/>
    <w:rsid w:val="68C53F3C"/>
    <w:rsid w:val="68CE077D"/>
    <w:rsid w:val="68D82C45"/>
    <w:rsid w:val="68DB550E"/>
    <w:rsid w:val="68E048D2"/>
    <w:rsid w:val="68E54CA7"/>
    <w:rsid w:val="68E63EB3"/>
    <w:rsid w:val="68E85E7D"/>
    <w:rsid w:val="68EE010E"/>
    <w:rsid w:val="68FE7102"/>
    <w:rsid w:val="69023C3A"/>
    <w:rsid w:val="6903568F"/>
    <w:rsid w:val="69036813"/>
    <w:rsid w:val="690C219F"/>
    <w:rsid w:val="690D7691"/>
    <w:rsid w:val="69126A56"/>
    <w:rsid w:val="6916159A"/>
    <w:rsid w:val="69171127"/>
    <w:rsid w:val="69194288"/>
    <w:rsid w:val="69241F2F"/>
    <w:rsid w:val="69256789"/>
    <w:rsid w:val="692A1FF1"/>
    <w:rsid w:val="692C5146"/>
    <w:rsid w:val="692C5D69"/>
    <w:rsid w:val="692D07C0"/>
    <w:rsid w:val="692D47C9"/>
    <w:rsid w:val="6933534A"/>
    <w:rsid w:val="69366BE8"/>
    <w:rsid w:val="69390486"/>
    <w:rsid w:val="693943B0"/>
    <w:rsid w:val="69401815"/>
    <w:rsid w:val="694F1A58"/>
    <w:rsid w:val="69594684"/>
    <w:rsid w:val="695A65C4"/>
    <w:rsid w:val="695D4175"/>
    <w:rsid w:val="69684E2D"/>
    <w:rsid w:val="6968585F"/>
    <w:rsid w:val="696F3EA8"/>
    <w:rsid w:val="697E4687"/>
    <w:rsid w:val="6981006D"/>
    <w:rsid w:val="69821713"/>
    <w:rsid w:val="69821D87"/>
    <w:rsid w:val="698D0E1F"/>
    <w:rsid w:val="698D0F8C"/>
    <w:rsid w:val="6994390F"/>
    <w:rsid w:val="699E4FA8"/>
    <w:rsid w:val="69AF492B"/>
    <w:rsid w:val="69B1341E"/>
    <w:rsid w:val="69B64DB1"/>
    <w:rsid w:val="69BE2739"/>
    <w:rsid w:val="69C75A92"/>
    <w:rsid w:val="69CF4947"/>
    <w:rsid w:val="69D113AB"/>
    <w:rsid w:val="69E050C6"/>
    <w:rsid w:val="69E94088"/>
    <w:rsid w:val="69F148BD"/>
    <w:rsid w:val="69FB4D3D"/>
    <w:rsid w:val="69FF347E"/>
    <w:rsid w:val="69FF4CBF"/>
    <w:rsid w:val="6A067159"/>
    <w:rsid w:val="6A072332"/>
    <w:rsid w:val="6A0972C2"/>
    <w:rsid w:val="6A0A1458"/>
    <w:rsid w:val="6A0B3BD1"/>
    <w:rsid w:val="6A1D29A9"/>
    <w:rsid w:val="6A2133F4"/>
    <w:rsid w:val="6A2922A9"/>
    <w:rsid w:val="6A2E78BF"/>
    <w:rsid w:val="6A3A44B6"/>
    <w:rsid w:val="6A3A4DD7"/>
    <w:rsid w:val="6A3B7231"/>
    <w:rsid w:val="6A3F387A"/>
    <w:rsid w:val="6A4663F4"/>
    <w:rsid w:val="6A4D41E9"/>
    <w:rsid w:val="6A521800"/>
    <w:rsid w:val="6A527A52"/>
    <w:rsid w:val="6A553A32"/>
    <w:rsid w:val="6A65093E"/>
    <w:rsid w:val="6A681023"/>
    <w:rsid w:val="6A6B2C48"/>
    <w:rsid w:val="6A6B4E5C"/>
    <w:rsid w:val="6A6D7EE4"/>
    <w:rsid w:val="6A716A37"/>
    <w:rsid w:val="6A8D557A"/>
    <w:rsid w:val="6A955B90"/>
    <w:rsid w:val="6A9739A1"/>
    <w:rsid w:val="6A9E67F3"/>
    <w:rsid w:val="6ABC311D"/>
    <w:rsid w:val="6AC36259"/>
    <w:rsid w:val="6AC91ADC"/>
    <w:rsid w:val="6ACF6B9E"/>
    <w:rsid w:val="6AD9782B"/>
    <w:rsid w:val="6AE6019A"/>
    <w:rsid w:val="6AE80D92"/>
    <w:rsid w:val="6AE83F12"/>
    <w:rsid w:val="6AE925DA"/>
    <w:rsid w:val="6AED6F0C"/>
    <w:rsid w:val="6AFE59B9"/>
    <w:rsid w:val="6B0340A4"/>
    <w:rsid w:val="6B080BDC"/>
    <w:rsid w:val="6B0D5CF8"/>
    <w:rsid w:val="6B2139D1"/>
    <w:rsid w:val="6B256F14"/>
    <w:rsid w:val="6B2A4BB4"/>
    <w:rsid w:val="6B2A5E87"/>
    <w:rsid w:val="6B2F7D93"/>
    <w:rsid w:val="6B306F2E"/>
    <w:rsid w:val="6B347157"/>
    <w:rsid w:val="6B3E1281"/>
    <w:rsid w:val="6B4078AA"/>
    <w:rsid w:val="6B416772"/>
    <w:rsid w:val="6B497AD5"/>
    <w:rsid w:val="6B4E7556"/>
    <w:rsid w:val="6B5415A7"/>
    <w:rsid w:val="6B574143"/>
    <w:rsid w:val="6B607F4C"/>
    <w:rsid w:val="6B655563"/>
    <w:rsid w:val="6B700528"/>
    <w:rsid w:val="6B7314EF"/>
    <w:rsid w:val="6B7721A2"/>
    <w:rsid w:val="6B7F5112"/>
    <w:rsid w:val="6B9126DD"/>
    <w:rsid w:val="6B9145AA"/>
    <w:rsid w:val="6B99506A"/>
    <w:rsid w:val="6BA936A1"/>
    <w:rsid w:val="6BAD0D11"/>
    <w:rsid w:val="6BB169FA"/>
    <w:rsid w:val="6BBE6B07"/>
    <w:rsid w:val="6BC32289"/>
    <w:rsid w:val="6BC404DB"/>
    <w:rsid w:val="6BC524A5"/>
    <w:rsid w:val="6BCE135A"/>
    <w:rsid w:val="6BD13315"/>
    <w:rsid w:val="6BD3071E"/>
    <w:rsid w:val="6BDF3567"/>
    <w:rsid w:val="6BEC5C84"/>
    <w:rsid w:val="6BED2446"/>
    <w:rsid w:val="6BF43F27"/>
    <w:rsid w:val="6BF608B1"/>
    <w:rsid w:val="6BF6265F"/>
    <w:rsid w:val="6BF83F19"/>
    <w:rsid w:val="6BFB7C75"/>
    <w:rsid w:val="6BFD39ED"/>
    <w:rsid w:val="6C0279BB"/>
    <w:rsid w:val="6C0344D6"/>
    <w:rsid w:val="6C0C59DE"/>
    <w:rsid w:val="6C156F89"/>
    <w:rsid w:val="6C164AAF"/>
    <w:rsid w:val="6C1A5E0D"/>
    <w:rsid w:val="6C1B3E73"/>
    <w:rsid w:val="6C2216A6"/>
    <w:rsid w:val="6C22342F"/>
    <w:rsid w:val="6C261264"/>
    <w:rsid w:val="6C313697"/>
    <w:rsid w:val="6C3311BD"/>
    <w:rsid w:val="6C354F35"/>
    <w:rsid w:val="6C3867D3"/>
    <w:rsid w:val="6C3A775F"/>
    <w:rsid w:val="6C5A2BED"/>
    <w:rsid w:val="6C6121CE"/>
    <w:rsid w:val="6C657E2E"/>
    <w:rsid w:val="6C692E30"/>
    <w:rsid w:val="6C6A1488"/>
    <w:rsid w:val="6C6D2921"/>
    <w:rsid w:val="6C6D480F"/>
    <w:rsid w:val="6C787CA7"/>
    <w:rsid w:val="6C7B014D"/>
    <w:rsid w:val="6C7C0DB6"/>
    <w:rsid w:val="6C8314ED"/>
    <w:rsid w:val="6C843E0E"/>
    <w:rsid w:val="6C891725"/>
    <w:rsid w:val="6C9143E4"/>
    <w:rsid w:val="6C9937E5"/>
    <w:rsid w:val="6C99562A"/>
    <w:rsid w:val="6CA258E7"/>
    <w:rsid w:val="6CAD2AE5"/>
    <w:rsid w:val="6CAE23A3"/>
    <w:rsid w:val="6CB06CB1"/>
    <w:rsid w:val="6CB4512C"/>
    <w:rsid w:val="6CB852DB"/>
    <w:rsid w:val="6CBC11B2"/>
    <w:rsid w:val="6CC3516B"/>
    <w:rsid w:val="6CC53363"/>
    <w:rsid w:val="6CC74E8E"/>
    <w:rsid w:val="6CC83FFB"/>
    <w:rsid w:val="6CC84F1D"/>
    <w:rsid w:val="6CC87B57"/>
    <w:rsid w:val="6CCE7137"/>
    <w:rsid w:val="6CD209D6"/>
    <w:rsid w:val="6CD762C7"/>
    <w:rsid w:val="6CD81D64"/>
    <w:rsid w:val="6CD97FB6"/>
    <w:rsid w:val="6CDA282A"/>
    <w:rsid w:val="6CE9297E"/>
    <w:rsid w:val="6CE97C41"/>
    <w:rsid w:val="6CED41BB"/>
    <w:rsid w:val="6CED75A7"/>
    <w:rsid w:val="6CEF5984"/>
    <w:rsid w:val="6CF22E26"/>
    <w:rsid w:val="6CF546C4"/>
    <w:rsid w:val="6CFC05CA"/>
    <w:rsid w:val="6D003795"/>
    <w:rsid w:val="6D0B183A"/>
    <w:rsid w:val="6D176D30"/>
    <w:rsid w:val="6D1D12AB"/>
    <w:rsid w:val="6D1F1741"/>
    <w:rsid w:val="6D2011DA"/>
    <w:rsid w:val="6D2B5A92"/>
    <w:rsid w:val="6D2D3E5E"/>
    <w:rsid w:val="6D336F22"/>
    <w:rsid w:val="6D3671B7"/>
    <w:rsid w:val="6D3A657B"/>
    <w:rsid w:val="6D3F12F5"/>
    <w:rsid w:val="6D464F20"/>
    <w:rsid w:val="6D4D62AE"/>
    <w:rsid w:val="6D505D9E"/>
    <w:rsid w:val="6D5607B0"/>
    <w:rsid w:val="6D657A9C"/>
    <w:rsid w:val="6D6B4986"/>
    <w:rsid w:val="6D6D4A0D"/>
    <w:rsid w:val="6D6F26C8"/>
    <w:rsid w:val="6D77157D"/>
    <w:rsid w:val="6D78611A"/>
    <w:rsid w:val="6D793CA1"/>
    <w:rsid w:val="6D7B72BF"/>
    <w:rsid w:val="6D823C5A"/>
    <w:rsid w:val="6D8678D8"/>
    <w:rsid w:val="6D875239"/>
    <w:rsid w:val="6D896A57"/>
    <w:rsid w:val="6D910891"/>
    <w:rsid w:val="6D91263F"/>
    <w:rsid w:val="6D97577B"/>
    <w:rsid w:val="6D9757BE"/>
    <w:rsid w:val="6DA700B4"/>
    <w:rsid w:val="6DA754EC"/>
    <w:rsid w:val="6DAD155F"/>
    <w:rsid w:val="6DB225B5"/>
    <w:rsid w:val="6DB70DD5"/>
    <w:rsid w:val="6DB85E1E"/>
    <w:rsid w:val="6DBE71AC"/>
    <w:rsid w:val="6DC43112"/>
    <w:rsid w:val="6DC566CE"/>
    <w:rsid w:val="6DCF3167"/>
    <w:rsid w:val="6DD4077E"/>
    <w:rsid w:val="6DD95D94"/>
    <w:rsid w:val="6DDD7632"/>
    <w:rsid w:val="6DE85FD7"/>
    <w:rsid w:val="6DEA0FF9"/>
    <w:rsid w:val="6DEC3D19"/>
    <w:rsid w:val="6DEE7A91"/>
    <w:rsid w:val="6DF11666"/>
    <w:rsid w:val="6DF57072"/>
    <w:rsid w:val="6E1C5010"/>
    <w:rsid w:val="6E1D2124"/>
    <w:rsid w:val="6E1E6EDE"/>
    <w:rsid w:val="6E1F7C38"/>
    <w:rsid w:val="6E2163CF"/>
    <w:rsid w:val="6E250FD9"/>
    <w:rsid w:val="6E272FA3"/>
    <w:rsid w:val="6E280B15"/>
    <w:rsid w:val="6E296D1B"/>
    <w:rsid w:val="6E2D16B9"/>
    <w:rsid w:val="6E331948"/>
    <w:rsid w:val="6E357253"/>
    <w:rsid w:val="6E380A2F"/>
    <w:rsid w:val="6E395583"/>
    <w:rsid w:val="6E3B79C6"/>
    <w:rsid w:val="6E4B4966"/>
    <w:rsid w:val="6E4D3425"/>
    <w:rsid w:val="6E533D98"/>
    <w:rsid w:val="6E56625F"/>
    <w:rsid w:val="6E693D32"/>
    <w:rsid w:val="6E6B5BA5"/>
    <w:rsid w:val="6E6B762B"/>
    <w:rsid w:val="6E70494A"/>
    <w:rsid w:val="6E7764B9"/>
    <w:rsid w:val="6E7C509D"/>
    <w:rsid w:val="6E7E738C"/>
    <w:rsid w:val="6E867CCA"/>
    <w:rsid w:val="6E8925F2"/>
    <w:rsid w:val="6E8A15D5"/>
    <w:rsid w:val="6E8D72AA"/>
    <w:rsid w:val="6E8E0FE9"/>
    <w:rsid w:val="6E957F0D"/>
    <w:rsid w:val="6E9817AB"/>
    <w:rsid w:val="6E9D034A"/>
    <w:rsid w:val="6E9E063E"/>
    <w:rsid w:val="6E9F0D8B"/>
    <w:rsid w:val="6EA3318E"/>
    <w:rsid w:val="6EAD0FDB"/>
    <w:rsid w:val="6EC24418"/>
    <w:rsid w:val="6EC66318"/>
    <w:rsid w:val="6EC76BE9"/>
    <w:rsid w:val="6ED00F45"/>
    <w:rsid w:val="6ED31611"/>
    <w:rsid w:val="6ED331B0"/>
    <w:rsid w:val="6ED8429D"/>
    <w:rsid w:val="6EDA1DC4"/>
    <w:rsid w:val="6EE669BA"/>
    <w:rsid w:val="6EED3736"/>
    <w:rsid w:val="6EFB07E8"/>
    <w:rsid w:val="6F0E1408"/>
    <w:rsid w:val="6F1E0E23"/>
    <w:rsid w:val="6F1F3B0A"/>
    <w:rsid w:val="6F20011E"/>
    <w:rsid w:val="6F2E11B9"/>
    <w:rsid w:val="6F3C65DA"/>
    <w:rsid w:val="6F3D6F7D"/>
    <w:rsid w:val="6F3F60CB"/>
    <w:rsid w:val="6F3F6B3A"/>
    <w:rsid w:val="6F4656AB"/>
    <w:rsid w:val="6F481A20"/>
    <w:rsid w:val="6F48408F"/>
    <w:rsid w:val="6F490CF7"/>
    <w:rsid w:val="6F543F29"/>
    <w:rsid w:val="6F567300"/>
    <w:rsid w:val="6F5B1156"/>
    <w:rsid w:val="6F5E0C47"/>
    <w:rsid w:val="6F6618A9"/>
    <w:rsid w:val="6F662A89"/>
    <w:rsid w:val="6F7259A0"/>
    <w:rsid w:val="6F751AEC"/>
    <w:rsid w:val="6F765505"/>
    <w:rsid w:val="6F8C7562"/>
    <w:rsid w:val="6F8E6CEE"/>
    <w:rsid w:val="6F975F07"/>
    <w:rsid w:val="6FA123E8"/>
    <w:rsid w:val="6FA128E1"/>
    <w:rsid w:val="6FA523D2"/>
    <w:rsid w:val="6FAB550E"/>
    <w:rsid w:val="6FB36D1C"/>
    <w:rsid w:val="6FB95E7D"/>
    <w:rsid w:val="6FC860C0"/>
    <w:rsid w:val="6FCC795E"/>
    <w:rsid w:val="6FCE7B7A"/>
    <w:rsid w:val="6FCF1C1E"/>
    <w:rsid w:val="6FD16B15"/>
    <w:rsid w:val="6FD3323D"/>
    <w:rsid w:val="6FD46E5F"/>
    <w:rsid w:val="6FD902CD"/>
    <w:rsid w:val="6FDB2297"/>
    <w:rsid w:val="6FDB4E2B"/>
    <w:rsid w:val="6FDE0BDB"/>
    <w:rsid w:val="6FE50A20"/>
    <w:rsid w:val="6FE70C3C"/>
    <w:rsid w:val="6FE95C1F"/>
    <w:rsid w:val="6FEA5C61"/>
    <w:rsid w:val="6FF44722"/>
    <w:rsid w:val="6FFB0243"/>
    <w:rsid w:val="700417EE"/>
    <w:rsid w:val="700C41FF"/>
    <w:rsid w:val="70132A34"/>
    <w:rsid w:val="701B2D0A"/>
    <w:rsid w:val="701B6B38"/>
    <w:rsid w:val="701E3F32"/>
    <w:rsid w:val="70214205"/>
    <w:rsid w:val="702A0B29"/>
    <w:rsid w:val="7036127C"/>
    <w:rsid w:val="7040644A"/>
    <w:rsid w:val="70425E72"/>
    <w:rsid w:val="7045295A"/>
    <w:rsid w:val="705160B5"/>
    <w:rsid w:val="70542A5F"/>
    <w:rsid w:val="70553DF8"/>
    <w:rsid w:val="705A7660"/>
    <w:rsid w:val="705E7F03"/>
    <w:rsid w:val="70613A6E"/>
    <w:rsid w:val="707C7BD5"/>
    <w:rsid w:val="707D6950"/>
    <w:rsid w:val="7089584F"/>
    <w:rsid w:val="708E730A"/>
    <w:rsid w:val="7090264C"/>
    <w:rsid w:val="709F32C5"/>
    <w:rsid w:val="70A408DB"/>
    <w:rsid w:val="70A75BD9"/>
    <w:rsid w:val="70AD3C34"/>
    <w:rsid w:val="70BD3879"/>
    <w:rsid w:val="70BF3967"/>
    <w:rsid w:val="70C16303"/>
    <w:rsid w:val="70C40F7D"/>
    <w:rsid w:val="70C42D2B"/>
    <w:rsid w:val="70C9177A"/>
    <w:rsid w:val="70D6056F"/>
    <w:rsid w:val="70D81F09"/>
    <w:rsid w:val="70DF1913"/>
    <w:rsid w:val="70E355C8"/>
    <w:rsid w:val="70EB77A7"/>
    <w:rsid w:val="70EC1DB4"/>
    <w:rsid w:val="70F3716D"/>
    <w:rsid w:val="71092E34"/>
    <w:rsid w:val="710C47A1"/>
    <w:rsid w:val="71146562"/>
    <w:rsid w:val="711C4915"/>
    <w:rsid w:val="7121101F"/>
    <w:rsid w:val="712A4908"/>
    <w:rsid w:val="7130216F"/>
    <w:rsid w:val="713203BE"/>
    <w:rsid w:val="71500A63"/>
    <w:rsid w:val="71600CA6"/>
    <w:rsid w:val="71676312"/>
    <w:rsid w:val="71687B5B"/>
    <w:rsid w:val="716B4379"/>
    <w:rsid w:val="717C2845"/>
    <w:rsid w:val="718524BB"/>
    <w:rsid w:val="7186530C"/>
    <w:rsid w:val="718A7AD1"/>
    <w:rsid w:val="718B4812"/>
    <w:rsid w:val="718D5813"/>
    <w:rsid w:val="718F660A"/>
    <w:rsid w:val="71970440"/>
    <w:rsid w:val="719A3A8C"/>
    <w:rsid w:val="71A978BB"/>
    <w:rsid w:val="71AC3EEB"/>
    <w:rsid w:val="71B0505E"/>
    <w:rsid w:val="71B72890"/>
    <w:rsid w:val="71B7463E"/>
    <w:rsid w:val="71BC6597"/>
    <w:rsid w:val="71BF04AE"/>
    <w:rsid w:val="71C867F5"/>
    <w:rsid w:val="71CF5C3A"/>
    <w:rsid w:val="71E573FD"/>
    <w:rsid w:val="71ED1E0E"/>
    <w:rsid w:val="71EF3792"/>
    <w:rsid w:val="71F5343B"/>
    <w:rsid w:val="71F6641F"/>
    <w:rsid w:val="72021D5D"/>
    <w:rsid w:val="72037883"/>
    <w:rsid w:val="720F7FD6"/>
    <w:rsid w:val="72113D4E"/>
    <w:rsid w:val="7212491B"/>
    <w:rsid w:val="72161143"/>
    <w:rsid w:val="721B12DE"/>
    <w:rsid w:val="721B697B"/>
    <w:rsid w:val="721D0945"/>
    <w:rsid w:val="721D2052"/>
    <w:rsid w:val="721D26F3"/>
    <w:rsid w:val="721E268E"/>
    <w:rsid w:val="721E46BD"/>
    <w:rsid w:val="722515A8"/>
    <w:rsid w:val="7233025A"/>
    <w:rsid w:val="72365DD8"/>
    <w:rsid w:val="72373772"/>
    <w:rsid w:val="7238577F"/>
    <w:rsid w:val="72406DDD"/>
    <w:rsid w:val="72457E9C"/>
    <w:rsid w:val="72465725"/>
    <w:rsid w:val="724F0D1A"/>
    <w:rsid w:val="72511D57"/>
    <w:rsid w:val="7253565E"/>
    <w:rsid w:val="72560C84"/>
    <w:rsid w:val="725A7751"/>
    <w:rsid w:val="725B2B9B"/>
    <w:rsid w:val="725D6F93"/>
    <w:rsid w:val="72620A4E"/>
    <w:rsid w:val="72636EBC"/>
    <w:rsid w:val="726E72B9"/>
    <w:rsid w:val="72710C91"/>
    <w:rsid w:val="7276401C"/>
    <w:rsid w:val="727918F3"/>
    <w:rsid w:val="727D5888"/>
    <w:rsid w:val="728409C4"/>
    <w:rsid w:val="7284656E"/>
    <w:rsid w:val="7285473C"/>
    <w:rsid w:val="72877F5A"/>
    <w:rsid w:val="72964253"/>
    <w:rsid w:val="729C3F60"/>
    <w:rsid w:val="729D3834"/>
    <w:rsid w:val="72A545F7"/>
    <w:rsid w:val="72A746B3"/>
    <w:rsid w:val="72AF27F3"/>
    <w:rsid w:val="72B01473"/>
    <w:rsid w:val="72B62B48"/>
    <w:rsid w:val="72B868C0"/>
    <w:rsid w:val="72BA6194"/>
    <w:rsid w:val="72C60FDD"/>
    <w:rsid w:val="72C84615"/>
    <w:rsid w:val="72CC4119"/>
    <w:rsid w:val="72D1172F"/>
    <w:rsid w:val="72D541D6"/>
    <w:rsid w:val="72E35203"/>
    <w:rsid w:val="72EE408F"/>
    <w:rsid w:val="72EF71BB"/>
    <w:rsid w:val="72F24482"/>
    <w:rsid w:val="72F83160"/>
    <w:rsid w:val="72FC035F"/>
    <w:rsid w:val="73025396"/>
    <w:rsid w:val="73041B05"/>
    <w:rsid w:val="73125FD0"/>
    <w:rsid w:val="73133AF6"/>
    <w:rsid w:val="731955B0"/>
    <w:rsid w:val="731A48AC"/>
    <w:rsid w:val="73201F33"/>
    <w:rsid w:val="73262214"/>
    <w:rsid w:val="732F1870"/>
    <w:rsid w:val="73335F46"/>
    <w:rsid w:val="73362DC3"/>
    <w:rsid w:val="733F4E5D"/>
    <w:rsid w:val="73421F7A"/>
    <w:rsid w:val="73426B50"/>
    <w:rsid w:val="7346211D"/>
    <w:rsid w:val="734939BC"/>
    <w:rsid w:val="734A16A2"/>
    <w:rsid w:val="734D525A"/>
    <w:rsid w:val="73634A7D"/>
    <w:rsid w:val="737722D7"/>
    <w:rsid w:val="737860C8"/>
    <w:rsid w:val="737A6044"/>
    <w:rsid w:val="73803FAC"/>
    <w:rsid w:val="738549F4"/>
    <w:rsid w:val="738A200A"/>
    <w:rsid w:val="738A2975"/>
    <w:rsid w:val="738A3CA6"/>
    <w:rsid w:val="739015EB"/>
    <w:rsid w:val="739361C4"/>
    <w:rsid w:val="73972979"/>
    <w:rsid w:val="739F538A"/>
    <w:rsid w:val="73A66718"/>
    <w:rsid w:val="73A9383C"/>
    <w:rsid w:val="73B8068F"/>
    <w:rsid w:val="73BF7F30"/>
    <w:rsid w:val="73C261E1"/>
    <w:rsid w:val="73C61DA7"/>
    <w:rsid w:val="73C7284A"/>
    <w:rsid w:val="73C80D84"/>
    <w:rsid w:val="73C848E1"/>
    <w:rsid w:val="73CA0659"/>
    <w:rsid w:val="73CB617F"/>
    <w:rsid w:val="73CC2623"/>
    <w:rsid w:val="73CE6058"/>
    <w:rsid w:val="73D019E7"/>
    <w:rsid w:val="73D047C7"/>
    <w:rsid w:val="73D414D7"/>
    <w:rsid w:val="73D47729"/>
    <w:rsid w:val="73D74A94"/>
    <w:rsid w:val="73D84866"/>
    <w:rsid w:val="73D93A57"/>
    <w:rsid w:val="73E159A2"/>
    <w:rsid w:val="73E32D27"/>
    <w:rsid w:val="73E84F83"/>
    <w:rsid w:val="73EE5D0C"/>
    <w:rsid w:val="73EF00BF"/>
    <w:rsid w:val="73F27BAF"/>
    <w:rsid w:val="73F456D6"/>
    <w:rsid w:val="74082F2F"/>
    <w:rsid w:val="74092BE9"/>
    <w:rsid w:val="74122000"/>
    <w:rsid w:val="74132508"/>
    <w:rsid w:val="741C69DA"/>
    <w:rsid w:val="74235FBB"/>
    <w:rsid w:val="74273CFD"/>
    <w:rsid w:val="742A2895"/>
    <w:rsid w:val="743106D8"/>
    <w:rsid w:val="74373814"/>
    <w:rsid w:val="74381A66"/>
    <w:rsid w:val="743A1634"/>
    <w:rsid w:val="74406B6D"/>
    <w:rsid w:val="74416441"/>
    <w:rsid w:val="74443682"/>
    <w:rsid w:val="74484CEF"/>
    <w:rsid w:val="744C1A31"/>
    <w:rsid w:val="744D296E"/>
    <w:rsid w:val="745368A2"/>
    <w:rsid w:val="74555A55"/>
    <w:rsid w:val="7456013E"/>
    <w:rsid w:val="7460720F"/>
    <w:rsid w:val="74666B65"/>
    <w:rsid w:val="746F04E2"/>
    <w:rsid w:val="7472484C"/>
    <w:rsid w:val="747D391D"/>
    <w:rsid w:val="747E77DB"/>
    <w:rsid w:val="74890514"/>
    <w:rsid w:val="748F3650"/>
    <w:rsid w:val="7493493C"/>
    <w:rsid w:val="749F556F"/>
    <w:rsid w:val="74A25132"/>
    <w:rsid w:val="74AA02F0"/>
    <w:rsid w:val="74B135C7"/>
    <w:rsid w:val="74B35591"/>
    <w:rsid w:val="74B530B7"/>
    <w:rsid w:val="74B71E9B"/>
    <w:rsid w:val="74B9247B"/>
    <w:rsid w:val="74B968D5"/>
    <w:rsid w:val="74BC2756"/>
    <w:rsid w:val="74BE14F0"/>
    <w:rsid w:val="74C03ED0"/>
    <w:rsid w:val="74C257D4"/>
    <w:rsid w:val="74C50E20"/>
    <w:rsid w:val="74C96B62"/>
    <w:rsid w:val="74D87170"/>
    <w:rsid w:val="74DB687E"/>
    <w:rsid w:val="74F27A6B"/>
    <w:rsid w:val="74F57957"/>
    <w:rsid w:val="74FA6D1C"/>
    <w:rsid w:val="74FC4724"/>
    <w:rsid w:val="74FC6F38"/>
    <w:rsid w:val="74FF415D"/>
    <w:rsid w:val="75022074"/>
    <w:rsid w:val="750A2CD7"/>
    <w:rsid w:val="750C773F"/>
    <w:rsid w:val="75157D4B"/>
    <w:rsid w:val="75170F84"/>
    <w:rsid w:val="75181898"/>
    <w:rsid w:val="752244C4"/>
    <w:rsid w:val="75397EDA"/>
    <w:rsid w:val="753A180E"/>
    <w:rsid w:val="753C7334"/>
    <w:rsid w:val="75475CD9"/>
    <w:rsid w:val="754D3E47"/>
    <w:rsid w:val="754E7067"/>
    <w:rsid w:val="75504BBD"/>
    <w:rsid w:val="75587EE6"/>
    <w:rsid w:val="755A5A0C"/>
    <w:rsid w:val="756035F9"/>
    <w:rsid w:val="75670F35"/>
    <w:rsid w:val="75723C3C"/>
    <w:rsid w:val="75752846"/>
    <w:rsid w:val="757765BE"/>
    <w:rsid w:val="75792336"/>
    <w:rsid w:val="758919FB"/>
    <w:rsid w:val="758F5EBE"/>
    <w:rsid w:val="759129A9"/>
    <w:rsid w:val="759A416B"/>
    <w:rsid w:val="75A1188D"/>
    <w:rsid w:val="75A5137D"/>
    <w:rsid w:val="75A629FF"/>
    <w:rsid w:val="75A65D06"/>
    <w:rsid w:val="75AB34AD"/>
    <w:rsid w:val="75B570E6"/>
    <w:rsid w:val="75B63C51"/>
    <w:rsid w:val="75BF669D"/>
    <w:rsid w:val="75C86016"/>
    <w:rsid w:val="75CA2B92"/>
    <w:rsid w:val="75CD34FB"/>
    <w:rsid w:val="75D6187D"/>
    <w:rsid w:val="75D92DD5"/>
    <w:rsid w:val="75DB4D9F"/>
    <w:rsid w:val="75DB5542"/>
    <w:rsid w:val="75DC0B17"/>
    <w:rsid w:val="75DE663D"/>
    <w:rsid w:val="75EF25F8"/>
    <w:rsid w:val="75F53987"/>
    <w:rsid w:val="75F66D26"/>
    <w:rsid w:val="75F96FD3"/>
    <w:rsid w:val="75FC2F67"/>
    <w:rsid w:val="760140DA"/>
    <w:rsid w:val="7605090C"/>
    <w:rsid w:val="76085BA5"/>
    <w:rsid w:val="760E5962"/>
    <w:rsid w:val="76191423"/>
    <w:rsid w:val="761C6CE6"/>
    <w:rsid w:val="7620436F"/>
    <w:rsid w:val="76236C2B"/>
    <w:rsid w:val="762B1157"/>
    <w:rsid w:val="762B73A9"/>
    <w:rsid w:val="76342701"/>
    <w:rsid w:val="763C3364"/>
    <w:rsid w:val="764010A6"/>
    <w:rsid w:val="7640154B"/>
    <w:rsid w:val="7646297A"/>
    <w:rsid w:val="764C17F9"/>
    <w:rsid w:val="7657278C"/>
    <w:rsid w:val="766034F6"/>
    <w:rsid w:val="766765D8"/>
    <w:rsid w:val="766C7C47"/>
    <w:rsid w:val="76735D63"/>
    <w:rsid w:val="7674576F"/>
    <w:rsid w:val="7677439C"/>
    <w:rsid w:val="767C19B2"/>
    <w:rsid w:val="767C4CA6"/>
    <w:rsid w:val="76816FC9"/>
    <w:rsid w:val="768A2321"/>
    <w:rsid w:val="7691204C"/>
    <w:rsid w:val="76944931"/>
    <w:rsid w:val="76960CC6"/>
    <w:rsid w:val="76A038F3"/>
    <w:rsid w:val="76A05778"/>
    <w:rsid w:val="76A30685"/>
    <w:rsid w:val="76A96C4B"/>
    <w:rsid w:val="76B13D52"/>
    <w:rsid w:val="76B6740F"/>
    <w:rsid w:val="76B805C1"/>
    <w:rsid w:val="76C021E7"/>
    <w:rsid w:val="76C375E1"/>
    <w:rsid w:val="76C46A62"/>
    <w:rsid w:val="76C74BF9"/>
    <w:rsid w:val="76C817EF"/>
    <w:rsid w:val="76C9109B"/>
    <w:rsid w:val="76CA4E14"/>
    <w:rsid w:val="76CF5F86"/>
    <w:rsid w:val="76D133DE"/>
    <w:rsid w:val="76D1434E"/>
    <w:rsid w:val="76D26367"/>
    <w:rsid w:val="76D812DE"/>
    <w:rsid w:val="76D856AE"/>
    <w:rsid w:val="76D955DF"/>
    <w:rsid w:val="76DD68F5"/>
    <w:rsid w:val="76EA2DC0"/>
    <w:rsid w:val="76EF3B09"/>
    <w:rsid w:val="76F679B7"/>
    <w:rsid w:val="7701609E"/>
    <w:rsid w:val="77040D55"/>
    <w:rsid w:val="77043AF7"/>
    <w:rsid w:val="77055BA5"/>
    <w:rsid w:val="770C71DA"/>
    <w:rsid w:val="77112281"/>
    <w:rsid w:val="771149DE"/>
    <w:rsid w:val="77123168"/>
    <w:rsid w:val="77147862"/>
    <w:rsid w:val="771A5453"/>
    <w:rsid w:val="771A7B3A"/>
    <w:rsid w:val="771F6A91"/>
    <w:rsid w:val="772067E2"/>
    <w:rsid w:val="7722255A"/>
    <w:rsid w:val="772269FE"/>
    <w:rsid w:val="772D7AC0"/>
    <w:rsid w:val="773F5C92"/>
    <w:rsid w:val="77485128"/>
    <w:rsid w:val="774C75D7"/>
    <w:rsid w:val="774E77F3"/>
    <w:rsid w:val="775004DE"/>
    <w:rsid w:val="775A27FB"/>
    <w:rsid w:val="776052CE"/>
    <w:rsid w:val="77690189"/>
    <w:rsid w:val="777C5DA4"/>
    <w:rsid w:val="777F79AC"/>
    <w:rsid w:val="77901BB9"/>
    <w:rsid w:val="779276DF"/>
    <w:rsid w:val="779500A7"/>
    <w:rsid w:val="7798281C"/>
    <w:rsid w:val="779A012A"/>
    <w:rsid w:val="779A6594"/>
    <w:rsid w:val="77A15B74"/>
    <w:rsid w:val="77AB254F"/>
    <w:rsid w:val="77AB372C"/>
    <w:rsid w:val="77AB56CC"/>
    <w:rsid w:val="77B5517C"/>
    <w:rsid w:val="77B842CA"/>
    <w:rsid w:val="77B91682"/>
    <w:rsid w:val="77BF249E"/>
    <w:rsid w:val="77C7119B"/>
    <w:rsid w:val="77C77105"/>
    <w:rsid w:val="77C90C27"/>
    <w:rsid w:val="77CD482C"/>
    <w:rsid w:val="77D514CE"/>
    <w:rsid w:val="77E141C3"/>
    <w:rsid w:val="77E37F3B"/>
    <w:rsid w:val="77EB6DF0"/>
    <w:rsid w:val="77EE267B"/>
    <w:rsid w:val="77F20E53"/>
    <w:rsid w:val="77FF1E2D"/>
    <w:rsid w:val="7806644D"/>
    <w:rsid w:val="7807596B"/>
    <w:rsid w:val="780B7492"/>
    <w:rsid w:val="780D42C3"/>
    <w:rsid w:val="780F0D30"/>
    <w:rsid w:val="78137469"/>
    <w:rsid w:val="781B689B"/>
    <w:rsid w:val="781E0F73"/>
    <w:rsid w:val="781E74A3"/>
    <w:rsid w:val="78281DF2"/>
    <w:rsid w:val="78287E44"/>
    <w:rsid w:val="782D11B6"/>
    <w:rsid w:val="78396600"/>
    <w:rsid w:val="783E1615"/>
    <w:rsid w:val="784B788E"/>
    <w:rsid w:val="7852068B"/>
    <w:rsid w:val="7855070D"/>
    <w:rsid w:val="78555DF8"/>
    <w:rsid w:val="785978ED"/>
    <w:rsid w:val="785C3CA5"/>
    <w:rsid w:val="785E1CB7"/>
    <w:rsid w:val="785E3A65"/>
    <w:rsid w:val="78624698"/>
    <w:rsid w:val="7866291A"/>
    <w:rsid w:val="78687017"/>
    <w:rsid w:val="786F24EB"/>
    <w:rsid w:val="7872306D"/>
    <w:rsid w:val="78746DE5"/>
    <w:rsid w:val="78746FDA"/>
    <w:rsid w:val="787B63C5"/>
    <w:rsid w:val="788B62CA"/>
    <w:rsid w:val="78B6564F"/>
    <w:rsid w:val="78BA3601"/>
    <w:rsid w:val="78BF0096"/>
    <w:rsid w:val="78C462DA"/>
    <w:rsid w:val="78C63702"/>
    <w:rsid w:val="78CC030B"/>
    <w:rsid w:val="78CD6BFE"/>
    <w:rsid w:val="78CD6F5F"/>
    <w:rsid w:val="78CF6711"/>
    <w:rsid w:val="78D17965"/>
    <w:rsid w:val="78D2708B"/>
    <w:rsid w:val="78D92614"/>
    <w:rsid w:val="78DD0E2E"/>
    <w:rsid w:val="78DD44DF"/>
    <w:rsid w:val="78E178D3"/>
    <w:rsid w:val="78E35D19"/>
    <w:rsid w:val="78E70BBC"/>
    <w:rsid w:val="78F65A4C"/>
    <w:rsid w:val="78F85C68"/>
    <w:rsid w:val="790068CB"/>
    <w:rsid w:val="790410AC"/>
    <w:rsid w:val="7904759E"/>
    <w:rsid w:val="79067B22"/>
    <w:rsid w:val="790C1C99"/>
    <w:rsid w:val="79217B3D"/>
    <w:rsid w:val="79254583"/>
    <w:rsid w:val="79292803"/>
    <w:rsid w:val="792A1B99"/>
    <w:rsid w:val="792A63A4"/>
    <w:rsid w:val="792C5912"/>
    <w:rsid w:val="79305402"/>
    <w:rsid w:val="7937201C"/>
    <w:rsid w:val="793D7B1F"/>
    <w:rsid w:val="79420C91"/>
    <w:rsid w:val="794D0F04"/>
    <w:rsid w:val="794E7636"/>
    <w:rsid w:val="7951619A"/>
    <w:rsid w:val="79537342"/>
    <w:rsid w:val="7960176D"/>
    <w:rsid w:val="79627585"/>
    <w:rsid w:val="796432FD"/>
    <w:rsid w:val="796E130F"/>
    <w:rsid w:val="796E1F5F"/>
    <w:rsid w:val="797057FE"/>
    <w:rsid w:val="797352EE"/>
    <w:rsid w:val="7973709D"/>
    <w:rsid w:val="79744285"/>
    <w:rsid w:val="79766E98"/>
    <w:rsid w:val="797E5E7E"/>
    <w:rsid w:val="7983273A"/>
    <w:rsid w:val="79856DD0"/>
    <w:rsid w:val="799F0653"/>
    <w:rsid w:val="79A16CE5"/>
    <w:rsid w:val="79A25BD4"/>
    <w:rsid w:val="79A77E07"/>
    <w:rsid w:val="79AE74C9"/>
    <w:rsid w:val="79BF73A1"/>
    <w:rsid w:val="79C34932"/>
    <w:rsid w:val="79C63670"/>
    <w:rsid w:val="79CC22E5"/>
    <w:rsid w:val="79CE0777"/>
    <w:rsid w:val="79D7762B"/>
    <w:rsid w:val="79D81DDD"/>
    <w:rsid w:val="79DA711C"/>
    <w:rsid w:val="79DF2801"/>
    <w:rsid w:val="79E10C15"/>
    <w:rsid w:val="79E1638A"/>
    <w:rsid w:val="79E32474"/>
    <w:rsid w:val="7A066163"/>
    <w:rsid w:val="7A0F3269"/>
    <w:rsid w:val="7A1C1DB7"/>
    <w:rsid w:val="7A205476"/>
    <w:rsid w:val="7A24483B"/>
    <w:rsid w:val="7A2465E9"/>
    <w:rsid w:val="7A2A00A3"/>
    <w:rsid w:val="7A2B3835"/>
    <w:rsid w:val="7A2D36EF"/>
    <w:rsid w:val="7A2D3DEC"/>
    <w:rsid w:val="7A2E33A8"/>
    <w:rsid w:val="7A304F8E"/>
    <w:rsid w:val="7A3251AA"/>
    <w:rsid w:val="7A33700B"/>
    <w:rsid w:val="7A4078C7"/>
    <w:rsid w:val="7A586CAC"/>
    <w:rsid w:val="7A5E1AFB"/>
    <w:rsid w:val="7A6441F7"/>
    <w:rsid w:val="7A6510DB"/>
    <w:rsid w:val="7A6B770E"/>
    <w:rsid w:val="7A731102"/>
    <w:rsid w:val="7A770E52"/>
    <w:rsid w:val="7A7F1A71"/>
    <w:rsid w:val="7A815D4D"/>
    <w:rsid w:val="7A8461EE"/>
    <w:rsid w:val="7A925C48"/>
    <w:rsid w:val="7A990D85"/>
    <w:rsid w:val="7A99501E"/>
    <w:rsid w:val="7A996FD7"/>
    <w:rsid w:val="7A9F4E9E"/>
    <w:rsid w:val="7AA17C39"/>
    <w:rsid w:val="7AA33F4E"/>
    <w:rsid w:val="7AAC0AB8"/>
    <w:rsid w:val="7AAD4830"/>
    <w:rsid w:val="7AB160CE"/>
    <w:rsid w:val="7AB7745D"/>
    <w:rsid w:val="7AC83418"/>
    <w:rsid w:val="7ACD6C80"/>
    <w:rsid w:val="7ADF0C11"/>
    <w:rsid w:val="7AE528A2"/>
    <w:rsid w:val="7AED75A1"/>
    <w:rsid w:val="7AEF4E49"/>
    <w:rsid w:val="7AF11F0E"/>
    <w:rsid w:val="7AF214BD"/>
    <w:rsid w:val="7AFD6E03"/>
    <w:rsid w:val="7B024C2C"/>
    <w:rsid w:val="7B0349F5"/>
    <w:rsid w:val="7B0C1C11"/>
    <w:rsid w:val="7B13099B"/>
    <w:rsid w:val="7B1C44EF"/>
    <w:rsid w:val="7B1D3764"/>
    <w:rsid w:val="7B1F0B72"/>
    <w:rsid w:val="7B1F59CA"/>
    <w:rsid w:val="7B2014A6"/>
    <w:rsid w:val="7B2B3CAE"/>
    <w:rsid w:val="7B2F3497"/>
    <w:rsid w:val="7B3D5D5C"/>
    <w:rsid w:val="7B3F7B7E"/>
    <w:rsid w:val="7B510186"/>
    <w:rsid w:val="7B527A48"/>
    <w:rsid w:val="7B5769C8"/>
    <w:rsid w:val="7B5910DA"/>
    <w:rsid w:val="7B5A3E0F"/>
    <w:rsid w:val="7B5F3D7C"/>
    <w:rsid w:val="7B623BB4"/>
    <w:rsid w:val="7B641393"/>
    <w:rsid w:val="7B690757"/>
    <w:rsid w:val="7B695591"/>
    <w:rsid w:val="7B6B430D"/>
    <w:rsid w:val="7B7956C9"/>
    <w:rsid w:val="7B7B492E"/>
    <w:rsid w:val="7B7F61CD"/>
    <w:rsid w:val="7B8B2DC3"/>
    <w:rsid w:val="7B927228"/>
    <w:rsid w:val="7B95154C"/>
    <w:rsid w:val="7B95573E"/>
    <w:rsid w:val="7B994BC1"/>
    <w:rsid w:val="7B9A0793"/>
    <w:rsid w:val="7B9B16AC"/>
    <w:rsid w:val="7BA2010D"/>
    <w:rsid w:val="7BA619AB"/>
    <w:rsid w:val="7BA6487F"/>
    <w:rsid w:val="7BA7772C"/>
    <w:rsid w:val="7BB55719"/>
    <w:rsid w:val="7BB67714"/>
    <w:rsid w:val="7BBB4D2B"/>
    <w:rsid w:val="7BBF0CBF"/>
    <w:rsid w:val="7BC57E1C"/>
    <w:rsid w:val="7BD17A9C"/>
    <w:rsid w:val="7BD77DB7"/>
    <w:rsid w:val="7BD81533"/>
    <w:rsid w:val="7BDA0CDC"/>
    <w:rsid w:val="7BFD3595"/>
    <w:rsid w:val="7BFE17E7"/>
    <w:rsid w:val="7BFF27A7"/>
    <w:rsid w:val="7C030612"/>
    <w:rsid w:val="7C061F3F"/>
    <w:rsid w:val="7C0641F8"/>
    <w:rsid w:val="7C0D1A2A"/>
    <w:rsid w:val="7C1728A9"/>
    <w:rsid w:val="7C177C0B"/>
    <w:rsid w:val="7C1C080B"/>
    <w:rsid w:val="7C1E3C37"/>
    <w:rsid w:val="7C1F403B"/>
    <w:rsid w:val="7C217284"/>
    <w:rsid w:val="7C274BE8"/>
    <w:rsid w:val="7C276F98"/>
    <w:rsid w:val="7C2A25DC"/>
    <w:rsid w:val="7C2D4935"/>
    <w:rsid w:val="7C3215F5"/>
    <w:rsid w:val="7C351A7A"/>
    <w:rsid w:val="7C375EB3"/>
    <w:rsid w:val="7C402F0A"/>
    <w:rsid w:val="7C4411C4"/>
    <w:rsid w:val="7C47394A"/>
    <w:rsid w:val="7C496874"/>
    <w:rsid w:val="7C501FBB"/>
    <w:rsid w:val="7C52743D"/>
    <w:rsid w:val="7C5331B5"/>
    <w:rsid w:val="7C561F60"/>
    <w:rsid w:val="7C5C02BC"/>
    <w:rsid w:val="7C615798"/>
    <w:rsid w:val="7C6158D2"/>
    <w:rsid w:val="7C6405EC"/>
    <w:rsid w:val="7C6C6483"/>
    <w:rsid w:val="7C6E38E0"/>
    <w:rsid w:val="7C6F7FEF"/>
    <w:rsid w:val="7C8021FC"/>
    <w:rsid w:val="7C850D3D"/>
    <w:rsid w:val="7C8519EA"/>
    <w:rsid w:val="7C8A307B"/>
    <w:rsid w:val="7C8E5093"/>
    <w:rsid w:val="7C907F65"/>
    <w:rsid w:val="7C914409"/>
    <w:rsid w:val="7CA51C63"/>
    <w:rsid w:val="7CA57EB5"/>
    <w:rsid w:val="7CAA1027"/>
    <w:rsid w:val="7CAD7C89"/>
    <w:rsid w:val="7CB2612E"/>
    <w:rsid w:val="7CB73744"/>
    <w:rsid w:val="7CB80F36"/>
    <w:rsid w:val="7CC64BF4"/>
    <w:rsid w:val="7CC67DFF"/>
    <w:rsid w:val="7CCF399A"/>
    <w:rsid w:val="7CD0386E"/>
    <w:rsid w:val="7CDB7433"/>
    <w:rsid w:val="7CDE782E"/>
    <w:rsid w:val="7CE04A49"/>
    <w:rsid w:val="7CE11C52"/>
    <w:rsid w:val="7CE336B0"/>
    <w:rsid w:val="7CE36CE4"/>
    <w:rsid w:val="7CE506A3"/>
    <w:rsid w:val="7CE7299E"/>
    <w:rsid w:val="7CF229CE"/>
    <w:rsid w:val="7CF46795"/>
    <w:rsid w:val="7CF752FF"/>
    <w:rsid w:val="7CFC55FB"/>
    <w:rsid w:val="7CFD384D"/>
    <w:rsid w:val="7D0B69EF"/>
    <w:rsid w:val="7D0C4C05"/>
    <w:rsid w:val="7D124C44"/>
    <w:rsid w:val="7D1666BD"/>
    <w:rsid w:val="7D1961AD"/>
    <w:rsid w:val="7D1B1F25"/>
    <w:rsid w:val="7D1D5C9D"/>
    <w:rsid w:val="7D244B1B"/>
    <w:rsid w:val="7D284642"/>
    <w:rsid w:val="7D2F7EC4"/>
    <w:rsid w:val="7D363740"/>
    <w:rsid w:val="7D3668E2"/>
    <w:rsid w:val="7D39684F"/>
    <w:rsid w:val="7D3B0EC8"/>
    <w:rsid w:val="7D434AEC"/>
    <w:rsid w:val="7D450D50"/>
    <w:rsid w:val="7D4D587E"/>
    <w:rsid w:val="7D4E40A8"/>
    <w:rsid w:val="7D4F019A"/>
    <w:rsid w:val="7D4F7E21"/>
    <w:rsid w:val="7D503DDA"/>
    <w:rsid w:val="7D513B99"/>
    <w:rsid w:val="7D553689"/>
    <w:rsid w:val="7D5944B3"/>
    <w:rsid w:val="7D5A0C9F"/>
    <w:rsid w:val="7D5E0064"/>
    <w:rsid w:val="7D5F2576"/>
    <w:rsid w:val="7D6531A0"/>
    <w:rsid w:val="7D6D72FE"/>
    <w:rsid w:val="7D733B0F"/>
    <w:rsid w:val="7D734D56"/>
    <w:rsid w:val="7D823D08"/>
    <w:rsid w:val="7D8F646F"/>
    <w:rsid w:val="7D934A19"/>
    <w:rsid w:val="7D9D0B8C"/>
    <w:rsid w:val="7D9D293A"/>
    <w:rsid w:val="7DA173DB"/>
    <w:rsid w:val="7DAA3A01"/>
    <w:rsid w:val="7DBC3309"/>
    <w:rsid w:val="7DC15CF3"/>
    <w:rsid w:val="7DC275FA"/>
    <w:rsid w:val="7DC652F5"/>
    <w:rsid w:val="7DC9329F"/>
    <w:rsid w:val="7DC9372F"/>
    <w:rsid w:val="7DD30A52"/>
    <w:rsid w:val="7DD80021"/>
    <w:rsid w:val="7DE66B13"/>
    <w:rsid w:val="7DE92023"/>
    <w:rsid w:val="7DED3CF7"/>
    <w:rsid w:val="7DF00BFA"/>
    <w:rsid w:val="7DF10ED8"/>
    <w:rsid w:val="7DF1427C"/>
    <w:rsid w:val="7E001A2C"/>
    <w:rsid w:val="7E0714D7"/>
    <w:rsid w:val="7E074257"/>
    <w:rsid w:val="7E0806FB"/>
    <w:rsid w:val="7E136EBD"/>
    <w:rsid w:val="7E192908"/>
    <w:rsid w:val="7E2075D4"/>
    <w:rsid w:val="7E2412AD"/>
    <w:rsid w:val="7E2748F9"/>
    <w:rsid w:val="7E38506C"/>
    <w:rsid w:val="7E3C0F32"/>
    <w:rsid w:val="7E41173D"/>
    <w:rsid w:val="7E431733"/>
    <w:rsid w:val="7E447259"/>
    <w:rsid w:val="7E48614C"/>
    <w:rsid w:val="7E4F49A7"/>
    <w:rsid w:val="7E542A4A"/>
    <w:rsid w:val="7E5B722D"/>
    <w:rsid w:val="7E68119A"/>
    <w:rsid w:val="7E6B2A38"/>
    <w:rsid w:val="7E6C693B"/>
    <w:rsid w:val="7E6E5AB0"/>
    <w:rsid w:val="7E843AFA"/>
    <w:rsid w:val="7E8458A8"/>
    <w:rsid w:val="7E9036AC"/>
    <w:rsid w:val="7E974651"/>
    <w:rsid w:val="7E9B32DE"/>
    <w:rsid w:val="7E9C3878"/>
    <w:rsid w:val="7EAA17B2"/>
    <w:rsid w:val="7EAC3044"/>
    <w:rsid w:val="7EAE41BD"/>
    <w:rsid w:val="7EB07E67"/>
    <w:rsid w:val="7EB67670"/>
    <w:rsid w:val="7EBB576E"/>
    <w:rsid w:val="7EBD2C36"/>
    <w:rsid w:val="7ECF2FC7"/>
    <w:rsid w:val="7ECF3506"/>
    <w:rsid w:val="7EDB5E10"/>
    <w:rsid w:val="7EE132AF"/>
    <w:rsid w:val="7EEC4BB1"/>
    <w:rsid w:val="7EED78F1"/>
    <w:rsid w:val="7EEF5417"/>
    <w:rsid w:val="7EF322C9"/>
    <w:rsid w:val="7EF90044"/>
    <w:rsid w:val="7F076C05"/>
    <w:rsid w:val="7F085D2C"/>
    <w:rsid w:val="7F141322"/>
    <w:rsid w:val="7F2257ED"/>
    <w:rsid w:val="7F2273ED"/>
    <w:rsid w:val="7F281E91"/>
    <w:rsid w:val="7F284784"/>
    <w:rsid w:val="7F2C0C33"/>
    <w:rsid w:val="7F2C13EE"/>
    <w:rsid w:val="7F301256"/>
    <w:rsid w:val="7F4A6AF1"/>
    <w:rsid w:val="7F58120E"/>
    <w:rsid w:val="7F592927"/>
    <w:rsid w:val="7F5C5015"/>
    <w:rsid w:val="7F604567"/>
    <w:rsid w:val="7F643D48"/>
    <w:rsid w:val="7F6803DF"/>
    <w:rsid w:val="7F6F47AA"/>
    <w:rsid w:val="7F7933AB"/>
    <w:rsid w:val="7F7A0C13"/>
    <w:rsid w:val="7F800765"/>
    <w:rsid w:val="7F820039"/>
    <w:rsid w:val="7F8E615C"/>
    <w:rsid w:val="7F912972"/>
    <w:rsid w:val="7F9935D5"/>
    <w:rsid w:val="7F9B5070"/>
    <w:rsid w:val="7F9E7019"/>
    <w:rsid w:val="7FA74399"/>
    <w:rsid w:val="7FC2794A"/>
    <w:rsid w:val="7FC71EF0"/>
    <w:rsid w:val="7FC84C5F"/>
    <w:rsid w:val="7FCA0930"/>
    <w:rsid w:val="7FCF03EB"/>
    <w:rsid w:val="7FD10FC1"/>
    <w:rsid w:val="7FD21173"/>
    <w:rsid w:val="7FD30895"/>
    <w:rsid w:val="7FDB22AE"/>
    <w:rsid w:val="7FDB599C"/>
    <w:rsid w:val="7FE400A2"/>
    <w:rsid w:val="7FE47617"/>
    <w:rsid w:val="7FEA3E31"/>
    <w:rsid w:val="7FEE1B73"/>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0" w:semiHidden="0"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99"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sz w:val="24"/>
      <w:lang w:val="en-US" w:eastAsia="zh-CN" w:bidi="ar-SA"/>
    </w:rPr>
  </w:style>
  <w:style w:type="paragraph" w:styleId="2">
    <w:name w:val="heading 1"/>
    <w:basedOn w:val="1"/>
    <w:next w:val="1"/>
    <w:link w:val="52"/>
    <w:qFormat/>
    <w:uiPriority w:val="9"/>
    <w:pPr>
      <w:keepNext/>
      <w:keepLines/>
      <w:adjustRightInd w:val="0"/>
      <w:ind w:firstLine="0" w:firstLineChars="0"/>
      <w:jc w:val="left"/>
      <w:outlineLvl w:val="0"/>
    </w:pPr>
    <w:rPr>
      <w:b/>
      <w:bCs/>
      <w:sz w:val="32"/>
      <w:szCs w:val="44"/>
    </w:rPr>
  </w:style>
  <w:style w:type="paragraph" w:styleId="3">
    <w:name w:val="heading 2"/>
    <w:basedOn w:val="1"/>
    <w:next w:val="1"/>
    <w:link w:val="53"/>
    <w:qFormat/>
    <w:uiPriority w:val="9"/>
    <w:pPr>
      <w:keepNext/>
      <w:keepLines/>
      <w:ind w:firstLine="0" w:firstLineChars="0"/>
      <w:jc w:val="left"/>
      <w:outlineLvl w:val="1"/>
    </w:pPr>
    <w:rPr>
      <w:b/>
      <w:bCs/>
      <w:sz w:val="30"/>
      <w:szCs w:val="32"/>
    </w:rPr>
  </w:style>
  <w:style w:type="paragraph" w:styleId="4">
    <w:name w:val="heading 3"/>
    <w:basedOn w:val="1"/>
    <w:next w:val="1"/>
    <w:link w:val="54"/>
    <w:qFormat/>
    <w:uiPriority w:val="9"/>
    <w:pPr>
      <w:keepNext/>
      <w:keepLines/>
      <w:numPr>
        <w:ilvl w:val="2"/>
        <w:numId w:val="1"/>
      </w:numPr>
      <w:ind w:left="0"/>
      <w:jc w:val="left"/>
      <w:outlineLvl w:val="2"/>
    </w:pPr>
    <w:rPr>
      <w:b/>
      <w:bCs/>
      <w:sz w:val="28"/>
      <w:szCs w:val="32"/>
    </w:rPr>
  </w:style>
  <w:style w:type="paragraph" w:styleId="5">
    <w:name w:val="heading 4"/>
    <w:basedOn w:val="1"/>
    <w:next w:val="1"/>
    <w:link w:val="55"/>
    <w:qFormat/>
    <w:uiPriority w:val="9"/>
    <w:pPr>
      <w:keepNext/>
      <w:keepLines/>
      <w:ind w:firstLine="0" w:firstLineChars="0"/>
      <w:jc w:val="left"/>
      <w:outlineLvl w:val="3"/>
    </w:pPr>
    <w:rPr>
      <w:b/>
      <w:bCs/>
      <w:szCs w:val="28"/>
    </w:rPr>
  </w:style>
  <w:style w:type="paragraph" w:styleId="6">
    <w:name w:val="heading 5"/>
    <w:basedOn w:val="1"/>
    <w:next w:val="1"/>
    <w:link w:val="56"/>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57"/>
    <w:qFormat/>
    <w:uiPriority w:val="9"/>
    <w:pPr>
      <w:keepNext/>
      <w:keepLines/>
      <w:numPr>
        <w:ilvl w:val="5"/>
        <w:numId w:val="1"/>
      </w:numPr>
      <w:spacing w:before="240" w:after="64" w:line="320" w:lineRule="auto"/>
      <w:outlineLvl w:val="5"/>
    </w:pPr>
    <w:rPr>
      <w:rFonts w:ascii="Cambria" w:hAnsi="Cambria"/>
      <w:b/>
      <w:bCs/>
      <w:szCs w:val="24"/>
    </w:rPr>
  </w:style>
  <w:style w:type="paragraph" w:styleId="8">
    <w:name w:val="heading 7"/>
    <w:basedOn w:val="1"/>
    <w:next w:val="1"/>
    <w:link w:val="58"/>
    <w:qFormat/>
    <w:uiPriority w:val="9"/>
    <w:pPr>
      <w:keepNext/>
      <w:keepLines/>
      <w:numPr>
        <w:ilvl w:val="6"/>
        <w:numId w:val="1"/>
      </w:numPr>
      <w:spacing w:before="240" w:after="64" w:line="320" w:lineRule="auto"/>
      <w:outlineLvl w:val="6"/>
    </w:pPr>
    <w:rPr>
      <w:b/>
      <w:bCs/>
      <w:szCs w:val="24"/>
    </w:rPr>
  </w:style>
  <w:style w:type="paragraph" w:styleId="9">
    <w:name w:val="heading 8"/>
    <w:basedOn w:val="1"/>
    <w:next w:val="1"/>
    <w:link w:val="59"/>
    <w:qFormat/>
    <w:uiPriority w:val="9"/>
    <w:pPr>
      <w:keepNext/>
      <w:keepLines/>
      <w:numPr>
        <w:ilvl w:val="7"/>
        <w:numId w:val="1"/>
      </w:numPr>
      <w:spacing w:before="240" w:after="64" w:line="320" w:lineRule="auto"/>
      <w:outlineLvl w:val="7"/>
    </w:pPr>
    <w:rPr>
      <w:rFonts w:ascii="Cambria" w:hAnsi="Cambria"/>
      <w:szCs w:val="24"/>
    </w:rPr>
  </w:style>
  <w:style w:type="paragraph" w:styleId="10">
    <w:name w:val="heading 9"/>
    <w:basedOn w:val="1"/>
    <w:next w:val="1"/>
    <w:link w:val="60"/>
    <w:qFormat/>
    <w:uiPriority w:val="0"/>
    <w:pPr>
      <w:keepNext/>
      <w:keepLines/>
      <w:numPr>
        <w:ilvl w:val="8"/>
        <w:numId w:val="1"/>
      </w:numPr>
      <w:spacing w:before="240" w:after="64" w:line="320" w:lineRule="auto"/>
      <w:outlineLvl w:val="8"/>
    </w:pPr>
    <w:rPr>
      <w:rFonts w:ascii="Cambria" w:hAnsi="Cambria"/>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List 3"/>
    <w:basedOn w:val="1"/>
    <w:next w:val="1"/>
    <w:qFormat/>
    <w:uiPriority w:val="0"/>
    <w:pPr>
      <w:autoSpaceDE w:val="0"/>
      <w:autoSpaceDN w:val="0"/>
      <w:adjustRightInd w:val="0"/>
      <w:spacing w:line="288" w:lineRule="auto"/>
      <w:ind w:left="1260" w:hanging="420"/>
      <w:jc w:val="left"/>
      <w:textAlignment w:val="baseline"/>
    </w:pPr>
  </w:style>
  <w:style w:type="paragraph" w:styleId="12">
    <w:name w:val="toc 7"/>
    <w:basedOn w:val="1"/>
    <w:next w:val="1"/>
    <w:unhideWhenUsed/>
    <w:qFormat/>
    <w:uiPriority w:val="39"/>
    <w:pPr>
      <w:ind w:left="2520" w:leftChars="1200"/>
    </w:pPr>
  </w:style>
  <w:style w:type="paragraph" w:styleId="13">
    <w:name w:val="Normal Indent"/>
    <w:basedOn w:val="1"/>
    <w:next w:val="1"/>
    <w:link w:val="61"/>
    <w:qFormat/>
    <w:uiPriority w:val="0"/>
    <w:pPr>
      <w:ind w:firstLine="420"/>
    </w:pPr>
  </w:style>
  <w:style w:type="paragraph" w:styleId="14">
    <w:name w:val="caption"/>
    <w:basedOn w:val="1"/>
    <w:next w:val="1"/>
    <w:link w:val="62"/>
    <w:qFormat/>
    <w:uiPriority w:val="0"/>
    <w:pPr>
      <w:keepNext/>
      <w:spacing w:before="60" w:after="60"/>
      <w:jc w:val="left"/>
    </w:pPr>
    <w:rPr>
      <w:b/>
      <w:color w:val="000000"/>
    </w:rPr>
  </w:style>
  <w:style w:type="paragraph" w:styleId="15">
    <w:name w:val="Document Map"/>
    <w:basedOn w:val="1"/>
    <w:link w:val="63"/>
    <w:unhideWhenUsed/>
    <w:qFormat/>
    <w:uiPriority w:val="99"/>
    <w:rPr>
      <w:rFonts w:ascii="宋体"/>
      <w:sz w:val="18"/>
      <w:szCs w:val="18"/>
    </w:rPr>
  </w:style>
  <w:style w:type="paragraph" w:styleId="16">
    <w:name w:val="annotation text"/>
    <w:basedOn w:val="1"/>
    <w:link w:val="64"/>
    <w:unhideWhenUsed/>
    <w:qFormat/>
    <w:uiPriority w:val="99"/>
    <w:pPr>
      <w:jc w:val="left"/>
    </w:pPr>
  </w:style>
  <w:style w:type="paragraph" w:styleId="17">
    <w:name w:val="Body Text"/>
    <w:basedOn w:val="1"/>
    <w:next w:val="18"/>
    <w:link w:val="65"/>
    <w:qFormat/>
    <w:uiPriority w:val="0"/>
    <w:pPr>
      <w:spacing w:line="460" w:lineRule="exact"/>
      <w:jc w:val="left"/>
    </w:pPr>
    <w:rPr>
      <w:rFonts w:ascii="Dutch801 Rm BT" w:hAnsi="Dutch801 Rm BT"/>
      <w:sz w:val="28"/>
    </w:rPr>
  </w:style>
  <w:style w:type="paragraph" w:styleId="18">
    <w:name w:val="List Bullet 5"/>
    <w:basedOn w:val="1"/>
    <w:semiHidden/>
    <w:unhideWhenUsed/>
    <w:qFormat/>
    <w:uiPriority w:val="99"/>
    <w:pPr>
      <w:numPr>
        <w:ilvl w:val="0"/>
        <w:numId w:val="2"/>
      </w:numPr>
    </w:pPr>
  </w:style>
  <w:style w:type="paragraph" w:styleId="19">
    <w:name w:val="Body Text Indent"/>
    <w:basedOn w:val="1"/>
    <w:link w:val="66"/>
    <w:unhideWhenUsed/>
    <w:qFormat/>
    <w:uiPriority w:val="99"/>
    <w:pPr>
      <w:spacing w:after="120"/>
      <w:ind w:left="420" w:leftChars="200"/>
    </w:pPr>
  </w:style>
  <w:style w:type="paragraph" w:styleId="20">
    <w:name w:val="toc 5"/>
    <w:basedOn w:val="1"/>
    <w:next w:val="1"/>
    <w:unhideWhenUsed/>
    <w:qFormat/>
    <w:uiPriority w:val="39"/>
    <w:pPr>
      <w:ind w:left="1680" w:leftChars="800"/>
    </w:pPr>
  </w:style>
  <w:style w:type="paragraph" w:styleId="21">
    <w:name w:val="toc 3"/>
    <w:basedOn w:val="1"/>
    <w:next w:val="1"/>
    <w:unhideWhenUsed/>
    <w:qFormat/>
    <w:uiPriority w:val="39"/>
    <w:pPr>
      <w:ind w:left="840" w:leftChars="400"/>
    </w:pPr>
  </w:style>
  <w:style w:type="paragraph" w:styleId="22">
    <w:name w:val="Plain Text"/>
    <w:basedOn w:val="1"/>
    <w:link w:val="67"/>
    <w:unhideWhenUsed/>
    <w:qFormat/>
    <w:uiPriority w:val="0"/>
    <w:rPr>
      <w:rFonts w:ascii="宋体" w:hAnsi="Courier New"/>
      <w:sz w:val="28"/>
    </w:rPr>
  </w:style>
  <w:style w:type="paragraph" w:styleId="23">
    <w:name w:val="toc 8"/>
    <w:basedOn w:val="1"/>
    <w:next w:val="1"/>
    <w:unhideWhenUsed/>
    <w:qFormat/>
    <w:uiPriority w:val="39"/>
    <w:pPr>
      <w:ind w:left="2940" w:leftChars="1400"/>
    </w:pPr>
  </w:style>
  <w:style w:type="paragraph" w:styleId="24">
    <w:name w:val="Date"/>
    <w:basedOn w:val="1"/>
    <w:next w:val="1"/>
    <w:link w:val="68"/>
    <w:unhideWhenUsed/>
    <w:qFormat/>
    <w:uiPriority w:val="99"/>
    <w:pPr>
      <w:ind w:left="100" w:leftChars="2500"/>
    </w:pPr>
  </w:style>
  <w:style w:type="paragraph" w:styleId="25">
    <w:name w:val="Body Text Indent 2"/>
    <w:basedOn w:val="1"/>
    <w:link w:val="69"/>
    <w:unhideWhenUsed/>
    <w:qFormat/>
    <w:uiPriority w:val="99"/>
    <w:pPr>
      <w:spacing w:after="120" w:line="480" w:lineRule="auto"/>
      <w:ind w:left="420" w:leftChars="200"/>
    </w:pPr>
  </w:style>
  <w:style w:type="paragraph" w:styleId="26">
    <w:name w:val="Balloon Text"/>
    <w:basedOn w:val="1"/>
    <w:link w:val="70"/>
    <w:qFormat/>
    <w:uiPriority w:val="0"/>
    <w:rPr>
      <w:sz w:val="18"/>
      <w:szCs w:val="18"/>
    </w:rPr>
  </w:style>
  <w:style w:type="paragraph" w:styleId="27">
    <w:name w:val="footer"/>
    <w:basedOn w:val="1"/>
    <w:link w:val="71"/>
    <w:unhideWhenUsed/>
    <w:qFormat/>
    <w:uiPriority w:val="99"/>
    <w:pPr>
      <w:tabs>
        <w:tab w:val="center" w:pos="4153"/>
        <w:tab w:val="right" w:pos="8306"/>
      </w:tabs>
      <w:snapToGrid w:val="0"/>
      <w:jc w:val="left"/>
    </w:pPr>
    <w:rPr>
      <w:sz w:val="18"/>
      <w:szCs w:val="18"/>
    </w:rPr>
  </w:style>
  <w:style w:type="paragraph" w:styleId="28">
    <w:name w:val="header"/>
    <w:basedOn w:val="1"/>
    <w:link w:val="72"/>
    <w:unhideWhenUsed/>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spacing w:before="20" w:beforeLines="20" w:after="20" w:afterLines="20" w:line="300" w:lineRule="auto"/>
      <w:jc w:val="left"/>
    </w:pPr>
    <w:rPr>
      <w:b/>
      <w:bCs/>
      <w:caps/>
    </w:rPr>
  </w:style>
  <w:style w:type="paragraph" w:styleId="30">
    <w:name w:val="toc 4"/>
    <w:basedOn w:val="1"/>
    <w:next w:val="1"/>
    <w:unhideWhenUsed/>
    <w:qFormat/>
    <w:uiPriority w:val="39"/>
    <w:pPr>
      <w:ind w:left="1260" w:leftChars="600"/>
    </w:pPr>
  </w:style>
  <w:style w:type="paragraph" w:styleId="31">
    <w:name w:val="index heading"/>
    <w:basedOn w:val="1"/>
    <w:next w:val="32"/>
    <w:qFormat/>
    <w:uiPriority w:val="0"/>
    <w:rPr>
      <w:rFonts w:ascii="宋体" w:hAnsi="宋体"/>
      <w:color w:val="000000"/>
      <w:sz w:val="28"/>
      <w:szCs w:val="24"/>
    </w:rPr>
  </w:style>
  <w:style w:type="paragraph" w:styleId="32">
    <w:name w:val="index 1"/>
    <w:basedOn w:val="1"/>
    <w:next w:val="1"/>
    <w:unhideWhenUsed/>
    <w:qFormat/>
    <w:uiPriority w:val="0"/>
    <w:pPr>
      <w:spacing w:before="120" w:after="120" w:line="240" w:lineRule="atLeast"/>
      <w:jc w:val="center"/>
    </w:pPr>
  </w:style>
  <w:style w:type="paragraph" w:styleId="33">
    <w:name w:val="List"/>
    <w:basedOn w:val="1"/>
    <w:unhideWhenUsed/>
    <w:qFormat/>
    <w:uiPriority w:val="99"/>
    <w:pPr>
      <w:ind w:left="200" w:hanging="200" w:hangingChars="200"/>
      <w:contextualSpacing/>
    </w:pPr>
  </w:style>
  <w:style w:type="paragraph" w:styleId="34">
    <w:name w:val="toc 6"/>
    <w:basedOn w:val="1"/>
    <w:next w:val="1"/>
    <w:unhideWhenUsed/>
    <w:qFormat/>
    <w:uiPriority w:val="39"/>
    <w:pPr>
      <w:ind w:left="2100" w:leftChars="1000"/>
    </w:pPr>
  </w:style>
  <w:style w:type="paragraph" w:styleId="35">
    <w:name w:val="Body Text Indent 3"/>
    <w:basedOn w:val="1"/>
    <w:link w:val="73"/>
    <w:qFormat/>
    <w:uiPriority w:val="0"/>
    <w:pPr>
      <w:spacing w:after="120"/>
      <w:ind w:left="420" w:leftChars="200"/>
    </w:pPr>
    <w:rPr>
      <w:sz w:val="16"/>
      <w:szCs w:val="16"/>
    </w:rPr>
  </w:style>
  <w:style w:type="paragraph" w:styleId="36">
    <w:name w:val="toc 2"/>
    <w:basedOn w:val="1"/>
    <w:next w:val="1"/>
    <w:unhideWhenUsed/>
    <w:qFormat/>
    <w:uiPriority w:val="39"/>
    <w:pPr>
      <w:spacing w:line="300" w:lineRule="auto"/>
      <w:ind w:left="200" w:leftChars="200"/>
      <w:jc w:val="left"/>
    </w:pPr>
  </w:style>
  <w:style w:type="paragraph" w:styleId="37">
    <w:name w:val="toc 9"/>
    <w:basedOn w:val="1"/>
    <w:next w:val="1"/>
    <w:unhideWhenUsed/>
    <w:qFormat/>
    <w:uiPriority w:val="39"/>
    <w:pPr>
      <w:ind w:left="3360" w:leftChars="1600"/>
    </w:pPr>
  </w:style>
  <w:style w:type="paragraph" w:styleId="38">
    <w:name w:val="Body Text 2"/>
    <w:basedOn w:val="1"/>
    <w:link w:val="74"/>
    <w:qFormat/>
    <w:uiPriority w:val="0"/>
    <w:pPr>
      <w:spacing w:after="120" w:line="480" w:lineRule="auto"/>
    </w:pPr>
    <w:rPr>
      <w:szCs w:val="21"/>
    </w:rPr>
  </w:style>
  <w:style w:type="paragraph" w:styleId="39">
    <w:name w:val="HTML Preformatted"/>
    <w:basedOn w:val="1"/>
    <w:link w:val="75"/>
    <w:qFormat/>
    <w:uiPriority w:val="99"/>
    <w:rPr>
      <w:rFonts w:ascii="Courier New" w:hAnsi="Courier New"/>
      <w:sz w:val="20"/>
    </w:rPr>
  </w:style>
  <w:style w:type="paragraph" w:styleId="40">
    <w:name w:val="Normal (Web)"/>
    <w:basedOn w:val="1"/>
    <w:link w:val="76"/>
    <w:qFormat/>
    <w:uiPriority w:val="99"/>
    <w:pPr>
      <w:widowControl/>
      <w:spacing w:before="100" w:beforeAutospacing="1" w:after="100" w:afterAutospacing="1"/>
      <w:jc w:val="left"/>
    </w:pPr>
    <w:rPr>
      <w:rFonts w:ascii="宋体" w:hAnsi="宋体" w:cs="宋体"/>
      <w:szCs w:val="24"/>
    </w:rPr>
  </w:style>
  <w:style w:type="paragraph" w:styleId="41">
    <w:name w:val="Title"/>
    <w:basedOn w:val="33"/>
    <w:next w:val="1"/>
    <w:link w:val="77"/>
    <w:qFormat/>
    <w:uiPriority w:val="0"/>
    <w:pPr>
      <w:spacing w:line="300" w:lineRule="exact"/>
      <w:ind w:left="0" w:firstLine="0" w:firstLineChars="0"/>
      <w:jc w:val="center"/>
    </w:pPr>
    <w:rPr>
      <w:rFonts w:ascii="Times New Romans" w:hAnsi="Times New Romans"/>
      <w:bCs/>
      <w:szCs w:val="32"/>
    </w:rPr>
  </w:style>
  <w:style w:type="paragraph" w:styleId="42">
    <w:name w:val="annotation subject"/>
    <w:basedOn w:val="16"/>
    <w:next w:val="16"/>
    <w:link w:val="78"/>
    <w:unhideWhenUsed/>
    <w:qFormat/>
    <w:uiPriority w:val="99"/>
    <w:rPr>
      <w:b/>
      <w:bCs/>
    </w:rPr>
  </w:style>
  <w:style w:type="paragraph" w:styleId="43">
    <w:name w:val="Body Text First Indent"/>
    <w:basedOn w:val="17"/>
    <w:link w:val="79"/>
    <w:unhideWhenUsed/>
    <w:qFormat/>
    <w:uiPriority w:val="99"/>
    <w:pPr>
      <w:spacing w:after="120" w:line="240" w:lineRule="auto"/>
      <w:ind w:firstLine="420" w:firstLineChars="100"/>
      <w:jc w:val="both"/>
    </w:pPr>
    <w:rPr>
      <w:sz w:val="21"/>
      <w:szCs w:val="22"/>
    </w:r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47">
    <w:name w:val="Strong"/>
    <w:basedOn w:val="46"/>
    <w:qFormat/>
    <w:uiPriority w:val="22"/>
    <w:rPr>
      <w:b/>
      <w:bCs/>
    </w:rPr>
  </w:style>
  <w:style w:type="character" w:styleId="48">
    <w:name w:val="Hyperlink"/>
    <w:qFormat/>
    <w:uiPriority w:val="99"/>
    <w:rPr>
      <w:color w:val="0000FF"/>
      <w:u w:val="single"/>
    </w:rPr>
  </w:style>
  <w:style w:type="character" w:styleId="49">
    <w:name w:val="annotation reference"/>
    <w:qFormat/>
    <w:uiPriority w:val="99"/>
    <w:rPr>
      <w:sz w:val="21"/>
      <w:szCs w:val="21"/>
    </w:rPr>
  </w:style>
  <w:style w:type="paragraph" w:customStyle="1" w:styleId="50">
    <w:name w:val="Default"/>
    <w:basedOn w:val="51"/>
    <w:next w:val="11"/>
    <w:qFormat/>
    <w:uiPriority w:val="0"/>
    <w:pPr>
      <w:widowControl w:val="0"/>
      <w:autoSpaceDE w:val="0"/>
      <w:autoSpaceDN w:val="0"/>
      <w:adjustRightInd w:val="0"/>
    </w:pPr>
    <w:rPr>
      <w:rFonts w:ascii="宋体" w:hAnsi="宋体" w:cs="宋体"/>
      <w:color w:val="000000"/>
      <w:sz w:val="24"/>
      <w:szCs w:val="24"/>
    </w:rPr>
  </w:style>
  <w:style w:type="paragraph" w:customStyle="1" w:styleId="51">
    <w:name w:val="纯文本1"/>
    <w:basedOn w:val="1"/>
    <w:qFormat/>
    <w:uiPriority w:val="0"/>
    <w:pPr>
      <w:widowControl/>
      <w:spacing w:line="240" w:lineRule="auto"/>
    </w:pPr>
    <w:rPr>
      <w:sz w:val="21"/>
    </w:rPr>
  </w:style>
  <w:style w:type="character" w:customStyle="1" w:styleId="52">
    <w:name w:val="标题 1 Char"/>
    <w:link w:val="2"/>
    <w:qFormat/>
    <w:uiPriority w:val="9"/>
    <w:rPr>
      <w:rFonts w:ascii="Times New Roman" w:hAnsi="Times New Roman"/>
      <w:b/>
      <w:bCs/>
      <w:sz w:val="32"/>
      <w:szCs w:val="44"/>
    </w:rPr>
  </w:style>
  <w:style w:type="character" w:customStyle="1" w:styleId="53">
    <w:name w:val="标题 2 Char"/>
    <w:link w:val="3"/>
    <w:qFormat/>
    <w:uiPriority w:val="9"/>
    <w:rPr>
      <w:rFonts w:ascii="Times New Roman" w:hAnsi="Times New Roman"/>
      <w:b/>
      <w:bCs/>
      <w:sz w:val="30"/>
      <w:szCs w:val="32"/>
    </w:rPr>
  </w:style>
  <w:style w:type="character" w:customStyle="1" w:styleId="54">
    <w:name w:val="标题 3 Char"/>
    <w:link w:val="4"/>
    <w:qFormat/>
    <w:uiPriority w:val="9"/>
    <w:rPr>
      <w:rFonts w:ascii="Times New Roman" w:hAnsi="Times New Roman"/>
      <w:b/>
      <w:bCs/>
      <w:kern w:val="2"/>
      <w:sz w:val="28"/>
      <w:szCs w:val="32"/>
    </w:rPr>
  </w:style>
  <w:style w:type="character" w:customStyle="1" w:styleId="55">
    <w:name w:val="标题 4 Char"/>
    <w:link w:val="5"/>
    <w:qFormat/>
    <w:uiPriority w:val="9"/>
    <w:rPr>
      <w:rFonts w:ascii="Times New Roman" w:hAnsi="Times New Roman"/>
      <w:b/>
      <w:bCs/>
      <w:sz w:val="24"/>
      <w:szCs w:val="28"/>
    </w:rPr>
  </w:style>
  <w:style w:type="character" w:customStyle="1" w:styleId="56">
    <w:name w:val="标题 5 Char"/>
    <w:link w:val="6"/>
    <w:qFormat/>
    <w:uiPriority w:val="9"/>
    <w:rPr>
      <w:rFonts w:ascii="Times New Roman" w:hAnsi="Times New Roman"/>
      <w:b/>
      <w:bCs/>
      <w:kern w:val="2"/>
      <w:sz w:val="28"/>
      <w:szCs w:val="28"/>
    </w:rPr>
  </w:style>
  <w:style w:type="character" w:customStyle="1" w:styleId="57">
    <w:name w:val="标题 6 Char"/>
    <w:link w:val="7"/>
    <w:qFormat/>
    <w:uiPriority w:val="9"/>
    <w:rPr>
      <w:rFonts w:ascii="Cambria" w:hAnsi="Cambria"/>
      <w:b/>
      <w:bCs/>
      <w:kern w:val="2"/>
      <w:sz w:val="24"/>
      <w:szCs w:val="24"/>
    </w:rPr>
  </w:style>
  <w:style w:type="character" w:customStyle="1" w:styleId="58">
    <w:name w:val="标题 7 Char"/>
    <w:link w:val="8"/>
    <w:qFormat/>
    <w:uiPriority w:val="9"/>
    <w:rPr>
      <w:b/>
      <w:bCs/>
      <w:kern w:val="2"/>
      <w:sz w:val="24"/>
      <w:szCs w:val="24"/>
    </w:rPr>
  </w:style>
  <w:style w:type="character" w:customStyle="1" w:styleId="59">
    <w:name w:val="标题 8 Char"/>
    <w:link w:val="9"/>
    <w:qFormat/>
    <w:uiPriority w:val="9"/>
    <w:rPr>
      <w:rFonts w:ascii="Cambria" w:hAnsi="Cambria"/>
      <w:kern w:val="2"/>
      <w:sz w:val="24"/>
      <w:szCs w:val="24"/>
    </w:rPr>
  </w:style>
  <w:style w:type="character" w:customStyle="1" w:styleId="60">
    <w:name w:val="标题 9 Char"/>
    <w:link w:val="10"/>
    <w:qFormat/>
    <w:uiPriority w:val="9"/>
    <w:rPr>
      <w:rFonts w:ascii="Cambria" w:hAnsi="Cambria"/>
      <w:kern w:val="2"/>
      <w:sz w:val="21"/>
      <w:szCs w:val="21"/>
    </w:rPr>
  </w:style>
  <w:style w:type="character" w:customStyle="1" w:styleId="61">
    <w:name w:val="正文缩进 Char"/>
    <w:link w:val="13"/>
    <w:qFormat/>
    <w:uiPriority w:val="0"/>
    <w:rPr>
      <w:rFonts w:ascii="Times New Roman" w:hAnsi="Times New Roman"/>
      <w:kern w:val="2"/>
      <w:sz w:val="24"/>
    </w:rPr>
  </w:style>
  <w:style w:type="character" w:customStyle="1" w:styleId="62">
    <w:name w:val="题注 Char"/>
    <w:link w:val="14"/>
    <w:qFormat/>
    <w:uiPriority w:val="0"/>
    <w:rPr>
      <w:rFonts w:ascii="Times New Roman" w:hAnsi="Times New Roman"/>
      <w:b/>
      <w:color w:val="000000"/>
      <w:kern w:val="2"/>
      <w:sz w:val="24"/>
    </w:rPr>
  </w:style>
  <w:style w:type="character" w:customStyle="1" w:styleId="63">
    <w:name w:val="文档结构图 Char"/>
    <w:link w:val="15"/>
    <w:qFormat/>
    <w:uiPriority w:val="99"/>
    <w:rPr>
      <w:rFonts w:ascii="宋体"/>
      <w:kern w:val="2"/>
      <w:sz w:val="18"/>
      <w:szCs w:val="18"/>
    </w:rPr>
  </w:style>
  <w:style w:type="character" w:customStyle="1" w:styleId="64">
    <w:name w:val="批注文字 Char"/>
    <w:link w:val="16"/>
    <w:qFormat/>
    <w:uiPriority w:val="99"/>
    <w:rPr>
      <w:rFonts w:ascii="Times New Roman" w:hAnsi="Times New Roman"/>
      <w:kern w:val="2"/>
      <w:sz w:val="21"/>
      <w:szCs w:val="22"/>
    </w:rPr>
  </w:style>
  <w:style w:type="character" w:customStyle="1" w:styleId="65">
    <w:name w:val="正文文本 Char"/>
    <w:link w:val="17"/>
    <w:qFormat/>
    <w:uiPriority w:val="0"/>
    <w:rPr>
      <w:rFonts w:ascii="Dutch801 Rm BT" w:hAnsi="Dutch801 Rm BT"/>
      <w:kern w:val="2"/>
      <w:sz w:val="28"/>
    </w:rPr>
  </w:style>
  <w:style w:type="character" w:customStyle="1" w:styleId="66">
    <w:name w:val="正文文本缩进 Char"/>
    <w:link w:val="19"/>
    <w:qFormat/>
    <w:uiPriority w:val="99"/>
    <w:rPr>
      <w:kern w:val="2"/>
      <w:sz w:val="21"/>
      <w:szCs w:val="22"/>
    </w:rPr>
  </w:style>
  <w:style w:type="character" w:customStyle="1" w:styleId="67">
    <w:name w:val="纯文本 Char"/>
    <w:link w:val="22"/>
    <w:qFormat/>
    <w:locked/>
    <w:uiPriority w:val="0"/>
    <w:rPr>
      <w:rFonts w:ascii="宋体" w:hAnsi="Courier New"/>
      <w:kern w:val="2"/>
      <w:sz w:val="28"/>
    </w:rPr>
  </w:style>
  <w:style w:type="character" w:customStyle="1" w:styleId="68">
    <w:name w:val="日期 Char"/>
    <w:link w:val="24"/>
    <w:qFormat/>
    <w:uiPriority w:val="99"/>
    <w:rPr>
      <w:kern w:val="2"/>
      <w:sz w:val="21"/>
      <w:szCs w:val="22"/>
    </w:rPr>
  </w:style>
  <w:style w:type="character" w:customStyle="1" w:styleId="69">
    <w:name w:val="正文文本缩进 2 Char"/>
    <w:link w:val="25"/>
    <w:qFormat/>
    <w:uiPriority w:val="99"/>
    <w:rPr>
      <w:kern w:val="2"/>
      <w:sz w:val="21"/>
      <w:szCs w:val="22"/>
    </w:rPr>
  </w:style>
  <w:style w:type="character" w:customStyle="1" w:styleId="70">
    <w:name w:val="批注框文本 Char"/>
    <w:link w:val="26"/>
    <w:qFormat/>
    <w:uiPriority w:val="0"/>
    <w:rPr>
      <w:rFonts w:ascii="Times New Roman" w:hAnsi="Times New Roman"/>
      <w:kern w:val="2"/>
      <w:sz w:val="18"/>
      <w:szCs w:val="18"/>
    </w:rPr>
  </w:style>
  <w:style w:type="character" w:customStyle="1" w:styleId="71">
    <w:name w:val="页脚 Char"/>
    <w:link w:val="27"/>
    <w:qFormat/>
    <w:uiPriority w:val="99"/>
    <w:rPr>
      <w:sz w:val="18"/>
      <w:szCs w:val="18"/>
    </w:rPr>
  </w:style>
  <w:style w:type="character" w:customStyle="1" w:styleId="72">
    <w:name w:val="页眉 Char"/>
    <w:link w:val="28"/>
    <w:qFormat/>
    <w:uiPriority w:val="0"/>
    <w:rPr>
      <w:sz w:val="18"/>
      <w:szCs w:val="18"/>
    </w:rPr>
  </w:style>
  <w:style w:type="character" w:customStyle="1" w:styleId="73">
    <w:name w:val="正文文本缩进 3 Char"/>
    <w:link w:val="35"/>
    <w:qFormat/>
    <w:uiPriority w:val="0"/>
    <w:rPr>
      <w:kern w:val="2"/>
      <w:sz w:val="16"/>
      <w:szCs w:val="16"/>
    </w:rPr>
  </w:style>
  <w:style w:type="character" w:customStyle="1" w:styleId="74">
    <w:name w:val="正文文本 2 Char"/>
    <w:link w:val="38"/>
    <w:qFormat/>
    <w:uiPriority w:val="0"/>
    <w:rPr>
      <w:rFonts w:ascii="Times New Roman" w:hAnsi="Times New Roman"/>
      <w:kern w:val="2"/>
      <w:sz w:val="24"/>
      <w:szCs w:val="21"/>
    </w:rPr>
  </w:style>
  <w:style w:type="character" w:customStyle="1" w:styleId="75">
    <w:name w:val="HTML 预设格式 Char"/>
    <w:link w:val="39"/>
    <w:qFormat/>
    <w:uiPriority w:val="99"/>
    <w:rPr>
      <w:rFonts w:ascii="Courier New" w:hAnsi="Courier New" w:cs="Courier New"/>
      <w:kern w:val="2"/>
    </w:rPr>
  </w:style>
  <w:style w:type="character" w:customStyle="1" w:styleId="76">
    <w:name w:val="普通(网站) Char1"/>
    <w:link w:val="40"/>
    <w:qFormat/>
    <w:locked/>
    <w:uiPriority w:val="0"/>
    <w:rPr>
      <w:rFonts w:ascii="宋体" w:hAnsi="宋体" w:cs="宋体"/>
      <w:sz w:val="24"/>
      <w:szCs w:val="24"/>
    </w:rPr>
  </w:style>
  <w:style w:type="character" w:customStyle="1" w:styleId="77">
    <w:name w:val="标题 Char"/>
    <w:link w:val="41"/>
    <w:qFormat/>
    <w:uiPriority w:val="0"/>
    <w:rPr>
      <w:rFonts w:ascii="Times New Romans" w:hAnsi="Times New Romans"/>
      <w:bCs/>
      <w:kern w:val="2"/>
      <w:sz w:val="21"/>
      <w:szCs w:val="32"/>
    </w:rPr>
  </w:style>
  <w:style w:type="character" w:customStyle="1" w:styleId="78">
    <w:name w:val="批注主题 Char"/>
    <w:link w:val="42"/>
    <w:semiHidden/>
    <w:qFormat/>
    <w:uiPriority w:val="99"/>
    <w:rPr>
      <w:rFonts w:ascii="Times New Roman" w:hAnsi="Times New Roman"/>
      <w:b/>
      <w:bCs/>
      <w:kern w:val="2"/>
      <w:sz w:val="21"/>
      <w:szCs w:val="22"/>
    </w:rPr>
  </w:style>
  <w:style w:type="character" w:customStyle="1" w:styleId="79">
    <w:name w:val="正文首行缩进 Char"/>
    <w:link w:val="43"/>
    <w:qFormat/>
    <w:uiPriority w:val="99"/>
    <w:rPr>
      <w:rFonts w:ascii="Dutch801 Rm BT" w:hAnsi="Dutch801 Rm BT"/>
      <w:kern w:val="2"/>
      <w:sz w:val="21"/>
      <w:szCs w:val="22"/>
    </w:rPr>
  </w:style>
  <w:style w:type="paragraph" w:customStyle="1" w:styleId="80">
    <w:name w:val="+正文"/>
    <w:basedOn w:val="1"/>
    <w:qFormat/>
    <w:uiPriority w:val="0"/>
    <w:pPr>
      <w:spacing w:beforeLines="30"/>
      <w:ind w:firstLine="202" w:firstLineChars="202"/>
    </w:pPr>
    <w:rPr>
      <w:sz w:val="28"/>
      <w:szCs w:val="28"/>
    </w:rPr>
  </w:style>
  <w:style w:type="paragraph" w:customStyle="1" w:styleId="81">
    <w:name w:val="样式 首行缩进:  2 字符 段前: 0.3 行"/>
    <w:basedOn w:val="1"/>
    <w:qFormat/>
    <w:uiPriority w:val="0"/>
    <w:pPr>
      <w:autoSpaceDE w:val="0"/>
      <w:autoSpaceDN w:val="0"/>
      <w:adjustRightInd w:val="0"/>
      <w:snapToGrid w:val="0"/>
      <w:ind w:firstLine="480"/>
    </w:pPr>
    <w:rPr>
      <w:rFonts w:cs="宋体"/>
      <w:bCs/>
      <w:color w:val="000000"/>
      <w:szCs w:val="24"/>
    </w:rPr>
  </w:style>
  <w:style w:type="paragraph" w:customStyle="1" w:styleId="82">
    <w:name w:val="样式 样式 样式 样式 左侧:  0.99 厘米 + 首行缩进:  2 字符 + 首行缩进:  2 字符 + 首行缩进:  2...."/>
    <w:basedOn w:val="1"/>
    <w:qFormat/>
    <w:uiPriority w:val="0"/>
    <w:rPr>
      <w:sz w:val="28"/>
    </w:rPr>
  </w:style>
  <w:style w:type="paragraph" w:customStyle="1" w:styleId="83">
    <w:name w:val="样式2"/>
    <w:basedOn w:val="1"/>
    <w:qFormat/>
    <w:uiPriority w:val="0"/>
    <w:pPr>
      <w:snapToGrid w:val="0"/>
      <w:jc w:val="center"/>
    </w:pPr>
    <w:rPr>
      <w:rFonts w:ascii="宋体" w:hAnsi="宋体"/>
      <w:sz w:val="28"/>
      <w:szCs w:val="24"/>
    </w:rPr>
  </w:style>
  <w:style w:type="paragraph" w:styleId="84">
    <w:name w:val="List Paragraph"/>
    <w:basedOn w:val="1"/>
    <w:link w:val="85"/>
    <w:qFormat/>
    <w:uiPriority w:val="34"/>
    <w:pPr>
      <w:ind w:firstLine="420"/>
    </w:pPr>
  </w:style>
  <w:style w:type="character" w:customStyle="1" w:styleId="85">
    <w:name w:val="列出段落 Char"/>
    <w:link w:val="84"/>
    <w:qFormat/>
    <w:uiPriority w:val="34"/>
    <w:rPr>
      <w:rFonts w:ascii="等线" w:hAnsi="等线" w:eastAsia="等线"/>
      <w:kern w:val="2"/>
      <w:sz w:val="21"/>
      <w:szCs w:val="22"/>
    </w:rPr>
  </w:style>
  <w:style w:type="paragraph" w:customStyle="1" w:styleId="86">
    <w:name w:val="环评"/>
    <w:basedOn w:val="1"/>
    <w:qFormat/>
    <w:uiPriority w:val="0"/>
    <w:pPr>
      <w:spacing w:before="60" w:after="60" w:line="360" w:lineRule="exact"/>
    </w:pPr>
    <w:rPr>
      <w:rFonts w:eastAsia="仿宋_GB2312"/>
      <w:bCs/>
      <w:szCs w:val="24"/>
    </w:rPr>
  </w:style>
  <w:style w:type="paragraph" w:customStyle="1" w:styleId="87">
    <w:name w:val="表名"/>
    <w:basedOn w:val="1"/>
    <w:link w:val="88"/>
    <w:qFormat/>
    <w:uiPriority w:val="0"/>
    <w:pPr>
      <w:autoSpaceDE w:val="0"/>
      <w:autoSpaceDN w:val="0"/>
      <w:adjustRightInd w:val="0"/>
      <w:spacing w:before="120" w:line="360" w:lineRule="exact"/>
      <w:jc w:val="center"/>
      <w:textAlignment w:val="baseline"/>
    </w:pPr>
    <w:rPr>
      <w:rFonts w:eastAsia="黑体"/>
      <w:szCs w:val="21"/>
    </w:rPr>
  </w:style>
  <w:style w:type="character" w:customStyle="1" w:styleId="88">
    <w:name w:val="表名 Char Char"/>
    <w:link w:val="87"/>
    <w:qFormat/>
    <w:uiPriority w:val="0"/>
    <w:rPr>
      <w:rFonts w:ascii="Times New Roman" w:hAnsi="Times New Roman" w:eastAsia="黑体"/>
      <w:sz w:val="21"/>
      <w:szCs w:val="21"/>
    </w:rPr>
  </w:style>
  <w:style w:type="paragraph" w:customStyle="1" w:styleId="89">
    <w:name w:val="自正文1"/>
    <w:basedOn w:val="1"/>
    <w:qFormat/>
    <w:uiPriority w:val="0"/>
    <w:pPr>
      <w:tabs>
        <w:tab w:val="left" w:pos="5670"/>
      </w:tabs>
      <w:adjustRightInd w:val="0"/>
      <w:snapToGrid w:val="0"/>
      <w:textAlignment w:val="baseline"/>
    </w:pPr>
    <w:rPr>
      <w:rFonts w:hAnsi="宋体"/>
      <w:kern w:val="24"/>
      <w:sz w:val="18"/>
      <w:szCs w:val="18"/>
    </w:rPr>
  </w:style>
  <w:style w:type="paragraph" w:customStyle="1" w:styleId="90">
    <w:name w:val="表格题目"/>
    <w:basedOn w:val="1"/>
    <w:qFormat/>
    <w:uiPriority w:val="0"/>
    <w:pPr>
      <w:adjustRightInd w:val="0"/>
      <w:spacing w:before="156" w:beforeLines="50" w:after="156" w:afterLines="50"/>
      <w:ind w:left="470" w:leftChars="224" w:firstLine="1878" w:firstLineChars="797"/>
    </w:pPr>
    <w:rPr>
      <w:rFonts w:ascii="宋体"/>
      <w:b/>
      <w:bCs/>
    </w:rPr>
  </w:style>
  <w:style w:type="paragraph" w:customStyle="1" w:styleId="91">
    <w:name w:val="表中文字"/>
    <w:basedOn w:val="1"/>
    <w:link w:val="92"/>
    <w:qFormat/>
    <w:uiPriority w:val="0"/>
    <w:pPr>
      <w:adjustRightInd w:val="0"/>
      <w:snapToGrid w:val="0"/>
      <w:jc w:val="center"/>
    </w:pPr>
    <w:rPr>
      <w:szCs w:val="24"/>
    </w:rPr>
  </w:style>
  <w:style w:type="character" w:customStyle="1" w:styleId="92">
    <w:name w:val="表中文字 Char1"/>
    <w:link w:val="91"/>
    <w:qFormat/>
    <w:uiPriority w:val="0"/>
    <w:rPr>
      <w:rFonts w:ascii="Times New Roman" w:hAnsi="Times New Roman"/>
      <w:kern w:val="2"/>
      <w:sz w:val="21"/>
      <w:szCs w:val="24"/>
    </w:rPr>
  </w:style>
  <w:style w:type="paragraph" w:customStyle="1" w:styleId="93">
    <w:name w:val="表"/>
    <w:basedOn w:val="17"/>
    <w:next w:val="1"/>
    <w:link w:val="94"/>
    <w:qFormat/>
    <w:uiPriority w:val="0"/>
    <w:pPr>
      <w:adjustRightInd w:val="0"/>
      <w:spacing w:before="120"/>
      <w:ind w:firstLine="0" w:firstLineChars="0"/>
      <w:jc w:val="center"/>
      <w:textAlignment w:val="baseline"/>
      <w:outlineLvl w:val="4"/>
    </w:pPr>
    <w:rPr>
      <w:sz w:val="24"/>
    </w:rPr>
  </w:style>
  <w:style w:type="character" w:customStyle="1" w:styleId="94">
    <w:name w:val="表 Char"/>
    <w:link w:val="93"/>
    <w:qFormat/>
    <w:uiPriority w:val="0"/>
    <w:rPr>
      <w:rFonts w:eastAsia="宋体"/>
      <w:sz w:val="24"/>
    </w:rPr>
  </w:style>
  <w:style w:type="paragraph" w:customStyle="1" w:styleId="95">
    <w:name w:val="wg"/>
    <w:basedOn w:val="1"/>
    <w:qFormat/>
    <w:uiPriority w:val="0"/>
    <w:rPr>
      <w:sz w:val="28"/>
    </w:rPr>
  </w:style>
  <w:style w:type="paragraph" w:customStyle="1" w:styleId="96">
    <w:name w:val="流程图"/>
    <w:basedOn w:val="1"/>
    <w:qFormat/>
    <w:uiPriority w:val="0"/>
    <w:pPr>
      <w:tabs>
        <w:tab w:val="left" w:pos="0"/>
      </w:tabs>
      <w:autoSpaceDE w:val="0"/>
      <w:autoSpaceDN w:val="0"/>
      <w:adjustRightInd w:val="0"/>
      <w:spacing w:line="240" w:lineRule="atLeast"/>
      <w:jc w:val="center"/>
      <w:textAlignment w:val="bottom"/>
    </w:pPr>
    <w:rPr>
      <w:rFonts w:ascii="宋体"/>
    </w:rPr>
  </w:style>
  <w:style w:type="character" w:customStyle="1" w:styleId="97">
    <w:name w:val="纯文本 Char1"/>
    <w:semiHidden/>
    <w:qFormat/>
    <w:uiPriority w:val="99"/>
    <w:rPr>
      <w:rFonts w:ascii="宋体" w:hAnsi="Courier New" w:cs="Courier New"/>
      <w:kern w:val="2"/>
      <w:sz w:val="21"/>
      <w:szCs w:val="21"/>
    </w:rPr>
  </w:style>
  <w:style w:type="paragraph" w:customStyle="1" w:styleId="98">
    <w:name w:val="表头"/>
    <w:basedOn w:val="13"/>
    <w:next w:val="1"/>
    <w:link w:val="99"/>
    <w:qFormat/>
    <w:uiPriority w:val="0"/>
    <w:pPr>
      <w:tabs>
        <w:tab w:val="left" w:pos="2895"/>
      </w:tabs>
      <w:adjustRightInd w:val="0"/>
      <w:snapToGrid w:val="0"/>
      <w:spacing w:beforeLines="50"/>
      <w:jc w:val="center"/>
    </w:pPr>
    <w:rPr>
      <w:b/>
    </w:rPr>
  </w:style>
  <w:style w:type="character" w:customStyle="1" w:styleId="99">
    <w:name w:val="无间隔 Char"/>
    <w:link w:val="98"/>
    <w:qFormat/>
    <w:uiPriority w:val="0"/>
    <w:rPr>
      <w:rFonts w:ascii="Times New Roman" w:hAnsi="Times New Roman"/>
      <w:b/>
      <w:sz w:val="24"/>
    </w:rPr>
  </w:style>
  <w:style w:type="paragraph" w:customStyle="1" w:styleId="100">
    <w:name w:val="重庆文本-1"/>
    <w:basedOn w:val="1"/>
    <w:qFormat/>
    <w:uiPriority w:val="0"/>
    <w:pPr>
      <w:spacing w:before="60" w:after="60"/>
      <w:jc w:val="left"/>
    </w:pPr>
    <w:rPr>
      <w:szCs w:val="24"/>
    </w:rPr>
  </w:style>
  <w:style w:type="paragraph" w:customStyle="1" w:styleId="101">
    <w:name w:val="样式 样式 样式 样式 首行缩进:  2 字符 段后: 0.5 行 + 首行缩进:  2 字符 段后: 0.5 行 + (符号)..."/>
    <w:basedOn w:val="1"/>
    <w:qFormat/>
    <w:uiPriority w:val="0"/>
    <w:pPr>
      <w:spacing w:line="640" w:lineRule="exact"/>
      <w:ind w:firstLine="560"/>
    </w:pPr>
    <w:rPr>
      <w:rFonts w:hAnsi="宋体" w:cs="宋体"/>
      <w:sz w:val="28"/>
    </w:rPr>
  </w:style>
  <w:style w:type="paragraph" w:customStyle="1" w:styleId="102">
    <w:name w:val="样式 样式 样式 样式 首行缩进:  2 字符 段后: 0.5 行 + 首行缩进:  2 字符 段后: 0.5 行 + 段后: ..."/>
    <w:basedOn w:val="1"/>
    <w:link w:val="103"/>
    <w:qFormat/>
    <w:uiPriority w:val="0"/>
    <w:pPr>
      <w:spacing w:line="640" w:lineRule="exact"/>
      <w:ind w:firstLine="560"/>
    </w:pPr>
    <w:rPr>
      <w:sz w:val="28"/>
    </w:rPr>
  </w:style>
  <w:style w:type="character" w:customStyle="1" w:styleId="103">
    <w:name w:val="样式 样式 样式 样式 首行缩进:  2 字符 段后: 0.5 行 + 首行缩进:  2 字符 段后: 0.5 行 + 段后: ... Char"/>
    <w:link w:val="102"/>
    <w:qFormat/>
    <w:uiPriority w:val="0"/>
    <w:rPr>
      <w:rFonts w:ascii="Times New Roman" w:hAnsi="Times New Roman"/>
      <w:kern w:val="2"/>
      <w:sz w:val="28"/>
    </w:rPr>
  </w:style>
  <w:style w:type="character" w:customStyle="1" w:styleId="104">
    <w:name w:val="标题1"/>
    <w:qFormat/>
    <w:uiPriority w:val="0"/>
  </w:style>
  <w:style w:type="character" w:customStyle="1" w:styleId="105">
    <w:name w:val="表格 Char"/>
    <w:link w:val="106"/>
    <w:qFormat/>
    <w:uiPriority w:val="0"/>
    <w:rPr>
      <w:rFonts w:ascii="Times New Roman" w:hAnsi="Times New Roman" w:cs="Courier New"/>
      <w:kern w:val="2"/>
      <w:sz w:val="21"/>
      <w:szCs w:val="21"/>
    </w:rPr>
  </w:style>
  <w:style w:type="paragraph" w:customStyle="1" w:styleId="106">
    <w:name w:val="表格"/>
    <w:basedOn w:val="22"/>
    <w:link w:val="105"/>
    <w:qFormat/>
    <w:uiPriority w:val="0"/>
    <w:pPr>
      <w:snapToGrid w:val="0"/>
      <w:spacing w:before="15" w:beforeLines="5" w:after="15" w:afterLines="5"/>
      <w:jc w:val="center"/>
    </w:pPr>
    <w:rPr>
      <w:rFonts w:ascii="Times New Roman" w:hAnsi="Times New Roman"/>
      <w:sz w:val="21"/>
      <w:szCs w:val="21"/>
    </w:rPr>
  </w:style>
  <w:style w:type="character" w:customStyle="1" w:styleId="107">
    <w:name w:val="样式 标题 2标题 2 Char Char + 小三 Char Char"/>
    <w:link w:val="108"/>
    <w:qFormat/>
    <w:uiPriority w:val="0"/>
    <w:rPr>
      <w:rFonts w:ascii="Times New Roman" w:hAnsi="Times New Roman"/>
      <w:b/>
      <w:bCs/>
      <w:kern w:val="2"/>
      <w:sz w:val="30"/>
      <w:szCs w:val="32"/>
    </w:rPr>
  </w:style>
  <w:style w:type="paragraph" w:customStyle="1" w:styleId="108">
    <w:name w:val="样式 标题 2标题 2 Char Char + 小三"/>
    <w:basedOn w:val="3"/>
    <w:link w:val="107"/>
    <w:qFormat/>
    <w:uiPriority w:val="0"/>
    <w:pPr>
      <w:spacing w:line="288" w:lineRule="auto"/>
    </w:pPr>
  </w:style>
  <w:style w:type="character" w:customStyle="1" w:styleId="109">
    <w:name w:val="样式1 Char"/>
    <w:link w:val="110"/>
    <w:qFormat/>
    <w:uiPriority w:val="0"/>
    <w:rPr>
      <w:rFonts w:ascii="宋体" w:hAnsi="宋体"/>
      <w:kern w:val="2"/>
      <w:sz w:val="28"/>
      <w:szCs w:val="28"/>
    </w:rPr>
  </w:style>
  <w:style w:type="paragraph" w:customStyle="1" w:styleId="110">
    <w:name w:val="样式1"/>
    <w:basedOn w:val="17"/>
    <w:link w:val="109"/>
    <w:qFormat/>
    <w:uiPriority w:val="0"/>
    <w:pPr>
      <w:snapToGrid w:val="0"/>
      <w:spacing w:line="360" w:lineRule="auto"/>
      <w:ind w:firstLine="567"/>
      <w:jc w:val="both"/>
    </w:pPr>
    <w:rPr>
      <w:rFonts w:ascii="宋体" w:hAnsi="宋体"/>
      <w:szCs w:val="28"/>
    </w:rPr>
  </w:style>
  <w:style w:type="character" w:customStyle="1" w:styleId="111">
    <w:name w:val="环评正文 Char"/>
    <w:link w:val="112"/>
    <w:qFormat/>
    <w:uiPriority w:val="0"/>
    <w:rPr>
      <w:rFonts w:ascii="Times New Roman" w:hAnsi="Times New Roman" w:eastAsia="仿宋_GB2312"/>
      <w:bCs/>
      <w:kern w:val="2"/>
      <w:sz w:val="24"/>
      <w:szCs w:val="24"/>
    </w:rPr>
  </w:style>
  <w:style w:type="paragraph" w:customStyle="1" w:styleId="112">
    <w:name w:val="环评正文"/>
    <w:basedOn w:val="1"/>
    <w:link w:val="111"/>
    <w:qFormat/>
    <w:uiPriority w:val="0"/>
    <w:pPr>
      <w:spacing w:before="60" w:after="60" w:line="400" w:lineRule="exact"/>
    </w:pPr>
    <w:rPr>
      <w:rFonts w:eastAsia="仿宋_GB2312"/>
      <w:bCs/>
      <w:szCs w:val="24"/>
    </w:rPr>
  </w:style>
  <w:style w:type="character" w:customStyle="1" w:styleId="113">
    <w:name w:val="样式 首行缩进:  2 字符 Char"/>
    <w:link w:val="114"/>
    <w:qFormat/>
    <w:uiPriority w:val="0"/>
    <w:rPr>
      <w:rFonts w:ascii="Times New Roman" w:hAnsi="Times New Roman" w:cs="宋体"/>
      <w:kern w:val="2"/>
      <w:sz w:val="28"/>
      <w:szCs w:val="28"/>
    </w:rPr>
  </w:style>
  <w:style w:type="paragraph" w:customStyle="1" w:styleId="114">
    <w:name w:val="样式 首行缩进:  2 字符"/>
    <w:basedOn w:val="1"/>
    <w:link w:val="113"/>
    <w:qFormat/>
    <w:uiPriority w:val="0"/>
    <w:pPr>
      <w:adjustRightInd w:val="0"/>
      <w:snapToGrid w:val="0"/>
      <w:ind w:firstLine="560"/>
    </w:pPr>
    <w:rPr>
      <w:sz w:val="28"/>
      <w:szCs w:val="28"/>
    </w:rPr>
  </w:style>
  <w:style w:type="paragraph" w:customStyle="1" w:styleId="115">
    <w:name w:val="！正文 Alt+0"/>
    <w:basedOn w:val="1"/>
    <w:qFormat/>
    <w:uiPriority w:val="0"/>
    <w:pPr>
      <w:spacing w:beforeLines="50"/>
    </w:pPr>
    <w:rPr>
      <w:sz w:val="28"/>
      <w:szCs w:val="28"/>
    </w:rPr>
  </w:style>
  <w:style w:type="paragraph" w:customStyle="1" w:styleId="116">
    <w:name w:val="样式3"/>
    <w:basedOn w:val="1"/>
    <w:link w:val="117"/>
    <w:qFormat/>
    <w:uiPriority w:val="0"/>
    <w:pPr>
      <w:adjustRightInd w:val="0"/>
      <w:snapToGrid w:val="0"/>
      <w:spacing w:line="480" w:lineRule="atLeast"/>
      <w:jc w:val="left"/>
    </w:pPr>
    <w:rPr>
      <w:sz w:val="26"/>
      <w:szCs w:val="26"/>
    </w:rPr>
  </w:style>
  <w:style w:type="character" w:customStyle="1" w:styleId="117">
    <w:name w:val="样式3 Char"/>
    <w:link w:val="116"/>
    <w:qFormat/>
    <w:uiPriority w:val="0"/>
    <w:rPr>
      <w:rFonts w:ascii="Times New Roman" w:hAnsi="Times New Roman"/>
      <w:kern w:val="2"/>
      <w:sz w:val="26"/>
      <w:szCs w:val="26"/>
    </w:rPr>
  </w:style>
  <w:style w:type="character" w:customStyle="1" w:styleId="118">
    <w:name w:val="批注框文本 Char1"/>
    <w:semiHidden/>
    <w:qFormat/>
    <w:uiPriority w:val="99"/>
    <w:rPr>
      <w:kern w:val="2"/>
      <w:sz w:val="18"/>
      <w:szCs w:val="18"/>
    </w:rPr>
  </w:style>
  <w:style w:type="character" w:customStyle="1" w:styleId="119">
    <w:name w:val="正文文本缩进 Char1"/>
    <w:semiHidden/>
    <w:qFormat/>
    <w:uiPriority w:val="99"/>
    <w:rPr>
      <w:kern w:val="2"/>
      <w:sz w:val="21"/>
      <w:szCs w:val="22"/>
    </w:rPr>
  </w:style>
  <w:style w:type="paragraph" w:customStyle="1" w:styleId="120">
    <w:name w:val="王志臣"/>
    <w:basedOn w:val="1"/>
    <w:qFormat/>
    <w:uiPriority w:val="0"/>
    <w:pPr>
      <w:spacing w:line="500" w:lineRule="exact"/>
      <w:ind w:firstLine="556"/>
    </w:pPr>
    <w:rPr>
      <w:rFonts w:ascii="楷体_GB2312" w:eastAsia="楷体_GB2312"/>
      <w:sz w:val="28"/>
    </w:rPr>
  </w:style>
  <w:style w:type="character" w:customStyle="1" w:styleId="121">
    <w:name w:val="日期 Char1"/>
    <w:semiHidden/>
    <w:qFormat/>
    <w:uiPriority w:val="99"/>
    <w:rPr>
      <w:kern w:val="2"/>
      <w:sz w:val="21"/>
      <w:szCs w:val="22"/>
    </w:rPr>
  </w:style>
  <w:style w:type="character" w:customStyle="1" w:styleId="122">
    <w:name w:val="正文文本缩进 3 Char2"/>
    <w:semiHidden/>
    <w:qFormat/>
    <w:uiPriority w:val="99"/>
    <w:rPr>
      <w:kern w:val="2"/>
      <w:sz w:val="16"/>
      <w:szCs w:val="16"/>
    </w:rPr>
  </w:style>
  <w:style w:type="character" w:customStyle="1" w:styleId="123">
    <w:name w:val="HTML 预设格式 Char2"/>
    <w:semiHidden/>
    <w:qFormat/>
    <w:uiPriority w:val="99"/>
    <w:rPr>
      <w:rFonts w:ascii="Courier New" w:hAnsi="Courier New" w:cs="Courier New"/>
      <w:kern w:val="2"/>
    </w:rPr>
  </w:style>
  <w:style w:type="paragraph" w:customStyle="1" w:styleId="124">
    <w:name w:val="标准文件_字母编号列项"/>
    <w:qFormat/>
    <w:uiPriority w:val="0"/>
    <w:pPr>
      <w:spacing w:line="300" w:lineRule="exact"/>
      <w:ind w:left="370" w:leftChars="170" w:right="-50" w:rightChars="-50" w:hanging="200" w:hangingChars="200"/>
      <w:jc w:val="both"/>
    </w:pPr>
    <w:rPr>
      <w:rFonts w:ascii="宋体" w:hAnsi="Times New Roman" w:eastAsia="宋体" w:cs="Times New Roman"/>
      <w:sz w:val="21"/>
      <w:lang w:val="en-US" w:eastAsia="zh-CN" w:bidi="ar-SA"/>
    </w:rPr>
  </w:style>
  <w:style w:type="paragraph" w:customStyle="1" w:styleId="125">
    <w:name w:val="默认段落字体 Para Char Char Char Char"/>
    <w:basedOn w:val="1"/>
    <w:unhideWhenUsed/>
    <w:qFormat/>
    <w:uiPriority w:val="99"/>
    <w:rPr>
      <w:rFonts w:cs="宋体"/>
      <w:szCs w:val="24"/>
    </w:rPr>
  </w:style>
  <w:style w:type="paragraph" w:customStyle="1" w:styleId="126">
    <w:name w:val="样式5"/>
    <w:basedOn w:val="1"/>
    <w:link w:val="127"/>
    <w:qFormat/>
    <w:uiPriority w:val="0"/>
    <w:pPr>
      <w:spacing w:line="480" w:lineRule="exact"/>
      <w:ind w:firstLine="520"/>
    </w:pPr>
    <w:rPr>
      <w:sz w:val="26"/>
      <w:szCs w:val="26"/>
    </w:rPr>
  </w:style>
  <w:style w:type="character" w:customStyle="1" w:styleId="127">
    <w:name w:val="样式5 Char"/>
    <w:link w:val="126"/>
    <w:qFormat/>
    <w:uiPriority w:val="0"/>
    <w:rPr>
      <w:rFonts w:ascii="Times New Roman" w:hAnsi="Times New Roman"/>
      <w:kern w:val="2"/>
      <w:sz w:val="26"/>
      <w:szCs w:val="26"/>
    </w:rPr>
  </w:style>
  <w:style w:type="paragraph" w:customStyle="1" w:styleId="128">
    <w:name w:val="表文"/>
    <w:basedOn w:val="1"/>
    <w:qFormat/>
    <w:uiPriority w:val="0"/>
    <w:pPr>
      <w:adjustRightInd w:val="0"/>
      <w:snapToGrid w:val="0"/>
      <w:spacing w:beforeLines="50" w:line="220" w:lineRule="atLeast"/>
      <w:textAlignment w:val="baseline"/>
    </w:pPr>
    <w:rPr>
      <w:snapToGrid w:val="0"/>
      <w:kern w:val="52"/>
      <w:sz w:val="18"/>
    </w:rPr>
  </w:style>
  <w:style w:type="paragraph" w:customStyle="1" w:styleId="129">
    <w:name w:val="简单回函地址"/>
    <w:basedOn w:val="1"/>
    <w:qFormat/>
    <w:uiPriority w:val="0"/>
  </w:style>
  <w:style w:type="character" w:customStyle="1" w:styleId="130">
    <w:name w:val="样式 正文 首行缩进:  2 字符 SL CON + 首行缩进:  2 字符 Char Char"/>
    <w:link w:val="131"/>
    <w:qFormat/>
    <w:uiPriority w:val="0"/>
    <w:rPr>
      <w:rFonts w:cs="宋体"/>
      <w:sz w:val="24"/>
    </w:rPr>
  </w:style>
  <w:style w:type="paragraph" w:customStyle="1" w:styleId="131">
    <w:name w:val="样式 正文 首行缩进:  2 字符 SL CON + 首行缩进:  2 字符"/>
    <w:basedOn w:val="1"/>
    <w:link w:val="130"/>
    <w:qFormat/>
    <w:uiPriority w:val="0"/>
    <w:pPr>
      <w:widowControl/>
      <w:tabs>
        <w:tab w:val="left" w:pos="377"/>
      </w:tabs>
      <w:ind w:firstLine="480"/>
    </w:pPr>
  </w:style>
  <w:style w:type="paragraph" w:customStyle="1" w:styleId="132">
    <w:name w:val="标题2"/>
    <w:basedOn w:val="1"/>
    <w:qFormat/>
    <w:uiPriority w:val="0"/>
    <w:pPr>
      <w:keepNext/>
      <w:keepLines/>
      <w:outlineLvl w:val="1"/>
    </w:pPr>
    <w:rPr>
      <w:b/>
      <w:bCs/>
      <w:kern w:val="44"/>
      <w:sz w:val="30"/>
      <w:szCs w:val="24"/>
    </w:rPr>
  </w:style>
  <w:style w:type="paragraph" w:customStyle="1" w:styleId="133">
    <w:name w:val="样式7"/>
    <w:basedOn w:val="1"/>
    <w:link w:val="134"/>
    <w:qFormat/>
    <w:uiPriority w:val="0"/>
    <w:pPr>
      <w:widowControl/>
      <w:spacing w:line="480" w:lineRule="exact"/>
      <w:jc w:val="center"/>
    </w:pPr>
    <w:rPr>
      <w:sz w:val="26"/>
      <w:szCs w:val="26"/>
    </w:rPr>
  </w:style>
  <w:style w:type="character" w:customStyle="1" w:styleId="134">
    <w:name w:val="样式7 Char"/>
    <w:link w:val="133"/>
    <w:qFormat/>
    <w:uiPriority w:val="0"/>
    <w:rPr>
      <w:rFonts w:ascii="Times New Roman" w:hAnsi="Times New Roman"/>
      <w:kern w:val="2"/>
      <w:sz w:val="26"/>
      <w:szCs w:val="26"/>
    </w:rPr>
  </w:style>
  <w:style w:type="paragraph" w:customStyle="1" w:styleId="135">
    <w:name w:val="修订1"/>
    <w:unhideWhenUsed/>
    <w:qFormat/>
    <w:uiPriority w:val="99"/>
    <w:rPr>
      <w:rFonts w:ascii="Times New Roman" w:hAnsi="Times New Roman" w:eastAsia="宋体" w:cs="Times New Roman"/>
      <w:kern w:val="2"/>
      <w:sz w:val="21"/>
      <w:szCs w:val="22"/>
      <w:lang w:val="en-US" w:eastAsia="zh-CN" w:bidi="ar-SA"/>
    </w:rPr>
  </w:style>
  <w:style w:type="character" w:customStyle="1" w:styleId="136">
    <w:name w:val="正文文本 + MS Mincho106"/>
    <w:qFormat/>
    <w:uiPriority w:val="99"/>
    <w:rPr>
      <w:rFonts w:ascii="MS Mincho" w:eastAsia="MS Mincho" w:cs="MS Mincho"/>
      <w:spacing w:val="-10"/>
      <w:sz w:val="20"/>
      <w:szCs w:val="20"/>
      <w:u w:val="none"/>
      <w:lang w:val="en-US" w:eastAsia="en-US"/>
    </w:rPr>
  </w:style>
  <w:style w:type="character" w:customStyle="1" w:styleId="137">
    <w:name w:val="正文文本 + Times New Roman23"/>
    <w:qFormat/>
    <w:uiPriority w:val="99"/>
    <w:rPr>
      <w:rFonts w:ascii="Times New Roman" w:hAnsi="Times New Roman" w:eastAsia="Arial Unicode MS" w:cs="Times New Roman"/>
      <w:sz w:val="17"/>
      <w:szCs w:val="17"/>
      <w:u w:val="none"/>
      <w:lang w:val="en-US" w:eastAsia="en-US"/>
    </w:rPr>
  </w:style>
  <w:style w:type="character" w:customStyle="1" w:styleId="138">
    <w:name w:val="正文文本 + MS Mincho105"/>
    <w:qFormat/>
    <w:uiPriority w:val="99"/>
    <w:rPr>
      <w:rFonts w:ascii="MS Mincho" w:eastAsia="MS Mincho" w:cs="MS Mincho"/>
      <w:smallCaps/>
      <w:spacing w:val="-10"/>
      <w:sz w:val="20"/>
      <w:szCs w:val="20"/>
      <w:u w:val="none"/>
      <w:lang w:val="en-US" w:eastAsia="en-US"/>
    </w:rPr>
  </w:style>
  <w:style w:type="character" w:customStyle="1" w:styleId="139">
    <w:name w:val="正文文本 + 间距 0 pt9"/>
    <w:qFormat/>
    <w:uiPriority w:val="99"/>
    <w:rPr>
      <w:rFonts w:ascii="Arial Unicode MS" w:eastAsia="Arial Unicode MS" w:cs="Arial Unicode MS"/>
      <w:spacing w:val="0"/>
      <w:sz w:val="21"/>
      <w:szCs w:val="21"/>
      <w:u w:val="none"/>
      <w:lang w:val="en-US" w:eastAsia="en-US"/>
    </w:rPr>
  </w:style>
  <w:style w:type="character" w:customStyle="1" w:styleId="140">
    <w:name w:val="正文文本 + Candara6"/>
    <w:qFormat/>
    <w:uiPriority w:val="99"/>
    <w:rPr>
      <w:rFonts w:ascii="Candara" w:hAnsi="Candara" w:eastAsia="Arial Unicode MS" w:cs="Candara"/>
      <w:spacing w:val="0"/>
      <w:sz w:val="18"/>
      <w:szCs w:val="18"/>
      <w:u w:val="none"/>
      <w:lang w:val="en-US" w:eastAsia="en-US"/>
    </w:rPr>
  </w:style>
  <w:style w:type="paragraph" w:customStyle="1" w:styleId="141">
    <w:name w:val="样式 样式 环评正文 + (西文) 仿宋_GB2312 (中文) 宋体 10.5 磅 首行缩进:  2 字符 + 首行缩进:  ..."/>
    <w:basedOn w:val="1"/>
    <w:qFormat/>
    <w:uiPriority w:val="0"/>
    <w:pPr>
      <w:spacing w:line="400" w:lineRule="exact"/>
    </w:pPr>
    <w:rPr>
      <w:rFonts w:ascii="仿宋_GB2312" w:hAnsi="仿宋_GB2312"/>
      <w:bCs/>
      <w:spacing w:val="10"/>
    </w:rPr>
  </w:style>
  <w:style w:type="character" w:customStyle="1" w:styleId="142">
    <w:name w:val="样式 样式1 Char2 + 宋体 五号 黑色"/>
    <w:qFormat/>
    <w:uiPriority w:val="0"/>
    <w:rPr>
      <w:rFonts w:ascii="宋体" w:hAnsi="宋体" w:eastAsia="宋体"/>
      <w:color w:val="000000"/>
      <w:kern w:val="2"/>
      <w:sz w:val="24"/>
      <w:szCs w:val="24"/>
      <w:lang w:val="en-US" w:eastAsia="zh-CN" w:bidi="ar-SA"/>
    </w:rPr>
  </w:style>
  <w:style w:type="character" w:customStyle="1" w:styleId="143">
    <w:name w:val="样式1 Char2"/>
    <w:qFormat/>
    <w:uiPriority w:val="0"/>
    <w:rPr>
      <w:rFonts w:eastAsia="宋体"/>
      <w:sz w:val="24"/>
      <w:szCs w:val="24"/>
      <w:lang w:bidi="ar-SA"/>
    </w:rPr>
  </w:style>
  <w:style w:type="paragraph" w:customStyle="1" w:styleId="144">
    <w:name w:val="正文111111111"/>
    <w:basedOn w:val="1"/>
    <w:link w:val="145"/>
    <w:qFormat/>
    <w:uiPriority w:val="0"/>
    <w:pPr>
      <w:ind w:firstLine="480"/>
    </w:pPr>
  </w:style>
  <w:style w:type="character" w:customStyle="1" w:styleId="145">
    <w:name w:val="正文111111111 Char"/>
    <w:link w:val="144"/>
    <w:qFormat/>
    <w:uiPriority w:val="0"/>
    <w:rPr>
      <w:rFonts w:cs="宋体"/>
      <w:kern w:val="2"/>
      <w:sz w:val="24"/>
    </w:rPr>
  </w:style>
  <w:style w:type="character" w:customStyle="1" w:styleId="146">
    <w:name w:val="正文文本 + 8.5 pt"/>
    <w:qFormat/>
    <w:uiPriority w:val="99"/>
    <w:rPr>
      <w:rFonts w:ascii="宋体" w:eastAsia="宋体" w:cs="宋体"/>
      <w:sz w:val="17"/>
      <w:szCs w:val="17"/>
      <w:u w:val="none"/>
    </w:rPr>
  </w:style>
  <w:style w:type="character" w:customStyle="1" w:styleId="147">
    <w:name w:val="正文文本 + Arial Unicode MS6"/>
    <w:qFormat/>
    <w:uiPriority w:val="99"/>
    <w:rPr>
      <w:rFonts w:ascii="Arial Unicode MS" w:eastAsia="Arial Unicode MS" w:cs="Arial Unicode MS"/>
      <w:b/>
      <w:bCs/>
      <w:sz w:val="16"/>
      <w:szCs w:val="16"/>
      <w:u w:val="none"/>
      <w:lang w:val="en-US" w:eastAsia="en-US"/>
    </w:rPr>
  </w:style>
  <w:style w:type="character" w:customStyle="1" w:styleId="148">
    <w:name w:val="正文文本 + Arial Unicode MS4"/>
    <w:qFormat/>
    <w:uiPriority w:val="99"/>
    <w:rPr>
      <w:rFonts w:ascii="Arial Unicode MS" w:eastAsia="Arial Unicode MS" w:cs="Arial Unicode MS"/>
      <w:sz w:val="11"/>
      <w:szCs w:val="11"/>
      <w:u w:val="none"/>
      <w:lang w:val="en-US" w:eastAsia="zh-CN"/>
    </w:rPr>
  </w:style>
  <w:style w:type="character" w:customStyle="1" w:styleId="149">
    <w:name w:val="正文文本 + Arial Unicode MS3"/>
    <w:qFormat/>
    <w:uiPriority w:val="99"/>
    <w:rPr>
      <w:rFonts w:ascii="Arial Unicode MS" w:eastAsia="Arial Unicode MS" w:cs="Arial Unicode MS"/>
      <w:b/>
      <w:bCs/>
      <w:sz w:val="16"/>
      <w:szCs w:val="16"/>
      <w:u w:val="none"/>
      <w:lang w:val="en-US" w:eastAsia="en-US"/>
    </w:rPr>
  </w:style>
  <w:style w:type="character" w:customStyle="1" w:styleId="150">
    <w:name w:val="正文文本 Char1"/>
    <w:qFormat/>
    <w:uiPriority w:val="99"/>
    <w:rPr>
      <w:rFonts w:ascii="宋体" w:eastAsia="宋体" w:cs="宋体"/>
      <w:sz w:val="19"/>
      <w:szCs w:val="19"/>
      <w:u w:val="none"/>
    </w:rPr>
  </w:style>
  <w:style w:type="character" w:customStyle="1" w:styleId="151">
    <w:name w:val="正文文本 + Arial Unicode MS"/>
    <w:qFormat/>
    <w:uiPriority w:val="99"/>
    <w:rPr>
      <w:rFonts w:ascii="Arial Unicode MS" w:eastAsia="Arial Unicode MS" w:cs="Arial Unicode MS"/>
      <w:sz w:val="18"/>
      <w:szCs w:val="18"/>
      <w:u w:val="none"/>
      <w:lang w:val="en-US" w:eastAsia="en-US"/>
    </w:rPr>
  </w:style>
  <w:style w:type="character" w:customStyle="1" w:styleId="152">
    <w:name w:val="正文文本 + Arial Unicode MS8"/>
    <w:qFormat/>
    <w:uiPriority w:val="99"/>
    <w:rPr>
      <w:rFonts w:ascii="Arial Unicode MS" w:eastAsia="Arial Unicode MS" w:cs="Arial Unicode MS"/>
      <w:sz w:val="18"/>
      <w:szCs w:val="18"/>
      <w:u w:val="single"/>
      <w:lang w:val="en-US" w:eastAsia="en-US"/>
    </w:rPr>
  </w:style>
  <w:style w:type="character" w:customStyle="1" w:styleId="153">
    <w:name w:val="表格标题_"/>
    <w:link w:val="154"/>
    <w:qFormat/>
    <w:uiPriority w:val="99"/>
    <w:rPr>
      <w:rFonts w:ascii="宋体" w:eastAsia="宋体" w:cs="宋体"/>
      <w:b/>
      <w:bCs/>
      <w:sz w:val="19"/>
      <w:szCs w:val="19"/>
      <w:shd w:val="clear" w:color="auto" w:fill="FFFFFF"/>
    </w:rPr>
  </w:style>
  <w:style w:type="paragraph" w:customStyle="1" w:styleId="154">
    <w:name w:val="表格标题1"/>
    <w:basedOn w:val="1"/>
    <w:link w:val="153"/>
    <w:qFormat/>
    <w:uiPriority w:val="99"/>
    <w:pPr>
      <w:shd w:val="clear" w:color="auto" w:fill="FFFFFF"/>
      <w:spacing w:line="240" w:lineRule="atLeast"/>
      <w:jc w:val="left"/>
    </w:pPr>
    <w:rPr>
      <w:rFonts w:ascii="宋体"/>
      <w:b/>
      <w:bCs/>
      <w:sz w:val="19"/>
      <w:szCs w:val="19"/>
    </w:rPr>
  </w:style>
  <w:style w:type="character" w:customStyle="1" w:styleId="155">
    <w:name w:val="表格标题 + Arial Unicode MS"/>
    <w:qFormat/>
    <w:uiPriority w:val="99"/>
    <w:rPr>
      <w:rFonts w:ascii="Arial Unicode MS" w:eastAsia="Arial Unicode MS" w:cs="Arial Unicode MS"/>
      <w:b/>
      <w:bCs/>
      <w:sz w:val="18"/>
      <w:szCs w:val="18"/>
      <w:shd w:val="clear" w:color="auto" w:fill="FFFFFF"/>
      <w:lang w:val="en-US" w:eastAsia="zh-CN"/>
    </w:rPr>
  </w:style>
  <w:style w:type="character" w:customStyle="1" w:styleId="156">
    <w:name w:val="表格标题 + 9 pt"/>
    <w:qFormat/>
    <w:uiPriority w:val="99"/>
    <w:rPr>
      <w:rFonts w:ascii="宋体" w:eastAsia="宋体" w:cs="宋体"/>
      <w:sz w:val="18"/>
      <w:szCs w:val="18"/>
      <w:u w:val="single"/>
      <w:shd w:val="clear" w:color="auto" w:fill="FFFFFF"/>
      <w:lang w:val="en-US" w:eastAsia="zh-CN"/>
    </w:rPr>
  </w:style>
  <w:style w:type="character" w:customStyle="1" w:styleId="157">
    <w:name w:val="apple-converted-space"/>
    <w:qFormat/>
    <w:uiPriority w:val="0"/>
  </w:style>
  <w:style w:type="paragraph" w:customStyle="1" w:styleId="158">
    <w:name w:val="表号"/>
    <w:link w:val="159"/>
    <w:qFormat/>
    <w:uiPriority w:val="0"/>
    <w:pPr>
      <w:adjustRightInd w:val="0"/>
      <w:snapToGrid w:val="0"/>
      <w:spacing w:line="240" w:lineRule="atLeast"/>
      <w:jc w:val="both"/>
      <w:outlineLvl w:val="4"/>
    </w:pPr>
    <w:rPr>
      <w:rFonts w:ascii="Times New Roman" w:hAnsi="Times New Roman" w:eastAsia="宋体" w:cs="Times New Roman"/>
      <w:sz w:val="21"/>
      <w:szCs w:val="24"/>
      <w:lang w:val="en-US" w:eastAsia="zh-CN" w:bidi="ar-SA"/>
    </w:rPr>
  </w:style>
  <w:style w:type="character" w:customStyle="1" w:styleId="159">
    <w:name w:val="表号 Char1"/>
    <w:link w:val="158"/>
    <w:qFormat/>
    <w:uiPriority w:val="0"/>
    <w:rPr>
      <w:rFonts w:ascii="Times New Roman" w:hAnsi="Times New Roman"/>
      <w:sz w:val="21"/>
      <w:szCs w:val="24"/>
      <w:lang w:bidi="ar-SA"/>
    </w:rPr>
  </w:style>
  <w:style w:type="paragraph" w:customStyle="1" w:styleId="160">
    <w:name w:val="1发文字号"/>
    <w:basedOn w:val="1"/>
    <w:qFormat/>
    <w:uiPriority w:val="0"/>
    <w:pPr>
      <w:spacing w:line="540" w:lineRule="exact"/>
      <w:ind w:right="165" w:rightChars="80"/>
      <w:jc w:val="right"/>
    </w:pPr>
    <w:rPr>
      <w:rFonts w:ascii="仿宋_GB2312" w:eastAsia="仿宋_GB2312"/>
      <w:spacing w:val="-4"/>
      <w:sz w:val="32"/>
      <w:szCs w:val="32"/>
    </w:rPr>
  </w:style>
  <w:style w:type="character" w:customStyle="1" w:styleId="161">
    <w:name w:val="样式18 Char"/>
    <w:link w:val="162"/>
    <w:qFormat/>
    <w:uiPriority w:val="0"/>
    <w:rPr>
      <w:rFonts w:ascii="Times New Roman" w:hAnsi="Times New Roman"/>
      <w:b/>
      <w:kern w:val="2"/>
      <w:sz w:val="26"/>
      <w:szCs w:val="26"/>
    </w:rPr>
  </w:style>
  <w:style w:type="paragraph" w:customStyle="1" w:styleId="162">
    <w:name w:val="样式18"/>
    <w:basedOn w:val="133"/>
    <w:link w:val="161"/>
    <w:qFormat/>
    <w:uiPriority w:val="0"/>
    <w:rPr>
      <w:b/>
    </w:rPr>
  </w:style>
  <w:style w:type="character" w:customStyle="1" w:styleId="163">
    <w:name w:val="fontstyle01"/>
    <w:qFormat/>
    <w:uiPriority w:val="0"/>
    <w:rPr>
      <w:rFonts w:hint="eastAsia" w:ascii="宋体" w:hAnsi="宋体" w:eastAsia="宋体"/>
      <w:color w:val="000000"/>
      <w:sz w:val="22"/>
      <w:szCs w:val="22"/>
    </w:rPr>
  </w:style>
  <w:style w:type="character" w:customStyle="1" w:styleId="164">
    <w:name w:val="正文文本 + 间距 0 pt"/>
    <w:qFormat/>
    <w:uiPriority w:val="99"/>
    <w:rPr>
      <w:rFonts w:ascii="Arial Unicode MS" w:eastAsia="Arial Unicode MS" w:cs="Arial Unicode MS"/>
      <w:spacing w:val="0"/>
      <w:sz w:val="25"/>
      <w:szCs w:val="25"/>
      <w:u w:val="none"/>
      <w:lang w:val="en-US" w:eastAsia="en-US"/>
    </w:rPr>
  </w:style>
  <w:style w:type="table" w:customStyle="1" w:styleId="165">
    <w:name w:val="样式4"/>
    <w:basedOn w:val="44"/>
    <w:qFormat/>
    <w:uiPriority w:val="99"/>
    <w:pPr>
      <w:jc w:val="center"/>
    </w:pPr>
    <w:rPr>
      <w:sz w:val="21"/>
    </w:rPr>
    <w:tblPr>
      <w:jc w:val="center"/>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Pr>
    <w:trPr>
      <w:jc w:val="center"/>
    </w:trPr>
    <w:tcPr>
      <w:vAlign w:val="center"/>
    </w:tcPr>
  </w:style>
  <w:style w:type="paragraph" w:customStyle="1" w:styleId="166">
    <w:name w:val="样式 左 首行缩进:  2 字符"/>
    <w:basedOn w:val="1"/>
    <w:qFormat/>
    <w:uiPriority w:val="0"/>
    <w:pPr>
      <w:ind w:firstLine="560"/>
      <w:jc w:val="left"/>
    </w:pPr>
    <w:rPr>
      <w:rFonts w:cs="宋体"/>
      <w:sz w:val="28"/>
    </w:rPr>
  </w:style>
  <w:style w:type="character" w:customStyle="1" w:styleId="167">
    <w:name w:val="正文缩进 字符1"/>
    <w:qFormat/>
    <w:uiPriority w:val="0"/>
    <w:rPr>
      <w:rFonts w:ascii="Times New Roman" w:hAnsi="Times New Roman" w:eastAsia="宋体" w:cs="Times New Roman"/>
      <w:szCs w:val="20"/>
    </w:rPr>
  </w:style>
  <w:style w:type="character" w:customStyle="1" w:styleId="168">
    <w:name w:val="正文文本 + 9 pt"/>
    <w:qFormat/>
    <w:uiPriority w:val="99"/>
  </w:style>
  <w:style w:type="character" w:customStyle="1" w:styleId="169">
    <w:name w:val="正文文本 + 9 pt21"/>
    <w:qFormat/>
    <w:uiPriority w:val="99"/>
    <w:rPr>
      <w:lang w:val="en-US" w:eastAsia="en-US"/>
    </w:rPr>
  </w:style>
  <w:style w:type="paragraph" w:customStyle="1" w:styleId="170">
    <w:name w:val="报告书正文"/>
    <w:basedOn w:val="25"/>
    <w:link w:val="267"/>
    <w:qFormat/>
    <w:uiPriority w:val="0"/>
    <w:pPr>
      <w:tabs>
        <w:tab w:val="left" w:pos="6300"/>
      </w:tabs>
      <w:adjustRightInd w:val="0"/>
      <w:snapToGrid w:val="0"/>
      <w:spacing w:line="500" w:lineRule="exact"/>
    </w:pPr>
    <w:rPr>
      <w:rFonts w:ascii="宋体" w:hAnsi="宋体"/>
      <w:bCs/>
      <w:kern w:val="28"/>
      <w:sz w:val="28"/>
      <w:szCs w:val="24"/>
    </w:rPr>
  </w:style>
  <w:style w:type="character" w:customStyle="1" w:styleId="171">
    <w:name w:val="正文(首行缩进) Char"/>
    <w:link w:val="172"/>
    <w:qFormat/>
    <w:uiPriority w:val="0"/>
    <w:rPr>
      <w:snapToGrid w:val="0"/>
      <w:spacing w:val="-4"/>
      <w:sz w:val="24"/>
      <w:szCs w:val="24"/>
    </w:rPr>
  </w:style>
  <w:style w:type="paragraph" w:customStyle="1" w:styleId="172">
    <w:name w:val="正文(首行缩进)"/>
    <w:basedOn w:val="1"/>
    <w:link w:val="171"/>
    <w:qFormat/>
    <w:uiPriority w:val="0"/>
    <w:pPr>
      <w:widowControl/>
      <w:tabs>
        <w:tab w:val="left" w:pos="5526"/>
      </w:tabs>
      <w:ind w:firstLine="464"/>
    </w:pPr>
    <w:rPr>
      <w:snapToGrid w:val="0"/>
      <w:spacing w:val="-4"/>
      <w:szCs w:val="24"/>
    </w:rPr>
  </w:style>
  <w:style w:type="character" w:customStyle="1" w:styleId="173">
    <w:name w:val="题注 字符"/>
    <w:qFormat/>
    <w:uiPriority w:val="0"/>
    <w:rPr>
      <w:rFonts w:ascii="Times New Roman" w:hAnsi="Times New Roman"/>
      <w:b/>
      <w:color w:val="000000"/>
      <w:kern w:val="2"/>
      <w:sz w:val="24"/>
    </w:rPr>
  </w:style>
  <w:style w:type="character" w:customStyle="1" w:styleId="174">
    <w:name w:val="表格文字居中 Char"/>
    <w:qFormat/>
    <w:uiPriority w:val="0"/>
    <w:rPr>
      <w:rFonts w:eastAsia="宋体"/>
      <w:snapToGrid/>
      <w:color w:val="000000"/>
      <w:kern w:val="2"/>
      <w:sz w:val="22"/>
      <w:szCs w:val="22"/>
      <w:lang w:val="en-US" w:eastAsia="zh-CN" w:bidi="ar-SA"/>
    </w:rPr>
  </w:style>
  <w:style w:type="paragraph" w:customStyle="1" w:styleId="175">
    <w:name w:val="表格体"/>
    <w:basedOn w:val="1"/>
    <w:qFormat/>
    <w:uiPriority w:val="0"/>
    <w:pPr>
      <w:jc w:val="center"/>
    </w:pPr>
    <w:rPr>
      <w:szCs w:val="18"/>
    </w:rPr>
  </w:style>
  <w:style w:type="paragraph" w:customStyle="1" w:styleId="176">
    <w:name w:val="样式 表（或图）标题 样式 宋体 五号 居中 SL CON + 非加粗"/>
    <w:basedOn w:val="1"/>
    <w:qFormat/>
    <w:uiPriority w:val="0"/>
    <w:pPr>
      <w:widowControl/>
      <w:tabs>
        <w:tab w:val="left" w:pos="377"/>
      </w:tabs>
      <w:jc w:val="center"/>
    </w:pPr>
    <w:rPr>
      <w:rFonts w:cs="宋体"/>
      <w:b/>
    </w:rPr>
  </w:style>
  <w:style w:type="paragraph" w:customStyle="1" w:styleId="177">
    <w:name w:val="封面标准文稿编辑信息"/>
    <w:qFormat/>
    <w:uiPriority w:val="0"/>
    <w:pPr>
      <w:spacing w:before="180" w:line="180" w:lineRule="exact"/>
      <w:jc w:val="center"/>
    </w:pPr>
    <w:rPr>
      <w:rFonts w:ascii="宋体" w:hAnsi="Times New Roman" w:eastAsia="宋体" w:cs="Times New Roman"/>
      <w:sz w:val="21"/>
      <w:szCs w:val="22"/>
      <w:lang w:val="en-US" w:eastAsia="zh-CN" w:bidi="ar-SA"/>
    </w:rPr>
  </w:style>
  <w:style w:type="paragraph" w:customStyle="1" w:styleId="178">
    <w:name w:val="0正文"/>
    <w:basedOn w:val="1"/>
    <w:qFormat/>
    <w:uiPriority w:val="0"/>
    <w:pPr>
      <w:widowControl/>
      <w:ind w:firstLine="480"/>
      <w:jc w:val="left"/>
    </w:pPr>
    <w:rPr>
      <w:szCs w:val="24"/>
    </w:rPr>
  </w:style>
  <w:style w:type="paragraph" w:customStyle="1" w:styleId="179">
    <w:name w:val="表文排版"/>
    <w:basedOn w:val="17"/>
    <w:qFormat/>
    <w:uiPriority w:val="99"/>
    <w:pPr>
      <w:adjustRightInd w:val="0"/>
      <w:snapToGrid w:val="0"/>
      <w:spacing w:line="240" w:lineRule="auto"/>
      <w:jc w:val="center"/>
    </w:pPr>
    <w:rPr>
      <w:rFonts w:ascii="Times New Roman" w:hAnsi="Times New Roman"/>
      <w:sz w:val="22"/>
      <w:szCs w:val="24"/>
    </w:rPr>
  </w:style>
  <w:style w:type="character" w:customStyle="1" w:styleId="180">
    <w:name w:val="排版正文 Char"/>
    <w:link w:val="181"/>
    <w:qFormat/>
    <w:uiPriority w:val="0"/>
    <w:rPr>
      <w:szCs w:val="24"/>
    </w:rPr>
  </w:style>
  <w:style w:type="paragraph" w:customStyle="1" w:styleId="181">
    <w:name w:val="排版正文"/>
    <w:basedOn w:val="1"/>
    <w:link w:val="180"/>
    <w:qFormat/>
    <w:uiPriority w:val="0"/>
    <w:pPr>
      <w:snapToGrid w:val="0"/>
      <w:spacing w:line="460" w:lineRule="exact"/>
      <w:ind w:firstLine="520"/>
    </w:pPr>
    <w:rPr>
      <w:sz w:val="20"/>
      <w:szCs w:val="24"/>
    </w:rPr>
  </w:style>
  <w:style w:type="paragraph" w:customStyle="1" w:styleId="182">
    <w:name w:val="0环评正文"/>
    <w:basedOn w:val="1"/>
    <w:qFormat/>
    <w:uiPriority w:val="0"/>
    <w:pPr>
      <w:spacing w:line="480" w:lineRule="exact"/>
    </w:pPr>
    <w:rPr>
      <w:sz w:val="26"/>
    </w:rPr>
  </w:style>
  <w:style w:type="paragraph" w:customStyle="1" w:styleId="183">
    <w:name w:val="样式37"/>
    <w:basedOn w:val="2"/>
    <w:qFormat/>
    <w:uiPriority w:val="0"/>
    <w:pPr>
      <w:keepNext w:val="0"/>
      <w:keepLines w:val="0"/>
      <w:widowControl/>
      <w:numPr>
        <w:ilvl w:val="1"/>
        <w:numId w:val="3"/>
      </w:numPr>
      <w:tabs>
        <w:tab w:val="left" w:pos="0"/>
      </w:tabs>
      <w:snapToGrid w:val="0"/>
      <w:spacing w:before="50" w:beforeLines="50" w:after="50" w:afterLines="50" w:line="240" w:lineRule="atLeast"/>
      <w:ind w:left="0" w:firstLine="0"/>
      <w:jc w:val="both"/>
      <w:outlineLvl w:val="1"/>
    </w:pPr>
    <w:rPr>
      <w:rFonts w:eastAsia="黑体"/>
      <w:color w:val="000000"/>
      <w:kern w:val="44"/>
      <w:sz w:val="28"/>
      <w:szCs w:val="28"/>
    </w:rPr>
  </w:style>
  <w:style w:type="paragraph" w:customStyle="1" w:styleId="184">
    <w:name w:val="样式38"/>
    <w:basedOn w:val="2"/>
    <w:qFormat/>
    <w:uiPriority w:val="0"/>
    <w:pPr>
      <w:keepNext w:val="0"/>
      <w:keepLines w:val="0"/>
      <w:widowControl/>
      <w:numPr>
        <w:ilvl w:val="2"/>
        <w:numId w:val="3"/>
      </w:numPr>
      <w:tabs>
        <w:tab w:val="left" w:pos="0"/>
      </w:tabs>
      <w:snapToGrid w:val="0"/>
      <w:spacing w:before="50" w:beforeLines="50" w:after="50" w:afterLines="50" w:line="480" w:lineRule="atLeast"/>
      <w:ind w:left="0" w:firstLine="0"/>
      <w:outlineLvl w:val="2"/>
    </w:pPr>
    <w:rPr>
      <w:rFonts w:eastAsia="黑体"/>
      <w:snapToGrid w:val="0"/>
      <w:color w:val="000000"/>
      <w:kern w:val="44"/>
      <w:sz w:val="26"/>
      <w:szCs w:val="26"/>
    </w:rPr>
  </w:style>
  <w:style w:type="paragraph" w:customStyle="1" w:styleId="185">
    <w:name w:val="样式40"/>
    <w:basedOn w:val="2"/>
    <w:qFormat/>
    <w:uiPriority w:val="0"/>
    <w:pPr>
      <w:keepNext w:val="0"/>
      <w:keepLines w:val="0"/>
      <w:widowControl/>
      <w:numPr>
        <w:ilvl w:val="0"/>
        <w:numId w:val="3"/>
      </w:numPr>
      <w:tabs>
        <w:tab w:val="left" w:pos="0"/>
      </w:tabs>
      <w:snapToGrid w:val="0"/>
      <w:spacing w:before="240" w:beforeLines="100" w:after="240" w:afterLines="100" w:line="480" w:lineRule="exact"/>
      <w:jc w:val="center"/>
    </w:pPr>
    <w:rPr>
      <w:rFonts w:eastAsia="黑体"/>
      <w:snapToGrid w:val="0"/>
      <w:color w:val="000000"/>
      <w:kern w:val="44"/>
      <w:sz w:val="36"/>
    </w:rPr>
  </w:style>
  <w:style w:type="paragraph" w:customStyle="1" w:styleId="186">
    <w:name w:val="样式42"/>
    <w:basedOn w:val="183"/>
    <w:qFormat/>
    <w:uiPriority w:val="0"/>
    <w:pPr>
      <w:numPr>
        <w:ilvl w:val="3"/>
      </w:numPr>
      <w:spacing w:before="0" w:beforeLines="0" w:after="0" w:afterLines="0" w:line="460" w:lineRule="exact"/>
      <w:outlineLvl w:val="3"/>
    </w:pPr>
    <w:rPr>
      <w:sz w:val="26"/>
    </w:rPr>
  </w:style>
  <w:style w:type="character" w:customStyle="1" w:styleId="187">
    <w:name w:val="highlight"/>
    <w:qFormat/>
    <w:uiPriority w:val="0"/>
  </w:style>
  <w:style w:type="character" w:customStyle="1" w:styleId="188">
    <w:name w:val="diff"/>
    <w:qFormat/>
    <w:uiPriority w:val="0"/>
  </w:style>
  <w:style w:type="paragraph" w:customStyle="1" w:styleId="189">
    <w:name w:val="标题 21"/>
    <w:basedOn w:val="1"/>
    <w:qFormat/>
    <w:uiPriority w:val="1"/>
    <w:pPr>
      <w:ind w:left="236" w:right="102"/>
      <w:jc w:val="left"/>
      <w:outlineLvl w:val="2"/>
    </w:pPr>
    <w:rPr>
      <w:rFonts w:ascii="微软雅黑" w:hAnsi="微软雅黑" w:eastAsia="微软雅黑" w:cs="微软雅黑"/>
      <w:b/>
      <w:bCs/>
      <w:szCs w:val="24"/>
      <w:lang w:eastAsia="en-US"/>
    </w:rPr>
  </w:style>
  <w:style w:type="character" w:customStyle="1" w:styleId="190">
    <w:name w:val="表格文字 Char Char"/>
    <w:link w:val="191"/>
    <w:qFormat/>
    <w:uiPriority w:val="0"/>
    <w:rPr>
      <w:rFonts w:ascii="宋体" w:hAnsi="宋体"/>
      <w:kern w:val="2"/>
      <w:sz w:val="21"/>
    </w:rPr>
  </w:style>
  <w:style w:type="paragraph" w:customStyle="1" w:styleId="191">
    <w:name w:val="表格文字"/>
    <w:basedOn w:val="1"/>
    <w:link w:val="190"/>
    <w:qFormat/>
    <w:uiPriority w:val="0"/>
    <w:pPr>
      <w:adjustRightInd w:val="0"/>
      <w:snapToGrid w:val="0"/>
      <w:jc w:val="center"/>
    </w:pPr>
    <w:rPr>
      <w:rFonts w:ascii="宋体" w:hAnsi="宋体"/>
    </w:rPr>
  </w:style>
  <w:style w:type="paragraph" w:customStyle="1" w:styleId="192">
    <w:name w:val="表中的文字"/>
    <w:basedOn w:val="91"/>
    <w:link w:val="193"/>
    <w:qFormat/>
    <w:uiPriority w:val="0"/>
    <w:pPr>
      <w:spacing w:line="360" w:lineRule="exact"/>
    </w:pPr>
    <w:rPr>
      <w:rFonts w:ascii="Calibri" w:hAnsi="Calibri"/>
      <w:szCs w:val="21"/>
    </w:rPr>
  </w:style>
  <w:style w:type="character" w:customStyle="1" w:styleId="193">
    <w:name w:val="表中的文字 Char"/>
    <w:link w:val="192"/>
    <w:qFormat/>
    <w:uiPriority w:val="0"/>
    <w:rPr>
      <w:kern w:val="2"/>
      <w:sz w:val="21"/>
      <w:szCs w:val="21"/>
    </w:rPr>
  </w:style>
  <w:style w:type="character" w:customStyle="1" w:styleId="194">
    <w:name w:val="表格内容 Char"/>
    <w:link w:val="195"/>
    <w:qFormat/>
    <w:uiPriority w:val="0"/>
  </w:style>
  <w:style w:type="paragraph" w:customStyle="1" w:styleId="195">
    <w:name w:val="表格内容"/>
    <w:basedOn w:val="1"/>
    <w:link w:val="194"/>
    <w:qFormat/>
    <w:uiPriority w:val="0"/>
    <w:pPr>
      <w:spacing w:before="80" w:after="80"/>
      <w:jc w:val="center"/>
    </w:pPr>
    <w:rPr>
      <w:sz w:val="20"/>
    </w:rPr>
  </w:style>
  <w:style w:type="character" w:customStyle="1" w:styleId="196">
    <w:name w:val="批注文字 字符1"/>
    <w:qFormat/>
    <w:uiPriority w:val="99"/>
    <w:rPr>
      <w:rFonts w:ascii="Times New Roman" w:hAnsi="Times New Roman"/>
    </w:rPr>
  </w:style>
  <w:style w:type="character" w:customStyle="1" w:styleId="197">
    <w:name w:val="正文文本缩进 字符1"/>
    <w:qFormat/>
    <w:uiPriority w:val="99"/>
  </w:style>
  <w:style w:type="paragraph" w:customStyle="1" w:styleId="198">
    <w:name w:val="节以下序号1"/>
    <w:basedOn w:val="1"/>
    <w:next w:val="1"/>
    <w:link w:val="199"/>
    <w:qFormat/>
    <w:uiPriority w:val="0"/>
    <w:pPr>
      <w:tabs>
        <w:tab w:val="right" w:pos="18"/>
        <w:tab w:val="left" w:pos="3615"/>
        <w:tab w:val="right" w:pos="4804"/>
      </w:tabs>
      <w:adjustRightInd w:val="0"/>
      <w:snapToGrid w:val="0"/>
      <w:spacing w:line="440" w:lineRule="exact"/>
      <w:ind w:firstLine="480"/>
    </w:pPr>
    <w:rPr>
      <w:rFonts w:hAnsi="宋体"/>
      <w:szCs w:val="28"/>
    </w:rPr>
  </w:style>
  <w:style w:type="character" w:customStyle="1" w:styleId="199">
    <w:name w:val="节以下序号1 Char"/>
    <w:link w:val="198"/>
    <w:qFormat/>
    <w:uiPriority w:val="0"/>
    <w:rPr>
      <w:rFonts w:ascii="Times New Roman" w:hAnsi="宋体"/>
      <w:kern w:val="2"/>
      <w:sz w:val="24"/>
      <w:szCs w:val="28"/>
    </w:rPr>
  </w:style>
  <w:style w:type="paragraph" w:customStyle="1" w:styleId="200">
    <w:name w:val="表内容-L"/>
    <w:basedOn w:val="1"/>
    <w:link w:val="201"/>
    <w:qFormat/>
    <w:uiPriority w:val="0"/>
    <w:pPr>
      <w:adjustRightInd w:val="0"/>
      <w:snapToGrid w:val="0"/>
      <w:jc w:val="center"/>
    </w:pPr>
  </w:style>
  <w:style w:type="character" w:customStyle="1" w:styleId="201">
    <w:name w:val="表内容-L 字符"/>
    <w:link w:val="200"/>
    <w:qFormat/>
    <w:uiPriority w:val="0"/>
    <w:rPr>
      <w:rFonts w:ascii="Times New Roman" w:hAnsi="Times New Roman"/>
      <w:sz w:val="21"/>
    </w:rPr>
  </w:style>
  <w:style w:type="paragraph" w:customStyle="1" w:styleId="202">
    <w:name w:val="正文-L"/>
    <w:basedOn w:val="1"/>
    <w:link w:val="203"/>
    <w:qFormat/>
    <w:uiPriority w:val="0"/>
    <w:pPr>
      <w:adjustRightInd w:val="0"/>
      <w:snapToGrid w:val="0"/>
      <w:spacing w:line="440" w:lineRule="exact"/>
      <w:ind w:firstLine="480"/>
    </w:pPr>
    <w:rPr>
      <w:szCs w:val="21"/>
    </w:rPr>
  </w:style>
  <w:style w:type="character" w:customStyle="1" w:styleId="203">
    <w:name w:val="正文-L 字符"/>
    <w:link w:val="202"/>
    <w:qFormat/>
    <w:uiPriority w:val="0"/>
    <w:rPr>
      <w:rFonts w:ascii="Times New Roman" w:hAnsi="Times New Roman"/>
      <w:kern w:val="2"/>
      <w:sz w:val="24"/>
      <w:szCs w:val="21"/>
    </w:rPr>
  </w:style>
  <w:style w:type="character" w:customStyle="1" w:styleId="204">
    <w:name w:val="正文文本 字符"/>
    <w:qFormat/>
    <w:uiPriority w:val="0"/>
    <w:rPr>
      <w:rFonts w:ascii="Dutch801 Rm BT" w:hAnsi="Dutch801 Rm BT"/>
      <w:kern w:val="2"/>
      <w:sz w:val="28"/>
    </w:rPr>
  </w:style>
  <w:style w:type="paragraph" w:customStyle="1" w:styleId="205">
    <w:name w:val="表头图头"/>
    <w:basedOn w:val="1"/>
    <w:link w:val="206"/>
    <w:qFormat/>
    <w:uiPriority w:val="0"/>
    <w:pPr>
      <w:spacing w:line="480" w:lineRule="exact"/>
      <w:jc w:val="center"/>
    </w:pPr>
    <w:rPr>
      <w:b/>
      <w:szCs w:val="24"/>
    </w:rPr>
  </w:style>
  <w:style w:type="character" w:customStyle="1" w:styleId="206">
    <w:name w:val="表头图头 字符"/>
    <w:link w:val="205"/>
    <w:qFormat/>
    <w:uiPriority w:val="0"/>
    <w:rPr>
      <w:rFonts w:ascii="Times New Roman" w:hAnsi="Times New Roman"/>
      <w:b/>
      <w:kern w:val="2"/>
      <w:sz w:val="24"/>
      <w:szCs w:val="24"/>
    </w:rPr>
  </w:style>
  <w:style w:type="character" w:customStyle="1" w:styleId="207">
    <w:name w:val="表内字体111 Char"/>
    <w:link w:val="208"/>
    <w:qFormat/>
    <w:uiPriority w:val="0"/>
    <w:rPr>
      <w:snapToGrid/>
      <w:sz w:val="21"/>
      <w:szCs w:val="24"/>
    </w:rPr>
  </w:style>
  <w:style w:type="paragraph" w:customStyle="1" w:styleId="208">
    <w:name w:val="表内字体111"/>
    <w:basedOn w:val="1"/>
    <w:link w:val="207"/>
    <w:qFormat/>
    <w:uiPriority w:val="0"/>
    <w:pPr>
      <w:adjustRightInd w:val="0"/>
      <w:snapToGrid w:val="0"/>
      <w:jc w:val="center"/>
    </w:pPr>
    <w:rPr>
      <w:snapToGrid w:val="0"/>
      <w:szCs w:val="24"/>
    </w:rPr>
  </w:style>
  <w:style w:type="paragraph" w:customStyle="1" w:styleId="209">
    <w:name w:val="bw1"/>
    <w:basedOn w:val="1"/>
    <w:qFormat/>
    <w:uiPriority w:val="0"/>
    <w:pPr>
      <w:adjustRightInd w:val="0"/>
      <w:snapToGrid w:val="0"/>
      <w:spacing w:line="240" w:lineRule="atLeast"/>
      <w:ind w:left="-57" w:right="-57"/>
      <w:jc w:val="center"/>
    </w:pPr>
    <w:rPr>
      <w:rFonts w:ascii="Arial Narrow" w:hAnsi="Arial Narrow" w:eastAsia="楷体_GB2312"/>
      <w:w w:val="90"/>
      <w:sz w:val="18"/>
    </w:rPr>
  </w:style>
  <w:style w:type="character" w:customStyle="1" w:styleId="210">
    <w:name w:val="正文 首行缩进:  2 字符 Char"/>
    <w:link w:val="211"/>
    <w:qFormat/>
    <w:uiPriority w:val="0"/>
    <w:rPr>
      <w:kern w:val="2"/>
      <w:sz w:val="24"/>
      <w:szCs w:val="24"/>
    </w:rPr>
  </w:style>
  <w:style w:type="paragraph" w:customStyle="1" w:styleId="211">
    <w:name w:val="正文 首行缩进:  2 字符"/>
    <w:basedOn w:val="1"/>
    <w:link w:val="210"/>
    <w:qFormat/>
    <w:uiPriority w:val="0"/>
    <w:pPr>
      <w:ind w:firstLine="480"/>
    </w:pPr>
    <w:rPr>
      <w:szCs w:val="24"/>
    </w:rPr>
  </w:style>
  <w:style w:type="character" w:customStyle="1" w:styleId="212">
    <w:name w:val="表文字 Char1"/>
    <w:link w:val="213"/>
    <w:qFormat/>
    <w:uiPriority w:val="0"/>
    <w:rPr>
      <w:szCs w:val="21"/>
    </w:rPr>
  </w:style>
  <w:style w:type="paragraph" w:customStyle="1" w:styleId="213">
    <w:name w:val="表文字"/>
    <w:link w:val="212"/>
    <w:qFormat/>
    <w:uiPriority w:val="0"/>
    <w:pPr>
      <w:widowControl w:val="0"/>
      <w:adjustRightInd w:val="0"/>
      <w:spacing w:line="240" w:lineRule="exact"/>
      <w:jc w:val="center"/>
      <w:textAlignment w:val="baseline"/>
    </w:pPr>
    <w:rPr>
      <w:rFonts w:ascii="Times New Roman" w:hAnsi="Times New Roman" w:eastAsia="宋体" w:cs="Times New Roman"/>
      <w:szCs w:val="21"/>
      <w:lang w:val="en-US" w:eastAsia="zh-CN" w:bidi="ar-SA"/>
    </w:rPr>
  </w:style>
  <w:style w:type="character" w:customStyle="1" w:styleId="214">
    <w:name w:val="样式3 Char2"/>
    <w:qFormat/>
    <w:uiPriority w:val="0"/>
    <w:rPr>
      <w:rFonts w:ascii="Times New Roman" w:hAnsi="Times New Roman" w:eastAsia="宋体" w:cs="Times New Roman"/>
      <w:bCs/>
      <w:sz w:val="24"/>
      <w:szCs w:val="20"/>
    </w:rPr>
  </w:style>
  <w:style w:type="paragraph" w:customStyle="1" w:styleId="215">
    <w:name w:val="文本11"/>
    <w:basedOn w:val="1"/>
    <w:link w:val="216"/>
    <w:qFormat/>
    <w:uiPriority w:val="0"/>
    <w:rPr>
      <w:color w:val="000000"/>
      <w:szCs w:val="24"/>
    </w:rPr>
  </w:style>
  <w:style w:type="character" w:customStyle="1" w:styleId="216">
    <w:name w:val="文本11 Char"/>
    <w:link w:val="215"/>
    <w:qFormat/>
    <w:uiPriority w:val="0"/>
    <w:rPr>
      <w:rFonts w:ascii="Times New Roman" w:hAnsi="Times New Roman"/>
      <w:color w:val="000000"/>
      <w:kern w:val="2"/>
      <w:sz w:val="24"/>
      <w:szCs w:val="24"/>
    </w:rPr>
  </w:style>
  <w:style w:type="character" w:customStyle="1" w:styleId="217">
    <w:name w:val="标题 4 字符"/>
    <w:qFormat/>
    <w:uiPriority w:val="9"/>
    <w:rPr>
      <w:rFonts w:ascii="Times New Roman" w:hAnsi="Times New Roman"/>
      <w:b/>
      <w:bCs/>
      <w:kern w:val="2"/>
      <w:sz w:val="24"/>
      <w:szCs w:val="28"/>
    </w:rPr>
  </w:style>
  <w:style w:type="paragraph" w:customStyle="1" w:styleId="218">
    <w:name w:val="正文（首行缩进2字）"/>
    <w:basedOn w:val="1"/>
    <w:qFormat/>
    <w:uiPriority w:val="0"/>
    <w:pPr>
      <w:adjustRightInd w:val="0"/>
      <w:snapToGrid w:val="0"/>
      <w:spacing w:line="440" w:lineRule="exact"/>
      <w:ind w:firstLine="521"/>
    </w:pPr>
    <w:rPr>
      <w:b/>
      <w:bCs/>
      <w:szCs w:val="24"/>
    </w:rPr>
  </w:style>
  <w:style w:type="paragraph" w:customStyle="1" w:styleId="219">
    <w:name w:val="表头1"/>
    <w:basedOn w:val="1"/>
    <w:next w:val="1"/>
    <w:link w:val="220"/>
    <w:qFormat/>
    <w:uiPriority w:val="0"/>
    <w:pPr>
      <w:tabs>
        <w:tab w:val="left" w:pos="605"/>
      </w:tabs>
      <w:adjustRightInd w:val="0"/>
      <w:snapToGrid w:val="0"/>
      <w:jc w:val="center"/>
    </w:pPr>
    <w:rPr>
      <w:rFonts w:eastAsia="黑体"/>
      <w:szCs w:val="28"/>
    </w:rPr>
  </w:style>
  <w:style w:type="character" w:customStyle="1" w:styleId="220">
    <w:name w:val="表头1 Char"/>
    <w:link w:val="219"/>
    <w:qFormat/>
    <w:uiPriority w:val="0"/>
    <w:rPr>
      <w:rFonts w:ascii="Times New Roman" w:hAnsi="Times New Roman" w:eastAsia="黑体"/>
      <w:sz w:val="21"/>
      <w:szCs w:val="28"/>
    </w:rPr>
  </w:style>
  <w:style w:type="paragraph" w:customStyle="1" w:styleId="221">
    <w:name w:val="表图头-L"/>
    <w:basedOn w:val="1"/>
    <w:link w:val="222"/>
    <w:qFormat/>
    <w:uiPriority w:val="0"/>
    <w:pPr>
      <w:adjustRightInd w:val="0"/>
      <w:snapToGrid w:val="0"/>
      <w:jc w:val="center"/>
    </w:pPr>
    <w:rPr>
      <w:b/>
    </w:rPr>
  </w:style>
  <w:style w:type="character" w:customStyle="1" w:styleId="222">
    <w:name w:val="表图头-L 字符"/>
    <w:link w:val="221"/>
    <w:qFormat/>
    <w:uiPriority w:val="0"/>
    <w:rPr>
      <w:rFonts w:ascii="Times New Roman" w:hAnsi="Times New Roman"/>
      <w:b/>
      <w:kern w:val="2"/>
      <w:sz w:val="21"/>
    </w:rPr>
  </w:style>
  <w:style w:type="character" w:customStyle="1" w:styleId="223">
    <w:name w:val="新格式表 Char"/>
    <w:link w:val="224"/>
    <w:qFormat/>
    <w:uiPriority w:val="0"/>
    <w:rPr>
      <w:bCs/>
      <w:kern w:val="2"/>
      <w:sz w:val="21"/>
      <w:szCs w:val="21"/>
    </w:rPr>
  </w:style>
  <w:style w:type="paragraph" w:customStyle="1" w:styleId="224">
    <w:name w:val="新格式表"/>
    <w:basedOn w:val="1"/>
    <w:link w:val="223"/>
    <w:qFormat/>
    <w:uiPriority w:val="0"/>
    <w:pPr>
      <w:adjustRightInd w:val="0"/>
      <w:snapToGrid w:val="0"/>
      <w:jc w:val="center"/>
    </w:pPr>
    <w:rPr>
      <w:rFonts w:ascii="Calibri" w:hAnsi="Calibri"/>
      <w:bCs/>
      <w:szCs w:val="21"/>
    </w:rPr>
  </w:style>
  <w:style w:type="paragraph" w:customStyle="1" w:styleId="225">
    <w:name w:val="样式 样式 表中文字 + 首行缩进:  0.83 厘米 + 两端对齐 首行缩进:  0 厘米"/>
    <w:basedOn w:val="1"/>
    <w:qFormat/>
    <w:uiPriority w:val="0"/>
    <w:pPr>
      <w:snapToGrid w:val="0"/>
      <w:spacing w:line="340" w:lineRule="exact"/>
      <w:jc w:val="center"/>
    </w:pPr>
    <w:rPr>
      <w:bCs/>
      <w:color w:val="000000"/>
      <w:szCs w:val="24"/>
    </w:rPr>
  </w:style>
  <w:style w:type="paragraph" w:customStyle="1" w:styleId="226">
    <w:name w:val="western"/>
    <w:basedOn w:val="1"/>
    <w:qFormat/>
    <w:uiPriority w:val="0"/>
    <w:pPr>
      <w:widowControl/>
      <w:spacing w:before="100" w:beforeAutospacing="1" w:after="100" w:afterAutospacing="1"/>
      <w:jc w:val="left"/>
    </w:pPr>
    <w:rPr>
      <w:rFonts w:ascii="宋体" w:hAnsi="宋体" w:cs="宋体"/>
      <w:szCs w:val="24"/>
    </w:rPr>
  </w:style>
  <w:style w:type="character" w:customStyle="1" w:styleId="227">
    <w:name w:val="纯文本 字符"/>
    <w:qFormat/>
    <w:locked/>
    <w:uiPriority w:val="0"/>
    <w:rPr>
      <w:rFonts w:ascii="宋体" w:hAnsi="Courier New"/>
      <w:kern w:val="2"/>
      <w:sz w:val="28"/>
    </w:rPr>
  </w:style>
  <w:style w:type="character" w:customStyle="1" w:styleId="228">
    <w:name w:val="表内字1 Char"/>
    <w:link w:val="229"/>
    <w:qFormat/>
    <w:locked/>
    <w:uiPriority w:val="0"/>
    <w:rPr>
      <w:color w:val="000000"/>
      <w:kern w:val="2"/>
      <w:sz w:val="22"/>
      <w:szCs w:val="21"/>
    </w:rPr>
  </w:style>
  <w:style w:type="paragraph" w:customStyle="1" w:styleId="229">
    <w:name w:val="表内字1"/>
    <w:basedOn w:val="1"/>
    <w:link w:val="228"/>
    <w:qFormat/>
    <w:uiPriority w:val="0"/>
    <w:pPr>
      <w:adjustRightInd w:val="0"/>
      <w:snapToGrid w:val="0"/>
      <w:spacing w:line="300" w:lineRule="exact"/>
      <w:jc w:val="center"/>
    </w:pPr>
    <w:rPr>
      <w:color w:val="000000"/>
      <w:kern w:val="2"/>
      <w:sz w:val="22"/>
      <w:szCs w:val="21"/>
    </w:rPr>
  </w:style>
  <w:style w:type="character" w:customStyle="1" w:styleId="230">
    <w:name w:val="页眉 字符"/>
    <w:qFormat/>
    <w:uiPriority w:val="0"/>
    <w:rPr>
      <w:snapToGrid/>
      <w:sz w:val="18"/>
      <w:szCs w:val="18"/>
    </w:rPr>
  </w:style>
  <w:style w:type="character" w:customStyle="1" w:styleId="231">
    <w:name w:val="正文文本 (4)_"/>
    <w:link w:val="232"/>
    <w:qFormat/>
    <w:uiPriority w:val="0"/>
    <w:rPr>
      <w:rFonts w:ascii="MingLiU" w:hAnsi="MingLiU" w:eastAsia="MingLiU" w:cs="MingLiU"/>
      <w:b/>
      <w:bCs/>
      <w:sz w:val="31"/>
      <w:szCs w:val="31"/>
      <w:shd w:val="clear" w:color="auto" w:fill="FFFFFF"/>
    </w:rPr>
  </w:style>
  <w:style w:type="paragraph" w:customStyle="1" w:styleId="232">
    <w:name w:val="正文文本 (4)"/>
    <w:basedOn w:val="1"/>
    <w:link w:val="231"/>
    <w:qFormat/>
    <w:uiPriority w:val="0"/>
    <w:pPr>
      <w:shd w:val="clear" w:color="auto" w:fill="FFFFFF"/>
      <w:spacing w:line="590" w:lineRule="exact"/>
      <w:ind w:firstLine="680"/>
      <w:jc w:val="left"/>
    </w:pPr>
    <w:rPr>
      <w:rFonts w:ascii="MingLiU" w:hAnsi="MingLiU" w:eastAsia="MingLiU" w:cs="MingLiU"/>
      <w:b/>
      <w:bCs/>
      <w:sz w:val="31"/>
      <w:szCs w:val="31"/>
    </w:rPr>
  </w:style>
  <w:style w:type="character" w:customStyle="1" w:styleId="233">
    <w:name w:val="正文文本 (4) + 17 pt"/>
    <w:qFormat/>
    <w:uiPriority w:val="0"/>
    <w:rPr>
      <w:rFonts w:ascii="MingLiU" w:hAnsi="MingLiU" w:eastAsia="MingLiU" w:cs="MingLiU"/>
      <w:b/>
      <w:bCs/>
      <w:color w:val="000000"/>
      <w:spacing w:val="0"/>
      <w:w w:val="100"/>
      <w:position w:val="0"/>
      <w:sz w:val="34"/>
      <w:szCs w:val="34"/>
      <w:u w:val="none"/>
    </w:rPr>
  </w:style>
  <w:style w:type="character" w:customStyle="1" w:styleId="234">
    <w:name w:val="正文文本_"/>
    <w:link w:val="235"/>
    <w:qFormat/>
    <w:uiPriority w:val="0"/>
    <w:rPr>
      <w:rFonts w:ascii="MingLiU" w:hAnsi="MingLiU" w:eastAsia="MingLiU" w:cs="MingLiU"/>
      <w:spacing w:val="40"/>
      <w:sz w:val="28"/>
      <w:szCs w:val="28"/>
      <w:shd w:val="clear" w:color="auto" w:fill="FFFFFF"/>
    </w:rPr>
  </w:style>
  <w:style w:type="paragraph" w:customStyle="1" w:styleId="235">
    <w:name w:val="正文文本1"/>
    <w:basedOn w:val="1"/>
    <w:link w:val="234"/>
    <w:qFormat/>
    <w:uiPriority w:val="0"/>
    <w:pPr>
      <w:shd w:val="clear" w:color="auto" w:fill="FFFFFF"/>
      <w:spacing w:before="540" w:line="590" w:lineRule="exact"/>
      <w:jc w:val="left"/>
    </w:pPr>
    <w:rPr>
      <w:rFonts w:ascii="MingLiU" w:hAnsi="MingLiU" w:eastAsia="MingLiU" w:cs="MingLiU"/>
      <w:spacing w:val="40"/>
      <w:sz w:val="28"/>
      <w:szCs w:val="28"/>
    </w:rPr>
  </w:style>
  <w:style w:type="character" w:customStyle="1" w:styleId="236">
    <w:name w:val="正文文本 + 13 pt"/>
    <w:qFormat/>
    <w:uiPriority w:val="0"/>
    <w:rPr>
      <w:rFonts w:ascii="MingLiU" w:hAnsi="MingLiU" w:eastAsia="MingLiU" w:cs="MingLiU"/>
      <w:color w:val="000000"/>
      <w:spacing w:val="0"/>
      <w:w w:val="100"/>
      <w:position w:val="0"/>
      <w:sz w:val="26"/>
      <w:szCs w:val="26"/>
      <w:u w:val="none"/>
      <w:shd w:val="clear" w:color="auto" w:fill="FFFFFF"/>
      <w:lang w:val="en-US"/>
    </w:rPr>
  </w:style>
  <w:style w:type="character" w:customStyle="1" w:styleId="237">
    <w:name w:val="正文文本 + 13.5 pt"/>
    <w:qFormat/>
    <w:uiPriority w:val="0"/>
    <w:rPr>
      <w:rFonts w:ascii="MingLiU" w:hAnsi="MingLiU" w:eastAsia="MingLiU" w:cs="MingLiU"/>
      <w:color w:val="000000"/>
      <w:spacing w:val="-40"/>
      <w:w w:val="100"/>
      <w:position w:val="0"/>
      <w:sz w:val="27"/>
      <w:szCs w:val="27"/>
      <w:u w:val="none"/>
      <w:shd w:val="clear" w:color="auto" w:fill="FFFFFF"/>
      <w:lang w:val="zh-TW"/>
    </w:rPr>
  </w:style>
  <w:style w:type="paragraph" w:customStyle="1" w:styleId="238">
    <w:name w:val="表格正文"/>
    <w:basedOn w:val="1"/>
    <w:qFormat/>
    <w:uiPriority w:val="0"/>
    <w:pPr>
      <w:spacing w:before="10" w:line="360" w:lineRule="exact"/>
      <w:jc w:val="center"/>
    </w:pPr>
    <w:rPr>
      <w:kern w:val="2"/>
      <w:sz w:val="21"/>
      <w:szCs w:val="24"/>
    </w:rPr>
  </w:style>
  <w:style w:type="character" w:customStyle="1" w:styleId="239">
    <w:name w:val="批注文字 字符"/>
    <w:qFormat/>
    <w:uiPriority w:val="0"/>
    <w:rPr>
      <w:snapToGrid/>
      <w:sz w:val="24"/>
      <w:szCs w:val="24"/>
    </w:rPr>
  </w:style>
  <w:style w:type="paragraph" w:customStyle="1" w:styleId="240">
    <w:name w:val="A表内文字"/>
    <w:basedOn w:val="1"/>
    <w:next w:val="1"/>
    <w:link w:val="241"/>
    <w:qFormat/>
    <w:uiPriority w:val="0"/>
    <w:pPr>
      <w:autoSpaceDE w:val="0"/>
      <w:autoSpaceDN w:val="0"/>
      <w:adjustRightInd w:val="0"/>
      <w:jc w:val="center"/>
    </w:pPr>
    <w:rPr>
      <w:kern w:val="2"/>
      <w:sz w:val="21"/>
      <w:szCs w:val="24"/>
      <w:lang w:val="zh-CN"/>
    </w:rPr>
  </w:style>
  <w:style w:type="character" w:customStyle="1" w:styleId="241">
    <w:name w:val="A表内文字 Char"/>
    <w:link w:val="240"/>
    <w:qFormat/>
    <w:uiPriority w:val="0"/>
    <w:rPr>
      <w:rFonts w:ascii="Times New Roman" w:hAnsi="Times New Roman"/>
      <w:kern w:val="2"/>
      <w:sz w:val="21"/>
      <w:szCs w:val="24"/>
      <w:lang w:val="zh-CN"/>
    </w:rPr>
  </w:style>
  <w:style w:type="character" w:customStyle="1" w:styleId="242">
    <w:name w:val="标题 1 Char1"/>
    <w:qFormat/>
    <w:uiPriority w:val="9"/>
    <w:rPr>
      <w:rFonts w:ascii="Times New Roman" w:hAnsi="Times New Roman" w:eastAsia="宋体"/>
      <w:b/>
      <w:bCs/>
      <w:kern w:val="44"/>
      <w:sz w:val="44"/>
      <w:szCs w:val="24"/>
    </w:rPr>
  </w:style>
  <w:style w:type="table" w:customStyle="1" w:styleId="243">
    <w:name w:val="自定义4"/>
    <w:basedOn w:val="44"/>
    <w:qFormat/>
    <w:uiPriority w:val="99"/>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244">
    <w:name w:val="网格型2"/>
    <w:basedOn w:val="4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5">
    <w:name w:val="自定义41"/>
    <w:basedOn w:val="44"/>
    <w:qFormat/>
    <w:uiPriority w:val="99"/>
    <w:tblPr>
      <w:tblBorders>
        <w:top w:val="single" w:color="auto" w:sz="12" w:space="0"/>
        <w:bottom w:val="single" w:color="auto" w:sz="12" w:space="0"/>
        <w:insideH w:val="single" w:color="auto" w:sz="4" w:space="0"/>
        <w:insideV w:val="single" w:color="auto" w:sz="4" w:space="0"/>
      </w:tblBorders>
    </w:tblPr>
    <w:tcPr>
      <w:vAlign w:val="center"/>
    </w:tcPr>
  </w:style>
  <w:style w:type="paragraph" w:customStyle="1" w:styleId="246">
    <w:name w:val="正文表格"/>
    <w:basedOn w:val="1"/>
    <w:link w:val="247"/>
    <w:qFormat/>
    <w:uiPriority w:val="0"/>
    <w:pPr>
      <w:adjustRightInd w:val="0"/>
      <w:snapToGrid w:val="0"/>
      <w:spacing w:line="240" w:lineRule="atLeast"/>
      <w:jc w:val="center"/>
    </w:pPr>
    <w:rPr>
      <w:rFonts w:eastAsia="仿宋_GB2312"/>
      <w:sz w:val="21"/>
      <w:szCs w:val="28"/>
    </w:rPr>
  </w:style>
  <w:style w:type="character" w:customStyle="1" w:styleId="247">
    <w:name w:val="正文表格 Char"/>
    <w:link w:val="246"/>
    <w:qFormat/>
    <w:locked/>
    <w:uiPriority w:val="0"/>
    <w:rPr>
      <w:rFonts w:ascii="Times New Roman" w:hAnsi="Times New Roman" w:eastAsia="仿宋_GB2312"/>
      <w:sz w:val="21"/>
      <w:szCs w:val="28"/>
    </w:rPr>
  </w:style>
  <w:style w:type="character" w:customStyle="1" w:styleId="248">
    <w:name w:val="HTML 预设格式 Char1"/>
    <w:semiHidden/>
    <w:qFormat/>
    <w:uiPriority w:val="99"/>
    <w:rPr>
      <w:rFonts w:ascii="Courier New" w:hAnsi="Courier New"/>
    </w:rPr>
  </w:style>
  <w:style w:type="character" w:customStyle="1" w:styleId="249">
    <w:name w:val="正文文本缩进 3 Char1"/>
    <w:semiHidden/>
    <w:qFormat/>
    <w:uiPriority w:val="99"/>
    <w:rPr>
      <w:sz w:val="16"/>
      <w:szCs w:val="16"/>
    </w:rPr>
  </w:style>
  <w:style w:type="character" w:customStyle="1" w:styleId="250">
    <w:name w:val="批注文字 Char1"/>
    <w:semiHidden/>
    <w:qFormat/>
    <w:uiPriority w:val="99"/>
  </w:style>
  <w:style w:type="character" w:customStyle="1" w:styleId="251">
    <w:name w:val="批注主题 Char1"/>
    <w:semiHidden/>
    <w:qFormat/>
    <w:uiPriority w:val="99"/>
    <w:rPr>
      <w:b/>
      <w:bCs/>
    </w:rPr>
  </w:style>
  <w:style w:type="table" w:customStyle="1" w:styleId="252">
    <w:name w:val="网格型3"/>
    <w:basedOn w:val="4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3">
    <w:name w:val="表内容"/>
    <w:basedOn w:val="1"/>
    <w:qFormat/>
    <w:uiPriority w:val="0"/>
    <w:pPr>
      <w:widowControl/>
      <w:adjustRightInd w:val="0"/>
      <w:snapToGrid w:val="0"/>
      <w:spacing w:line="0" w:lineRule="atLeast"/>
      <w:jc w:val="center"/>
    </w:pPr>
    <w:rPr>
      <w:b/>
      <w:kern w:val="44"/>
      <w:sz w:val="21"/>
      <w:szCs w:val="24"/>
    </w:rPr>
  </w:style>
  <w:style w:type="character" w:customStyle="1" w:styleId="254">
    <w:name w:val="L正文 Char"/>
    <w:link w:val="255"/>
    <w:qFormat/>
    <w:uiPriority w:val="0"/>
    <w:rPr>
      <w:rFonts w:ascii="Times New Roman" w:hAnsi="Times New Roman"/>
      <w:kern w:val="2"/>
      <w:sz w:val="24"/>
      <w:szCs w:val="24"/>
    </w:rPr>
  </w:style>
  <w:style w:type="paragraph" w:customStyle="1" w:styleId="255">
    <w:name w:val="L正文"/>
    <w:basedOn w:val="1"/>
    <w:link w:val="254"/>
    <w:qFormat/>
    <w:uiPriority w:val="0"/>
    <w:pPr>
      <w:adjustRightInd w:val="0"/>
      <w:snapToGrid w:val="0"/>
      <w:spacing w:line="460" w:lineRule="exact"/>
      <w:jc w:val="left"/>
    </w:pPr>
    <w:rPr>
      <w:kern w:val="2"/>
      <w:szCs w:val="24"/>
    </w:rPr>
  </w:style>
  <w:style w:type="paragraph" w:customStyle="1" w:styleId="256">
    <w:name w:val="p0"/>
    <w:basedOn w:val="1"/>
    <w:link w:val="269"/>
    <w:qFormat/>
    <w:uiPriority w:val="0"/>
    <w:pPr>
      <w:widowControl/>
      <w:spacing w:line="440" w:lineRule="exact"/>
      <w:ind w:firstLine="0" w:firstLineChars="0"/>
    </w:pPr>
    <w:rPr>
      <w:rFonts w:ascii="宋体"/>
      <w:sz w:val="21"/>
      <w:szCs w:val="21"/>
    </w:rPr>
  </w:style>
  <w:style w:type="character" w:customStyle="1" w:styleId="257">
    <w:name w:val="fontstyle21"/>
    <w:qFormat/>
    <w:uiPriority w:val="0"/>
    <w:rPr>
      <w:rFonts w:hint="default" w:ascii="CIDFont+F2" w:hAnsi="CIDFont+F2"/>
      <w:color w:val="000000"/>
      <w:sz w:val="22"/>
      <w:szCs w:val="22"/>
    </w:rPr>
  </w:style>
  <w:style w:type="paragraph" w:customStyle="1" w:styleId="258">
    <w:name w:val="标题3"/>
    <w:basedOn w:val="1"/>
    <w:next w:val="1"/>
    <w:link w:val="276"/>
    <w:qFormat/>
    <w:uiPriority w:val="0"/>
    <w:pPr>
      <w:spacing w:line="240" w:lineRule="auto"/>
      <w:ind w:firstLine="0" w:firstLineChars="0"/>
      <w:jc w:val="left"/>
      <w:outlineLvl w:val="2"/>
    </w:pPr>
    <w:rPr>
      <w:rFonts w:eastAsia="Times New Roman"/>
      <w:b/>
      <w:sz w:val="28"/>
    </w:rPr>
  </w:style>
  <w:style w:type="character" w:customStyle="1" w:styleId="259">
    <w:name w:val="fontstyle11"/>
    <w:qFormat/>
    <w:uiPriority w:val="0"/>
    <w:rPr>
      <w:rFonts w:hint="default" w:ascii="TimesNewRomanPSMT" w:hAnsi="TimesNewRomanPSMT"/>
      <w:color w:val="000000"/>
      <w:sz w:val="24"/>
      <w:szCs w:val="24"/>
    </w:rPr>
  </w:style>
  <w:style w:type="paragraph" w:customStyle="1" w:styleId="260">
    <w:name w:val="表体"/>
    <w:qFormat/>
    <w:uiPriority w:val="0"/>
    <w:pPr>
      <w:spacing w:before="40" w:after="40"/>
      <w:jc w:val="center"/>
    </w:pPr>
    <w:rPr>
      <w:rFonts w:ascii="宋体" w:hAnsi="Times New Roman" w:eastAsia="宋体" w:cs="Times New Roman"/>
      <w:color w:val="000080"/>
      <w:kern w:val="2"/>
      <w:sz w:val="24"/>
      <w:szCs w:val="24"/>
      <w:lang w:val="en-US" w:eastAsia="zh-CN" w:bidi="ar-SA"/>
    </w:rPr>
  </w:style>
  <w:style w:type="character" w:customStyle="1" w:styleId="261">
    <w:name w:val="普通(网站) Char"/>
    <w:qFormat/>
    <w:locked/>
    <w:uiPriority w:val="0"/>
    <w:rPr>
      <w:rFonts w:ascii="宋体" w:hAnsi="宋体" w:eastAsia="宋体"/>
      <w:sz w:val="24"/>
    </w:rPr>
  </w:style>
  <w:style w:type="character" w:customStyle="1" w:styleId="262">
    <w:name w:val="font21"/>
    <w:basedOn w:val="46"/>
    <w:qFormat/>
    <w:uiPriority w:val="0"/>
    <w:rPr>
      <w:rFonts w:hint="eastAsia" w:ascii="宋体" w:hAnsi="宋体" w:eastAsia="宋体" w:cs="宋体"/>
      <w:color w:val="000000"/>
      <w:sz w:val="21"/>
      <w:szCs w:val="21"/>
      <w:u w:val="none"/>
    </w:rPr>
  </w:style>
  <w:style w:type="character" w:customStyle="1" w:styleId="263">
    <w:name w:val="font01"/>
    <w:qFormat/>
    <w:uiPriority w:val="0"/>
    <w:rPr>
      <w:rFonts w:hint="default" w:ascii="Times New Roman" w:hAnsi="Times New Roman" w:cs="Times New Roman"/>
      <w:color w:val="000000"/>
      <w:sz w:val="21"/>
      <w:szCs w:val="21"/>
      <w:u w:val="none"/>
    </w:rPr>
  </w:style>
  <w:style w:type="character" w:customStyle="1" w:styleId="264">
    <w:name w:val="font31"/>
    <w:basedOn w:val="46"/>
    <w:qFormat/>
    <w:uiPriority w:val="0"/>
    <w:rPr>
      <w:rFonts w:hint="default" w:ascii="Times New Roman" w:hAnsi="Times New Roman" w:cs="Times New Roman"/>
      <w:color w:val="000000"/>
      <w:sz w:val="21"/>
      <w:szCs w:val="21"/>
      <w:u w:val="none"/>
      <w:vertAlign w:val="superscript"/>
    </w:rPr>
  </w:style>
  <w:style w:type="character" w:customStyle="1" w:styleId="265">
    <w:name w:val="font11"/>
    <w:qFormat/>
    <w:uiPriority w:val="0"/>
    <w:rPr>
      <w:rFonts w:hint="eastAsia" w:ascii="宋体" w:hAnsi="宋体" w:eastAsia="宋体"/>
      <w:color w:val="000000"/>
      <w:sz w:val="21"/>
      <w:szCs w:val="21"/>
      <w:u w:val="none"/>
    </w:rPr>
  </w:style>
  <w:style w:type="character" w:customStyle="1" w:styleId="266">
    <w:name w:val="font41"/>
    <w:qFormat/>
    <w:uiPriority w:val="0"/>
    <w:rPr>
      <w:rFonts w:hint="default" w:ascii="Times New Roman" w:hAnsi="Times New Roman" w:cs="Times New Roman"/>
      <w:color w:val="000000"/>
      <w:sz w:val="20"/>
      <w:szCs w:val="20"/>
      <w:u w:val="none"/>
      <w:vertAlign w:val="superscript"/>
    </w:rPr>
  </w:style>
  <w:style w:type="character" w:customStyle="1" w:styleId="267">
    <w:name w:val="报告书正文 Char Char"/>
    <w:link w:val="170"/>
    <w:qFormat/>
    <w:uiPriority w:val="0"/>
    <w:rPr>
      <w:rFonts w:ascii="宋体" w:hAnsi="宋体"/>
      <w:bCs/>
      <w:kern w:val="28"/>
      <w:sz w:val="28"/>
      <w:szCs w:val="24"/>
    </w:rPr>
  </w:style>
  <w:style w:type="character" w:styleId="268">
    <w:name w:val="Placeholder Text"/>
    <w:basedOn w:val="46"/>
    <w:unhideWhenUsed/>
    <w:qFormat/>
    <w:uiPriority w:val="99"/>
    <w:rPr>
      <w:color w:val="808080"/>
    </w:rPr>
  </w:style>
  <w:style w:type="character" w:customStyle="1" w:styleId="269">
    <w:name w:val="p0 Char"/>
    <w:link w:val="256"/>
    <w:qFormat/>
    <w:locked/>
    <w:uiPriority w:val="0"/>
    <w:rPr>
      <w:rFonts w:ascii="宋体"/>
      <w:sz w:val="21"/>
      <w:szCs w:val="21"/>
    </w:rPr>
  </w:style>
  <w:style w:type="table" w:customStyle="1" w:styleId="270">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71">
    <w:name w:val="Table Paragraph"/>
    <w:basedOn w:val="1"/>
    <w:qFormat/>
    <w:uiPriority w:val="1"/>
    <w:pPr>
      <w:autoSpaceDE w:val="0"/>
      <w:autoSpaceDN w:val="0"/>
      <w:spacing w:line="240" w:lineRule="auto"/>
      <w:ind w:firstLine="0" w:firstLineChars="0"/>
      <w:jc w:val="center"/>
    </w:pPr>
    <w:rPr>
      <w:rFonts w:ascii="宋体" w:hAnsi="宋体" w:cs="宋体"/>
      <w:sz w:val="22"/>
      <w:szCs w:val="22"/>
      <w:lang w:val="zh-CN" w:bidi="zh-CN"/>
    </w:rPr>
  </w:style>
  <w:style w:type="character" w:customStyle="1" w:styleId="272">
    <w:name w:val="clampword"/>
    <w:basedOn w:val="46"/>
    <w:qFormat/>
    <w:uiPriority w:val="0"/>
  </w:style>
  <w:style w:type="character" w:customStyle="1" w:styleId="273">
    <w:name w:val="表格文字 Char"/>
    <w:qFormat/>
    <w:uiPriority w:val="0"/>
    <w:rPr>
      <w:rFonts w:ascii="Times New Roman" w:hAnsi="Times New Roman"/>
      <w:kern w:val="2"/>
      <w:sz w:val="21"/>
      <w:szCs w:val="24"/>
      <w:lang w:bidi="ar-SA"/>
    </w:rPr>
  </w:style>
  <w:style w:type="paragraph" w:customStyle="1" w:styleId="274">
    <w:name w:val="图表文字"/>
    <w:qFormat/>
    <w:uiPriority w:val="0"/>
    <w:pPr>
      <w:adjustRightInd w:val="0"/>
      <w:snapToGrid w:val="0"/>
      <w:spacing w:line="380" w:lineRule="exact"/>
      <w:jc w:val="center"/>
    </w:pPr>
    <w:rPr>
      <w:rFonts w:ascii="Times New Roman" w:hAnsi="Times New Roman" w:eastAsia="宋体" w:cs="Times New Roman"/>
      <w:sz w:val="21"/>
      <w:lang w:val="en-US" w:eastAsia="zh-CN" w:bidi="ar-SA"/>
    </w:rPr>
  </w:style>
  <w:style w:type="paragraph" w:customStyle="1" w:styleId="275">
    <w:name w:val="zx"/>
    <w:basedOn w:val="1"/>
    <w:qFormat/>
    <w:uiPriority w:val="0"/>
    <w:pPr>
      <w:ind w:firstLine="0" w:firstLineChars="0"/>
    </w:pPr>
    <w:rPr>
      <w:sz w:val="28"/>
      <w:szCs w:val="21"/>
    </w:rPr>
  </w:style>
  <w:style w:type="character" w:customStyle="1" w:styleId="276">
    <w:name w:val="标题3 Char"/>
    <w:link w:val="258"/>
    <w:qFormat/>
    <w:uiPriority w:val="0"/>
    <w:rPr>
      <w:rFonts w:eastAsia="Times New Roman"/>
      <w:b/>
      <w:sz w:val="28"/>
    </w:rPr>
  </w:style>
  <w:style w:type="paragraph" w:customStyle="1" w:styleId="277">
    <w:name w:val="!标题4(Alt+4)"/>
    <w:basedOn w:val="1"/>
    <w:qFormat/>
    <w:uiPriority w:val="0"/>
    <w:pPr>
      <w:widowControl/>
      <w:adjustRightInd w:val="0"/>
      <w:spacing w:line="460" w:lineRule="exact"/>
      <w:ind w:firstLine="0" w:firstLineChars="0"/>
      <w:jc w:val="center"/>
      <w:outlineLvl w:val="3"/>
    </w:pPr>
    <w:rPr>
      <w:rFonts w:hint="eastAsia" w:ascii="宋体"/>
      <w:color w:val="000000"/>
      <w:szCs w:val="21"/>
      <w:u w:color="000000"/>
    </w:rPr>
  </w:style>
  <w:style w:type="paragraph" w:customStyle="1" w:styleId="278">
    <w:name w:val="1正文"/>
    <w:basedOn w:val="1"/>
    <w:qFormat/>
    <w:uiPriority w:val="0"/>
    <w:pPr>
      <w:spacing w:line="460" w:lineRule="exact"/>
    </w:pPr>
    <w:rPr>
      <w:rFonts w:hint="eastAsia" w:ascii="仿宋_GB2312"/>
      <w:szCs w:val="24"/>
    </w:rPr>
  </w:style>
  <w:style w:type="paragraph" w:customStyle="1" w:styleId="279">
    <w:name w:val="修订2"/>
    <w:hidden/>
    <w:unhideWhenUsed/>
    <w:qFormat/>
    <w:uiPriority w:val="99"/>
    <w:rPr>
      <w:rFonts w:ascii="Times New Roman" w:hAnsi="Times New Roman" w:eastAsia="宋体" w:cs="Times New Roman"/>
      <w:sz w:val="24"/>
      <w:lang w:val="en-US" w:eastAsia="zh-CN" w:bidi="ar-SA"/>
    </w:rPr>
  </w:style>
  <w:style w:type="paragraph" w:customStyle="1" w:styleId="280">
    <w:name w:val="修订3"/>
    <w:hidden/>
    <w:unhideWhenUsed/>
    <w:qFormat/>
    <w:uiPriority w:val="99"/>
    <w:rPr>
      <w:rFonts w:ascii="Times New Roman" w:hAnsi="Times New Roman" w:eastAsia="宋体" w:cs="Times New Roman"/>
      <w:sz w:val="24"/>
      <w:lang w:val="en-US" w:eastAsia="zh-CN" w:bidi="ar-SA"/>
    </w:rPr>
  </w:style>
  <w:style w:type="paragraph" w:customStyle="1" w:styleId="281">
    <w:name w:val="样式 正文缩进正文缩进2正文缩进 Char Char正文缩进 Char Char Char Char正文缩进 Char ..."/>
    <w:basedOn w:val="13"/>
    <w:autoRedefine/>
    <w:qFormat/>
    <w:uiPriority w:val="0"/>
    <w:pPr>
      <w:ind w:firstLine="200"/>
    </w:pPr>
  </w:style>
  <w:style w:type="paragraph" w:customStyle="1" w:styleId="282">
    <w:name w:val="Table Text"/>
    <w:basedOn w:val="1"/>
    <w:semiHidden/>
    <w:qFormat/>
    <w:uiPriority w:val="0"/>
    <w:rPr>
      <w:rFonts w:ascii="宋体" w:hAnsi="宋体" w:cs="宋体"/>
      <w:szCs w:val="24"/>
      <w:lang w:eastAsia="en-US"/>
    </w:rPr>
  </w:style>
  <w:style w:type="paragraph" w:customStyle="1" w:styleId="283">
    <w:name w:val="GQD表格字体"/>
    <w:basedOn w:val="84"/>
    <w:qFormat/>
    <w:uiPriority w:val="0"/>
    <w:pPr>
      <w:adjustRightInd w:val="0"/>
      <w:snapToGrid w:val="0"/>
      <w:spacing w:line="240" w:lineRule="auto"/>
      <w:ind w:firstLine="0" w:firstLineChars="0"/>
    </w:pPr>
    <w:rPr>
      <w:kern w:val="2"/>
      <w:sz w:val="21"/>
      <w:szCs w:val="24"/>
    </w:rPr>
  </w:style>
  <w:style w:type="paragraph" w:customStyle="1" w:styleId="284">
    <w:name w:val="表内文字"/>
    <w:basedOn w:val="1"/>
    <w:qFormat/>
    <w:uiPriority w:val="0"/>
    <w:pPr>
      <w:adjustRightInd w:val="0"/>
      <w:snapToGrid w:val="0"/>
      <w:spacing w:before="40" w:after="40"/>
      <w:jc w:val="center"/>
    </w:pPr>
    <w:rPr>
      <w:rFonts w:ascii="Calibri" w:hAnsi="Calibri"/>
      <w:spacing w:val="10"/>
      <w:szCs w:val="21"/>
    </w:rPr>
  </w:style>
  <w:style w:type="character" w:customStyle="1" w:styleId="285">
    <w:name w:val="font61"/>
    <w:basedOn w:val="46"/>
    <w:qFormat/>
    <w:uiPriority w:val="0"/>
    <w:rPr>
      <w:rFonts w:hint="default" w:ascii="Times New Roman" w:hAnsi="Times New Roman" w:cs="Times New Roman"/>
      <w:color w:val="000000"/>
      <w:sz w:val="18"/>
      <w:szCs w:val="18"/>
      <w:u w:val="none"/>
      <w:vertAlign w:val="superscript"/>
    </w:rPr>
  </w:style>
  <w:style w:type="character" w:customStyle="1" w:styleId="286">
    <w:name w:val="font101"/>
    <w:basedOn w:val="46"/>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5" Type="http://schemas.openxmlformats.org/officeDocument/2006/relationships/fontTable" Target="fontTable.xml"/><Relationship Id="rId54" Type="http://schemas.microsoft.com/office/2006/relationships/keyMapCustomizations" Target="customizations.xml"/><Relationship Id="rId53" Type="http://schemas.openxmlformats.org/officeDocument/2006/relationships/customXml" Target="../customXml/item3.xml"/><Relationship Id="rId52" Type="http://schemas.openxmlformats.org/officeDocument/2006/relationships/customXml" Target="../customXml/item2.xml"/><Relationship Id="rId51" Type="http://schemas.openxmlformats.org/officeDocument/2006/relationships/numbering" Target="numbering.xml"/><Relationship Id="rId50" Type="http://schemas.openxmlformats.org/officeDocument/2006/relationships/customXml" Target="../customXml/item1.xml"/><Relationship Id="rId5" Type="http://schemas.openxmlformats.org/officeDocument/2006/relationships/header" Target="header1.xml"/><Relationship Id="rId49" Type="http://schemas.openxmlformats.org/officeDocument/2006/relationships/image" Target="media/image26.jpeg"/><Relationship Id="rId48" Type="http://schemas.openxmlformats.org/officeDocument/2006/relationships/image" Target="media/image25.jpeg"/><Relationship Id="rId47" Type="http://schemas.openxmlformats.org/officeDocument/2006/relationships/image" Target="media/image24.png"/><Relationship Id="rId46" Type="http://schemas.openxmlformats.org/officeDocument/2006/relationships/image" Target="media/image23.jpeg"/><Relationship Id="rId45" Type="http://schemas.openxmlformats.org/officeDocument/2006/relationships/image" Target="media/image22.jpeg"/><Relationship Id="rId44" Type="http://schemas.openxmlformats.org/officeDocument/2006/relationships/image" Target="media/image21.jpeg"/><Relationship Id="rId43" Type="http://schemas.openxmlformats.org/officeDocument/2006/relationships/image" Target="media/image20.jpeg"/><Relationship Id="rId42" Type="http://schemas.openxmlformats.org/officeDocument/2006/relationships/image" Target="media/image19.jpeg"/><Relationship Id="rId41" Type="http://schemas.openxmlformats.org/officeDocument/2006/relationships/image" Target="media/image18.jpeg"/><Relationship Id="rId40" Type="http://schemas.openxmlformats.org/officeDocument/2006/relationships/image" Target="media/image17.jpeg"/><Relationship Id="rId4" Type="http://schemas.openxmlformats.org/officeDocument/2006/relationships/endnotes" Target="endnotes.xml"/><Relationship Id="rId39" Type="http://schemas.openxmlformats.org/officeDocument/2006/relationships/image" Target="media/image16.jpeg"/><Relationship Id="rId38" Type="http://schemas.openxmlformats.org/officeDocument/2006/relationships/image" Target="media/image15.jpeg"/><Relationship Id="rId37" Type="http://schemas.openxmlformats.org/officeDocument/2006/relationships/image" Target="media/image14.jpeg"/><Relationship Id="rId36" Type="http://schemas.openxmlformats.org/officeDocument/2006/relationships/image" Target="media/image13.jpeg"/><Relationship Id="rId35" Type="http://schemas.openxmlformats.org/officeDocument/2006/relationships/image" Target="media/image12.png"/><Relationship Id="rId34" Type="http://schemas.openxmlformats.org/officeDocument/2006/relationships/theme" Target="theme/theme1.xml"/><Relationship Id="rId33" Type="http://schemas.openxmlformats.org/officeDocument/2006/relationships/header" Target="header25.xml"/><Relationship Id="rId32" Type="http://schemas.openxmlformats.org/officeDocument/2006/relationships/footer" Target="footer4.xml"/><Relationship Id="rId31" Type="http://schemas.openxmlformats.org/officeDocument/2006/relationships/header" Target="header24.xml"/><Relationship Id="rId30" Type="http://schemas.openxmlformats.org/officeDocument/2006/relationships/header" Target="header23.xml"/><Relationship Id="rId3" Type="http://schemas.openxmlformats.org/officeDocument/2006/relationships/footnotes" Target="footnotes.xml"/><Relationship Id="rId29" Type="http://schemas.openxmlformats.org/officeDocument/2006/relationships/header" Target="header22.xml"/><Relationship Id="rId28" Type="http://schemas.openxmlformats.org/officeDocument/2006/relationships/header" Target="header21.xml"/><Relationship Id="rId27" Type="http://schemas.openxmlformats.org/officeDocument/2006/relationships/header" Target="header20.xml"/><Relationship Id="rId26" Type="http://schemas.openxmlformats.org/officeDocument/2006/relationships/header" Target="header19.xml"/><Relationship Id="rId25" Type="http://schemas.openxmlformats.org/officeDocument/2006/relationships/header" Target="header18.xml"/><Relationship Id="rId24" Type="http://schemas.openxmlformats.org/officeDocument/2006/relationships/header" Target="header17.xml"/><Relationship Id="rId23" Type="http://schemas.openxmlformats.org/officeDocument/2006/relationships/header" Target="header16.xml"/><Relationship Id="rId22" Type="http://schemas.openxmlformats.org/officeDocument/2006/relationships/header" Target="header15.xml"/><Relationship Id="rId21" Type="http://schemas.openxmlformats.org/officeDocument/2006/relationships/header" Target="header14.xml"/><Relationship Id="rId20" Type="http://schemas.openxmlformats.org/officeDocument/2006/relationships/header" Target="header13.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0.xml.rels><?xml version="1.0" encoding="UTF-8" standalone="yes"?>
<Relationships xmlns="http://schemas.openxmlformats.org/package/2006/relationships"><Relationship Id="rId1" Type="http://schemas.openxmlformats.org/officeDocument/2006/relationships/image" Target="media/image7.jpeg"/></Relationships>
</file>

<file path=word/_rels/header11.xml.rels><?xml version="1.0" encoding="UTF-8" standalone="yes"?>
<Relationships xmlns="http://schemas.openxmlformats.org/package/2006/relationships"><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1" Type="http://schemas.openxmlformats.org/officeDocument/2006/relationships/image" Target="media/image9.jpeg"/></Relationships>
</file>

<file path=word/_rels/header13.xml.rels><?xml version="1.0" encoding="UTF-8" standalone="yes"?>
<Relationships xmlns="http://schemas.openxmlformats.org/package/2006/relationships"><Relationship Id="rId1" Type="http://schemas.openxmlformats.org/officeDocument/2006/relationships/image" Target="media/image10.jpeg"/></Relationships>
</file>

<file path=word/_rels/header14.xml.rels><?xml version="1.0" encoding="UTF-8" standalone="yes"?>
<Relationships xmlns="http://schemas.openxmlformats.org/package/2006/relationships"><Relationship Id="rId1" Type="http://schemas.openxmlformats.org/officeDocument/2006/relationships/image" Target="media/image11.jpeg"/></Relationships>
</file>

<file path=word/_rels/header16.xml.rels><?xml version="1.0" encoding="UTF-8" standalone="yes"?>
<Relationships xmlns="http://schemas.openxmlformats.org/package/2006/relationships"><Relationship Id="rId1" Type="http://schemas.openxmlformats.org/officeDocument/2006/relationships/image" Target="media/image11.jpeg"/></Relationships>
</file>

<file path=word/_rels/header18.xml.rels><?xml version="1.0" encoding="UTF-8" standalone="yes"?>
<Relationships xmlns="http://schemas.openxmlformats.org/package/2006/relationships"><Relationship Id="rId1" Type="http://schemas.openxmlformats.org/officeDocument/2006/relationships/image" Target="media/image11.jpeg"/></Relationships>
</file>

<file path=word/_rels/header20.xml.rels><?xml version="1.0" encoding="UTF-8" standalone="yes"?>
<Relationships xmlns="http://schemas.openxmlformats.org/package/2006/relationships"><Relationship Id="rId1" Type="http://schemas.openxmlformats.org/officeDocument/2006/relationships/image" Target="media/image11.jpeg"/></Relationships>
</file>

<file path=word/_rels/header22.xml.rels><?xml version="1.0" encoding="UTF-8" standalone="yes"?>
<Relationships xmlns="http://schemas.openxmlformats.org/package/2006/relationships"><Relationship Id="rId1" Type="http://schemas.openxmlformats.org/officeDocument/2006/relationships/image" Target="media/image1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4.jpeg"/></Relationships>
</file>

<file path=word/_rels/header8.xml.rels><?xml version="1.0" encoding="UTF-8" standalone="yes"?>
<Relationships xmlns="http://schemas.openxmlformats.org/package/2006/relationships"><Relationship Id="rId1" Type="http://schemas.openxmlformats.org/officeDocument/2006/relationships/image" Target="media/image5.jpeg"/></Relationships>
</file>

<file path=word/_rels/header9.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cd050f44-ef1a-4c75-821e-f8b357c5be2a</errorID>
      <errorWord>重庆 市 九龙坡 县（区） </errorWord>
      <group>L1_Grammar</group>
      <groupName>语法问题</groupName>
      <ability>L2_Grammar</ability>
      <abilityName>语法错误</abilityName>
      <candidateList>
        <item>重庆市九龙坡区</item>
      </candidateList>
      <explain/>
      <paraID>  38A22F</paraID>
      <start>0</start>
      <end>14</end>
      <status>ignored</status>
      <modifiedWord/>
      <trackRevisions>false</trackRevisions>
    </reviewItem>
    <reviewItem>
      <errorID>30fb667e-8869-48c0-a8ba-fec3bd6c8e6e</errorID>
      <errorWord>(</errorWord>
      <group>L1_Format</group>
      <groupName>格式问题</groupName>
      <ability>L2_HalfPunc_CN</ability>
      <abilityName>全半角问题</abilityName>
      <candidateList>
        <item>（</item>
      </candidateList>
      <explain>文本全半角错误。</explain>
      <paraID>  38A22F</paraID>
      <start>31</start>
      <end>32</end>
      <status>ignored</status>
      <modifiedWord/>
      <trackRevisions>false</trackRevisions>
    </reviewItem>
    <reviewItem>
      <errorID>12ffcd8e-8444-4573-bb68-f470e0e3c6a0</errorID>
      <errorWord>)</errorWord>
      <group>L1_Format</group>
      <groupName>格式问题</groupName>
      <ability>L2_HalfPunc_CN</ability>
      <abilityName>全半角问题</abilityName>
      <candidateList>
        <item>）</item>
      </candidateList>
      <explain>文本全半角错误。</explain>
      <paraID>  38A22F</paraID>
      <start>35</start>
      <end>36</end>
      <status>ignored</status>
      <modifiedWord/>
      <trackRevisions>false</trackRevisions>
    </reviewItem>
    <reviewItem>
      <errorID>080a1b32-38a6-4b43-ae1b-6ba761ddf42a</errorID>
      <errorWord>(</errorWord>
      <group>L1_Format</group>
      <groupName>格式问题</groupName>
      <ability>L2_HalfPunc_CN</ability>
      <abilityName>全半角问题</abilityName>
      <candidateList>
        <item>（</item>
      </candidateList>
      <explain>文本全半角错误。</explain>
      <paraID>777B90A0</paraID>
      <start>33</start>
      <end>34</end>
      <status>ignored</status>
      <modifiedWord/>
      <trackRevisions>false</trackRevisions>
    </reviewItem>
    <reviewItem>
      <errorID>dd2ec9c7-c780-45ee-a333-b495b5b32bd4</errorID>
      <errorWord>)</errorWord>
      <group>L1_Format</group>
      <groupName>格式问题</groupName>
      <ability>L2_HalfPunc_CN</ability>
      <abilityName>全半角问题</abilityName>
      <candidateList>
        <item>）</item>
      </candidateList>
      <explain>文本全半角错误。</explain>
      <paraID>777B90A0</paraID>
      <start>38</start>
      <end>39</end>
      <status>ignored</status>
      <modifiedWord/>
      <trackRevisions>false</trackRevisions>
    </reviewItem>
    <reviewItem>
      <errorID>b4ac765f-d8a0-4f84-b209-2a0b9167edd1</errorID>
      <errorWord>所示。</errorWord>
      <group>L1_Grammar</group>
      <groupName>语法问题</groupName>
      <ability>L2_Grammar</ability>
      <abilityName>语法错误</abilityName>
      <candidateList>
        <item>：</item>
      </candidateList>
      <explain/>
      <paraID>4102CF4B</paraID>
      <start>14</start>
      <end>17</end>
      <status>ignored</status>
      <modifiedWord/>
      <trackRevisions>false</trackRevisions>
    </reviewItem>
    <reviewItem>
      <errorID>6a1f6a35-1dda-40e5-83e1-54b91eaded4d</errorID>
      <errorWord>有毒</errorWord>
      <group>L1_Word</group>
      <groupName>字词问题</groupName>
      <ability>L2_Typo</ability>
      <abilityName>字词错误</abilityName>
      <candidateList>
        <item>毒</item>
      </candidateList>
      <explain/>
      <paraID>446D94C9</paraID>
      <start>8</start>
      <end>10</end>
      <status>ignored</status>
      <modifiedWord/>
      <trackRevisions>false</trackRevisions>
    </reviewItem>
    <reviewItem>
      <errorID>20e19840-4bff-4894-9d2e-2cd5fc9afd13</errorID>
      <errorWord>、二噁英、苯并[a]芘、氰化物、氯气</errorWord>
      <group>L1_Punc</group>
      <groupName>标点问题</groupName>
      <ability>L2_Punc_CN</ability>
      <abilityName>标点符号问题</abilityName>
      <candidateList>
        <item>（二噁英、苯并[a]芘、氰化物、氯气）</item>
      </candidateList>
      <explain/>
      <paraID>446D94C9</paraID>
      <start>15</start>
      <end>33</end>
      <status>ignored</status>
      <modifiedWord/>
      <trackRevisions>false</trackRevisions>
    </reviewItem>
    <reviewItem>
      <errorID>ff5740b3-7458-4e03-9212-38fd7a488ccd</errorID>
      <errorWord>处理厂处理</errorWord>
      <group>L1_Grammar</group>
      <groupName>语法问题</groupName>
      <ability>L2_Grammar</ability>
      <abilityName>语法错误</abilityName>
      <candidateList>
        <item>处理厂</item>
      </candidateList>
      <explain/>
      <paraID>55E5AE89</paraID>
      <start>12</start>
      <end>17</end>
      <status>ignored</status>
      <modifiedWord/>
      <trackRevisions>false</trackRevisions>
    </reviewItem>
    <reviewItem>
      <errorID>0b2ac0e2-fcba-460d-9bf3-d403ead05ada</errorID>
      <errorWord>量</errorWord>
      <group>L1_Punc</group>
      <groupName>标点问题</groupName>
      <ability>L2_Punc_CN</ability>
      <abilityName>标点符号问题</abilityName>
      <candidateList>
        <item>量。</item>
      </candidateList>
      <explain/>
      <paraID>22B9890A</paraID>
      <start>21</start>
      <end>22</end>
      <status>ignored</status>
      <modifiedWord/>
      <trackRevisions>false</trackRevisions>
    </reviewItem>
    <reviewItem>
      <errorID>ccaa3f73-1434-4816-83fa-f6f929f0fb0c</errorID>
      <errorWord>目标</errorWord>
      <group>L1_Punc</group>
      <groupName>标点问题</groupName>
      <ability>L2_Punc_CN</ability>
      <abilityName>标点符号问题</abilityName>
      <candidateList>
        <item>目标。</item>
      </candidateList>
      <explain/>
      <paraID> 7550B72</paraID>
      <start>17</start>
      <end>19</end>
      <status>ignored</status>
      <modifiedWord/>
      <trackRevisions>false</trackRevisions>
    </reviewItem>
    <reviewItem>
      <errorID>2fec5375-8de7-41fe-b72c-d2d1ef4861ea</errorID>
      <errorWord>非</errorWord>
      <group>L1_Grammar</group>
      <groupName>语法问题</groupName>
      <ability>L2_Grammar</ability>
      <abilityName>语法错误</abilityName>
      <candidateList>
        <item>本项目非</item>
      </candidateList>
      <explain/>
      <paraID>6E63D9FB</paraID>
      <start>0</start>
      <end>1</end>
      <status>ignored</status>
      <modifiedWord/>
      <trackRevisions>false</trackRevisions>
    </reviewItem>
    <reviewItem>
      <errorID>617ea07b-b4fb-41d1-aa0b-e24e036bc883</errorID>
      <errorWord>建设项目</errorWord>
      <group>L1_Punc</group>
      <groupName>标点问题</groupName>
      <ability>L2_Punc_CN</ability>
      <abilityName>标点符号问题</abilityName>
      <candidateList>
        <item>建设项目。</item>
      </candidateList>
      <explain/>
      <paraID>6E63D9FB</paraID>
      <start>5</start>
      <end>9</end>
      <status>ignored</status>
      <modifiedWord/>
      <trackRevisions>false</trackRevisions>
    </reviewItem>
    <reviewItem>
      <errorID>b0fb2c88-fb5c-43ce-90bc-de55aa922dbf</errorID>
      <errorWord>；</errorWord>
      <group>L1_Punc</group>
      <groupName>标点问题</groupName>
      <ability>L2_Punc_CN</ability>
      <abilityName>标点符号问题</abilityName>
      <candidateList>
        <item/>
      </candidateList>
      <explain/>
      <paraID>1D86D5AD</paraID>
      <start>39</start>
      <end>40</end>
      <status>unmodified</status>
      <modifiedWord/>
      <trackRevisions>false</trackRevisions>
    </reviewItem>
    <reviewItem>
      <errorID>700530ba-45cf-4ecd-8e0e-ff8d5a5e9d2f</errorID>
      <errorWord>召集审查</errorWord>
      <group>L1_Grammar</group>
      <groupName>语法问题</groupName>
      <ability>L2_Grammar</ability>
      <abilityName>语法错误</abilityName>
      <candidateList>
        <item>审查</item>
      </candidateList>
      <explain/>
      <paraID>4649845D</paraID>
      <start>0</start>
      <end>4</end>
      <status>unmodified</status>
      <modifiedWord/>
      <trackRevisions>false</trackRevisions>
    </reviewItem>
    <reviewItem>
      <errorID>b2a0724b-7b2a-4763-8cba-745364a2dc76</errorID>
      <errorWord>；</errorWord>
      <group>L1_Punc</group>
      <groupName>标点问题</groupName>
      <ability>L2_Punc_CN</ability>
      <abilityName>标点符号问题</abilityName>
      <candidateList>
        <item/>
      </candidateList>
      <explain/>
      <paraID>4649845D</paraID>
      <start>15</start>
      <end>16</end>
      <status>unmodified</status>
      <modifiedWord/>
      <trackRevisions>false</trackRevisions>
    </reviewItem>
    <reviewItem>
      <errorID>352a737b-94d5-43be-8052-64270215517a</errorID>
      <errorWord>。</errorWord>
      <group>L1_Punc</group>
      <groupName>标点问题</groupName>
      <ability>L2_Punc_CN</ability>
      <abilityName>标点符号问题</abilityName>
      <candidateList>
        <item/>
      </candidateList>
      <explain/>
      <paraID>37D384CD</paraID>
      <start>67</start>
      <end>68</end>
      <status>unmodified</status>
      <modifiedWord/>
      <trackRevisions>false</trackRevisions>
    </reviewItem>
    <reviewItem>
      <errorID>a4032a93-fd24-4745-a8d2-6c5013582987</errorID>
      <errorWord>日</errorWord>
      <group>L1_Punc</group>
      <groupName>标点问题</groupName>
      <ability>L2_Punc_CN</ability>
      <abilityName>标点符号问题</abilityName>
      <candidateList>
        <item>日。</item>
      </candidateList>
      <explain/>
      <paraID>63A105ED</paraID>
      <start>15</start>
      <end>16</end>
      <status>unmodified</status>
      <modifiedWord/>
      <trackRevisions>false</trackRevisions>
    </reviewItem>
    <reviewItem>
      <errorID>7099c44f-98af-4bf2-831e-e6a46974d62f</errorID>
      <errorWord>达</errorWord>
      <group>L1_Word</group>
      <groupName>字词问题</groupName>
      <ability>L2_Typo</ability>
      <abilityName>字词错误</abilityName>
      <candidateList>
        <item>达到</item>
      </candidateList>
      <explain>〈动〉到（多指抽象事物或程度）：达得到｜达不到｜目的没有～｜～国际水平。</explain>
      <paraID>598828B4</paraID>
      <start>127</start>
      <end>128</end>
      <status>ignored</status>
      <modifiedWord/>
      <trackRevisions>false</trackRevisions>
    </reviewItem>
    <reviewItem>
      <errorID>8dda844c-db63-493a-95fd-80857e8518fb</errorID>
      <errorWord>IV类</errorWord>
      <group>L1_Knowledge</group>
      <groupName>知识性问题</groupName>
      <ability>L2_Knowledge</ability>
      <abilityName>其他知识</abilityName>
      <candidateList>
        <item>Ⅳ类</item>
      </candidateList>
      <explain>中文环境下罗马数字格式错误。</explain>
      <paraID>598828B4</paraID>
      <start>152</start>
      <end>154</end>
      <status>modified</status>
      <modifiedWord>Ⅳ类</modifiedWord>
      <trackRevisions>false</trackRevisions>
    </reviewItem>
    <reviewItem>
      <errorID>927b9cc3-0ca2-4d30-98f4-3672a00fce1f</errorID>
      <errorWord>达</errorWord>
      <group>L1_Word</group>
      <groupName>字词问题</groupName>
      <ability>L2_Typo</ability>
      <abilityName>字词错误</abilityName>
      <candidateList>
        <item>达到</item>
      </candidateList>
      <explain>〈动〉到（多指抽象事物或程度）：达得到｜达不到｜目的没有～｜～国际水平。</explain>
      <paraID>598828B4</paraID>
      <start>161</start>
      <end>162</end>
      <status>ignored</status>
      <modifiedWord/>
      <trackRevisions>false</trackRevisions>
    </reviewItem>
    <reviewItem>
      <errorID>4145a1c3-dc1a-4083-b229-bcc579dbd311</errorID>
      <errorWord>涉及</errorWord>
      <group>L1_Grammar</group>
      <groupName>语法问题</groupName>
      <ability>L2_Grammar</ability>
      <abilityName>语法错误</abilityName>
      <candidateList>
        <item>涉及相关情况。</item>
      </candidateList>
      <explain/>
      <paraID> 70D0643</paraID>
      <start>19</start>
      <end>21</end>
      <status>unmodified</status>
      <modifiedWord/>
      <trackRevisions>false</trackRevisions>
    </reviewItem>
    <reviewItem>
      <errorID>aaee74bc-93bd-4a80-9d28-7dffb6f5eea2</errorID>
      <errorWord>原则上</errorWord>
      <group>L1_Punc</group>
      <groupName>标点问题</groupName>
      <ability>L2_Punc_CN</ability>
      <abilityName>标点符号问题</abilityName>
      <candidateList>
        <item>，原则上</item>
      </candidateList>
      <explain/>
      <paraID> D9CBBCA</paraID>
      <start>26</start>
      <end>29</end>
      <status>unmodified</status>
      <modifiedWord/>
      <trackRevisions>false</trackRevisions>
    </reviewItem>
    <reviewItem>
      <errorID>cc0549cf-cc21-4ba8-9c44-231962f586b8</errorID>
      <errorWord>执行</errorWord>
      <group>L1_Punc</group>
      <groupName>标点问题</groupName>
      <ability>L2_Punc_CN</ability>
      <abilityName>标点符号问题</abilityName>
      <candidateList>
        <item>执行。</item>
      </candidateList>
      <explain/>
      <paraID> D9CBBCA</paraID>
      <start>107</start>
      <end>109</end>
      <status>unmodified</status>
      <modifiedWord/>
      <trackRevisions>false</trackRevisions>
    </reviewItem>
    <reviewItem>
      <errorID>c3086a15-6178-46f7-a3d3-efbf193ad7d6</errorID>
      <errorWord>非</errorWord>
      <group>L1_Grammar</group>
      <groupName>语法问题</groupName>
      <ability>L2_Grammar</ability>
      <abilityName>语法错误</abilityName>
      <candidateList>
        <item>不属于</item>
      </candidateList>
      <explain/>
      <paraID>548271DC</paraID>
      <start>18</start>
      <end>19</end>
      <status>unmodified</status>
      <modifiedWord/>
      <trackRevisions>false</trackRevisions>
    </reviewItem>
    <reviewItem>
      <errorID>b0bbc6ae-5f21-48b3-a3f3-bb56c6e96ccb</errorID>
      <errorWord>废水</errorWord>
      <group>L1_Word</group>
      <groupName>字词问题</groupName>
      <ability>L2_Typo</ability>
      <abilityName>字词错误</abilityName>
      <candidateList>
        <item>的废气</item>
      </candidateList>
      <explain/>
      <paraID>79376C5C</paraID>
      <start>18</start>
      <end>20</end>
      <status>unmodified</status>
      <modifiedWord/>
      <trackRevisions>false</trackRevisions>
    </reviewItem>
    <reviewItem>
      <errorID>3b27ff39-8090-4c00-80de-1b3606a2cdb7</errorID>
      <errorWord>符合</errorWord>
      <group>L1_Grammar</group>
      <groupName>语法问题</groupName>
      <ability>L2_Grammar</ability>
      <abilityName>语法错误</abilityName>
      <candidateList>
        <item>符合要求</item>
      </candidateList>
      <explain/>
      <paraID>79376C5C</paraID>
      <start>61</start>
      <end>63</end>
      <status>unmodified</status>
      <modifiedWord/>
      <trackRevisions>false</trackRevisions>
    </reviewItem>
    <reviewItem>
      <errorID>34f4f2a8-8ac2-4a0c-9862-1ce9db0bac7b</errorID>
      <errorWord>均</errorWord>
      <group>L1_Word</group>
      <groupName>字词问题</groupName>
      <ability>L2_Typo</ability>
      <abilityName>字词错误</abilityName>
      <candidateList>
        <item>经</item>
      </candidateList>
      <explain/>
      <paraID>767B6C1F</paraID>
      <start>14</start>
      <end>15</end>
      <status>unmodified</status>
      <modifiedWord/>
      <trackRevisions>false</trackRevisions>
    </reviewItem>
    <reviewItem>
      <errorID>34283d66-943c-4c3a-a2d2-889d1f7b1cea</errorID>
      <errorWord>符合</errorWord>
      <group>L1_Grammar</group>
      <groupName>语法问题</groupName>
      <ability>L2_Grammar</ability>
      <abilityName>语法错误</abilityName>
      <candidateList>
        <item>符合要求</item>
      </candidateList>
      <explain/>
      <paraID>767B6C1F</paraID>
      <start>23</start>
      <end>25</end>
      <status>unmodified</status>
      <modifiedWord/>
      <trackRevisions>false</trackRevisions>
    </reviewItem>
    <reviewItem>
      <errorID>03be8896-d47a-436b-8099-8944ff579f50</errorID>
      <errorWord>符合</errorWord>
      <group>L1_Grammar</group>
      <groupName>语法问题</groupName>
      <ability>L2_Grammar</ability>
      <abilityName>语法错误</abilityName>
      <candidateList>
        <item>符合要求。</item>
      </candidateList>
      <explain/>
      <paraID>483F6405</paraID>
      <start>21</start>
      <end>23</end>
      <status>unmodified</status>
      <modifiedWord/>
      <trackRevisions>false</trackRevisions>
    </reviewItem>
    <reviewItem>
      <errorID>ce33b716-b124-4a4c-b1f3-c8324d86f0c7</errorID>
      <errorWord>符合</errorWord>
      <group>L1_Grammar</group>
      <groupName>语法问题</groupName>
      <ability>L2_Grammar</ability>
      <abilityName>语法错误</abilityName>
      <candidateList>
        <item>符合要求。</item>
      </candidateList>
      <explain/>
      <paraID>4D3E9559</paraID>
      <start>37</start>
      <end>39</end>
      <status>unmodified</status>
      <modifiedWord/>
      <trackRevisions>false</trackRevisions>
    </reviewItem>
    <reviewItem>
      <errorID>6699552b-ba19-42ba-8ace-d5c3bb580faa</errorID>
      <errorWord>符合</errorWord>
      <group>L1_Grammar</group>
      <groupName>语法问题</groupName>
      <ability>L2_Grammar</ability>
      <abilityName>语法错误</abilityName>
      <candidateList>
        <item>符合要求。</item>
      </candidateList>
      <explain/>
      <paraID>2194780C</paraID>
      <start>19</start>
      <end>21</end>
      <status>unmodified</status>
      <modifiedWord/>
      <trackRevisions>false</trackRevisions>
    </reviewItem>
    <reviewItem>
      <errorID>f3632b5e-8b97-4b6d-a94d-2171611fd62a</errorID>
      <errorWord>符合</errorWord>
      <group>L1_Grammar</group>
      <groupName>语法问题</groupName>
      <ability>L2_Grammar</ability>
      <abilityName>语法错误</abilityName>
      <candidateList>
        <item>符合要求。</item>
      </candidateList>
      <explain/>
      <paraID>1B5DF5F0</paraID>
      <start>19</start>
      <end>21</end>
      <status>unmodified</status>
      <modifiedWord/>
      <trackRevisions>false</trackRevisions>
    </reviewItem>
    <reviewItem>
      <errorID>9bdf8147-e8d6-418b-bef7-2938c05f1315</errorID>
      <errorWord>的函</errorWord>
      <group>L1_Word</group>
      <groupName>字词问题</groupName>
      <ability>L2_Typo</ability>
      <abilityName>字词错误</abilityName>
      <candidateList>
        <item>的</item>
      </candidateList>
      <explain/>
      <paraID>7864FD9A</paraID>
      <start>18</start>
      <end>20</end>
      <status>unmodified</status>
      <modifiedWord/>
      <trackRevisions>false</trackRevisions>
    </reviewItem>
    <reviewItem>
      <errorID>73886b65-a771-48d1-ba03-f5fc1dfb8d65</errorID>
      <errorWord>九龙坡</errorWord>
      <group>L1_Word</group>
      <groupName>字词问题</groupName>
      <ability>L2_Typo</ability>
      <abilityName>字词错误</abilityName>
      <candidateList>
        <item>九龙坡区</item>
      </candidateList>
      <explain/>
      <paraID>6B3CC5A8</paraID>
      <start>32</start>
      <end>35</end>
      <status>unmodified</status>
      <modifiedWord/>
      <trackRevisions>false</trackRevisions>
    </reviewItem>
    <reviewItem>
      <errorID>8c4593e1-fe76-42a2-b485-0e2c1f8bf89c</errorID>
      <errorWord>原则上</errorWord>
      <group>L1_Grammar</group>
      <groupName>语法问题</groupName>
      <ability>L2_Grammar</ability>
      <abilityName>语法错误</abilityName>
      <candidateList>
        <item>，</item>
      </candidateList>
      <explain/>
      <paraID>7F031C46</paraID>
      <start>91</start>
      <end>94</end>
      <status>unmodified</status>
      <modifiedWord/>
      <trackRevisions>false</trackRevisions>
    </reviewItem>
    <reviewItem>
      <errorID>e26ef43c-b50d-4e9f-b544-d621a6735a97</errorID>
      <errorWord>水污染排放</errorWord>
      <group>L1_Word</group>
      <groupName>字词问题</groupName>
      <ability>L2_Typo</ability>
      <abilityName>字词错误</abilityName>
      <candidateList>
        <item>水污染物排放</item>
      </candidateList>
      <explain/>
      <paraID>7ADCB9E0</paraID>
      <start>0</start>
      <end>5</end>
      <status>unmodified</status>
      <modifiedWord/>
      <trackRevisions>false</trackRevisions>
    </reviewItem>
    <reviewItem>
      <errorID>d7e31d31-0306-46b0-9208-34706ec69298</errorID>
      <errorWord>；</errorWord>
      <group>L1_Punc</group>
      <groupName>标点问题</groupName>
      <ability>L2_Punc_CN</ability>
      <abilityName>标点符号问题</abilityName>
      <candidateList>
        <item>。</item>
      </candidateList>
      <explain/>
      <paraID>1008F977</paraID>
      <start>6</start>
      <end>7</end>
      <status>unmodified</status>
      <modifiedWord/>
      <trackRevisions>false</trackRevisions>
    </reviewItem>
    <reviewItem>
      <errorID>d55a31af-aa52-488d-8e05-c3ba6137e4df</errorID>
      <errorWord>(</errorWord>
      <group>L1_Format</group>
      <groupName>格式问题</groupName>
      <ability>L2_HalfPunc_CN</ability>
      <abilityName>全半角问题</abilityName>
      <candidateList>
        <item>（</item>
      </candidateList>
      <explain>文本全半角错误。</explain>
      <paraID>3234A418</paraID>
      <start>151</start>
      <end>152</end>
      <status>ignored</status>
      <modifiedWord/>
      <trackRevisions>false</trackRevisions>
    </reviewItem>
    <reviewItem>
      <errorID>db0e965f-b4e0-4adb-8a0d-811c7655ca94</errorID>
      <errorWord>“</errorWord>
      <group>L1_Punc</group>
      <groupName>标点问题</groupName>
      <ability>L2_Punc_CN</ability>
      <abilityName>标点符号问题</abilityName>
      <candidateList>
        <item>：“</item>
      </candidateList>
      <explain/>
      <paraID>247EF931</paraID>
      <start>71</start>
      <end>72</end>
      <status>unmodified</status>
      <modifiedWord/>
      <trackRevisions>false</trackRevisions>
    </reviewItem>
    <reviewItem>
      <errorID>538fe537-0d5e-4c63-9126-ab2cfad06f4f</errorID>
      <errorWord>-</errorWord>
      <group>L1_Format</group>
      <groupName>格式问题</groupName>
      <ability>L2_HalfPunc_CN</ability>
      <abilityName>全半角问题</abilityName>
      <candidateList>
        <item>－</item>
      </candidateList>
      <explain>文本全半角错误。</explain>
      <paraID>247EF931</paraID>
      <start>164</start>
      <end>165</end>
      <status>unmodified</status>
      <modifiedWord/>
      <trackRevisions>false</trackRevisions>
    </reviewItem>
    <reviewItem>
      <errorID>0b76ed27-909a-4899-b278-aded88301be8</errorID>
      <errorWord>-</errorWord>
      <group>L1_Format</group>
      <groupName>格式问题</groupName>
      <ability>L2_HalfPunc_CN</ability>
      <abilityName>全半角问题</abilityName>
      <candidateList>
        <item>－</item>
      </candidateList>
      <explain>文本全半角错误。</explain>
      <paraID>4E8803A9</paraID>
      <start>14</start>
      <end>15</end>
      <status>unmodified</status>
      <modifiedWord/>
      <trackRevisions>false</trackRevisions>
    </reviewItem>
    <reviewItem>
      <errorID>dfdecfd5-c2ee-47ca-95ef-38bd1b5e4212</errorID>
      <errorWord>非</errorWord>
      <group>L1_Grammar</group>
      <groupName>语法问题</groupName>
      <ability>L2_Grammar</ability>
      <abilityName>语法错误</abilityName>
      <candidateList>
        <item>不属于</item>
      </candidateList>
      <explain/>
      <paraID>6D397F3D</paraID>
      <start>11</start>
      <end>12</end>
      <status>unmodified</status>
      <modifiedWord/>
      <trackRevisions>false</trackRevisions>
    </reviewItem>
    <reviewItem>
      <errorID>027283fa-2ad3-4476-8dc9-0f98be97827f</errorID>
      <errorWord>非</errorWord>
      <group>L1_Grammar</group>
      <groupName>语法问题</groupName>
      <ability>L2_Grammar</ability>
      <abilityName>语法错误</abilityName>
      <candidateList>
        <item>不属于</item>
      </candidateList>
      <explain/>
      <paraID>125B968A</paraID>
      <start>18</start>
      <end>19</end>
      <status>unmodified</status>
      <modifiedWord/>
      <trackRevisions>false</trackRevisions>
    </reviewItem>
    <reviewItem>
      <errorID>e746672d-604e-4088-84ce-f8a4bdf6441d</errorID>
      <errorWord>造纸、钢铁</errorWord>
      <group>L1_Grammar</group>
      <groupName>语法问题</groupName>
      <ability>L2_Grammar</ability>
      <abilityName>语法错误</abilityName>
      <candidateList>
        <item>造纸</item>
      </candidateList>
      <explain/>
      <paraID>125B968A</paraID>
      <start>48</start>
      <end>53</end>
      <status>unmodified</status>
      <modifiedWord/>
      <trackRevisions>false</trackRevisions>
    </reviewItem>
    <reviewItem>
      <errorID>e05f70da-8c5c-4139-b54f-3e0f0651c1d7</errorID>
      <errorWord>作为</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17260CC7</paraID>
      <start>14</start>
      <end>16</end>
      <status>unmodified</status>
      <modifiedWord/>
      <trackRevisions>false</trackRevisions>
    </reviewItem>
    <reviewItem>
      <errorID>3f6b5245-2cd8-43a4-af8e-986ad7cb79d2</errorID>
      <errorWord>(</errorWord>
      <group>L1_Format</group>
      <groupName>格式问题</groupName>
      <ability>L2_HalfPunc_CN</ability>
      <abilityName>全半角问题</abilityName>
      <candidateList>
        <item>（</item>
      </candidateList>
      <explain>文本全半角错误。</explain>
      <paraID>17260CC7</paraID>
      <start>60</start>
      <end>61</end>
      <status>ignored</status>
      <modifiedWord/>
      <trackRevisions>false</trackRevisions>
    </reviewItem>
    <reviewItem>
      <errorID>e5ab2d25-b380-4a9f-a4cb-08f4e6751dd1</errorID>
      <errorWord>)</errorWord>
      <group>L1_Format</group>
      <groupName>格式问题</groupName>
      <ability>L2_HalfPunc_CN</ability>
      <abilityName>全半角问题</abilityName>
      <candidateList>
        <item>）</item>
      </candidateList>
      <explain>文本全半角错误。</explain>
      <paraID>17260CC7</paraID>
      <start>68</start>
      <end>69</end>
      <status>ignored</status>
      <modifiedWord/>
      <trackRevisions>false</trackRevisions>
    </reviewItem>
    <reviewItem>
      <errorID>1a5f7fbb-0c96-423a-9d27-c66cc7f63de9</errorID>
      <errorWord>(</errorWord>
      <group>L1_Format</group>
      <groupName>格式问题</groupName>
      <ability>L2_HalfPunc_CN</ability>
      <abilityName>全半角问题</abilityName>
      <candidateList>
        <item>（</item>
      </candidateList>
      <explain>文本全半角错误。</explain>
      <paraID>17260CC7</paraID>
      <start>135</start>
      <end>136</end>
      <status>ignored</status>
      <modifiedWord/>
      <trackRevisions>false</trackRevisions>
    </reviewItem>
    <reviewItem>
      <errorID>06d1c534-182f-42a5-ba38-cbc98e83273c</errorID>
      <errorWord>)</errorWord>
      <group>L1_Format</group>
      <groupName>格式问题</groupName>
      <ability>L2_HalfPunc_CN</ability>
      <abilityName>全半角问题</abilityName>
      <candidateList>
        <item>）</item>
      </candidateList>
      <explain>文本全半角错误。</explain>
      <paraID>17260CC7</paraID>
      <start>143</start>
      <end>144</end>
      <status>ignored</status>
      <modifiedWord/>
      <trackRevisions>false</trackRevisions>
    </reviewItem>
    <reviewItem>
      <errorID>0d00ef9e-a7af-45ed-8720-38a2e36fcdb9</errorID>
      <errorWord>(</errorWord>
      <group>L1_Format</group>
      <groupName>格式问题</groupName>
      <ability>L2_HalfPunc_CN</ability>
      <abilityName>全半角问题</abilityName>
      <candidateList>
        <item>（</item>
      </candidateList>
      <explain>文本全半角错误。</explain>
      <paraID> 6ED6299</paraID>
      <start>67</start>
      <end>68</end>
      <status>ignored</status>
      <modifiedWord/>
      <trackRevisions>false</trackRevisions>
    </reviewItem>
    <reviewItem>
      <errorID>f68c827f-de13-4393-aa70-c0d5edde0593</errorID>
      <errorWord>)</errorWord>
      <group>L1_Format</group>
      <groupName>格式问题</groupName>
      <ability>L2_HalfPunc_CN</ability>
      <abilityName>全半角问题</abilityName>
      <candidateList>
        <item>）</item>
      </candidateList>
      <explain>文本全半角错误。</explain>
      <paraID> 6ED6299</paraID>
      <start>69</start>
      <end>70</end>
      <status>ignored</status>
      <modifiedWord/>
      <trackRevisions>false</trackRevisions>
    </reviewItem>
    <reviewItem>
      <errorID>24e20ba7-35fb-4027-b141-c59b2f7b73cd</errorID>
      <errorWord>强</errorWord>
      <group>L1_Word</group>
      <groupName>字词问题</groupName>
      <ability>L2_Typo</ability>
      <abilityName>字词错误</abilityName>
      <candidateList>
        <item>强对</item>
      </candidateList>
      <explain/>
      <paraID> 6ED6299</paraID>
      <start>110</start>
      <end>111</end>
      <status>unmodified</status>
      <modifiedWord/>
      <trackRevisions>false</trackRevisions>
    </reviewItem>
    <reviewItem>
      <errorID>86c98eba-28b7-4338-aec1-25a4023f57e4</errorID>
      <errorWord>源</errorWord>
      <group>L1_Word</group>
      <groupName>字词问题</groupName>
      <ability>L2_Typo</ability>
      <abilityName>字词错误</abilityName>
      <candidateList>
        <item>源汽</item>
      </candidateList>
      <explain/>
      <paraID>436D6524</paraID>
      <start>100</start>
      <end>101</end>
      <status>unmodified</status>
      <modifiedWord/>
      <trackRevisions>false</trackRevisions>
    </reviewItem>
    <reviewItem>
      <errorID>6b313c97-5211-45f1-a617-82f58ced27f7</errorID>
      <errorWord>要求</errorWord>
      <group>L1_Grammar</group>
      <groupName>语法问题</groupName>
      <ability>L2_Grammar</ability>
      <abilityName>语法错误</abilityName>
      <candidateList>
        <item>管控要求</item>
      </candidateList>
      <explain/>
      <paraID>22F5C53E</paraID>
      <start>17</start>
      <end>19</end>
      <status>unmodified</status>
      <modifiedWord/>
      <trackRevisions>false</trackRevisions>
    </reviewItem>
    <reviewItem>
      <errorID>693ba342-b8dc-4a1f-a671-07cd44378899</errorID>
      <errorWord>第二十二条要求</errorWord>
      <group>L1_Grammar</group>
      <groupName>语法问题</groupName>
      <ability>L2_Grammar</ability>
      <abilityName>语法错误</abilityName>
      <candidateList>
        <item>第二十二条</item>
      </candidateList>
      <explain/>
      <paraID>27B378A0</paraID>
      <start>34</start>
      <end>41</end>
      <status>unmodified</status>
      <modifiedWord/>
      <trackRevisions>false</trackRevisions>
    </reviewItem>
    <reviewItem>
      <errorID>5a23bafe-0df3-4bd9-a3c8-8a44489e2e48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1D5960A3</paraID>
      <start>0</start>
      <end>2</end>
      <status>unmodified</status>
      <modifiedWord/>
      <trackRevisions>false</trackRevisions>
    </reviewItem>
    <reviewItem>
      <errorID>349b10a5-32e7-4d5e-9445-f4b8ac710570</errorID>
      <errorWord>不</errorWord>
      <group>L1_Grammar</group>
      <groupName>语法问题</groupName>
      <ability>L2_Grammar</ability>
      <abilityName>语法错误</abilityName>
      <candidateList>
        <item>该地块所在位置不</item>
      </candidateList>
      <explain/>
      <paraID>1D5960A3</paraID>
      <start>23</start>
      <end>24</end>
      <status>unmodified</status>
      <modifiedWord/>
      <trackRevisions>false</trackRevisions>
    </reviewItem>
    <reviewItem>
      <errorID>27cede4c-dec0-40c2-a9d9-a224eb6bfc95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3EAE7C71</paraID>
      <start>0</start>
      <end>2</end>
      <status>unmodified</status>
      <modifiedWord/>
      <trackRevisions>false</trackRevisions>
    </reviewItem>
    <reviewItem>
      <errorID>e264bb68-5939-43bf-a1a6-9f41e94f9e98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30A6D61F</paraID>
      <start>0</start>
      <end>2</end>
      <status>unmodified</status>
      <modifiedWord/>
      <trackRevisions>false</trackRevisions>
    </reviewItem>
    <reviewItem>
      <errorID>f74431af-82be-44b0-b14c-c9e32bd73fc0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7D46EA8B</paraID>
      <start>0</start>
      <end>2</end>
      <status>unmodified</status>
      <modifiedWord/>
      <trackRevisions>false</trackRevisions>
    </reviewItem>
    <reviewItem>
      <errorID>d898876c-28ea-47ff-98af-3818b3246aa6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21D6702E</paraID>
      <start>0</start>
      <end>2</end>
      <status>unmodified</status>
      <modifiedWord/>
      <trackRevisions>false</trackRevisions>
    </reviewItem>
    <reviewItem>
      <errorID>3dc1f55b-d7e4-4d52-b085-4ed2376b40bf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65C97031</paraID>
      <start>0</start>
      <end>2</end>
      <status>unmodified</status>
      <modifiedWord/>
      <trackRevisions>false</trackRevisions>
    </reviewItem>
    <reviewItem>
      <errorID>b221d674-1cfe-4a36-a133-c70d2b3528a5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778BE9C6</paraID>
      <start>0</start>
      <end>2</end>
      <status>unmodified</status>
      <modifiedWord/>
      <trackRevisions>false</trackRevisions>
    </reviewItem>
    <reviewItem>
      <errorID>00b10e3c-f3eb-4cd7-95e7-8481fd81f80a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771FFAE1</paraID>
      <start>0</start>
      <end>2</end>
      <status>unmodified</status>
      <modifiedWord/>
      <trackRevisions>false</trackRevisions>
    </reviewItem>
    <reviewItem>
      <errorID>0c7ee92b-6708-45b0-9216-da291d787456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4FDA78B2</paraID>
      <start>0</start>
      <end>2</end>
      <status>unmodified</status>
      <modifiedWord/>
      <trackRevisions>false</trackRevisions>
    </reviewItem>
    <reviewItem>
      <errorID>51263ec9-7164-483c-8d09-6258c2327a6d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B0A33CB</paraID>
      <start>0</start>
      <end>2</end>
      <status>unmodified</status>
      <modifiedWord/>
      <trackRevisions>false</trackRevisions>
    </reviewItem>
    <reviewItem>
      <errorID>ee3b5daf-bb43-4e18-996c-5313bb073a05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732814A7</paraID>
      <start>0</start>
      <end>2</end>
      <status>unmodified</status>
      <modifiedWord/>
      <trackRevisions>false</trackRevisions>
    </reviewItem>
    <reviewItem>
      <errorID>b9e0c3a3-f715-448d-9bde-52ba8df0fe66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2211EB20</paraID>
      <start>0</start>
      <end>2</end>
      <status>unmodified</status>
      <modifiedWord/>
      <trackRevisions>false</trackRevisions>
    </reviewItem>
    <reviewItem>
      <errorID>4f7713ca-4d65-4fee-bd9e-02e7baef60ca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7F27779</paraID>
      <start>0</start>
      <end>2</end>
      <status>unmodified</status>
      <modifiedWord/>
      <trackRevisions>false</trackRevisions>
    </reviewItem>
    <reviewItem>
      <errorID>34219dcc-0bcf-4727-811a-2ff8a67de6a6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20376AC9</paraID>
      <start>0</start>
      <end>2</end>
      <status>unmodified</status>
      <modifiedWord/>
      <trackRevisions>false</trackRevisions>
    </reviewItem>
    <reviewItem>
      <errorID>fc26984b-2c02-4f31-82c1-b0f23d0d028f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2D40D7E5</paraID>
      <start>0</start>
      <end>2</end>
      <status>unmodified</status>
      <modifiedWord/>
      <trackRevisions>false</trackRevisions>
    </reviewItem>
    <reviewItem>
      <errorID>02661edf-9087-44b6-9a26-b536f3354fe8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69F33F7B</paraID>
      <start>0</start>
      <end>2</end>
      <status>unmodified</status>
      <modifiedWord/>
      <trackRevisions>false</trackRevisions>
    </reviewItem>
    <reviewItem>
      <errorID>a3014f63-aed9-48fc-bae9-09ff0ff3423e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38CDC627</paraID>
      <start>0</start>
      <end>2</end>
      <status>unmodified</status>
      <modifiedWord/>
      <trackRevisions>false</trackRevisions>
    </reviewItem>
    <reviewItem>
      <errorID>4be6986a-6685-474e-9d49-adec571ce5eb</errorID>
      <errorWord>长江</errorWord>
      <group>L1_Word</group>
      <groupName>字词问题</groupName>
      <ability>L2_Typo</ability>
      <abilityName>字词错误</abilityName>
      <candidateList>
        <item>江</item>
      </candidateList>
      <explain/>
      <paraID>38CDC627</paraID>
      <start>57</start>
      <end>59</end>
      <status>unmodified</status>
      <modifiedWord/>
      <trackRevisions>false</trackRevisions>
    </reviewItem>
    <reviewItem>
      <errorID>583163b7-5dcb-439a-b449-e754a9243a91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2CB66E6B</paraID>
      <start>0</start>
      <end>2</end>
      <status>unmodified</status>
      <modifiedWord/>
      <trackRevisions>false</trackRevisions>
    </reviewItem>
    <reviewItem>
      <errorID>26d327b5-1454-4cd1-b3c5-ad9ff8eebd0c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47A70230</paraID>
      <start>0</start>
      <end>2</end>
      <status>unmodified</status>
      <modifiedWord/>
      <trackRevisions>false</trackRevisions>
    </reviewItem>
    <reviewItem>
      <errorID>7c4868d9-7c73-4f68-b70d-51f19b12f56b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6B68AD9A</paraID>
      <start>0</start>
      <end>2</end>
      <status>unmodified</status>
      <modifiedWord/>
      <trackRevisions>false</trackRevisions>
    </reviewItem>
    <reviewItem>
      <errorID>77804656-8a2d-4e4a-9f83-ccb43e8007a0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65526757</paraID>
      <start>0</start>
      <end>2</end>
      <status>unmodified</status>
      <modifiedWord/>
      <trackRevisions>false</trackRevisions>
    </reviewItem>
    <reviewItem>
      <errorID>3c1269cd-f136-4786-8fa6-ed850b736811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7C5D4DBB</paraID>
      <start>0</start>
      <end>2</end>
      <status>unmodified</status>
      <modifiedWord/>
      <trackRevisions>false</trackRevisions>
    </reviewItem>
    <reviewItem>
      <errorID>99696e7a-6484-4591-921d-36c9fc6cad22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36A30B6D</paraID>
      <start>0</start>
      <end>2</end>
      <status>unmodified</status>
      <modifiedWord/>
      <trackRevisions>false</trackRevisions>
    </reviewItem>
    <reviewItem>
      <errorID>77350a35-172a-41f2-a9c3-165c07c1ef00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7691C73C</paraID>
      <start>0</start>
      <end>2</end>
      <status>unmodified</status>
      <modifiedWord/>
      <trackRevisions>false</trackRevisions>
    </reviewItem>
    <reviewItem>
      <errorID>32ad90fc-8ed2-4f76-bf76-526c2a0fa6c4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1894663C</paraID>
      <start>0</start>
      <end>2</end>
      <status>unmodified</status>
      <modifiedWord/>
      <trackRevisions>false</trackRevisions>
    </reviewItem>
    <reviewItem>
      <errorID>1a924b7f-36a0-4df9-a3dd-2638583c0753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177ED55F</paraID>
      <start>0</start>
      <end>3</end>
      <status>unmodified</status>
      <modifiedWord/>
      <trackRevisions>false</trackRevisions>
    </reviewItem>
    <reviewItem>
      <errorID>bd74b267-c696-48f8-85c9-8ca968802866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293593</paraID>
      <start>0</start>
      <end>3</end>
      <status>unmodified</status>
      <modifiedWord/>
      <trackRevisions>false</trackRevisions>
    </reviewItem>
    <reviewItem>
      <errorID>9c85343a-a92d-4203-a262-2c1ac4fb807f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7475ABAA</paraID>
      <start>0</start>
      <end>3</end>
      <status>unmodified</status>
      <modifiedWord/>
      <trackRevisions>false</trackRevisions>
    </reviewItem>
    <reviewItem>
      <errorID>2bc5cb31-f8c3-4b94-a9e4-68851afd2a61</errorID>
      <errorWord>)</errorWord>
      <group>L1_Format</group>
      <groupName>格式问题</groupName>
      <ability>L2_HalfPunc_CN</ability>
      <abilityName>全半角问题</abilityName>
      <candidateList>
        <item>）</item>
      </candidateList>
      <explain>文本全半角错误。</explain>
      <paraID> 52A7542</paraID>
      <start>68</start>
      <end>69</end>
      <status>ignored</status>
      <modifiedWord/>
      <trackRevisions>false</trackRevisions>
    </reviewItem>
    <reviewItem>
      <errorID>dda454f2-90d0-4fc8-8c14-158d9c5f49a2</errorID>
      <errorWord>(</errorWord>
      <group>L1_Format</group>
      <groupName>格式问题</groupName>
      <ability>L2_HalfPunc_CN</ability>
      <abilityName>全半角问题</abilityName>
      <candidateList>
        <item>（</item>
      </candidateList>
      <explain>文本全半角错误。</explain>
      <paraID>502BB7DD</paraID>
      <start>26</start>
      <end>27</end>
      <status>ignored</status>
      <modifiedWord/>
      <trackRevisions>false</trackRevisions>
    </reviewItem>
    <reviewItem>
      <errorID>c18a7e1d-d20d-4ce3-98b8-4f495c2e90f3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502BB7DD</paraID>
      <start>31</start>
      <end>32</end>
      <status>unmodified</status>
      <modifiedWord/>
      <trackRevisions>false</trackRevisions>
    </reviewItem>
    <reviewItem>
      <errorID>fef5a1fb-914a-40fe-ade6-1e9cc58744c2</errorID>
      <errorWord>)</errorWord>
      <group>L1_Format</group>
      <groupName>格式问题</groupName>
      <ability>L2_HalfPunc_CN</ability>
      <abilityName>全半角问题</abilityName>
      <candidateList>
        <item>）</item>
      </candidateList>
      <explain>文本全半角错误。</explain>
      <paraID>502BB7DD</paraID>
      <start>37</start>
      <end>38</end>
      <status>ignored</status>
      <modifiedWord/>
      <trackRevisions>false</trackRevisions>
    </reviewItem>
    <reviewItem>
      <errorID>97d23596-3a5d-4257-b304-42c6e3c74d34</errorID>
      <errorWord>(</errorWord>
      <group>L1_Format</group>
      <groupName>格式问题</groupName>
      <ability>L2_HalfPunc_CN</ability>
      <abilityName>全半角问题</abilityName>
      <candidateList>
        <item>（</item>
      </candidateList>
      <explain>文本全半角错误。</explain>
      <paraID>502BB7DD</paraID>
      <start>47</start>
      <end>48</end>
      <status>ignored</status>
      <modifiedWord/>
      <trackRevisions>false</trackRevisions>
    </reviewItem>
    <reviewItem>
      <errorID>a319f99c-e64f-433f-b4e7-b06624dbc67e</errorID>
      <errorWord>)</errorWord>
      <group>L1_Format</group>
      <groupName>格式问题</groupName>
      <ability>L2_HalfPunc_CN</ability>
      <abilityName>全半角问题</abilityName>
      <candidateList>
        <item>）</item>
      </candidateList>
      <explain>文本全半角错误。</explain>
      <paraID>502BB7DD</paraID>
      <start>54</start>
      <end>55</end>
      <status>ignored</status>
      <modifiedWord/>
      <trackRevisions>false</trackRevisions>
    </reviewItem>
    <reviewItem>
      <errorID>bdc503a5-0a96-467e-b147-9fc3610104d3</errorID>
      <errorWord>自然保护区的</errorWord>
      <group>L1_Word</group>
      <groupName>字词问题</groupName>
      <ability>L2_Typo</ability>
      <abilityName>字词错误</abilityName>
      <candidateList>
        <item>自然保护区</item>
      </candidateList>
      <explain/>
      <paraID> 5027957</paraID>
      <start>38</start>
      <end>44</end>
      <status>unmodified</status>
      <modifiedWord/>
      <trackRevisions>false</trackRevisions>
    </reviewItem>
    <reviewItem>
      <errorID>e03efe0c-dc26-414b-a085-2574e88b0027</errorID>
      <errorWord>(</errorWord>
      <group>L1_Format</group>
      <groupName>格式问题</groupName>
      <ability>L2_HalfPunc_CN</ability>
      <abilityName>全半角问题</abilityName>
      <candidateList>
        <item>（</item>
      </candidateList>
      <explain>文本全半角错误。</explain>
      <paraID> 171564A</paraID>
      <start>19</start>
      <end>20</end>
      <status>ignored</status>
      <modifiedWord/>
      <trackRevisions>false</trackRevisions>
    </reviewItem>
    <reviewItem>
      <errorID>dc91e018-08ab-4fca-aa0c-5077d0cd7d8c</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193970</paraID>
      <start>0</start>
      <end>3</end>
      <status>unmodified</status>
      <modifiedWord/>
      <trackRevisions>false</trackRevisions>
    </reviewItem>
    <reviewItem>
      <errorID>5d70ad24-ff8f-497c-9ffb-6a8355cfc7ef</errorID>
      <errorWord>)</errorWord>
      <group>L1_Format</group>
      <groupName>格式问题</groupName>
      <ability>L2_HalfPunc_CN</ability>
      <abilityName>全半角问题</abilityName>
      <candidateList>
        <item>）</item>
      </candidateList>
      <explain>文本全半角错误。</explain>
      <paraID>  193970</paraID>
      <start>32</start>
      <end>33</end>
      <status>ignored</status>
      <modifiedWord/>
      <trackRevisions>false</trackRevisions>
    </reviewItem>
    <reviewItem>
      <errorID>b6eea5d1-ec60-447a-b4ce-97a64d31bb2e</errorID>
      <errorWord>(</errorWord>
      <group>L1_Format</group>
      <groupName>格式问题</groupName>
      <ability>L2_HalfPunc_CN</ability>
      <abilityName>全半角问题</abilityName>
      <candidateList>
        <item>（</item>
      </candidateList>
      <explain>文本全半角错误。</explain>
      <paraID>29E3B2A2</paraID>
      <start>0</start>
      <end>1</end>
      <status>ignored</status>
      <modifiedWord/>
      <trackRevisions>false</trackRevisions>
    </reviewItem>
    <reviewItem>
      <errorID>2bee2675-a709-458f-b25e-1e35732e50cb</errorID>
      <errorWord>（试行)》</errorWord>
      <group>L1_Political</group>
      <groupName>政治性问题</groupName>
      <ability>L2_Keyword</ability>
      <abilityName>固定表述</abilityName>
      <candidateList>
        <item>（试行）》</item>
      </candidateList>
      <explain>此处内容疑似含有固定表述相关错误，建议核查。</explain>
      <paraID>29E3B2A2</paraID>
      <start>58</start>
      <end>63</end>
      <status>unmodified</status>
      <modifiedWord/>
      <trackRevisions>false</trackRevisions>
    </reviewItem>
    <reviewItem>
      <errorID>4fba1b90-2889-4f0e-8691-85feada36145</errorID>
      <errorWord>;</errorWord>
      <group>L1_Punc</group>
      <groupName>标点问题</groupName>
      <ability>L2_Punc_CN</ability>
      <abilityName>标点符号问题</abilityName>
      <candidateList>
        <item>；</item>
      </candidateList>
      <explain/>
      <paraID>3318BF2E</paraID>
      <start>52</start>
      <end>53</end>
      <status>unmodified</status>
      <modifiedWord/>
      <trackRevisions>false</trackRevisions>
    </reviewItem>
    <reviewItem>
      <errorID>e41b52fc-b755-4f26-9937-76edb7dc654f</errorID>
      <errorWord>，</errorWord>
      <group>L1_Punc</group>
      <groupName>标点问题</groupName>
      <ability>L2_Punc_CN</ability>
      <abilityName>标点符号问题</abilityName>
      <candidateList>
        <item>。</item>
      </candidateList>
      <explain/>
      <paraID>3318BF2E</paraID>
      <start>66</start>
      <end>67</end>
      <status>unmodified</status>
      <modifiedWord/>
      <trackRevisions>false</trackRevisions>
    </reviewItem>
    <reviewItem>
      <errorID>9016a88d-e819-4cc3-a1d9-e6d17d903828</errorID>
      <errorWord>)</errorWord>
      <group>L1_Format</group>
      <groupName>格式问题</groupName>
      <ability>L2_HalfPunc_CN</ability>
      <abilityName>全半角问题</abilityName>
      <candidateList>
        <item>）</item>
      </candidateList>
      <explain>文本全半角错误。</explain>
      <paraID>51C48A53</paraID>
      <start>32</start>
      <end>33</end>
      <status>ignored</status>
      <modifiedWord/>
      <trackRevisions>false</trackRevisions>
    </reviewItem>
    <reviewItem>
      <errorID>61486195-6500-44d8-8640-39641b29d098</errorID>
      <errorWord>(</errorWord>
      <group>L1_Format</group>
      <groupName>格式问题</groupName>
      <ability>L2_HalfPunc_CN</ability>
      <abilityName>全半角问题</abilityName>
      <candidateList>
        <item>（</item>
      </candidateList>
      <explain>文本全半角错误。</explain>
      <paraID>5E83A4C4</paraID>
      <start>0</start>
      <end>1</end>
      <status>ignored</status>
      <modifiedWord/>
      <trackRevisions>false</trackRevisions>
    </reviewItem>
    <reviewItem>
      <errorID>a4a97213-8107-4b2f-8fc4-b7103dfb4d04</errorID>
      <errorWord>(</errorWord>
      <group>L1_Format</group>
      <groupName>格式问题</groupName>
      <ability>L2_HalfPunc_CN</ability>
      <abilityName>全半角问题</abilityName>
      <candidateList>
        <item>（</item>
      </candidateList>
      <explain>文本全半角错误。</explain>
      <paraID>7E658486</paraID>
      <start>0</start>
      <end>1</end>
      <status>ignored</status>
      <modifiedWord/>
      <trackRevisions>false</trackRevisions>
    </reviewItem>
    <reviewItem>
      <errorID>f3e8b32e-f353-4ba9-9a5f-8dd3dbcb12d8</errorID>
      <errorWord>(</errorWord>
      <group>L1_Format</group>
      <groupName>格式问题</groupName>
      <ability>L2_HalfPunc_CN</ability>
      <abilityName>全半角问题</abilityName>
      <candidateList>
        <item>（</item>
      </candidateList>
      <explain>文本全半角错误。</explain>
      <paraID> B9CDCA8</paraID>
      <start>0</start>
      <end>1</end>
      <status>ignored</status>
      <modifiedWord/>
      <trackRevisions>false</trackRevisions>
    </reviewItem>
    <reviewItem>
      <errorID>81de3d63-ffb0-4fcd-ab2c-47d6b179e8c2</errorID>
      <errorWord>)</errorWord>
      <group>L1_Format</group>
      <groupName>格式问题</groupName>
      <ability>L2_HalfPunc_CN</ability>
      <abilityName>全半角问题</abilityName>
      <candidateList>
        <item>）</item>
      </candidateList>
      <explain>文本全半角错误。</explain>
      <paraID> B9CDCA8</paraID>
      <start>47</start>
      <end>48</end>
      <status>ignored</status>
      <modifiedWord/>
      <trackRevisions>false</trackRevisions>
    </reviewItem>
    <reviewItem>
      <errorID>34f7f055-a4bb-4b8f-b5ef-46dc79eb402e</errorID>
      <errorWord>(</errorWord>
      <group>L1_Format</group>
      <groupName>格式问题</groupName>
      <ability>L2_HalfPunc_CN</ability>
      <abilityName>全半角问题</abilityName>
      <candidateList>
        <item>（</item>
      </candidateList>
      <explain>文本全半角错误。</explain>
      <paraID>5839FAC5</paraID>
      <start>0</start>
      <end>1</end>
      <status>ignored</status>
      <modifiedWord/>
      <trackRevisions>false</trackRevisions>
    </reviewItem>
    <reviewItem>
      <errorID>8f3dd143-a361-4cdc-99aa-6a8a706cc2ce</errorID>
      <errorWord>(</errorWord>
      <group>L1_Format</group>
      <groupName>格式问题</groupName>
      <ability>L2_HalfPunc_CN</ability>
      <abilityName>全半角问题</abilityName>
      <candidateList>
        <item>（</item>
      </candidateList>
      <explain>文本全半角错误。</explain>
      <paraID>5839FAC5</paraID>
      <start>25</start>
      <end>26</end>
      <status>ignored</status>
      <modifiedWord/>
      <trackRevisions>false</trackRevisions>
    </reviewItem>
    <reviewItem>
      <errorID>ca4952f8-27df-47be-a830-3322dbd438da</errorID>
      <errorWord>)</errorWord>
      <group>L1_Format</group>
      <groupName>格式问题</groupName>
      <ability>L2_HalfPunc_CN</ability>
      <abilityName>全半角问题</abilityName>
      <candidateList>
        <item>）</item>
      </candidateList>
      <explain>文本全半角错误。</explain>
      <paraID>5839FAC5</paraID>
      <start>53</start>
      <end>54</end>
      <status>ignored</status>
      <modifiedWord/>
      <trackRevisions>false</trackRevisions>
    </reviewItem>
    <reviewItem>
      <errorID>23e67263-ad47-4774-9e0d-b065338c4779</errorID>
      <errorWord>两高项目</errorWord>
      <group>L1_Political</group>
      <groupName>政治性问题</groupName>
      <ability>L2_Keyword</ability>
      <abilityName>固定表述</abilityName>
      <candidateList>
        <item>“两高”项目</item>
      </candidateList>
      <explain>注意检查当前固定表述标点是否使用规范。</explain>
      <paraID>5A47A289</paraID>
      <start>6</start>
      <end>10</end>
      <status>unmodified</status>
      <modifiedWord/>
      <trackRevisions>false</trackRevisions>
    </reviewItem>
    <reviewItem>
      <errorID>27cb0b70-dcd8-4f4d-b2d5-ce9fed2a7368</errorID>
      <errorWord>(</errorWord>
      <group>L1_Format</group>
      <groupName>格式问题</groupName>
      <ability>L2_HalfPunc_CN</ability>
      <abilityName>全半角问题</abilityName>
      <candidateList>
        <item>（</item>
      </candidateList>
      <explain>文本全半角错误。</explain>
      <paraID>1C55678D</paraID>
      <start>37</start>
      <end>38</end>
      <status>ignored</status>
      <modifiedWord/>
      <trackRevisions>false</trackRevisions>
    </reviewItem>
    <reviewItem>
      <errorID>56a9ef69-ba27-4e16-88f0-9d43b2089a1a</errorID>
      <errorWord>)</errorWord>
      <group>L1_Format</group>
      <groupName>格式问题</groupName>
      <ability>L2_HalfPunc_CN</ability>
      <abilityName>全半角问题</abilityName>
      <candidateList>
        <item>）</item>
      </candidateList>
      <explain>文本全半角错误。</explain>
      <paraID>1C55678D</paraID>
      <start>54</start>
      <end>55</end>
      <status>ignored</status>
      <modifiedWord/>
      <trackRevisions>false</trackRevisions>
    </reviewItem>
    <reviewItem>
      <errorID>011a9ad0-20ac-4cc1-8b05-579d4ded299e</errorID>
      <errorWord>(</errorWord>
      <group>L1_Format</group>
      <groupName>格式问题</groupName>
      <ability>L2_HalfPunc_CN</ability>
      <abilityName>全半角问题</abilityName>
      <candidateList>
        <item>（</item>
      </candidateList>
      <explain>文本全半角错误。</explain>
      <paraID>23A8ABE5</paraID>
      <start>33</start>
      <end>34</end>
      <status>ignored</status>
      <modifiedWord/>
      <trackRevisions>false</trackRevisions>
    </reviewItem>
    <reviewItem>
      <errorID>e63796ec-24e1-462f-bf73-b900932274a5</errorID>
      <errorWord>)</errorWord>
      <group>L1_Format</group>
      <groupName>格式问题</groupName>
      <ability>L2_HalfPunc_CN</ability>
      <abilityName>全半角问题</abilityName>
      <candidateList>
        <item>）</item>
      </candidateList>
      <explain>文本全半角错误。</explain>
      <paraID>23A8ABE5</paraID>
      <start>50</start>
      <end>51</end>
      <status>ignored</status>
      <modifiedWord/>
      <trackRevisions>false</trackRevisions>
    </reviewItem>
    <reviewItem>
      <errorID>c927adf1-34d1-45a1-bbdb-498ec485b206</errorID>
      <errorWord>养殖、放养畜禽</errorWord>
      <group>L1_Grammar</group>
      <groupName>语法问题</groupName>
      <ability>L2_Grammar</ability>
      <abilityName>语法错误</abilityName>
      <candidateList>
        <item>养殖</item>
      </candidateList>
      <explain/>
      <paraID>1309E1D3</paraID>
      <start>52</start>
      <end>59</end>
      <status>unmodified</status>
      <modifiedWord/>
      <trackRevisions>false</trackRevisions>
    </reviewItem>
    <reviewItem>
      <errorID>4240ff61-a72e-4762-96de-196be2f891cc</errorID>
      <errorWord>源</errorWord>
      <group>L1_Word</group>
      <groupName>字词问题</groupName>
      <ability>L2_Typo</ability>
      <abilityName>字词错误</abilityName>
      <candidateList>
        <item>水源</item>
      </candidateList>
      <explain/>
      <paraID>31C67BB4</paraID>
      <start>9</start>
      <end>10</end>
      <status>unmodified</status>
      <modifiedWord/>
      <trackRevisions>false</trackRevisions>
    </reviewItem>
    <reviewItem>
      <errorID>445a9d83-6f01-4516-8fa1-93755d4b0ba0</errorID>
      <errorWord>非</errorWord>
      <group>L1_Grammar</group>
      <groupName>语法问题</groupName>
      <ability>L2_Grammar</ability>
      <abilityName>语法错误</abilityName>
      <candidateList>
        <item>不属于</item>
      </candidateList>
      <explain/>
      <paraID> 8835E2E</paraID>
      <start>3</start>
      <end>4</end>
      <status>unmodified</status>
      <modifiedWord/>
      <trackRevisions>false</trackRevisions>
    </reviewItem>
    <reviewItem>
      <errorID>9124e5ae-a946-4b78-be3c-360f74f4d9a0</errorID>
      <errorWord>项目</errorWord>
      <group>L1_Punc</group>
      <groupName>标点问题</groupName>
      <ability>L2_Punc_CN</ability>
      <abilityName>标点符号问题</abilityName>
      <candidateList>
        <item>项目。</item>
      </candidateList>
      <explain/>
      <paraID>61F0F769</paraID>
      <start>27</start>
      <end>29</end>
      <status>unmodified</status>
      <modifiedWord/>
      <trackRevisions>false</trackRevisions>
    </reviewItem>
    <reviewItem>
      <errorID>4913085a-584b-4904-9480-e884c1faf324</errorID>
      <errorWord>煤化工</errorWord>
      <group>L1_Grammar</group>
      <groupName>语法问题</groupName>
      <ability>L2_Grammar</ability>
      <abilityName>语法错误</abilityName>
      <candidateList>
        <item>现代煤化工</item>
      </candidateList>
      <explain/>
      <paraID>5C44F69D</paraID>
      <start>24</start>
      <end>27</end>
      <status>unmodified</status>
      <modifiedWord/>
      <trackRevisions>false</trackRevisions>
    </reviewItem>
    <reviewItem>
      <errorID>4d59e783-ab36-4115-a0be-9017309457b8</errorID>
      <errorWord>项目</errorWord>
      <group>L1_Punc</group>
      <groupName>标点问题</groupName>
      <ability>L2_Punc_CN</ability>
      <abilityName>标点符号问题</abilityName>
      <candidateList>
        <item>项目。</item>
      </candidateList>
      <explain/>
      <paraID>4024A4D7</paraID>
      <start>47</start>
      <end>49</end>
      <status>unmodified</status>
      <modifiedWord/>
      <trackRevisions>false</trackRevisions>
    </reviewItem>
    <reviewItem>
      <errorID>7d712a3e-80d5-4a04-82fb-2fd11b800eec</errorID>
      <errorWord>项目</errorWord>
      <group>L1_Punc</group>
      <groupName>标点问题</groupName>
      <ability>L2_Punc_CN</ability>
      <abilityName>标点符号问题</abilityName>
      <candidateList>
        <item>项目。</item>
      </candidateList>
      <explain/>
      <paraID> 436ECC9</paraID>
      <start>25</start>
      <end>27</end>
      <status>unmodified</status>
      <modifiedWord/>
      <trackRevisions>false</trackRevisions>
    </reviewItem>
    <reviewItem>
      <errorID>5df342ca-3cac-4673-b714-61a047794833</errorID>
      <errorWord>项目</errorWord>
      <group>L1_Punc</group>
      <groupName>标点问题</groupName>
      <ability>L2_Punc_CN</ability>
      <abilityName>标点符号问题</abilityName>
      <candidateList>
        <item>项目。</item>
      </candidateList>
      <explain/>
      <paraID>54DCB337</paraID>
      <start>36</start>
      <end>38</end>
      <status>unmodified</status>
      <modifiedWord/>
      <trackRevisions>false</trackRevisions>
    </reviewItem>
    <reviewItem>
      <errorID>18372f90-d2ad-4d76-88cf-35c5a67c2024</errorID>
      <errorWord>建设项目</errorWord>
      <group>L1_Punc</group>
      <groupName>标点问题</groupName>
      <ability>L2_Punc_CN</ability>
      <abilityName>标点符号问题</abilityName>
      <candidateList>
        <item>建设项目。</item>
      </candidateList>
      <explain/>
      <paraID>17BE0549</paraID>
      <start>28</start>
      <end>32</end>
      <status>unmodified</status>
      <modifiedWord/>
      <trackRevisions>false</trackRevisions>
    </reviewItem>
    <reviewItem>
      <errorID>87923479-345d-4b0e-8c58-8edcd6598c5c</errorID>
      <errorWord>(</errorWord>
      <group>L1_Format</group>
      <groupName>格式问题</groupName>
      <ability>L2_HalfPunc_CN</ability>
      <abilityName>全半角问题</abilityName>
      <candidateList>
        <item>（</item>
      </candidateList>
      <explain>文本全半角错误。</explain>
      <paraID>5BEEC905</paraID>
      <start>44</start>
      <end>45</end>
      <status>ignored</status>
      <modifiedWord/>
      <trackRevisions>false</trackRevisions>
    </reviewItem>
    <reviewItem>
      <errorID>b870ab4a-e396-483d-8e2a-ea6a45d859be</errorID>
      <errorWord>)</errorWord>
      <group>L1_Format</group>
      <groupName>格式问题</groupName>
      <ability>L2_HalfPunc_CN</ability>
      <abilityName>全半角问题</abilityName>
      <candidateList>
        <item>）</item>
      </candidateList>
      <explain>文本全半角错误。</explain>
      <paraID>5BEEC905</paraID>
      <start>61</start>
      <end>62</end>
      <status>ignored</status>
      <modifiedWord/>
      <trackRevisions>false</trackRevisions>
    </reviewItem>
    <reviewItem>
      <errorID>ca21f7a0-4702-4f84-9db8-3275f1e3f958</errorID>
      <errorWord>。</errorWord>
      <group>L1_Punc</group>
      <groupName>标点问题</groupName>
      <ability>L2_Punc_CN</ability>
      <abilityName>标点符号问题</abilityName>
      <candidateList>
        <item>，</item>
      </candidateList>
      <explain/>
      <paraID> 8D0FA29</paraID>
      <start>12</start>
      <end>13</end>
      <status>unmodified</status>
      <modifiedWord/>
      <trackRevisions>false</trackRevisions>
    </reviewItem>
    <reviewItem>
      <errorID>e97c5a1f-3748-4e22-b33b-6265abdb776d</errorID>
      <errorWord>。</errorWord>
      <group>L1_Punc</group>
      <groupName>标点问题</groupName>
      <ability>L2_Punc_CN</ability>
      <abilityName>标点符号问题</abilityName>
      <candidateList>
        <item>，</item>
      </candidateList>
      <explain/>
      <paraID>75952FE5</paraID>
      <start>14</start>
      <end>15</end>
      <status>unmodified</status>
      <modifiedWord/>
      <trackRevisions>false</trackRevisions>
    </reviewItem>
    <reviewItem>
      <errorID>7040a9ba-ed08-4120-8585-cbd67ac6c2e0</errorID>
      <errorWord>。</errorWord>
      <group>L1_Punc</group>
      <groupName>标点问题</groupName>
      <ability>L2_Punc_CN</ability>
      <abilityName>标点符号问题</abilityName>
      <candidateList>
        <item>，</item>
      </candidateList>
      <explain/>
      <paraID> 2B8EFAD</paraID>
      <start>32</start>
      <end>33</end>
      <status>unmodified</status>
      <modifiedWord/>
      <trackRevisions>false</trackRevisions>
    </reviewItem>
    <reviewItem>
      <errorID>7ce3ce03-d085-4268-b3fc-985949765e0a</errorID>
      <errorWord>企业</errorWord>
      <group>L1_Punc</group>
      <groupName>标点问题</groupName>
      <ability>L2_Punc_CN</ability>
      <abilityName>标点符号问题</abilityName>
      <candidateList>
        <item>，企业</item>
      </candidateList>
      <explain/>
      <paraID>799867FA</paraID>
      <start>81</start>
      <end>83</end>
      <status>unmodified</status>
      <modifiedWord/>
      <trackRevisions>false</trackRevisions>
    </reviewItem>
    <reviewItem>
      <errorID>575fea59-1514-4224-b220-80cdf76731b9</errorID>
      <errorWord>。施</errorWord>
      <group>L1_Word</group>
      <groupName>字词问题</groupName>
      <ability>L2_Typo</ability>
      <abilityName>字词错误</abilityName>
      <candidateList>
        <item>。</item>
      </candidateList>
      <explain/>
      <paraID>799867FA</paraID>
      <start>103</start>
      <end>105</end>
      <status>unmodified</status>
      <modifiedWord/>
      <trackRevisions>false</trackRevisions>
    </reviewItem>
    <reviewItem>
      <errorID>76f02ca7-92dd-4e99-a5cd-35eb975fc89a</errorID>
      <errorWord>(</errorWord>
      <group>L1_Format</group>
      <groupName>格式问题</groupName>
      <ability>L2_HalfPunc_CN</ability>
      <abilityName>全半角问题</abilityName>
      <candidateList>
        <item>（</item>
      </candidateList>
      <explain>文本全半角错误。</explain>
      <paraID>77412FB4</paraID>
      <start>18</start>
      <end>19</end>
      <status>ignored</status>
      <modifiedWord/>
      <trackRevisions>false</trackRevisions>
    </reviewItem>
    <reviewItem>
      <errorID>344e0f29-a422-452d-97ea-8fa87fa69bc2</errorID>
      <errorWord>)</errorWord>
      <group>L1_Format</group>
      <groupName>格式问题</groupName>
      <ability>L2_HalfPunc_CN</ability>
      <abilityName>全半角问题</abilityName>
      <candidateList>
        <item>）</item>
      </candidateList>
      <explain>文本全半角错误。</explain>
      <paraID>77412FB4</paraID>
      <start>21</start>
      <end>22</end>
      <status>ignored</status>
      <modifiedWord/>
      <trackRevisions>false</trackRevisions>
    </reviewItem>
    <reviewItem>
      <errorID>22485fc1-c330-4a7a-b575-6ef9a1ca9c7e</errorID>
      <errorWord>[2012]142号</errorWord>
      <group>L1_Knowledge</group>
      <groupName>知识性问题</groupName>
      <ability>L2_Knowledge</ability>
      <abilityName>其他知识</abilityName>
      <candidateList>
        <item>〔2012〕142号</item>
      </candidateList>
      <explain>发文字号格式错误。</explain>
      <paraID> C2E3970</paraID>
      <start>7</start>
      <end>17</end>
      <status>unmodified</status>
      <modifiedWord/>
      <trackRevisions>false</trackRevisions>
    </reviewItem>
    <reviewItem>
      <errorID>f7183bd1-2872-4c11-beac-09a8860ff39e</errorID>
      <errorWord>(</errorWord>
      <group>L1_Format</group>
      <groupName>格式问题</groupName>
      <ability>L2_HalfPunc_CN</ability>
      <abilityName>全半角问题</abilityName>
      <candidateList>
        <item>（</item>
      </candidateList>
      <explain>文本全半角错误。</explain>
      <paraID> C2E3970</paraID>
      <start>31</start>
      <end>32</end>
      <status>ignored</status>
      <modifiedWord/>
      <trackRevisions>false</trackRevisions>
    </reviewItem>
    <reviewItem>
      <errorID>c38fc4d8-c5f4-46dd-85fe-c0c0f2d9d369</errorID>
      <errorWord>)</errorWord>
      <group>L1_Format</group>
      <groupName>格式问题</groupName>
      <ability>L2_HalfPunc_CN</ability>
      <abilityName>全半角问题</abilityName>
      <candidateList>
        <item>）</item>
      </candidateList>
      <explain>文本全半角错误。</explain>
      <paraID> C2E3970</paraID>
      <start>34</start>
      <end>35</end>
      <status>ignored</status>
      <modifiedWord/>
      <trackRevisions>false</trackRevisions>
    </reviewItem>
    <reviewItem>
      <errorID>fded3363-e316-4b5d-a325-be95720f4320</errorID>
      <errorWord>[2012]142号</errorWord>
      <group>L1_Knowledge</group>
      <groupName>知识性问题</groupName>
      <ability>L2_Knowledge</ability>
      <abilityName>其他知识</abilityName>
      <candidateList>
        <item>〔2012〕142号</item>
      </candidateList>
      <explain>发文字号格式错误。</explain>
      <paraID>  3CE713</paraID>
      <start>17</start>
      <end>27</end>
      <status>unmodified</status>
      <modifiedWord/>
      <trackRevisions>false</trackRevisions>
    </reviewItem>
    <reviewItem>
      <errorID>92bd533a-bbe9-4cb3-9d0b-0fcfb23f7b6a</errorID>
      <errorWord>[2012]142号</errorWord>
      <group>L1_Knowledge</group>
      <groupName>知识性问题</groupName>
      <ability>L2_Knowledge</ability>
      <abilityName>其他知识</abilityName>
      <candidateList>
        <item>〔2012〕142号</item>
      </candidateList>
      <explain>发文字号格式错误。</explain>
      <paraID>2A167232</paraID>
      <start>3</start>
      <end>13</end>
      <status>unmodified</status>
      <modifiedWord/>
      <trackRevisions>false</trackRevisions>
    </reviewItem>
    <reviewItem>
      <errorID>2bbb9de5-2f8a-47e8-9034-cf2da9c2b5c1</errorID>
      <errorWord>90%-100%</errorWord>
      <group>L1_Knowledge</group>
      <groupName>知识性问题</groupName>
      <ability>L2_Knowledge</ability>
      <abilityName>其他知识</abilityName>
      <candidateList>
        <item>90%—100%</item>
      </candidateList>
      <explain>1. “90%-100%”中的单位“%”仅出现在后一个数字上，容易引起歧义；根据《现代汉语标点符号数字用法规范手册》，数字表示范围两边需要使用统一的格式。2.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6E84CEAD</paraID>
      <start>34</start>
      <end>42</end>
      <status>unmodified</status>
      <modifiedWord/>
      <trackRevisions>false</trackRevisions>
    </reviewItem>
    <reviewItem>
      <errorID>f9ac6f6c-4aab-48c4-afcc-eaa95d33ec92</errorID>
      <errorWord>[2012]142号</errorWord>
      <group>L1_Knowledge</group>
      <groupName>知识性问题</groupName>
      <ability>L2_Knowledge</ability>
      <abilityName>其他知识</abilityName>
      <candidateList>
        <item>〔2012〕142号</item>
      </candidateList>
      <explain>发文字号格式错误。</explain>
      <paraID>79545EFC</paraID>
      <start>14</start>
      <end>24</end>
      <status>unmodified</status>
      <modifiedWord/>
      <trackRevisions>false</trackRevisions>
    </reviewItem>
    <reviewItem>
      <errorID>a19a82cf-9a87-4556-ae57-a208baa62071</errorID>
      <errorWord>(</errorWord>
      <group>L1_Format</group>
      <groupName>格式问题</groupName>
      <ability>L2_HalfPunc_CN</ability>
      <abilityName>全半角问题</abilityName>
      <candidateList>
        <item>（</item>
      </candidateList>
      <explain>文本全半角错误。</explain>
      <paraID>79545EFC</paraID>
      <start>38</start>
      <end>39</end>
      <status>ignored</status>
      <modifiedWord/>
      <trackRevisions>false</trackRevisions>
    </reviewItem>
    <reviewItem>
      <errorID>0b01ee26-8a68-439a-b331-e2d69b6794b4</errorID>
      <errorWord>)</errorWord>
      <group>L1_Format</group>
      <groupName>格式问题</groupName>
      <ability>L2_HalfPunc_CN</ability>
      <abilityName>全半角问题</abilityName>
      <candidateList>
        <item>）</item>
      </candidateList>
      <explain>文本全半角错误。</explain>
      <paraID>79545EFC</paraID>
      <start>41</start>
      <end>42</end>
      <status>ignored</status>
      <modifiedWord/>
      <trackRevisions>false</trackRevisions>
    </reviewItem>
    <reviewItem>
      <errorID>d16a542f-ddd1-4a83-b6d8-df046b4120fe</errorID>
      <errorWord>、和</errorWord>
      <group>L1_Word</group>
      <groupName>字词问题</groupName>
      <ability>L2_Typo</ability>
      <abilityName>字词错误</abilityName>
      <candidateList>
        <item>、</item>
      </candidateList>
      <explain/>
      <paraID>65262702</paraID>
      <start>43</start>
      <end>45</end>
      <status>unmodified</status>
      <modifiedWord/>
      <trackRevisions>false</trackRevisions>
    </reviewItem>
    <reviewItem>
      <errorID>060f3c4c-e30f-4d77-ab37-3e2ad130bc9a</errorID>
      <errorWord>强</errorWord>
      <group>L1_Word</group>
      <groupName>字词问题</groupName>
      <ability>L2_Typo</ability>
      <abilityName>字词错误</abilityName>
      <candidateList>
        <item>强对</item>
      </candidateList>
      <explain/>
      <paraID> 41C2AEA</paraID>
      <start>29</start>
      <end>30</end>
      <status>unmodified</status>
      <modifiedWord/>
      <trackRevisions>false</trackRevisions>
    </reviewItem>
    <reviewItem>
      <errorID>2afb4ba8-4fe0-4724-8b0f-d21403a618aa</errorID>
      <errorWord>[2019]53号</errorWord>
      <group>L1_Knowledge</group>
      <groupName>知识性问题</groupName>
      <ability>L2_Knowledge</ability>
      <abilityName>其他知识</abilityName>
      <candidateList>
        <item>〔2019〕53号</item>
      </candidateList>
      <explain>发文字号格式错误。</explain>
      <paraID>22B944E5</paraID>
      <start>26</start>
      <end>35</end>
      <status>unmodified</status>
      <modifiedWord/>
      <trackRevisions>false</trackRevisions>
    </reviewItem>
    <reviewItem>
      <errorID>c41d50c4-7af1-46f7-b2d0-fd5824e66543</errorID>
      <errorWord>本项目本项目</errorWord>
      <group>L1_Word</group>
      <groupName>字词问题</groupName>
      <ability>L2_Typo</ability>
      <abilityName>字词错误</abilityName>
      <candidateList>
        <item>本项目</item>
      </candidateList>
      <explain/>
      <paraID>596B7950</paraID>
      <start>0</start>
      <end>6</end>
      <status>unmodified</status>
      <modifiedWord/>
      <trackRevisions>false</trackRevisions>
    </reviewItem>
    <reviewItem>
      <errorID>4d3dc9e9-5629-4eb1-ab43-30cba07d1134</errorID>
      <errorWord>程</errorWord>
      <group>L1_Word</group>
      <groupName>字词问题</groupName>
      <ability>L2_Typo</ability>
      <abilityName>字词错误</abilityName>
      <candidateList>
        <item>程中</item>
      </candidateList>
      <explain/>
      <paraID>424D5053</paraID>
      <start>169</start>
      <end>170</end>
      <status>unmodified</status>
      <modifiedWord/>
      <trackRevisions>false</trackRevisions>
    </reviewItem>
    <reviewItem>
      <errorID>66291979-89be-4b54-aab8-0b097d65d1dd</errorID>
      <errorWord>本项目本项目</errorWord>
      <group>L1_Word</group>
      <groupName>字词问题</groupName>
      <ability>L2_Typo</ability>
      <abilityName>字词错误</abilityName>
      <candidateList>
        <item>本项目</item>
      </candidateList>
      <explain/>
      <paraID>24F5796C</paraID>
      <start>0</start>
      <end>6</end>
      <status>unmodified</status>
      <modifiedWord/>
      <trackRevisions>false</trackRevisions>
    </reviewItem>
    <reviewItem>
      <errorID>33b33c0b-277b-429d-83a4-26930d9c3f31</errorID>
      <errorWord>符合1</errorWord>
      <group>L1_Other</group>
      <groupName>其他问题</groupName>
      <ability>L2_Consistency</ability>
      <abilityName>一致性检查</abilityName>
      <candidateList>
        <item>符合</item>
      </candidateList>
      <explain>术语一致性：文本中其他地方均表述为“符合”，此处多了数字“1”，表述不一致</explain>
      <paraID>31546569</paraID>
      <start>0</start>
      <end>3</end>
      <status>unmodified</status>
      <modifiedWord/>
      <trackRevisions>false</trackRevisions>
    </reviewItem>
    <reviewItem>
      <errorID>038d9aa4-5601-43e5-8451-8c8519b16831</errorID>
      <errorWord>（</errorWord>
      <group>L1_Punc</group>
      <groupName>标点问题</groupName>
      <ability>L2_Punc_CN</ability>
      <abilityName>标点符号问题</abilityName>
      <candidateList>
        <item/>
      </candidateList>
      <explain/>
      <paraID>61CF3333</paraID>
      <start>276</start>
      <end>277</end>
      <status>unmodified</status>
      <modifiedWord/>
      <trackRevisions>false</trackRevisions>
    </reviewItem>
    <reviewItem>
      <errorID>b1fa7f13-2d56-4157-9b2a-58908f33a3e1</errorID>
      <errorWord>）</errorWord>
      <group>L1_Punc</group>
      <groupName>标点问题</groupName>
      <ability>L2_Punc_CN</ability>
      <abilityName>标点符号问题</abilityName>
      <candidateList>
        <item/>
      </candidateList>
      <explain/>
      <paraID>61CF3333</paraID>
      <start>281</start>
      <end>282</end>
      <status>unmodified</status>
      <modifiedWord/>
      <trackRevisions>false</trackRevisions>
    </reviewItem>
    <reviewItem>
      <errorID>c2c25d3a-85c9-4570-8e5c-1efd26caade7</errorID>
      <errorWord>（</errorWord>
      <group>L1_Punc</group>
      <groupName>标点问题</groupName>
      <ability>L2_Punc_CN</ability>
      <abilityName>标点符号问题</abilityName>
      <candidateList>
        <item/>
      </candidateList>
      <explain/>
      <paraID>61CF3333</paraID>
      <start>295</start>
      <end>296</end>
      <status>unmodified</status>
      <modifiedWord/>
      <trackRevisions>false</trackRevisions>
    </reviewItem>
    <reviewItem>
      <errorID>7f436515-1bda-46fe-a6a7-e049523b1142</errorID>
      <errorWord>）</errorWord>
      <group>L1_Punc</group>
      <groupName>标点问题</groupName>
      <ability>L2_Punc_CN</ability>
      <abilityName>标点符号问题</abilityName>
      <candidateList>
        <item/>
      </candidateList>
      <explain/>
      <paraID>61CF3333</paraID>
      <start>300</start>
      <end>301</end>
      <status>unmodified</status>
      <modifiedWord/>
      <trackRevisions>false</trackRevisions>
    </reviewItem>
    <reviewItem>
      <errorID>29b89f0f-79ab-411f-baf2-1ea2905d2157</errorID>
      <errorWord>(</errorWord>
      <group>L1_Format</group>
      <groupName>格式问题</groupName>
      <ability>L2_HalfPunc_CN</ability>
      <abilityName>全半角问题</abilityName>
      <candidateList>
        <item>（</item>
      </candidateList>
      <explain>文本全半角错误。</explain>
      <paraID>23F138F0</paraID>
      <start>82</start>
      <end>83</end>
      <status>ignored</status>
      <modifiedWord/>
      <trackRevisions>false</trackRevisions>
    </reviewItem>
    <reviewItem>
      <errorID>b36d1b7c-7b17-427c-8b10-cab72b5d1fef</errorID>
      <errorWord>)</errorWord>
      <group>L1_Format</group>
      <groupName>格式问题</groupName>
      <ability>L2_HalfPunc_CN</ability>
      <abilityName>全半角问题</abilityName>
      <candidateList>
        <item>）</item>
      </candidateList>
      <explain>文本全半角错误。</explain>
      <paraID>23F138F0</paraID>
      <start>87</start>
      <end>88</end>
      <status>ignored</status>
      <modifiedWord/>
      <trackRevisions>false</trackRevisions>
    </reviewItem>
    <reviewItem>
      <errorID>443e6710-8505-4817-9235-c9775a7c5c9d</errorID>
      <errorWord>1所示</errorWord>
      <group>L1_Grammar</group>
      <groupName>语法问题</groupName>
      <ability>L2_Grammar</ability>
      <abilityName>语法错误</abilityName>
      <candidateList>
        <item>1</item>
      </candidateList>
      <explain/>
      <paraID>2C7BF559</paraID>
      <start>21</start>
      <end>24</end>
      <status>unmodified</status>
      <modifiedWord/>
      <trackRevisions>false</trackRevisions>
    </reviewItem>
    <reviewItem>
      <errorID>a5b6dbb4-7f07-41c3-8d98-d011e8c467ce</errorID>
      <errorWord>胶粘剂</errorWord>
      <group>L1_Word</group>
      <groupName>字词问题</groupName>
      <ability>L2_Typo</ability>
      <abilityName>字词错误</abilityName>
      <candidateList>
        <item>胶黏剂</item>
      </candidateList>
      <explain/>
      <paraID> 27A66AA</paraID>
      <start>24</start>
      <end>27</end>
      <status>unmodified</status>
      <modifiedWord/>
      <trackRevisions>false</trackRevisions>
    </reviewItem>
    <reviewItem>
      <errorID>310144aa-22d9-4c6a-80dd-a94a96cc5406</errorID>
      <errorWord>涉及到</errorWord>
      <group>L1_Word</group>
      <groupName>字词问题</groupName>
      <ability>L2_Typo</ability>
      <abilityName>字词错误</abilityName>
      <candidateList>
        <item>涉及</item>
      </candidateList>
      <explain>〈动〉牵涉到；关联到：案子～好几个人｜这个问题～面很广。</explain>
      <paraID>51711EB0</paraID>
      <start>80</start>
      <end>83</end>
      <status>unmodified</status>
      <modifiedWord/>
      <trackRevisions>false</trackRevisions>
    </reviewItem>
    <reviewItem>
      <errorID>0a69d040-dd72-4c9c-afe6-2cfb5573a441</errorID>
      <errorWord>(</errorWord>
      <group>L1_Format</group>
      <groupName>格式问题</groupName>
      <ability>L2_HalfPunc_CN</ability>
      <abilityName>全半角问题</abilityName>
      <candidateList>
        <item>（</item>
      </candidateList>
      <explain>文本全半角错误。</explain>
      <paraID>51711EB0</paraID>
      <start>105</start>
      <end>106</end>
      <status>ignored</status>
      <modifiedWord/>
      <trackRevisions>false</trackRevisions>
    </reviewItem>
    <reviewItem>
      <errorID>51f4639e-606c-42b4-acad-dffbf69f8fb1</errorID>
      <errorWord>)</errorWord>
      <group>L1_Format</group>
      <groupName>格式问题</groupName>
      <ability>L2_HalfPunc_CN</ability>
      <abilityName>全半角问题</abilityName>
      <candidateList>
        <item>）</item>
      </candidateList>
      <explain>文本全半角错误。</explain>
      <paraID>51711EB0</paraID>
      <start>120</start>
      <end>121</end>
      <status>ignored</status>
      <modifiedWord/>
      <trackRevisions>false</trackRevisions>
    </reviewItem>
    <reviewItem>
      <errorID>6d0f0c39-8c1f-4f05-a3f6-de1f33e7d371</errorID>
      <errorWord>（</errorWord>
      <group>L1_Punc</group>
      <groupName>标点问题</groupName>
      <ability>L2_Punc_CN</ability>
      <abilityName>标点符号问题</abilityName>
      <candidateList/>
      <explain>同一形式括号套用。</explain>
      <paraID>51711EB0</paraID>
      <start>194</start>
      <end>195</end>
      <status>unmodified</status>
      <modifiedWord/>
      <trackRevisions>false</trackRevisions>
    </reviewItem>
    <reviewItem>
      <errorID>414f4b27-c92f-4753-b15e-b4cab5bf23aa</errorID>
      <errorWord>）</errorWord>
      <group>L1_Punc</group>
      <groupName>标点问题</groupName>
      <ability>L2_Punc_CN</ability>
      <abilityName>标点符号问题</abilityName>
      <candidateList/>
      <explain>同一形式括号套用。</explain>
      <paraID>51711EB0</paraID>
      <start>204</start>
      <end>205</end>
      <status>unmodified</status>
      <modifiedWord/>
      <trackRevisions>false</trackRevisions>
    </reviewItem>
    <reviewItem>
      <errorID>47177b7d-1dde-4d44-9dab-bd34015cc052</errorID>
      <errorWord>-</errorWord>
      <group>L1_Format</group>
      <groupName>格式问题</groupName>
      <ability>L2_HalfPunc_CN</ability>
      <abilityName>全半角问题</abilityName>
      <candidateList>
        <item>－</item>
      </candidateList>
      <explain>文本全半角错误。</explain>
      <paraID>586DBAD9</paraID>
      <start>242</start>
      <end>243</end>
      <status>unmodified</status>
      <modifiedWord/>
      <trackRevisions>false</trackRevisions>
    </reviewItem>
    <reviewItem>
      <errorID>2ad020b3-cb4a-4131-8963-f67d7291a314</errorID>
      <errorWord>(</errorWord>
      <group>L1_Format</group>
      <groupName>格式问题</groupName>
      <ability>L2_HalfPunc_CN</ability>
      <abilityName>全半角问题</abilityName>
      <candidateList>
        <item>（</item>
      </candidateList>
      <explain>文本全半角错误。</explain>
      <paraID>7FAF696D</paraID>
      <start>99</start>
      <end>100</end>
      <status>ignored</status>
      <modifiedWord/>
      <trackRevisions>false</trackRevisions>
    </reviewItem>
    <reviewItem>
      <errorID>4357d0db-2a13-40f2-8d10-7ee7b558b127</errorID>
      <errorWord>)(</errorWord>
      <group>L1_Format</group>
      <groupName>格式问题</groupName>
      <ability>L2_HalfPunc_CN</ability>
      <abilityName>全半角问题</abilityName>
      <candidateList>
        <item>）（</item>
      </candidateList>
      <explain>文本全半角错误。</explain>
      <paraID>7FAF696D</paraID>
      <start>105</start>
      <end>107</end>
      <status>unmodified</status>
      <modifiedWord/>
      <trackRevisions>false</trackRevisions>
    </reviewItem>
    <reviewItem>
      <errorID>25eba0d6-572c-4272-b5be-97182e5fb22d</errorID>
      <errorWord>)</errorWord>
      <group>L1_Format</group>
      <groupName>格式问题</groupName>
      <ability>L2_HalfPunc_CN</ability>
      <abilityName>全半角问题</abilityName>
      <candidateList>
        <item>）</item>
      </candidateList>
      <explain>文本全半角错误。</explain>
      <paraID>7FAF696D</paraID>
      <start>109</start>
      <end>110</end>
      <status>ignored</status>
      <modifiedWord/>
      <trackRevisions>false</trackRevisions>
    </reviewItem>
    <reviewItem>
      <errorID>7f00f8ad-040b-4237-9ee3-f80c412aab4d</errorID>
      <errorWord>(</errorWord>
      <group>L1_Format</group>
      <groupName>格式问题</groupName>
      <ability>L2_HalfPunc_CN</ability>
      <abilityName>全半角问题</abilityName>
      <candidateList>
        <item>（</item>
      </candidateList>
      <explain>文本全半角错误。</explain>
      <paraID>79C7BBEE</paraID>
      <start>109</start>
      <end>110</end>
      <status>ignored</status>
      <modifiedWord/>
      <trackRevisions>false</trackRevisions>
    </reviewItem>
    <reviewItem>
      <errorID>716ee937-2fc4-4ad8-a465-f1a1d76710db</errorID>
      <errorWord>)</errorWord>
      <group>L1_Format</group>
      <groupName>格式问题</groupName>
      <ability>L2_HalfPunc_CN</ability>
      <abilityName>全半角问题</abilityName>
      <candidateList>
        <item>）</item>
      </candidateList>
      <explain>文本全半角错误。</explain>
      <paraID>79C7BBEE</paraID>
      <start>113</start>
      <end>114</end>
      <status>ignored</status>
      <modifiedWord/>
      <trackRevisions>false</trackRevisions>
    </reviewItem>
    <reviewItem>
      <errorID>40ecbf43-ad3e-4514-8c10-a314abc01116</errorID>
      <errorWord>（</errorWord>
      <group>L1_Punc</group>
      <groupName>标点问题</groupName>
      <ability>L2_Punc_CN</ability>
      <abilityName>标点符号问题</abilityName>
      <candidateList/>
      <explain>同一形式括号套用。</explain>
      <paraID>21BAC15C</paraID>
      <start>33</start>
      <end>34</end>
      <status>unmodified</status>
      <modifiedWord/>
      <trackRevisions>false</trackRevisions>
    </reviewItem>
    <reviewItem>
      <errorID>431539dd-2f66-4655-a62c-9aacabcf7d72</errorID>
      <errorWord>）</errorWord>
      <group>L1_Punc</group>
      <groupName>标点问题</groupName>
      <ability>L2_Punc_CN</ability>
      <abilityName>标点符号问题</abilityName>
      <candidateList/>
      <explain>同一形式括号套用。</explain>
      <paraID>21BAC15C</paraID>
      <start>43</start>
      <end>44</end>
      <status>unmodified</status>
      <modifiedWord/>
      <trackRevisions>false</trackRevisions>
    </reviewItem>
    <reviewItem>
      <errorID>ba659de6-19f3-4a5d-92ad-b9fabeeca375</errorID>
      <errorWord>(</errorWord>
      <group>L1_Format</group>
      <groupName>格式问题</groupName>
      <ability>L2_HalfPunc_CN</ability>
      <abilityName>全半角问题</abilityName>
      <candidateList>
        <item>（</item>
      </candidateList>
      <explain>文本全半角错误。</explain>
      <paraID>21BAC15C</paraID>
      <start>76</start>
      <end>77</end>
      <status>ignored</status>
      <modifiedWord/>
      <trackRevisions>false</trackRevisions>
    </reviewItem>
    <reviewItem>
      <errorID>f0a8d9ff-06b5-4a5a-a436-7d0217dfd415</errorID>
      <errorWord>)</errorWord>
      <group>L1_Format</group>
      <groupName>格式问题</groupName>
      <ability>L2_HalfPunc_CN</ability>
      <abilityName>全半角问题</abilityName>
      <candidateList>
        <item>）</item>
      </candidateList>
      <explain>文本全半角错误。</explain>
      <paraID>21BAC15C</paraID>
      <start>82</start>
      <end>83</end>
      <status>ignored</status>
      <modifiedWord/>
      <trackRevisions>false</trackRevisions>
    </reviewItem>
    <reviewItem>
      <errorID>35090943-bd48-4969-8676-fe706b2fa896</errorID>
      <errorWord>（</errorWord>
      <group>L1_Format</group>
      <groupName>格式问题</groupName>
      <ability>L2_HalfPunc_CN</ability>
      <abilityName>全半角问题</abilityName>
      <candidateList>
        <item>(</item>
      </candidateList>
      <explain>文本全半角错误。</explain>
      <paraID> 2DEFBF7</paraID>
      <start>11</start>
      <end>12</end>
      <status>unmodified</status>
      <modifiedWord/>
      <trackRevisions>false</trackRevisions>
    </reviewItem>
    <reviewItem>
      <errorID>f46041a5-3908-4dec-8715-bca1700ffeb5</errorID>
      <errorWord>）</errorWord>
      <group>L1_Format</group>
      <groupName>格式问题</groupName>
      <ability>L2_HalfPunc_CN</ability>
      <abilityName>全半角问题</abilityName>
      <candidateList>
        <item>)</item>
      </candidateList>
      <explain>文本全半角错误。</explain>
      <paraID> 2DEFBF7</paraID>
      <start>18</start>
      <end>19</end>
      <status>unmodified</status>
      <modifiedWord/>
      <trackRevisions>false</trackRevisions>
    </reviewItem>
    <reviewItem>
      <errorID>8edd72c7-c246-493b-ab65-5fa962b71d81</errorID>
      <errorWord>（</errorWord>
      <group>L1_Format</group>
      <groupName>格式问题</groupName>
      <ability>L2_HalfPunc_CN</ability>
      <abilityName>全半角问题</abilityName>
      <candidateList>
        <item>(</item>
      </candidateList>
      <explain>文本全半角错误。</explain>
      <paraID>47932E6E</paraID>
      <start>12</start>
      <end>13</end>
      <status>unmodified</status>
      <modifiedWord/>
      <trackRevisions>false</trackRevisions>
    </reviewItem>
    <reviewItem>
      <errorID>7d3c0046-920a-4494-b80a-2571f9193507</errorID>
      <errorWord>）</errorWord>
      <group>L1_Format</group>
      <groupName>格式问题</groupName>
      <ability>L2_HalfPunc_CN</ability>
      <abilityName>全半角问题</abilityName>
      <candidateList>
        <item>)</item>
      </candidateList>
      <explain>文本全半角错误。</explain>
      <paraID>47932E6E</paraID>
      <start>19</start>
      <end>20</end>
      <status>unmodified</status>
      <modifiedWord/>
      <trackRevisions>false</trackRevisions>
    </reviewItem>
    <reviewItem>
      <errorID>ea1a3fbd-9eb7-4ecd-a6d7-12f5f43cd265</errorID>
      <errorWord>（</errorWord>
      <group>L1_Format</group>
      <groupName>格式问题</groupName>
      <ability>L2_HalfPunc_CN</ability>
      <abilityName>全半角问题</abilityName>
      <candidateList>
        <item>(</item>
      </candidateList>
      <explain>文本全半角错误。</explain>
      <paraID>626AB884</paraID>
      <start>12</start>
      <end>13</end>
      <status>unmodified</status>
      <modifiedWord/>
      <trackRevisions>false</trackRevisions>
    </reviewItem>
    <reviewItem>
      <errorID>fcf68f8e-6f10-43c9-b486-fe09690468e3</errorID>
      <errorWord>）</errorWord>
      <group>L1_Format</group>
      <groupName>格式问题</groupName>
      <ability>L2_HalfPunc_CN</ability>
      <abilityName>全半角问题</abilityName>
      <candidateList>
        <item>)</item>
      </candidateList>
      <explain>文本全半角错误。</explain>
      <paraID>626AB884</paraID>
      <start>20</start>
      <end>21</end>
      <status>unmodified</status>
      <modifiedWord/>
      <trackRevisions>false</trackRevisions>
    </reviewItem>
    <reviewItem>
      <errorID>4e9a6bda-2b4e-4f12-94f5-3023e3a7cb6a</errorID>
      <errorWord>(</errorWord>
      <group>L1_Format</group>
      <groupName>格式问题</groupName>
      <ability>L2_HalfPunc_CN</ability>
      <abilityName>全半角问题</abilityName>
      <candidateList>
        <item>（</item>
      </candidateList>
      <explain>文本全半角错误。</explain>
      <paraID>2289E589</paraID>
      <start>29</start>
      <end>30</end>
      <status>ignored</status>
      <modifiedWord/>
      <trackRevisions>false</trackRevisions>
    </reviewItem>
    <reviewItem>
      <errorID>594d65a7-f16e-4d30-80d8-4e2b552a5c77</errorID>
      <errorWord>)</errorWord>
      <group>L1_Format</group>
      <groupName>格式问题</groupName>
      <ability>L2_HalfPunc_CN</ability>
      <abilityName>全半角问题</abilityName>
      <candidateList>
        <item>）</item>
      </candidateList>
      <explain>文本全半角错误。</explain>
      <paraID>2289E589</paraID>
      <start>33</start>
      <end>34</end>
      <status>ignored</status>
      <modifiedWord/>
      <trackRevisions>false</trackRevisions>
    </reviewItem>
    <reviewItem>
      <errorID>9a70e63e-e8d9-46ea-bc5c-640cff31a3c8</errorID>
      <errorWord>(</errorWord>
      <group>L1_Format</group>
      <groupName>格式问题</groupName>
      <ability>L2_HalfPunc_CN</ability>
      <abilityName>全半角问题</abilityName>
      <candidateList>
        <item>（</item>
      </candidateList>
      <explain>文本全半角错误。</explain>
      <paraID>669059DD</paraID>
      <start>29</start>
      <end>30</end>
      <status>ignored</status>
      <modifiedWord/>
      <trackRevisions>false</trackRevisions>
    </reviewItem>
    <reviewItem>
      <errorID>95a4c21a-8c24-4f7d-a433-3d4bb26c85c3</errorID>
      <errorWord>)</errorWord>
      <group>L1_Format</group>
      <groupName>格式问题</groupName>
      <ability>L2_HalfPunc_CN</ability>
      <abilityName>全半角问题</abilityName>
      <candidateList>
        <item>）</item>
      </candidateList>
      <explain>文本全半角错误。</explain>
      <paraID>669059DD</paraID>
      <start>33</start>
      <end>34</end>
      <status>ignored</status>
      <modifiedWord/>
      <trackRevisions>false</trackRevisions>
    </reviewItem>
    <reviewItem>
      <errorID>ec3a8866-dc3a-4a4b-bc47-ac64fee8d24e</errorID>
      <errorWord>(</errorWord>
      <group>L1_Format</group>
      <groupName>格式问题</groupName>
      <ability>L2_HalfPunc_CN</ability>
      <abilityName>全半角问题</abilityName>
      <candidateList>
        <item>（</item>
      </candidateList>
      <explain>文本全半角错误。</explain>
      <paraID>234D0D4F</paraID>
      <start>38</start>
      <end>39</end>
      <status>ignored</status>
      <modifiedWord/>
      <trackRevisions>false</trackRevisions>
    </reviewItem>
    <reviewItem>
      <errorID>17220fa3-e362-49bb-aeea-e32fd5428a77</errorID>
      <errorWord>)</errorWord>
      <group>L1_Format</group>
      <groupName>格式问题</groupName>
      <ability>L2_HalfPunc_CN</ability>
      <abilityName>全半角问题</abilityName>
      <candidateList>
        <item>）</item>
      </candidateList>
      <explain>文本全半角错误。</explain>
      <paraID>234D0D4F</paraID>
      <start>43</start>
      <end>44</end>
      <status>ignored</status>
      <modifiedWord/>
      <trackRevisions>false</trackRevisions>
    </reviewItem>
    <reviewItem>
      <errorID>afc5f652-404f-4472-a24d-843ae132677f</errorID>
      <errorWord>(</errorWord>
      <group>L1_Format</group>
      <groupName>格式问题</groupName>
      <ability>L2_HalfPunc_CN</ability>
      <abilityName>全半角问题</abilityName>
      <candidateList>
        <item>（</item>
      </candidateList>
      <explain>文本全半角错误。</explain>
      <paraID>6DF95D22</paraID>
      <start>49</start>
      <end>50</end>
      <status>ignored</status>
      <modifiedWord/>
      <trackRevisions>false</trackRevisions>
    </reviewItem>
    <reviewItem>
      <errorID>c6eb3d9c-ad49-41bb-b6db-fb0450e181b6</errorID>
      <errorWord>)</errorWord>
      <group>L1_Format</group>
      <groupName>格式问题</groupName>
      <ability>L2_HalfPunc_CN</ability>
      <abilityName>全半角问题</abilityName>
      <candidateList>
        <item>）</item>
      </candidateList>
      <explain>文本全半角错误。</explain>
      <paraID>6DF95D22</paraID>
      <start>52</start>
      <end>53</end>
      <status>ignored</status>
      <modifiedWord/>
      <trackRevisions>false</trackRevisions>
    </reviewItem>
    <reviewItem>
      <errorID>4b2fe04c-e7fb-420f-92b2-6ad25ce8a0f6</errorID>
      <errorWord>(</errorWord>
      <group>L1_Format</group>
      <groupName>格式问题</groupName>
      <ability>L2_HalfPunc_CN</ability>
      <abilityName>全半角问题</abilityName>
      <candidateList>
        <item>（</item>
      </candidateList>
      <explain>文本全半角错误。</explain>
      <paraID>6DF95D22</paraID>
      <start>57</start>
      <end>58</end>
      <status>ignored</status>
      <modifiedWord/>
      <trackRevisions>false</trackRevisions>
    </reviewItem>
    <reviewItem>
      <errorID>4620e052-1e9b-4f05-b0bb-6977a2df5eb6</errorID>
      <errorWord>)</errorWord>
      <group>L1_Format</group>
      <groupName>格式问题</groupName>
      <ability>L2_HalfPunc_CN</ability>
      <abilityName>全半角问题</abilityName>
      <candidateList>
        <item>）</item>
      </candidateList>
      <explain>文本全半角错误。</explain>
      <paraID>6DF95D22</paraID>
      <start>60</start>
      <end>61</end>
      <status>ignored</status>
      <modifiedWord/>
      <trackRevisions>false</trackRevisions>
    </reviewItem>
    <reviewItem>
      <errorID>8d531d4e-dc61-44b4-bbf6-52835631a9b1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53AF0483</paraID>
      <start>0</start>
      <end>2</end>
      <status>unmodified</status>
      <modifiedWord/>
      <trackRevisions>false</trackRevisions>
    </reviewItem>
    <reviewItem>
      <errorID>e5cf8699-36f0-4d97-bec7-2fe8b662646b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29550D82</paraID>
      <start>0</start>
      <end>2</end>
      <status>unmodified</status>
      <modifiedWord/>
      <trackRevisions>false</trackRevisions>
    </reviewItem>
    <reviewItem>
      <errorID>7c5fac64-1c49-4107-836b-3166986f39a5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1F30ECF8</paraID>
      <start>0</start>
      <end>2</end>
      <status>unmodified</status>
      <modifiedWord/>
      <trackRevisions>false</trackRevisions>
    </reviewItem>
    <reviewItem>
      <errorID>b13c210a-5828-4674-8642-367991b9aca3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650A068B</paraID>
      <start>0</start>
      <end>2</end>
      <status>unmodified</status>
      <modifiedWord/>
      <trackRevisions>false</trackRevisions>
    </reviewItem>
    <reviewItem>
      <errorID>426ca4ee-13ba-47d5-9576-196994fa3d2b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49437EFE</paraID>
      <start>0</start>
      <end>2</end>
      <status>unmodified</status>
      <modifiedWord/>
      <trackRevisions>false</trackRevisions>
    </reviewItem>
    <reviewItem>
      <errorID>f79857ff-a2aa-480d-9e7a-f46dff0421f5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312BB3F5</paraID>
      <start>0</start>
      <end>2</end>
      <status>unmodified</status>
      <modifiedWord/>
      <trackRevisions>false</trackRevisions>
    </reviewItem>
    <reviewItem>
      <errorID>bd2ce3ca-530a-42c8-94eb-5fe9d85b489e</errorID>
      <errorWord>（</errorWord>
      <group>L1_Punc</group>
      <groupName>标点问题</groupName>
      <ability>L2_Punc_CN</ability>
      <abilityName>标点符号问题</abilityName>
      <candidateList/>
      <explain>同一形式括号套用。</explain>
      <paraID>68945FE2</paraID>
      <start>77</start>
      <end>78</end>
      <status>unmodified</status>
      <modifiedWord/>
      <trackRevisions>false</trackRevisions>
    </reviewItem>
    <reviewItem>
      <errorID>a1bf89a2-5027-4ec2-bbf6-c1ffe469d72c</errorID>
      <errorWord>）</errorWord>
      <group>L1_Punc</group>
      <groupName>标点问题</groupName>
      <ability>L2_Punc_CN</ability>
      <abilityName>标点符号问题</abilityName>
      <candidateList/>
      <explain>同一形式括号套用。</explain>
      <paraID>68945FE2</paraID>
      <start>87</start>
      <end>88</end>
      <status>unmodified</status>
      <modifiedWord/>
      <trackRevisions>false</trackRevisions>
    </reviewItem>
    <reviewItem>
      <errorID>bc2a4a87-8d42-42f3-8e4f-05c98f90a9f2</errorID>
      <errorWord>处理达《污水综合</errorWord>
      <group>L1_Word</group>
      <groupName>字词问题</groupName>
      <ability>L2_Typo</ability>
      <abilityName>字词错误</abilityName>
      <candidateList>
        <item>处理达到《污水综合</item>
      </candidateList>
      <explain/>
      <paraID>68945FE2</paraID>
      <start>135</start>
      <end>143</end>
      <status>unmodified</status>
      <modifiedWord/>
      <trackRevisions>false</trackRevisions>
    </reviewItem>
    <reviewItem>
      <errorID>d97ecb2d-855a-4ea0-aed3-ff2f281c0f6c</errorID>
      <errorWord>（</errorWord>
      <group>L1_Punc</group>
      <groupName>标点问题</groupName>
      <ability>L2_Punc_CN</ability>
      <abilityName>标点符号问题</abilityName>
      <candidateList/>
      <explain>同一形式括号套用。</explain>
      <paraID>68945FE2</paraID>
      <start>190</start>
      <end>191</end>
      <status>unmodified</status>
      <modifiedWord/>
      <trackRevisions>false</trackRevisions>
    </reviewItem>
    <reviewItem>
      <errorID>b0261b9a-be5b-4247-a966-18a2150653a8</errorID>
      <errorWord>）</errorWord>
      <group>L1_Punc</group>
      <groupName>标点问题</groupName>
      <ability>L2_Punc_CN</ability>
      <abilityName>标点符号问题</abilityName>
      <candidateList/>
      <explain>同一形式括号套用。</explain>
      <paraID>68945FE2</paraID>
      <start>205</start>
      <end>206</end>
      <status>unmodified</status>
      <modifiedWord/>
      <trackRevisions>false</trackRevisions>
    </reviewItem>
    <reviewItem>
      <errorID>50d5bbf3-fbc2-4d47-a502-d5421a70d7cb</errorID>
      <errorWord>达</errorWord>
      <group>L1_Word</group>
      <groupName>字词问题</groupName>
      <ability>L2_Typo</ability>
      <abilityName>字词错误</abilityName>
      <candidateList>
        <item>达到</item>
      </candidateList>
      <explain>〈动〉到（多指抽象事物或程度）：达得到｜达不到｜目的没有～｜～国际水平。</explain>
      <paraID>68945FE2</paraID>
      <start>230</start>
      <end>231</end>
      <status>ignored</status>
      <modifiedWord/>
      <trackRevisions>false</trackRevisions>
    </reviewItem>
    <reviewItem>
      <errorID>fe1df1e0-4394-4c18-a5b7-e5efc27f8327</errorID>
      <errorWord>达</errorWord>
      <group>L1_Word</group>
      <groupName>字词问题</groupName>
      <ability>L2_Typo</ability>
      <abilityName>字词错误</abilityName>
      <candidateList>
        <item>达到</item>
      </candidateList>
      <explain>〈动〉到（多指抽象事物或程度）：达得到｜达不到｜目的没有～｜～国际水平。</explain>
      <paraID>68945FE2</paraID>
      <start>285</start>
      <end>286</end>
      <status>ignored</status>
      <modifiedWord/>
      <trackRevisions>false</trackRevisions>
    </reviewItem>
    <reviewItem>
      <errorID>7e6a75b9-c228-402d-a9d2-05f1df1806d3</errorID>
      <errorWord>IV类</errorWord>
      <group>L1_Knowledge</group>
      <groupName>知识性问题</groupName>
      <ability>L2_Knowledge</ability>
      <abilityName>其他知识</abilityName>
      <candidateList>
        <item>Ⅳ类</item>
      </candidateList>
      <explain>中文环境下罗马数字格式错误。</explain>
      <paraID>68945FE2</paraID>
      <start>310</start>
      <end>313</end>
      <status>unmodified</status>
      <modifiedWord/>
      <trackRevisions>false</trackRevisions>
    </reviewItem>
    <reviewItem>
      <errorID>c1bd89b6-4ddf-42c7-aa92-ba6dd28da33a</errorID>
      <errorWord>废废</errorWord>
      <group>L1_Word</group>
      <groupName>字词问题</groupName>
      <ability>L2_Typo</ability>
      <abilityName>字词错误</abilityName>
      <candidateList>
        <item>废</item>
      </candidateList>
      <explain/>
      <paraID>6FD5B2C1</paraID>
      <start>1</start>
      <end>3</end>
      <status>unmodified</status>
      <modifiedWord/>
      <trackRevisions>false</trackRevisions>
    </reviewItem>
    <reviewItem>
      <errorID>6ed507d1-ab7f-4613-8213-6ee6d356fea8</errorID>
      <errorWord>设</errorWord>
      <group>L1_Word</group>
      <groupName>字词问题</groupName>
      <ability>L2_Typo</ability>
      <abilityName>字词错误</abilityName>
      <candidateList>
        <item>设置</item>
      </candidateList>
      <explain>〈动〉❶设立：这座剧院是为儿童～的。❷安放；安装：～障碍。</explain>
      <paraID>5B97BB3E</paraID>
      <start>54</start>
      <end>55</end>
      <status>unmodified</status>
      <modifiedWord/>
      <trackRevisions>false</trackRevisions>
    </reviewItem>
    <reviewItem>
      <errorID>7620505c-248e-4edd-a57b-36839300296c</errorID>
      <errorWord>，</errorWord>
      <group>L1_Word</group>
      <groupName>字词问题</groupName>
      <ability>L2_Typo</ability>
      <abilityName>字词错误</abilityName>
      <candidateList>
        <item>，对</item>
      </candidateList>
      <explain/>
      <paraID>273A0378</paraID>
      <start>48</start>
      <end>49</end>
      <status>unmodified</status>
      <modifiedWord/>
      <trackRevisions>false</trackRevisions>
    </reviewItem>
    <reviewItem>
      <errorID>a50889b0-483a-4f0b-8b1c-65cfdbb435d1</errorID>
      <errorWord>表</errorWord>
      <group>L1_Word</group>
      <groupName>字词问题</groupName>
      <ability>L2_Typo</ability>
      <abilityName>字词错误</abilityName>
      <candidateList>
        <item>表可</item>
      </candidateList>
      <explain/>
      <paraID>6CF1E0A8</paraID>
      <start>2</start>
      <end>3</end>
      <status>unmodified</status>
      <modifiedWord/>
      <trackRevisions>false</trackRevisions>
    </reviewItem>
    <reviewItem>
      <errorID>fce142d7-9530-405f-a85c-b4d434a97c0c</errorID>
      <errorWord>知</errorWord>
      <group>L1_Word</group>
      <groupName>字词问题</groupName>
      <ability>L2_Typo</ability>
      <abilityName>字词错误</abilityName>
      <candidateList>
        <item>可知</item>
      </candidateList>
      <explain/>
      <paraID>6CF1E0A8</paraID>
      <start>3</start>
      <end>4</end>
      <status>unmodified</status>
      <modifiedWord/>
      <trackRevisions>false</trackRevisions>
    </reviewItem>
    <reviewItem>
      <errorID>db7c7ec6-f292-4440-bb63-84afc1b4b776</errorID>
      <errorWord>(</errorWord>
      <group>L1_Format</group>
      <groupName>格式问题</groupName>
      <ability>L2_HalfPunc_CN</ability>
      <abilityName>全半角问题</abilityName>
      <candidateList>
        <item>（</item>
      </candidateList>
      <explain>文本全半角错误。</explain>
      <paraID>6A310E4E</paraID>
      <start>0</start>
      <end>1</end>
      <status>ignored</status>
      <modifiedWord/>
      <trackRevisions>false</trackRevisions>
    </reviewItem>
    <reviewItem>
      <errorID>3560cccf-58c1-4138-a714-c9af785c41ea</errorID>
      <errorWord>)</errorWord>
      <group>L1_Format</group>
      <groupName>格式问题</groupName>
      <ability>L2_HalfPunc_CN</ability>
      <abilityName>全半角问题</abilityName>
      <candidateList>
        <item>）</item>
      </candidateList>
      <explain>文本全半角错误。</explain>
      <paraID>6A310E4E</paraID>
      <start>3</start>
      <end>4</end>
      <status>ignored</status>
      <modifiedWord/>
      <trackRevisions>false</trackRevisions>
    </reviewItem>
    <reviewItem>
      <errorID>2933ad4b-25b4-400f-85e1-01a01a981bf2</errorID>
      <errorWord>（</errorWord>
      <group>L1_Format</group>
      <groupName>格式问题</groupName>
      <ability>L2_HalfPunc_CN</ability>
      <abilityName>全半角问题</abilityName>
      <candidateList>
        <item>(</item>
      </candidateList>
      <explain>文本全半角错误。</explain>
      <paraID>68D04627</paraID>
      <start>0</start>
      <end>1</end>
      <status>unmodified</status>
      <modifiedWord/>
      <trackRevisions>false</trackRevisions>
    </reviewItem>
    <reviewItem>
      <errorID>4834ac94-5aad-4b21-bc95-3b85b588319f</errorID>
      <errorWord>）</errorWord>
      <group>L1_Format</group>
      <groupName>格式问题</groupName>
      <ability>L2_HalfPunc_CN</ability>
      <abilityName>全半角问题</abilityName>
      <candidateList>
        <item>)</item>
      </candidateList>
      <explain>文本全半角错误。</explain>
      <paraID>68D04627</paraID>
      <start>13</start>
      <end>14</end>
      <status>unmodified</status>
      <modifiedWord/>
      <trackRevisions>false</trackRevisions>
    </reviewItem>
    <reviewItem>
      <errorID>c50b5f4f-cc63-46a1-856b-923b30b91b0b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1ED71C75</paraID>
      <start>60</start>
      <end>63</end>
      <status>unmodified</status>
      <modifiedWord/>
      <trackRevisions>false</trackRevisions>
    </reviewItem>
    <reviewItem>
      <errorID>031832d0-6ab7-408e-8550-368d322fde81</errorID>
      <errorWord>处理达《污水综合</errorWord>
      <group>L1_Word</group>
      <groupName>字词问题</groupName>
      <ability>L2_Typo</ability>
      <abilityName>字词错误</abilityName>
      <candidateList>
        <item>处理达到《污水综合</item>
      </candidateList>
      <explain/>
      <paraID>35FF24B1</paraID>
      <start>159</start>
      <end>167</end>
      <status>unmodified</status>
      <modifiedWord/>
      <trackRevisions>false</trackRevisions>
    </reviewItem>
    <reviewItem>
      <errorID>299ee327-1846-4c21-a859-d3e514fd95d6</errorID>
      <errorWord>达</errorWord>
      <group>L1_Word</group>
      <groupName>字词问题</groupName>
      <ability>L2_Typo</ability>
      <abilityName>字词错误</abilityName>
      <candidateList>
        <item>达到</item>
      </candidateList>
      <explain>〈动〉到（多指抽象事物或程度）：达得到｜达不到｜目的没有～｜～国际水平。</explain>
      <paraID>35FF24B1</paraID>
      <start>254</start>
      <end>255</end>
      <status>ignored</status>
      <modifiedWord/>
      <trackRevisions>false</trackRevisions>
    </reviewItem>
    <reviewItem>
      <errorID>743e0a0a-def1-471d-9f5c-57146f0ad06e</errorID>
      <errorWord>达</errorWord>
      <group>L1_Word</group>
      <groupName>字词问题</groupName>
      <ability>L2_Typo</ability>
      <abilityName>字词错误</abilityName>
      <candidateList>
        <item>达到</item>
      </candidateList>
      <explain>〈动〉到（多指抽象事物或程度）：达得到｜达不到｜目的没有～｜～国际水平。</explain>
      <paraID>35FF24B1</paraID>
      <start>309</start>
      <end>310</end>
      <status>ignored</status>
      <modifiedWord/>
      <trackRevisions>false</trackRevisions>
    </reviewItem>
    <reviewItem>
      <errorID>24313715-54da-4345-b978-d3dfa6748044</errorID>
      <errorWord>IV类</errorWord>
      <group>L1_Knowledge</group>
      <groupName>知识性问题</groupName>
      <ability>L2_Knowledge</ability>
      <abilityName>其他知识</abilityName>
      <candidateList>
        <item>Ⅳ类</item>
      </candidateList>
      <explain>中文环境下罗马数字格式错误。</explain>
      <paraID>35FF24B1</paraID>
      <start>334</start>
      <end>337</end>
      <status>unmodified</status>
      <modifiedWord/>
      <trackRevisions>false</trackRevisions>
    </reviewItem>
    <reviewItem>
      <errorID>86cf01d1-c314-43e7-861a-819a376e97c8</errorID>
      <errorWord>(</errorWord>
      <group>L1_Format</group>
      <groupName>格式问题</groupName>
      <ability>L2_HalfPunc_CN</ability>
      <abilityName>全半角问题</abilityName>
      <candidateList>
        <item>（</item>
      </candidateList>
      <explain>文本全半角错误。</explain>
      <paraID>7EB1B708</paraID>
      <start>3</start>
      <end>4</end>
      <status>ignored</status>
      <modifiedWord/>
      <trackRevisions>false</trackRevisions>
    </reviewItem>
    <reviewItem>
      <errorID>f400a91f-436d-4490-8f46-c13839181d87</errorID>
      <errorWord>)</errorWord>
      <group>L1_Format</group>
      <groupName>格式问题</groupName>
      <ability>L2_HalfPunc_CN</ability>
      <abilityName>全半角问题</abilityName>
      <candidateList>
        <item>）</item>
      </candidateList>
      <explain>文本全半角错误。</explain>
      <paraID>7EB1B708</paraID>
      <start>8</start>
      <end>9</end>
      <status>ignored</status>
      <modifiedWord/>
      <trackRevisions>false</trackRevisions>
    </reviewItem>
    <reviewItem>
      <errorID>83450387-9ee1-4351-a103-a455d540ec49</errorID>
      <errorWord>(</errorWord>
      <group>L1_Format</group>
      <groupName>格式问题</groupName>
      <ability>L2_HalfPunc_CN</ability>
      <abilityName>全半角问题</abilityName>
      <candidateList>
        <item>（</item>
      </candidateList>
      <explain>文本全半角错误。</explain>
      <paraID> D944DB7</paraID>
      <start>5</start>
      <end>6</end>
      <status>ignored</status>
      <modifiedWord/>
      <trackRevisions>false</trackRevisions>
    </reviewItem>
    <reviewItem>
      <errorID>150028ee-b34b-43d4-8fdd-d8fda96762e4</errorID>
      <errorWord>)</errorWord>
      <group>L1_Format</group>
      <groupName>格式问题</groupName>
      <ability>L2_HalfPunc_CN</ability>
      <abilityName>全半角问题</abilityName>
      <candidateList>
        <item>）</item>
      </candidateList>
      <explain>文本全半角错误。</explain>
      <paraID> D944DB7</paraID>
      <start>10</start>
      <end>11</end>
      <status>ignored</status>
      <modifiedWord/>
      <trackRevisions>false</trackRevisions>
    </reviewItem>
    <reviewItem>
      <errorID>6428371a-ed90-4fb7-b641-ede24d4c9975</errorID>
      <errorWord>(</errorWord>
      <group>L1_Format</group>
      <groupName>格式问题</groupName>
      <ability>L2_HalfPunc_CN</ability>
      <abilityName>全半角问题</abilityName>
      <candidateList>
        <item>（</item>
      </candidateList>
      <explain>文本全半角错误。</explain>
      <paraID> 15B553D</paraID>
      <start>4</start>
      <end>5</end>
      <status>ignored</status>
      <modifiedWord/>
      <trackRevisions>false</trackRevisions>
    </reviewItem>
    <reviewItem>
      <errorID>3a25a80a-3321-4e93-9287-cfc0c953f90e</errorID>
      <errorWord>)</errorWord>
      <group>L1_Format</group>
      <groupName>格式问题</groupName>
      <ability>L2_HalfPunc_CN</ability>
      <abilityName>全半角问题</abilityName>
      <candidateList>
        <item>）</item>
      </candidateList>
      <explain>文本全半角错误。</explain>
      <paraID> 15B553D</paraID>
      <start>9</start>
      <end>10</end>
      <status>ignored</status>
      <modifiedWord/>
      <trackRevisions>false</trackRevisions>
    </reviewItem>
    <reviewItem>
      <errorID>85dd7929-fdc6-4114-885a-172b5d7e4bcc</errorID>
      <errorWord>KW</errorWord>
      <group>L1_Word</group>
      <groupName>字词问题</groupName>
      <ability>L2_Typo</ability>
      <abilityName>字词错误</abilityName>
      <candidateList>
        <item>kW</item>
      </candidateList>
      <explain/>
      <paraID>5F559647</paraID>
      <start>10</start>
      <end>12</end>
      <status>unmodified</status>
      <modifiedWord/>
      <trackRevisions>false</trackRevisions>
    </reviewItem>
    <reviewItem>
      <errorID>bffebe7b-55bb-4247-a70a-b5713d195cbe</errorID>
      <errorWord>kw</errorWord>
      <group>L1_Word</group>
      <groupName>字词问题</groupName>
      <ability>L2_Typo</ability>
      <abilityName>字词错误</abilityName>
      <candidateList>
        <item>kW</item>
      </candidateList>
      <explain/>
      <paraID>13DE3890</paraID>
      <start>1</start>
      <end>3</end>
      <status>unmodified</status>
      <modifiedWord/>
      <trackRevisions>false</trackRevisions>
    </reviewItem>
    <reviewItem>
      <errorID>eafa1c41-2976-4ce6-8500-8ed48ee258da</errorID>
      <errorWord>~</errorWord>
      <group>L1_Format</group>
      <groupName>格式问题</groupName>
      <ability>L2_HalfPunc_CN</ability>
      <abilityName>全半角问题</abilityName>
      <candidateList>
        <item>～</item>
      </candidateList>
      <explain>文本全半角错误。</explain>
      <paraID>7DEA1BE4</paraID>
      <start>209</start>
      <end>210</end>
      <status>unmodified</status>
      <modifiedWord/>
      <trackRevisions>false</trackRevisions>
    </reviewItem>
    <reviewItem>
      <errorID>329a322d-0b2d-452c-8e71-80d39aa9819b</errorID>
      <errorWord>~</errorWord>
      <group>L1_Format</group>
      <groupName>格式问题</groupName>
      <ability>L2_HalfPunc_CN</ability>
      <abilityName>全半角问题</abilityName>
      <candidateList>
        <item>～</item>
      </candidateList>
      <explain>文本全半角错误。</explain>
      <paraID>5B46D87B</paraID>
      <start>22</start>
      <end>23</end>
      <status>unmodified</status>
      <modifiedWord/>
      <trackRevisions>false</trackRevisions>
    </reviewItem>
    <reviewItem>
      <errorID>5379ffcf-5deb-42db-9ac2-232f2edfcf7b</errorID>
      <errorWord>~</errorWord>
      <group>L1_Format</group>
      <groupName>格式问题</groupName>
      <ability>L2_HalfPunc_CN</ability>
      <abilityName>全半角问题</abilityName>
      <candidateList>
        <item>～</item>
      </candidateList>
      <explain>文本全半角错误。</explain>
      <paraID>548DBDB0</paraID>
      <start>24</start>
      <end>25</end>
      <status>unmodified</status>
      <modifiedWord/>
      <trackRevisions>false</trackRevisions>
    </reviewItem>
    <reviewItem>
      <errorID>bd724c46-5cbd-4986-b1c5-bb00c65713f4</errorID>
      <errorWord>~</errorWord>
      <group>L1_Format</group>
      <groupName>格式问题</groupName>
      <ability>L2_HalfPunc_CN</ability>
      <abilityName>全半角问题</abilityName>
      <candidateList>
        <item>～</item>
      </candidateList>
      <explain>文本全半角错误。</explain>
      <paraID>4516BE9B</paraID>
      <start>23</start>
      <end>24</end>
      <status>unmodified</status>
      <modifiedWord/>
      <trackRevisions>false</trackRevisions>
    </reviewItem>
    <reviewItem>
      <errorID>c1c2d09f-6c7b-43fe-bcc2-986aeff63480</errorID>
      <errorWord>~</errorWord>
      <group>L1_Format</group>
      <groupName>格式问题</groupName>
      <ability>L2_HalfPunc_CN</ability>
      <abilityName>全半角问题</abilityName>
      <candidateList>
        <item>～</item>
      </candidateList>
      <explain>文本全半角错误。</explain>
      <paraID>5110CFFD</paraID>
      <start>30</start>
      <end>31</end>
      <status>unmodified</status>
      <modifiedWord/>
      <trackRevisions>false</trackRevisions>
    </reviewItem>
    <reviewItem>
      <errorID>6755e4cc-a120-43ab-adcd-c44ccf9ef7fc</errorID>
      <errorWord>24~26%</errorWord>
      <group>L1_Knowledge</group>
      <groupName>知识性问题</groupName>
      <ability>L2_Knowledge</ability>
      <abilityName>其他知识</abilityName>
      <candidateList>
        <item>24%～26%</item>
      </candidateList>
      <explain>1. “24~26%”中的单位“%”仅出现在后一个数字上，容易引起歧义；根据《现代汉语标点符号数字用法规范手册》，数字表示范围两边需要使用统一的格式。2. 根据标点国标 4.13 中的规则，数字、时间或地域连接符应使用（视觉上更长的）“—”或“～”。</explain>
      <paraID> FC35729</paraID>
      <start>118</start>
      <end>124</end>
      <status>unmodified</status>
      <modifiedWord/>
      <trackRevisions>false</trackRevisions>
    </reviewItem>
    <reviewItem>
      <errorID>84b9d558-4b75-46fa-b108-3856b0df9eb8</errorID>
      <errorWord>~</errorWord>
      <group>L1_Format</group>
      <groupName>格式问题</groupName>
      <ability>L2_HalfPunc_CN</ability>
      <abilityName>全半角问题</abilityName>
      <candidateList>
        <item>～</item>
      </candidateList>
      <explain>文本全半角错误。</explain>
      <paraID> 576CDA5</paraID>
      <start>35</start>
      <end>36</end>
      <status>unmodified</status>
      <modifiedWord/>
      <trackRevisions>false</trackRevisions>
    </reviewItem>
    <reviewItem>
      <errorID>4b8db0b8-e481-4d35-be67-4643ca9dd98e</errorID>
      <errorWord>~</errorWord>
      <group>L1_Format</group>
      <groupName>格式问题</groupName>
      <ability>L2_HalfPunc_CN</ability>
      <abilityName>全半角问题</abilityName>
      <candidateList>
        <item>～</item>
      </candidateList>
      <explain>文本全半角错误。</explain>
      <paraID>7E8A3EDF</paraID>
      <start>33</start>
      <end>34</end>
      <status>unmodified</status>
      <modifiedWord/>
      <trackRevisions>false</trackRevisions>
    </reviewItem>
    <reviewItem>
      <errorID>e59af33d-e28d-4497-8f11-d1b168734b8e</errorID>
      <errorWord>~</errorWord>
      <group>L1_Format</group>
      <groupName>格式问题</groupName>
      <ability>L2_HalfPunc_CN</ability>
      <abilityName>全半角问题</abilityName>
      <candidateList>
        <item>～</item>
      </candidateList>
      <explain>文本全半角错误。</explain>
      <paraID> CC0662F</paraID>
      <start>31</start>
      <end>32</end>
      <status>unmodified</status>
      <modifiedWord/>
      <trackRevisions>false</trackRevisions>
    </reviewItem>
    <reviewItem>
      <errorID>37d69306-6638-4d22-8669-f83d7d1adf97</errorID>
      <errorWord>没</errorWord>
      <group>L1_Word</group>
      <groupName>字词问题</groupName>
      <ability>L2_Typo</ability>
      <abilityName>字词错误</abilityName>
      <candidateList>
        <item>没有</item>
      </candidateList>
      <explain>〈副〉❶表示“已然”的否定：他还～回来｜天还～黑呢。❷表示“曾经”的否定：老张上个星期～回来过｜银行昨天～开门。</explain>
      <paraID>742181C2</paraID>
      <start>59</start>
      <end>60</end>
      <status>unmodified</status>
      <modifiedWord/>
      <trackRevisions>false</trackRevisions>
    </reviewItem>
    <reviewItem>
      <errorID>14f8f36d-2db6-4f37-b013-f19ace772e6e</errorID>
      <errorWord>~</errorWord>
      <group>L1_Format</group>
      <groupName>格式问题</groupName>
      <ability>L2_HalfPunc_CN</ability>
      <abilityName>全半角问题</abilityName>
      <candidateList>
        <item>～</item>
      </candidateList>
      <explain>文本全半角错误。</explain>
      <paraID>742181C2</paraID>
      <start>73</start>
      <end>74</end>
      <status>unmodified</status>
      <modifiedWord/>
      <trackRevisions>false</trackRevisions>
    </reviewItem>
    <reviewItem>
      <errorID>23f8c75d-8267-42c5-beda-2b0ee2dbbb0f</errorID>
      <errorWord>~</errorWord>
      <group>L1_Format</group>
      <groupName>格式问题</groupName>
      <ability>L2_HalfPunc_CN</ability>
      <abilityName>全半角问题</abilityName>
      <candidateList>
        <item>～</item>
      </candidateList>
      <explain>文本全半角错误。</explain>
      <paraID> 931BBD9</paraID>
      <start>73</start>
      <end>74</end>
      <status>unmodified</status>
      <modifiedWord/>
      <trackRevisions>false</trackRevisions>
    </reviewItem>
    <reviewItem>
      <errorID>29474a6b-58b6-40f5-bf16-098d293dc023</errorID>
      <errorWord>~</errorWord>
      <group>L1_Format</group>
      <groupName>格式问题</groupName>
      <ability>L2_HalfPunc_CN</ability>
      <abilityName>全半角问题</abilityName>
      <candidateList>
        <item>～</item>
      </candidateList>
      <explain>文本全半角错误。</explain>
      <paraID> 931BBD9</paraID>
      <start>83</start>
      <end>84</end>
      <status>unmodified</status>
      <modifiedWord/>
      <trackRevisions>false</trackRevisions>
    </reviewItem>
    <reviewItem>
      <errorID>2e9db5f8-8bcb-40a1-9eae-621ee2f5ce03</errorID>
      <errorWord>程</errorWord>
      <group>L1_Word</group>
      <groupName>字词问题</groupName>
      <ability>L2_Typo</ability>
      <abilityName>字词错误</abilityName>
      <candidateList>
        <item>程中</item>
      </candidateList>
      <explain/>
      <paraID> 931BBD9</paraID>
      <start>99</start>
      <end>100</end>
      <status>unmodified</status>
      <modifiedWord/>
      <trackRevisions>false</trackRevisions>
    </reviewItem>
    <reviewItem>
      <errorID>674c598b-e0b9-43e4-a58d-89abddc2a7da</errorID>
      <errorWord>[2016]19号</errorWord>
      <group>L1_Knowledge</group>
      <groupName>知识性问题</groupName>
      <ability>L2_Knowledge</ability>
      <abilityName>其他知识</abilityName>
      <candidateList>
        <item>〔2016〕19号</item>
      </candidateList>
      <explain>发文字号格式错误。</explain>
      <paraID>4FADDBBD</paraID>
      <start>38</start>
      <end>47</end>
      <status>unmodified</status>
      <modifiedWord/>
      <trackRevisions>false</trackRevisions>
    </reviewItem>
    <reviewItem>
      <errorID>0990e143-ee85-4e72-ae6d-fe638d140011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396DD589</paraID>
      <start>10</start>
      <end>11</end>
      <status>unmodified</status>
      <modifiedWord/>
      <trackRevisions>false</trackRevisions>
    </reviewItem>
    <reviewItem>
      <errorID>787d8092-c028-4ea5-a2f6-1767d40bc51d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213D6FB7</paraID>
      <start>290</start>
      <end>291</end>
      <status>unmodified</status>
      <modifiedWord/>
      <trackRevisions>false</trackRevisions>
    </reviewItem>
    <reviewItem>
      <errorID>8cab8b19-8ce5-4e70-934a-8355dfd6a317</errorID>
      <errorWord>IV类</errorWord>
      <group>L1_Knowledge</group>
      <groupName>知识性问题</groupName>
      <ability>L2_Knowledge</ability>
      <abilityName>其他知识</abilityName>
      <candidateList>
        <item>Ⅳ类</item>
      </candidateList>
      <explain>中文环境下罗马数字格式错误。</explain>
      <paraID>213D6FB7</paraID>
      <start>345</start>
      <end>348</end>
      <status>unmodified</status>
      <modifiedWord/>
      <trackRevisions>false</trackRevisions>
    </reviewItem>
    <reviewItem>
      <errorID>8c509a33-0102-4c12-bd93-d86080f511e5</errorID>
      <errorWord>III类</errorWord>
      <group>L1_Knowledge</group>
      <groupName>知识性问题</groupName>
      <ability>L2_Knowledge</ability>
      <abilityName>其他知识</abilityName>
      <candidateList>
        <item>Ⅲ类</item>
      </candidateList>
      <explain>中文环境下罗马数字格式错误。</explain>
      <paraID>3DDB8F5F</paraID>
      <start>51</start>
      <end>55</end>
      <status>unmodified</status>
      <modifiedWord/>
      <trackRevisions>false</trackRevisions>
    </reviewItem>
    <reviewItem>
      <errorID>af505fca-d10c-4ec1-9c5b-84e36ceeb793</errorID>
      <errorWord>II类</errorWord>
      <group>L1_Knowledge</group>
      <groupName>知识性问题</groupName>
      <ability>L2_Knowledge</ability>
      <abilityName>其他知识</abilityName>
      <candidateList>
        <item>Ⅱ类</item>
      </candidateList>
      <explain>中文环境下罗马数字格式错误。</explain>
      <paraID>3DDB8F5F</paraID>
      <start>151</start>
      <end>154</end>
      <status>unmodified</status>
      <modifiedWord/>
      <trackRevisions>false</trackRevisions>
    </reviewItem>
    <reviewItem>
      <errorID>d9aa5b1d-44f0-468b-ac22-ea6536df71f1</errorID>
      <errorWord>（</errorWord>
      <group>L1_Punc</group>
      <groupName>标点问题</groupName>
      <ability>L2_Punc_CN</ability>
      <abilityName>标点符号问题</abilityName>
      <candidateList/>
      <explain>同一形式括号套用。</explain>
      <paraID>6D67D00B</paraID>
      <start>91</start>
      <end>92</end>
      <status>unmodified</status>
      <modifiedWord/>
      <trackRevisions>false</trackRevisions>
    </reviewItem>
    <reviewItem>
      <errorID>b39940b0-23d0-4ff4-a1fd-78070b66e415</errorID>
      <errorWord>）</errorWord>
      <group>L1_Punc</group>
      <groupName>标点问题</groupName>
      <ability>L2_Punc_CN</ability>
      <abilityName>标点符号问题</abilityName>
      <candidateList/>
      <explain>同一形式括号套用。</explain>
      <paraID>6D67D00B</paraID>
      <start>101</start>
      <end>102</end>
      <status>unmodified</status>
      <modifiedWord/>
      <trackRevisions>false</trackRevisions>
    </reviewItem>
    <reviewItem>
      <errorID>c845b13c-35a9-4e7e-8891-21ac5fef5560</errorID>
      <errorWord>涉及到</errorWord>
      <group>L1_Word</group>
      <groupName>字词问题</groupName>
      <ability>L2_Typo</ability>
      <abilityName>字词错误</abilityName>
      <candidateList>
        <item>涉及</item>
      </candidateList>
      <explain>〈动〉牵涉到；关联到：案子～好几个人｜这个问题～面很广。</explain>
      <paraID>6D67D00B</paraID>
      <start>133</start>
      <end>136</end>
      <status>unmodified</status>
      <modifiedWord/>
      <trackRevisions>false</trackRevisions>
    </reviewItem>
    <reviewItem>
      <errorID>950aa2c0-a7fb-4768-94f1-eab5748ed629</errorID>
      <errorWord>(</errorWord>
      <group>L1_Format</group>
      <groupName>格式问题</groupName>
      <ability>L2_HalfPunc_CN</ability>
      <abilityName>全半角问题</abilityName>
      <candidateList>
        <item>（</item>
      </candidateList>
      <explain>文本全半角错误。</explain>
      <paraID>6D67D00B</paraID>
      <start>153</start>
      <end>154</end>
      <status>ignored</status>
      <modifiedWord/>
      <trackRevisions>false</trackRevisions>
    </reviewItem>
    <reviewItem>
      <errorID>549e7115-407b-4d25-85e3-1345e894c288</errorID>
      <errorWord>)</errorWord>
      <group>L1_Format</group>
      <groupName>格式问题</groupName>
      <ability>L2_HalfPunc_CN</ability>
      <abilityName>全半角问题</abilityName>
      <candidateList>
        <item>）</item>
      </candidateList>
      <explain>文本全半角错误。</explain>
      <paraID>6D67D00B</paraID>
      <start>168</start>
      <end>169</end>
      <status>ignored</status>
      <modifiedWord/>
      <trackRevisions>false</trackRevisions>
    </reviewItem>
    <reviewItem>
      <errorID>9f7603b1-1b82-4b56-8c54-c3a008bf10bc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40F022C7</paraID>
      <start>0</start>
      <end>2</end>
      <status>unmodified</status>
      <modifiedWord/>
      <trackRevisions>false</trackRevisions>
    </reviewItem>
    <reviewItem>
      <errorID>0b19eb0d-269e-457e-a5f1-701a13e7c6ac</errorID>
      <errorWord>（</errorWord>
      <group>L1_Punc</group>
      <groupName>标点问题</groupName>
      <ability>L2_Punc_CN</ability>
      <abilityName>标点符号问题</abilityName>
      <candidateList/>
      <explain>同一形式括号套用。</explain>
      <paraID> 8634844</paraID>
      <start>44</start>
      <end>45</end>
      <status>unmodified</status>
      <modifiedWord/>
      <trackRevisions>false</trackRevisions>
    </reviewItem>
    <reviewItem>
      <errorID>38ef19ba-c4e2-4c75-8c78-aa69a868e97a</errorID>
      <errorWord>）</errorWord>
      <group>L1_Punc</group>
      <groupName>标点问题</groupName>
      <ability>L2_Punc_CN</ability>
      <abilityName>标点符号问题</abilityName>
      <candidateList/>
      <explain>同一形式括号套用。</explain>
      <paraID> 8634844</paraID>
      <start>54</start>
      <end>55</end>
      <status>unmodified</status>
      <modifiedWord/>
      <trackRevisions>false</trackRevisions>
    </reviewItem>
    <reviewItem>
      <errorID>49a16ca7-87fa-4d09-98dc-c8a4e21a71d4</errorID>
      <errorWord>处理达《污水综合</errorWord>
      <group>L1_Word</group>
      <groupName>字词问题</groupName>
      <ability>L2_Typo</ability>
      <abilityName>字词错误</abilityName>
      <candidateList>
        <item>处理达到《污水综合</item>
      </candidateList>
      <explain/>
      <paraID> 8634844</paraID>
      <start>92</start>
      <end>100</end>
      <status>unmodified</status>
      <modifiedWord/>
      <trackRevisions>false</trackRevisions>
    </reviewItem>
    <reviewItem>
      <errorID>8d8bc610-0b06-4618-b43c-2b62d03c6792</errorID>
      <errorWord>（</errorWord>
      <group>L1_Punc</group>
      <groupName>标点问题</groupName>
      <ability>L2_Punc_CN</ability>
      <abilityName>标点符号问题</abilityName>
      <candidateList/>
      <explain>同一形式括号套用。</explain>
      <paraID> 8634844</paraID>
      <start>147</start>
      <end>148</end>
      <status>unmodified</status>
      <modifiedWord/>
      <trackRevisions>false</trackRevisions>
    </reviewItem>
    <reviewItem>
      <errorID>572d310a-0844-4636-b425-0f29998417b8</errorID>
      <errorWord>）</errorWord>
      <group>L1_Punc</group>
      <groupName>标点问题</groupName>
      <ability>L2_Punc_CN</ability>
      <abilityName>标点符号问题</abilityName>
      <candidateList/>
      <explain>同一形式括号套用。</explain>
      <paraID> 8634844</paraID>
      <start>162</start>
      <end>163</end>
      <status>unmodified</status>
      <modifiedWord/>
      <trackRevisions>false</trackRevisions>
    </reviewItem>
    <reviewItem>
      <errorID>1a8b1feb-437e-4a4d-b718-09de28cb12fb</errorID>
      <errorWord>处理达《城镇污水</errorWord>
      <group>L1_Word</group>
      <groupName>字词问题</groupName>
      <ability>L2_Typo</ability>
      <abilityName>字词错误</abilityName>
      <candidateList>
        <item>处理达到《城镇污水</item>
      </candidateList>
      <explain/>
      <paraID> 8634844</paraID>
      <start>185</start>
      <end>193</end>
      <status>unmodified</status>
      <modifiedWord/>
      <trackRevisions>false</trackRevisions>
    </reviewItem>
    <reviewItem>
      <errorID>91f368f9-ce3e-413e-b672-7abe81cd972c</errorID>
      <errorWord>达</errorWord>
      <group>L1_Word</group>
      <groupName>字词问题</groupName>
      <ability>L2_Typo</ability>
      <abilityName>字词错误</abilityName>
      <candidateList>
        <item>达到</item>
      </candidateList>
      <explain>〈动〉到（多指抽象事物或程度）：达得到｜达不到｜目的没有～｜～国际水平。</explain>
      <paraID> 8634844</paraID>
      <start>242</start>
      <end>243</end>
      <status>ignored</status>
      <modifiedWord/>
      <trackRevisions>false</trackRevisions>
    </reviewItem>
    <reviewItem>
      <errorID>e281c734-ac74-4ab5-a5b4-657f84fe9fe8</errorID>
      <errorWord>IV类</errorWord>
      <group>L1_Knowledge</group>
      <groupName>知识性问题</groupName>
      <ability>L2_Knowledge</ability>
      <abilityName>其他知识</abilityName>
      <candidateList>
        <item>Ⅳ类</item>
      </candidateList>
      <explain>中文环境下罗马数字格式错误。</explain>
      <paraID> 8634844</paraID>
      <start>267</start>
      <end>270</end>
      <status>unmodified</status>
      <modifiedWord/>
      <trackRevisions>false</trackRevisions>
    </reviewItem>
    <reviewItem>
      <errorID>72fd5aa4-a24c-4b07-b09a-72ab35af5133</errorID>
      <errorWord>)</errorWord>
      <group>L1_Format</group>
      <groupName>格式问题</groupName>
      <ability>L2_HalfPunc_CN</ability>
      <abilityName>全半角问题</abilityName>
      <candidateList>
        <item>）</item>
      </candidateList>
      <explain>文本全半角错误。</explain>
      <paraID>1EAC9233</paraID>
      <start>39</start>
      <end>40</end>
      <status>ignored</status>
      <modifiedWord/>
      <trackRevisions>false</trackRevisions>
    </reviewItem>
    <reviewItem>
      <errorID>bd8769fc-2d57-45d1-b8fe-700dbad86586</errorID>
      <errorWord>（</errorWord>
      <group>L1_Punc</group>
      <groupName>标点问题</groupName>
      <ability>L2_Punc_CN</ability>
      <abilityName>标点符号问题</abilityName>
      <candidateList/>
      <explain>同一形式括号套用。</explain>
      <paraID>2F316C7E</paraID>
      <start>28</start>
      <end>29</end>
      <status>unmodified</status>
      <modifiedWord/>
      <trackRevisions>false</trackRevisions>
    </reviewItem>
    <reviewItem>
      <errorID>6132e0db-16df-4330-a237-0150014dc52e</errorID>
      <errorWord>）</errorWord>
      <group>L1_Punc</group>
      <groupName>标点问题</groupName>
      <ability>L2_Punc_CN</ability>
      <abilityName>标点符号问题</abilityName>
      <candidateList/>
      <explain>同一形式括号套用。</explain>
      <paraID>2F316C7E</paraID>
      <start>38</start>
      <end>39</end>
      <status>unmodified</status>
      <modifiedWord/>
      <trackRevisions>false</trackRevisions>
    </reviewItem>
    <reviewItem>
      <errorID>3bb24d3a-4506-4213-affa-8dcdef4a9bfb</errorID>
      <errorWord>(</errorWord>
      <group>L1_Format</group>
      <groupName>格式问题</groupName>
      <ability>L2_HalfPunc_CN</ability>
      <abilityName>全半角问题</abilityName>
      <candidateList>
        <item>（</item>
      </candidateList>
      <explain>文本全半角错误。</explain>
      <paraID>255D7ED2</paraID>
      <start>70</start>
      <end>71</end>
      <status>ignored</status>
      <modifiedWord/>
      <trackRevisions>false</trackRevisions>
    </reviewItem>
    <reviewItem>
      <errorID>fbb8d9d2-d62f-4d41-8ada-c80d870bb169</errorID>
      <errorWord>)</errorWord>
      <group>L1_Format</group>
      <groupName>格式问题</groupName>
      <ability>L2_HalfPunc_CN</ability>
      <abilityName>全半角问题</abilityName>
      <candidateList>
        <item>）</item>
      </candidateList>
      <explain>文本全半角错误。</explain>
      <paraID>255D7ED2</paraID>
      <start>83</start>
      <end>84</end>
      <status>ignored</status>
      <modifiedWord/>
      <trackRevisions>false</trackRevisions>
    </reviewItem>
    <reviewItem>
      <errorID>431407b1-2a72-420d-8fd8-aebc8dc50bd2</errorID>
      <errorWord>～</errorWord>
      <group>L1_Format</group>
      <groupName>格式问题</groupName>
      <ability>L2_HalfPunc_CN</ability>
      <abilityName>全半角问题</abilityName>
      <candidateList>
        <item>~</item>
      </candidateList>
      <explain>文本全半角错误。</explain>
      <paraID>  995502</paraID>
      <start>2</start>
      <end>3</end>
      <status>unmodified</status>
      <modifiedWord/>
      <trackRevisions>false</trackRevisions>
    </reviewItem>
    <reviewItem>
      <errorID>eb1878c1-5804-4396-8de3-27a185983474</errorID>
      <errorWord>丙烯氰</errorWord>
      <group>L1_Word</group>
      <groupName>字词问题</groupName>
      <ability>L2_Typo</ability>
      <abilityName>字词错误</abilityName>
      <candidateList>
        <item>丙烯腈</item>
      </candidateList>
      <explain>存在字形相近字词的误用。</explain>
      <paraID>59869249</paraID>
      <start>10</start>
      <end>13</end>
      <status>modified</status>
      <modifiedWord>丙烯腈</modifiedWord>
      <trackRevisions>false</trackRevisions>
    </reviewItem>
    <reviewItem>
      <errorID>61db2138-8673-4d0a-81e5-b6e52cda583a</errorID>
      <errorWord>丙烯氰</errorWord>
      <group>L1_Word</group>
      <groupName>字词问题</groupName>
      <ability>L2_Typo</ability>
      <abilityName>字词错误</abilityName>
      <candidateList>
        <item>丙烯腈</item>
      </candidateList>
      <explain>存在字形相近字词的误用。</explain>
      <paraID>51AB9E10</paraID>
      <start>10</start>
      <end>13</end>
      <status>modified</status>
      <modifiedWord>丙烯腈</modifiedWord>
      <trackRevisions>false</trackRevisions>
    </reviewItem>
    <reviewItem>
      <errorID>a2ba6690-ecae-4962-a8a4-f618fa0edc88</errorID>
      <errorWord>、</errorWord>
      <group>L1_Punc</group>
      <groupName>标点问题</groupName>
      <ability>L2_Punc_CN</ability>
      <abilityName>标点符号问题</abilityName>
      <candidateList>
        <item>.</item>
      </candidateList>
      <explain/>
      <paraID> 94BAD8A</paraID>
      <start>1</start>
      <end>2</end>
      <status>ignored</status>
      <modifiedWord/>
      <trackRevisions>false</trackRevisions>
    </reviewItem>
    <reviewItem>
      <errorID>51035027-6b20-4e64-8fcf-e8d01b8f1319</errorID>
      <errorWord>、</errorWord>
      <group>L1_Punc</group>
      <groupName>标点问题</groupName>
      <ability>L2_Punc_CN</ability>
      <abilityName>标点符号问题</abilityName>
      <candidateList>
        <item>.</item>
      </candidateList>
      <explain/>
      <paraID>1BF5A6AB</paraID>
      <start>1</start>
      <end>2</end>
      <status>ignored</status>
      <modifiedWord/>
      <trackRevisions>false</trackRevisions>
    </reviewItem>
    <reviewItem>
      <errorID>4fdadc01-377d-43f2-a15c-e77129a3c9f7</errorID>
      <errorWord>、</errorWord>
      <group>L1_Punc</group>
      <groupName>标点问题</groupName>
      <ability>L2_Punc_CN</ability>
      <abilityName>标点符号问题</abilityName>
      <candidateList>
        <item>.</item>
      </candidateList>
      <explain/>
      <paraID>1064B6A5</paraID>
      <start>1</start>
      <end>2</end>
      <status>ignored</status>
      <modifiedWord/>
      <trackRevisions>false</trackRevisions>
    </reviewItem>
    <reviewItem>
      <errorID>faf0ac36-36c6-4ee8-b675-3d1dc84f2e38</errorID>
      <errorWord>、</errorWord>
      <group>L1_Punc</group>
      <groupName>标点问题</groupName>
      <ability>L2_Punc_CN</ability>
      <abilityName>标点符号问题</abilityName>
      <candidateList>
        <item>.</item>
      </candidateList>
      <explain/>
      <paraID>7CD4E0F0</paraID>
      <start>1</start>
      <end>2</end>
      <status>ignored</status>
      <modifiedWord/>
      <trackRevisions>false</trackRevisions>
    </reviewItem>
    <reviewItem>
      <errorID>7bc60aec-8f91-45b7-acaf-8e6a48d69837</errorID>
      <errorWord>-</errorWord>
      <group>L1_Format</group>
      <groupName>格式问题</groupName>
      <ability>L2_HalfPunc_CN</ability>
      <abilityName>全半角问题</abilityName>
      <candidateList>
        <item>－</item>
      </candidateList>
      <explain>文本全半角错误。</explain>
      <paraID>6FFC7564</paraID>
      <start>244</start>
      <end>245</end>
      <status>unmodified</status>
      <modifiedWord/>
      <trackRevisions>false</trackRevisions>
    </reviewItem>
    <reviewItem>
      <errorID>e0b502c5-bc74-4e2e-b1f5-2f642b215259</errorID>
      <errorWord>、</errorWord>
      <group>L1_Punc</group>
      <groupName>标点问题</groupName>
      <ability>L2_Punc_CN</ability>
      <abilityName>标点符号问题</abilityName>
      <candidateList>
        <item>.</item>
      </candidateList>
      <explain/>
      <paraID>2EB2EC0B</paraID>
      <start>1</start>
      <end>2</end>
      <status>ignored</status>
      <modifiedWord/>
      <trackRevisions>false</trackRevisions>
    </reviewItem>
    <reviewItem>
      <errorID>c3e67ce4-76c2-4abd-8731-95bb7378209a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2EB2EC0B</paraID>
      <start>170</start>
      <end>171</end>
      <status>unmodified</status>
      <modifiedWord/>
      <trackRevisions>false</trackRevisions>
    </reviewItem>
    <reviewItem>
      <errorID>b0c8a4ba-7b36-4e23-8074-20802ad151b3</errorID>
      <errorWord>候</errorWord>
      <group>L1_Word</group>
      <groupName>字词问题</groupName>
      <ability>L2_Typo</ability>
      <abilityName>字词错误</abilityName>
      <candidateList>
        <item>侯</item>
      </candidateList>
      <explain>存在发音相同字词的误用。</explain>
      <paraID>2EB2EC0B</paraID>
      <start>216</start>
      <end>217</end>
      <status>modified</status>
      <modifiedWord>侯</modifiedWord>
      <trackRevisions>false</trackRevisions>
    </reviewItem>
    <reviewItem>
      <errorID>775fedf4-7464-4790-96a8-2f10e5657a72</errorID>
      <errorWord>、</errorWord>
      <group>L1_Punc</group>
      <groupName>标点问题</groupName>
      <ability>L2_Punc_CN</ability>
      <abilityName>标点符号问题</abilityName>
      <candidateList>
        <item>.</item>
      </candidateList>
      <explain/>
      <paraID> B71B95A</paraID>
      <start>1</start>
      <end>2</end>
      <status>ignored</status>
      <modifiedWord/>
      <trackRevisions>false</trackRevisions>
    </reviewItem>
    <reviewItem>
      <errorID>4fcef994-8625-496e-9389-ee652609bd8c</errorID>
      <errorWord>、</errorWord>
      <group>L1_Punc</group>
      <groupName>标点问题</groupName>
      <ability>L2_Punc_CN</ability>
      <abilityName>标点符号问题</abilityName>
      <candidateList>
        <item>.</item>
      </candidateList>
      <explain/>
      <paraID> 85875D5</paraID>
      <start>1</start>
      <end>2</end>
      <status>ignored</status>
      <modifiedWord/>
      <trackRevisions>false</trackRevisions>
    </reviewItem>
    <reviewItem>
      <errorID>694d4d5a-f6f4-49ad-8aa8-feb20cfbbd7f</errorID>
      <errorWord>丙烯氰</errorWord>
      <group>L1_Word</group>
      <groupName>字词问题</groupName>
      <ability>L2_Typo</ability>
      <abilityName>字词错误</abilityName>
      <candidateList>
        <item>丙烯腈</item>
      </candidateList>
      <explain>存在字形相近字词的误用。</explain>
      <paraID> 85875D5</paraID>
      <start>92</start>
      <end>95</end>
      <status>modified</status>
      <modifiedWord>丙烯腈</modifiedWord>
      <trackRevisions>false</trackRevisions>
    </reviewItem>
    <reviewItem>
      <errorID>b838079c-d45b-4d2d-a902-0f9b22472259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85875D5</paraID>
      <start>157</start>
      <end>158</end>
      <status>unmodified</status>
      <modifiedWord/>
      <trackRevisions>false</trackRevisions>
    </reviewItem>
    <reviewItem>
      <errorID>689ea9e7-9961-481e-a953-669efe9ecad4</errorID>
      <errorWord>、</errorWord>
      <group>L1_Punc</group>
      <groupName>标点问题</groupName>
      <ability>L2_Punc_CN</ability>
      <abilityName>标点符号问题</abilityName>
      <candidateList>
        <item>.</item>
      </candidateList>
      <explain/>
      <paraID>60A822C9</paraID>
      <start>1</start>
      <end>2</end>
      <status>ignored</status>
      <modifiedWord/>
      <trackRevisions>false</trackRevisions>
    </reviewItem>
    <reviewItem>
      <errorID>792c9026-7f7b-4430-af7d-b0dfc0ed09dd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63ABC612</paraID>
      <start>7</start>
      <end>8</end>
      <status>unmodified</status>
      <modifiedWord/>
      <trackRevisions>false</trackRevisions>
    </reviewItem>
    <reviewItem>
      <errorID>5ac48100-b55a-425a-87a8-18ff5a90d569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43EBBC81</paraID>
      <start>7</start>
      <end>8</end>
      <status>unmodified</status>
      <modifiedWord/>
      <trackRevisions>false</trackRevisions>
    </reviewItem>
    <reviewItem>
      <errorID>002ab818-481d-4a00-8cf5-1cc81b192e50</errorID>
      <errorWord>没</errorWord>
      <group>L1_Word</group>
      <groupName>字词问题</groupName>
      <ability>L2_Typo</ability>
      <abilityName>字词错误</abilityName>
      <candidateList>
        <item>没有</item>
      </candidateList>
      <explain>〈副〉❶表示“已然”的否定：他还～回来｜天还～黑呢。❷表示“曾经”的否定：老张上个星期～回来过｜银行昨天～开门。</explain>
      <paraID>4DF56EFD</paraID>
      <start>59</start>
      <end>60</end>
      <status>unmodified</status>
      <modifiedWord/>
      <trackRevisions>false</trackRevisions>
    </reviewItem>
    <reviewItem>
      <errorID>dc6d70e8-b71d-4d01-8216-8822cc84bed2</errorID>
      <errorWord>~</errorWord>
      <group>L1_Format</group>
      <groupName>格式问题</groupName>
      <ability>L2_HalfPunc_CN</ability>
      <abilityName>全半角问题</abilityName>
      <candidateList>
        <item>～</item>
      </candidateList>
      <explain>文本全半角错误。</explain>
      <paraID>4DF56EFD</paraID>
      <start>73</start>
      <end>74</end>
      <status>unmodified</status>
      <modifiedWord/>
      <trackRevisions>false</trackRevisions>
    </reviewItem>
    <reviewItem>
      <errorID>e0ea2f77-ef64-49dc-ad2d-5bf23cb5cb78</errorID>
      <errorWord>*</errorWord>
      <group>L1_Punc</group>
      <groupName>标点问题</groupName>
      <ability>L2_Punc_CN</ability>
      <abilityName>标点符号问题</abilityName>
      <candidateList/>
      <explain/>
      <paraID>6B0C752B</paraID>
      <start>0</start>
      <end>1</end>
      <status>unmodified</status>
      <modifiedWord/>
      <trackRevisions>false</trackRevisions>
    </reviewItem>
    <reviewItem>
      <errorID>7172df36-5090-4abc-a818-c6c9d24248b3</errorID>
      <errorWord>、</errorWord>
      <group>L1_Punc</group>
      <groupName>标点问题</groupName>
      <ability>L2_Punc_CN</ability>
      <abilityName>标点符号问题</abilityName>
      <candidateList>
        <item>.</item>
      </candidateList>
      <explain/>
      <paraID>462916BE</paraID>
      <start>1</start>
      <end>2</end>
      <status>ignored</status>
      <modifiedWord/>
      <trackRevisions>false</trackRevisions>
    </reviewItem>
    <reviewItem>
      <errorID>76b025f0-370c-4754-8feb-80ad0faefea9</errorID>
      <errorWord>、</errorWord>
      <group>L1_Punc</group>
      <groupName>标点问题</groupName>
      <ability>L2_Punc_CN</ability>
      <abilityName>标点符号问题</abilityName>
      <candidateList>
        <item>.</item>
      </candidateList>
      <explain/>
      <paraID>753BDAAB</paraID>
      <start>1</start>
      <end>2</end>
      <status>ignored</status>
      <modifiedWord/>
      <trackRevisions>false</trackRevisions>
    </reviewItem>
    <reviewItem>
      <errorID>5282dd58-2965-42b3-9dbe-cd1e824dc97a</errorID>
      <errorWord>(</errorWord>
      <group>L1_Format</group>
      <groupName>格式问题</groupName>
      <ability>L2_HalfPunc_CN</ability>
      <abilityName>全半角问题</abilityName>
      <candidateList>
        <item>（</item>
      </candidateList>
      <explain>文本全半角错误。</explain>
      <paraID>67204E9C</paraID>
      <start>113</start>
      <end>114</end>
      <status>ignored</status>
      <modifiedWord/>
      <trackRevisions>false</trackRevisions>
    </reviewItem>
    <reviewItem>
      <errorID>05162506-f6f6-4eef-bd34-7bd4e7c41672</errorID>
      <errorWord>)</errorWord>
      <group>L1_Format</group>
      <groupName>格式问题</groupName>
      <ability>L2_HalfPunc_CN</ability>
      <abilityName>全半角问题</abilityName>
      <candidateList>
        <item>）</item>
      </candidateList>
      <explain>文本全半角错误。</explain>
      <paraID>67204E9C</paraID>
      <start>123</start>
      <end>124</end>
      <status>ignored</status>
      <modifiedWord/>
      <trackRevisions>false</trackRevisions>
    </reviewItem>
    <reviewItem>
      <errorID>de471b6e-9add-4f89-b03a-65f6886e9553</errorID>
      <errorWord>、</errorWord>
      <group>L1_Punc</group>
      <groupName>标点问题</groupName>
      <ability>L2_Punc_CN</ability>
      <abilityName>标点符号问题</abilityName>
      <candidateList>
        <item>.</item>
      </candidateList>
      <explain/>
      <paraID>73D6A475</paraID>
      <start>1</start>
      <end>2</end>
      <status>ignored</status>
      <modifiedWord/>
      <trackRevisions>false</trackRevisions>
    </reviewItem>
    <reviewItem>
      <errorID>94208096-ad3f-4009-9686-1ecc09b7fd61</errorID>
      <errorWord>、</errorWord>
      <group>L1_Punc</group>
      <groupName>标点问题</groupName>
      <ability>L2_Punc_CN</ability>
      <abilityName>标点符号问题</abilityName>
      <candidateList>
        <item>.</item>
      </candidateList>
      <explain/>
      <paraID>4EE8CD12</paraID>
      <start>1</start>
      <end>2</end>
      <status>ignored</status>
      <modifiedWord/>
      <trackRevisions>false</trackRevisions>
    </reviewItem>
    <reviewItem>
      <errorID>e29200ef-8e53-4c2f-a083-ed6f2db7e354</errorID>
      <errorWord>，</errorWord>
      <group>L1_Word</group>
      <groupName>字词问题</groupName>
      <ability>L2_Typo</ability>
      <abilityName>字词错误</abilityName>
      <candidateList>
        <item>，将</item>
      </candidateList>
      <explain/>
      <paraID>188D3022</paraID>
      <start>64</start>
      <end>65</end>
      <status>unmodified</status>
      <modifiedWord/>
      <trackRevisions>false</trackRevisions>
    </reviewItem>
    <reviewItem>
      <errorID>3599720c-5347-4c3e-a071-798b8910c27f</errorID>
      <errorWord>每个</errorWord>
      <group>L1_Word</group>
      <groupName>字词问题</groupName>
      <ability>L2_Typo</ability>
      <abilityName>字词错误</abilityName>
      <candidateList>
        <item>每隔</item>
      </candidateList>
      <explain>存在发音相同字词的误用。</explain>
      <paraID>134EFE55</paraID>
      <start>20</start>
      <end>22</end>
      <status>modified</status>
      <modifiedWord>每隔</modifiedWord>
      <trackRevisions>false</trackRevisions>
    </reviewItem>
    <reviewItem>
      <errorID>69b14e70-2d3b-4a06-a7c1-2375f62184d5</errorID>
      <errorWord>处理达《污水综合</errorWord>
      <group>L1_Word</group>
      <groupName>字词问题</groupName>
      <ability>L2_Typo</ability>
      <abilityName>字词错误</abilityName>
      <candidateList>
        <item>处理达到《污水综合</item>
      </candidateList>
      <explain/>
      <paraID>602A1373</paraID>
      <start>135</start>
      <end>143</end>
      <status>unmodified</status>
      <modifiedWord/>
      <trackRevisions>false</trackRevisions>
    </reviewItem>
    <reviewItem>
      <errorID>ae59b473-9167-4220-ae30-19f2abbb98af</errorID>
      <errorWord>达</errorWord>
      <group>L1_Word</group>
      <groupName>字词问题</groupName>
      <ability>L2_Typo</ability>
      <abilityName>字词错误</abilityName>
      <candidateList>
        <item>达到</item>
      </candidateList>
      <explain>〈动〉到（多指抽象事物或程度）：达得到｜达不到｜目的没有～｜～国际水平。</explain>
      <paraID>602A1373</paraID>
      <start>230</start>
      <end>231</end>
      <status>unmodified</status>
      <modifiedWord/>
      <trackRevisions>false</trackRevisions>
    </reviewItem>
    <reviewItem>
      <errorID>b7f0322a-00a5-4427-8d7a-f245e373583e</errorID>
      <errorWord>达</errorWord>
      <group>L1_Word</group>
      <groupName>字词问题</groupName>
      <ability>L2_Typo</ability>
      <abilityName>字词错误</abilityName>
      <candidateList>
        <item>达到</item>
      </candidateList>
      <explain>〈动〉到（多指抽象事物或程度）：达得到｜达不到｜目的没有～｜～国际水平。</explain>
      <paraID>602A1373</paraID>
      <start>285</start>
      <end>286</end>
      <status>unmodified</status>
      <modifiedWord/>
      <trackRevisions>false</trackRevisions>
    </reviewItem>
    <reviewItem>
      <errorID>a5798387-e64b-42b9-978c-3cb74fd09b46</errorID>
      <errorWord>IV类</errorWord>
      <group>L1_Knowledge</group>
      <groupName>知识性问题</groupName>
      <ability>L2_Knowledge</ability>
      <abilityName>其他知识</abilityName>
      <candidateList>
        <item>Ⅳ类</item>
      </candidateList>
      <explain>中文环境下罗马数字格式错误。</explain>
      <paraID>602A1373</paraID>
      <start>310</start>
      <end>313</end>
      <status>unmodified</status>
      <modifiedWord/>
      <trackRevisions>false</trackRevisions>
    </reviewItem>
    <reviewItem>
      <errorID>11ae9630-4536-406e-95ab-f39367076e5c</errorID>
      <errorWord>(</errorWord>
      <group>L1_Format</group>
      <groupName>格式问题</groupName>
      <ability>L2_HalfPunc_CN</ability>
      <abilityName>全半角问题</abilityName>
      <candidateList>
        <item>（</item>
      </candidateList>
      <explain>文本全半角错误。</explain>
      <paraID>6CA991A4</paraID>
      <start>2</start>
      <end>3</end>
      <status>ignored</status>
      <modifiedWord/>
      <trackRevisions>false</trackRevisions>
    </reviewItem>
    <reviewItem>
      <errorID>d08c4b74-2b94-49e4-b524-66efea53b438</errorID>
      <errorWord>)</errorWord>
      <group>L1_Format</group>
      <groupName>格式问题</groupName>
      <ability>L2_HalfPunc_CN</ability>
      <abilityName>全半角问题</abilityName>
      <candidateList>
        <item>）</item>
      </candidateList>
      <explain>文本全半角错误。</explain>
      <paraID>6CA991A4</paraID>
      <start>7</start>
      <end>8</end>
      <status>ignored</status>
      <modifiedWord/>
      <trackRevisions>false</trackRevisions>
    </reviewItem>
    <reviewItem>
      <errorID>1f62797a-567d-42c9-862d-20c1c5a7f92d</errorID>
      <errorWord>(</errorWord>
      <group>L1_Format</group>
      <groupName>格式问题</groupName>
      <ability>L2_HalfPunc_CN</ability>
      <abilityName>全半角问题</abilityName>
      <candidateList>
        <item>（</item>
      </candidateList>
      <explain>文本全半角错误。</explain>
      <paraID>3EF0622E</paraID>
      <start>3</start>
      <end>4</end>
      <status>ignored</status>
      <modifiedWord/>
      <trackRevisions>false</trackRevisions>
    </reviewItem>
    <reviewItem>
      <errorID>63298e98-ec9f-4d02-9cb8-f547e4abe020</errorID>
      <errorWord>)</errorWord>
      <group>L1_Format</group>
      <groupName>格式问题</groupName>
      <ability>L2_HalfPunc_CN</ability>
      <abilityName>全半角问题</abilityName>
      <candidateList>
        <item>）</item>
      </candidateList>
      <explain>文本全半角错误。</explain>
      <paraID>3EF0622E</paraID>
      <start>7</start>
      <end>8</end>
      <status>ignored</status>
      <modifiedWord/>
      <trackRevisions>false</trackRevisions>
    </reviewItem>
    <reviewItem>
      <errorID>01693dca-647f-4461-94b7-00019f1ccdd5</errorID>
      <errorWord>(</errorWord>
      <group>L1_Format</group>
      <groupName>格式问题</groupName>
      <ability>L2_HalfPunc_CN</ability>
      <abilityName>全半角问题</abilityName>
      <candidateList>
        <item>（</item>
      </candidateList>
      <explain>文本全半角错误。</explain>
      <paraID>765884A4</paraID>
      <start>2</start>
      <end>3</end>
      <status>ignored</status>
      <modifiedWord/>
      <trackRevisions>false</trackRevisions>
    </reviewItem>
    <reviewItem>
      <errorID>abdef719-431c-40a2-b4e8-924677150e59</errorID>
      <errorWord>)</errorWord>
      <group>L1_Format</group>
      <groupName>格式问题</groupName>
      <ability>L2_HalfPunc_CN</ability>
      <abilityName>全半角问题</abilityName>
      <candidateList>
        <item>）</item>
      </candidateList>
      <explain>文本全半角错误。</explain>
      <paraID>765884A4</paraID>
      <start>7</start>
      <end>8</end>
      <status>ignored</status>
      <modifiedWord/>
      <trackRevisions>false</trackRevisions>
    </reviewItem>
    <reviewItem>
      <errorID>32274b62-acc2-4a5f-8613-1ff8c24bb49c</errorID>
      <errorWord>(</errorWord>
      <group>L1_Format</group>
      <groupName>格式问题</groupName>
      <ability>L2_HalfPunc_CN</ability>
      <abilityName>全半角问题</abilityName>
      <candidateList>
        <item>（</item>
      </candidateList>
      <explain>文本全半角错误。</explain>
      <paraID>3E5B01DC</paraID>
      <start>3</start>
      <end>4</end>
      <status>ignored</status>
      <modifiedWord/>
      <trackRevisions>false</trackRevisions>
    </reviewItem>
    <reviewItem>
      <errorID>6e86e661-c4d0-4b6f-b12d-4d4d29318a7b</errorID>
      <errorWord>)</errorWord>
      <group>L1_Format</group>
      <groupName>格式问题</groupName>
      <ability>L2_HalfPunc_CN</ability>
      <abilityName>全半角问题</abilityName>
      <candidateList>
        <item>）</item>
      </candidateList>
      <explain>文本全半角错误。</explain>
      <paraID>3E5B01DC</paraID>
      <start>7</start>
      <end>8</end>
      <status>ignored</status>
      <modifiedWord/>
      <trackRevisions>false</trackRevisions>
    </reviewItem>
    <reviewItem>
      <errorID>9151cec4-c163-41ce-9037-7ba467557003</errorID>
      <errorWord>(</errorWord>
      <group>L1_Format</group>
      <groupName>格式问题</groupName>
      <ability>L2_HalfPunc_CN</ability>
      <abilityName>全半角问题</abilityName>
      <candidateList>
        <item>（</item>
      </candidateList>
      <explain>文本全半角错误。</explain>
      <paraID>395D631D</paraID>
      <start>3</start>
      <end>4</end>
      <status>ignored</status>
      <modifiedWord/>
      <trackRevisions>false</trackRevisions>
    </reviewItem>
    <reviewItem>
      <errorID>e4e3a84a-ec26-456c-98db-7acd926388e5</errorID>
      <errorWord>)</errorWord>
      <group>L1_Format</group>
      <groupName>格式问题</groupName>
      <ability>L2_HalfPunc_CN</ability>
      <abilityName>全半角问题</abilityName>
      <candidateList>
        <item>）</item>
      </candidateList>
      <explain>文本全半角错误。</explain>
      <paraID>395D631D</paraID>
      <start>7</start>
      <end>8</end>
      <status>ignored</status>
      <modifiedWord/>
      <trackRevisions>false</trackRevisions>
    </reviewItem>
    <reviewItem>
      <errorID>7235124f-8b0a-44c9-9bde-64136d1930fb</errorID>
      <errorWord>处理达《污水综合</errorWord>
      <group>L1_Word</group>
      <groupName>字词问题</groupName>
      <ability>L2_Typo</ability>
      <abilityName>字词错误</abilityName>
      <candidateList>
        <item>处理达到《污水综合</item>
      </candidateList>
      <explain/>
      <paraID>5B3A2088</paraID>
      <start>49</start>
      <end>57</end>
      <status>unmodified</status>
      <modifiedWord/>
      <trackRevisions>false</trackRevisions>
    </reviewItem>
    <reviewItem>
      <errorID>ed189552-c0d8-4f0f-a0f3-291f7d816b4b</errorID>
      <errorWord>达</errorWord>
      <group>L1_Word</group>
      <groupName>字词问题</groupName>
      <ability>L2_Typo</ability>
      <abilityName>字词错误</abilityName>
      <candidateList>
        <item>达到</item>
      </candidateList>
      <explain>〈动〉到（多指抽象事物或程度）：达得到｜达不到｜目的没有～｜～国际水平。</explain>
      <paraID>23F1B083</paraID>
      <start>144</start>
      <end>145</end>
      <status>ignored</status>
      <modifiedWord/>
      <trackRevisions>false</trackRevisions>
    </reviewItem>
    <reviewItem>
      <errorID>18ae5a5d-806d-472f-985e-c03d6feb8d4e</errorID>
      <errorWord>IV类</errorWord>
      <group>L1_Knowledge</group>
      <groupName>知识性问题</groupName>
      <ability>L2_Knowledge</ability>
      <abilityName>其他知识</abilityName>
      <candidateList>
        <item>Ⅳ类</item>
      </candidateList>
      <explain>中文环境下罗马数字格式错误。</explain>
      <paraID>23F1B083</paraID>
      <start>169</start>
      <end>172</end>
      <status>unmodified</status>
      <modifiedWord/>
      <trackRevisions>false</trackRevisions>
    </reviewItem>
    <reviewItem>
      <errorID>7e705d68-074f-4ea3-9a8e-55498a9899c1</errorID>
      <errorWord>达</errorWord>
      <group>L1_Word</group>
      <groupName>字词问题</groupName>
      <ability>L2_Typo</ability>
      <abilityName>字词错误</abilityName>
      <candidateList>
        <item>达到</item>
      </candidateList>
      <explain>〈动〉到（多指抽象事物或程度）：达得到｜达不到｜目的没有～｜～国际水平。</explain>
      <paraID>23F1B083</paraID>
      <start>179</start>
      <end>180</end>
      <status>ignored</status>
      <modifiedWord/>
      <trackRevisions>false</trackRevisions>
    </reviewItem>
    <reviewItem>
      <errorID>8d40d121-f33d-4748-b54f-892e8946ba01</errorID>
      <errorWord>达《地表水环境</errorWord>
      <group>L1_Word</group>
      <groupName>字词问题</groupName>
      <ability>L2_Typo</ability>
      <abilityName>字词错误</abilityName>
      <candidateList>
        <item>达到《地表水环境</item>
      </candidateList>
      <explain/>
      <paraID>23F1B083</paraID>
      <start>292</start>
      <end>299</end>
      <status>unmodified</status>
      <modifiedWord/>
      <trackRevisions>false</trackRevisions>
    </reviewItem>
    <reviewItem>
      <errorID>10589d54-e7bc-4bc3-af89-ec6e433d875c</errorID>
      <errorWord>IV类</errorWord>
      <group>L1_Knowledge</group>
      <groupName>知识性问题</groupName>
      <ability>L2_Knowledge</ability>
      <abilityName>其他知识</abilityName>
      <candidateList>
        <item>Ⅳ类</item>
      </candidateList>
      <explain>中文环境下罗马数字格式错误。</explain>
      <paraID>23F1B083</paraID>
      <start>317</start>
      <end>320</end>
      <status>unmodified</status>
      <modifiedWord/>
      <trackRevisions>false</trackRevisions>
    </reviewItem>
    <reviewItem>
      <errorID>ecc3e6d6-0624-4c61-837f-64effc2f0d71</errorID>
      <errorWord>达</errorWord>
      <group>L1_Word</group>
      <groupName>字词问题</groupName>
      <ability>L2_Typo</ability>
      <abilityName>字词错误</abilityName>
      <candidateList>
        <item>达到</item>
      </candidateList>
      <explain>〈动〉到（多指抽象事物或程度）：达得到｜达不到｜目的没有～｜～国际水平。</explain>
      <paraID>5CBC868C</paraID>
      <start>39</start>
      <end>40</end>
      <status>ignored</status>
      <modifiedWord/>
      <trackRevisions>false</trackRevisions>
    </reviewItem>
    <reviewItem>
      <errorID>359697d3-95bb-47b3-a4d3-d21e3a6059aa</errorID>
      <errorWord>（</errorWord>
      <group>L1_Punc</group>
      <groupName>标点问题</groupName>
      <ability>L2_Punc_CN</ability>
      <abilityName>标点符号问题</abilityName>
      <candidateList/>
      <explain>同一形式括号套用。</explain>
      <paraID>47FA216B</paraID>
      <start>28</start>
      <end>29</end>
      <status>unmodified</status>
      <modifiedWord/>
      <trackRevisions>false</trackRevisions>
    </reviewItem>
    <reviewItem>
      <errorID>ce1cfef7-be4e-43b0-b8a9-d9246e475d33</errorID>
      <errorWord>）</errorWord>
      <group>L1_Punc</group>
      <groupName>标点问题</groupName>
      <ability>L2_Punc_CN</ability>
      <abilityName>标点符号问题</abilityName>
      <candidateList/>
      <explain>同一形式括号套用。</explain>
      <paraID>47FA216B</paraID>
      <start>38</start>
      <end>39</end>
      <status>unmodified</status>
      <modifiedWord/>
      <trackRevisions>false</trackRevisions>
    </reviewItem>
    <reviewItem>
      <errorID>0940a479-1fe5-42d4-88b2-7c8423531bd4</errorID>
      <errorWord>(</errorWord>
      <group>L1_Format</group>
      <groupName>格式问题</groupName>
      <ability>L2_HalfPunc_CN</ability>
      <abilityName>全半角问题</abilityName>
      <candidateList>
        <item>（</item>
      </candidateList>
      <explain>文本全半角错误。</explain>
      <paraID>7FE93EF7</paraID>
      <start>10</start>
      <end>11</end>
      <status>ignored</status>
      <modifiedWord/>
      <trackRevisions>false</trackRevisions>
    </reviewItem>
    <reviewItem>
      <errorID>0d65c76a-c56d-47f1-ae72-9505e52e28eb</errorID>
      <errorWord>)</errorWord>
      <group>L1_Format</group>
      <groupName>格式问题</groupName>
      <ability>L2_HalfPunc_CN</ability>
      <abilityName>全半角问题</abilityName>
      <candidateList>
        <item>）</item>
      </candidateList>
      <explain>文本全半角错误。</explain>
      <paraID>7FE93EF7</paraID>
      <start>22</start>
      <end>23</end>
      <status>ignored</status>
      <modifiedWord/>
      <trackRevisions>false</trackRevisions>
    </reviewItem>
    <reviewItem>
      <errorID>a0ca063b-07f6-4241-9198-7957116d4cc2</errorID>
      <errorWord>（</errorWord>
      <group>L1_Punc</group>
      <groupName>标点问题</groupName>
      <ability>L2_Punc_CN</ability>
      <abilityName>标点符号问题</abilityName>
      <candidateList/>
      <explain>同一形式括号套用。</explain>
      <paraID>25DBFB22</paraID>
      <start>28</start>
      <end>29</end>
      <status>unmodified</status>
      <modifiedWord/>
      <trackRevisions>false</trackRevisions>
    </reviewItem>
    <reviewItem>
      <errorID>7c864f93-b5e7-46dd-9aea-af09dc506bf9</errorID>
      <errorWord>）</errorWord>
      <group>L1_Punc</group>
      <groupName>标点问题</groupName>
      <ability>L2_Punc_CN</ability>
      <abilityName>标点符号问题</abilityName>
      <candidateList/>
      <explain>同一形式括号套用。</explain>
      <paraID>25DBFB22</paraID>
      <start>38</start>
      <end>39</end>
      <status>unmodified</status>
      <modifiedWord/>
      <trackRevisions>false</trackRevisions>
    </reviewItem>
    <reviewItem>
      <errorID>a511017d-92ea-435f-bf44-e12563bec643</errorID>
      <errorWord>减震</errorWord>
      <group>L1_Word</group>
      <groupName>字词问题</groupName>
      <ability>L2_Typo</ability>
      <abilityName>字词错误</abilityName>
      <candidateList>
        <item>减振</item>
      </candidateList>
      <explain>存在发音相同字词的误用。</explain>
      <paraID>1CD5A951</paraID>
      <start>35</start>
      <end>37</end>
      <status>modified</status>
      <modifiedWord>减振</modifiedWord>
      <trackRevisions>false</trackRevisions>
    </reviewItem>
    <reviewItem>
      <errorID>3ca23f53-ed72-4d55-975b-21fd6bda422a</errorID>
      <errorWord>（</errorWord>
      <group>L1_Punc</group>
      <groupName>标点问题</groupName>
      <ability>L2_Punc_CN</ability>
      <abilityName>标点符号问题</abilityName>
      <candidateList/>
      <explain>同一形式括号套用。</explain>
      <paraID> B006B18</paraID>
      <start>12</start>
      <end>13</end>
      <status>unmodified</status>
      <modifiedWord/>
      <trackRevisions>false</trackRevisions>
    </reviewItem>
    <reviewItem>
      <errorID>0744c980-0000-42eb-ba16-31931ff040fc</errorID>
      <errorWord>(</errorWord>
      <group>L1_Punc</group>
      <groupName>标点问题</groupName>
      <ability>L2_Punc_CN</ability>
      <abilityName>标点符号问题</abilityName>
      <candidateList/>
      <explain>同一形式括号套用。</explain>
      <paraID> B006B18</paraID>
      <start>15</start>
      <end>16</end>
      <status>unmodified</status>
      <modifiedWord/>
      <trackRevisions>false</trackRevisions>
    </reviewItem>
    <reviewItem>
      <errorID>dbe19ce5-7da7-4d4f-a84d-8ae36b3def21</errorID>
      <errorWord>)</errorWord>
      <group>L1_Punc</group>
      <groupName>标点问题</groupName>
      <ability>L2_Punc_CN</ability>
      <abilityName>标点符号问题</abilityName>
      <candidateList/>
      <explain>同一形式括号套用。</explain>
      <paraID> B006B18</paraID>
      <start>17</start>
      <end>18</end>
      <status>unmodified</status>
      <modifiedWord/>
      <trackRevisions>false</trackRevisions>
    </reviewItem>
    <reviewItem>
      <errorID>4573bf36-a154-46bf-a046-6e0df69c7455</errorID>
      <errorWord>）</errorWord>
      <group>L1_Punc</group>
      <groupName>标点问题</groupName>
      <ability>L2_Punc_CN</ability>
      <abilityName>标点符号问题</abilityName>
      <candidateList/>
      <explain>同一形式括号套用。</explain>
      <paraID> B006B18</paraID>
      <start>20</start>
      <end>21</end>
      <status>unmodified</status>
      <modifiedWord/>
      <trackRevisions>false</trackRevisions>
    </reviewItem>
    <reviewItem>
      <errorID>860bdfbf-cbca-48fe-8fae-e982ad74d101</errorID>
      <errorWord>（</errorWord>
      <group>L1_Punc</group>
      <groupName>标点问题</groupName>
      <ability>L2_Punc_CN</ability>
      <abilityName>标点符号问题</abilityName>
      <candidateList/>
      <explain>同一形式括号套用。</explain>
      <paraID>33BB2927</paraID>
      <start>12</start>
      <end>13</end>
      <status>unmodified</status>
      <modifiedWord/>
      <trackRevisions>false</trackRevisions>
    </reviewItem>
    <reviewItem>
      <errorID>71760e8d-d6ac-401a-b488-0377bbe4df10</errorID>
      <errorWord>(</errorWord>
      <group>L1_Punc</group>
      <groupName>标点问题</groupName>
      <ability>L2_Punc_CN</ability>
      <abilityName>标点符号问题</abilityName>
      <candidateList/>
      <explain>同一形式括号套用。</explain>
      <paraID>33BB2927</paraID>
      <start>15</start>
      <end>16</end>
      <status>unmodified</status>
      <modifiedWord/>
      <trackRevisions>false</trackRevisions>
    </reviewItem>
    <reviewItem>
      <errorID>ac118a07-5d70-40c1-a494-063e62e906d9</errorID>
      <errorWord>)</errorWord>
      <group>L1_Punc</group>
      <groupName>标点问题</groupName>
      <ability>L2_Punc_CN</ability>
      <abilityName>标点符号问题</abilityName>
      <candidateList/>
      <explain>同一形式括号套用。</explain>
      <paraID>33BB2927</paraID>
      <start>17</start>
      <end>18</end>
      <status>unmodified</status>
      <modifiedWord/>
      <trackRevisions>false</trackRevisions>
    </reviewItem>
    <reviewItem>
      <errorID>258f02f8-18eb-4cb3-849d-ffd70b0d464e</errorID>
      <errorWord>）</errorWord>
      <group>L1_Punc</group>
      <groupName>标点问题</groupName>
      <ability>L2_Punc_CN</ability>
      <abilityName>标点符号问题</abilityName>
      <candidateList/>
      <explain>同一形式括号套用。</explain>
      <paraID>33BB2927</paraID>
      <start>20</start>
      <end>21</end>
      <status>unmodified</status>
      <modifiedWord/>
      <trackRevisions>false</trackRevisions>
    </reviewItem>
    <reviewItem>
      <errorID>40e3b9fb-233c-4cab-9170-31246aac3d46</errorID>
      <errorWord>、</errorWord>
      <group>L1_Punc</group>
      <groupName>标点问题</groupName>
      <ability>L2_Punc_CN</ability>
      <abilityName>标点符号问题</abilityName>
      <candidateList>
        <item>.</item>
      </candidateList>
      <explain/>
      <paraID>2B5F7592</paraID>
      <start>1</start>
      <end>2</end>
      <status>ignored</status>
      <modifiedWord/>
      <trackRevisions>false</trackRevisions>
    </reviewItem>
    <reviewItem>
      <errorID>ba859204-e5ad-421c-89f0-f0fe22c024b5</errorID>
      <errorWord>、</errorWord>
      <group>L1_Punc</group>
      <groupName>标点问题</groupName>
      <ability>L2_Punc_CN</ability>
      <abilityName>标点符号问题</abilityName>
      <candidateList>
        <item>.</item>
      </candidateList>
      <explain/>
      <paraID>1E44335F</paraID>
      <start>1</start>
      <end>2</end>
      <status>ignored</status>
      <modifiedWord/>
      <trackRevisions>false</trackRevisions>
    </reviewItem>
    <reviewItem>
      <errorID>f21c3c33-05c0-4e81-86d1-e7fc944a3c98</errorID>
      <errorWord>、</errorWord>
      <group>L1_Punc</group>
      <groupName>标点问题</groupName>
      <ability>L2_Punc_CN</ability>
      <abilityName>标点符号问题</abilityName>
      <candidateList>
        <item>.</item>
      </candidateList>
      <explain/>
      <paraID>5D333DE2</paraID>
      <start>1</start>
      <end>2</end>
      <status>ignored</status>
      <modifiedWord/>
      <trackRevisions>false</trackRevisions>
    </reviewItem>
    <reviewItem>
      <errorID>380ea9a1-a5a6-4bd8-9802-84f45635cfa3</errorID>
      <errorWord>、</errorWord>
      <group>L1_Punc</group>
      <groupName>标点问题</groupName>
      <ability>L2_Punc_CN</ability>
      <abilityName>标点符号问题</abilityName>
      <candidateList>
        <item>.</item>
      </candidateList>
      <explain/>
      <paraID>48A8D29D</paraID>
      <start>1</start>
      <end>2</end>
      <status>ignored</status>
      <modifiedWord/>
      <trackRevisions>false</trackRevisions>
    </reviewItem>
    <reviewItem>
      <errorID>8df1fa20-a000-4ee9-8f05-a764d8f26212</errorID>
      <errorWord>、</errorWord>
      <group>L1_Punc</group>
      <groupName>标点问题</groupName>
      <ability>L2_Punc_CN</ability>
      <abilityName>标点符号问题</abilityName>
      <candidateList>
        <item>.</item>
      </candidateList>
      <explain/>
      <paraID>24AC3A4A</paraID>
      <start>1</start>
      <end>2</end>
      <status>ignored</status>
      <modifiedWord/>
      <trackRevisions>false</trackRevisions>
    </reviewItem>
    <reviewItem>
      <errorID>e494e39a-9fc9-41b3-8ca4-b5af933ebc39</errorID>
      <errorWord>、</errorWord>
      <group>L1_Punc</group>
      <groupName>标点问题</groupName>
      <ability>L2_Punc_CN</ability>
      <abilityName>标点符号问题</abilityName>
      <candidateList>
        <item>.</item>
      </candidateList>
      <explain/>
      <paraID>11B1D455</paraID>
      <start>1</start>
      <end>2</end>
      <status>ignored</status>
      <modifiedWord/>
      <trackRevisions>false</trackRevisions>
    </reviewItem>
    <reviewItem>
      <errorID>154183f3-6b6f-47ba-9694-8334f66d2c6b</errorID>
      <errorWord>交有</errorWord>
      <group>L1_Word</group>
      <groupName>字词问题</groupName>
      <ability>L2_Typo</ability>
      <abilityName>字词错误</abilityName>
      <candidateList>
        <item>交由</item>
      </candidateList>
      <explain>存在发音相同字词的误用。</explain>
      <paraID>6F6C4061</paraID>
      <start>133</start>
      <end>135</end>
      <status>unmodified</status>
      <modifiedWord/>
      <trackRevisions>false</trackRevisions>
    </reviewItem>
    <reviewItem>
      <errorID>88357f60-1366-4da6-9f99-b96a6a31ee7a</errorID>
      <errorWord>、</errorWord>
      <group>L1_Punc</group>
      <groupName>标点问题</groupName>
      <ability>L2_Punc_CN</ability>
      <abilityName>标点符号问题</abilityName>
      <candidateList>
        <item>.</item>
      </candidateList>
      <explain/>
      <paraID>36C0324F</paraID>
      <start>1</start>
      <end>2</end>
      <status>ignored</status>
      <modifiedWord/>
      <trackRevisions>false</trackRevisions>
    </reviewItem>
    <reviewItem>
      <errorID>30fcc03a-e5ff-4ea4-95af-57be750353d8</errorID>
      <errorWord>，</errorWord>
      <group>L1_Format</group>
      <groupName>格式问题</groupName>
      <ability>L2_HalfPunc_CN</ability>
      <abilityName>全半角问题</abilityName>
      <candidateList>
        <item>, </item>
      </candidateList>
      <explain>文本全半角错误。</explain>
      <paraID>42C1BC97</paraID>
      <start>1</start>
      <end>2</end>
      <status>unmodified</status>
      <modifiedWord/>
      <trackRevisions>false</trackRevisions>
    </reviewItem>
    <reviewItem>
      <errorID>f8695794-e8ff-4993-a40d-6edf49a187ff</errorID>
      <errorWord>交有</errorWord>
      <group>L1_Word</group>
      <groupName>字词问题</groupName>
      <ability>L2_Typo</ability>
      <abilityName>字词错误</abilityName>
      <candidateList>
        <item>交由</item>
      </candidateList>
      <explain>存在发音相同字词的误用。</explain>
      <paraID>4DECF867</paraID>
      <start>9</start>
      <end>11</end>
      <status>unmodified</status>
      <modifiedWord/>
      <trackRevisions>false</trackRevisions>
    </reviewItem>
    <reviewItem>
      <errorID>01c07597-673f-4bd9-9a7c-1477ab3d5922</errorID>
      <errorWord>，</errorWord>
      <group>L1_Format</group>
      <groupName>格式问题</groupName>
      <ability>L2_HalfPunc_CN</ability>
      <abilityName>全半角问题</abilityName>
      <candidateList>
        <item>, </item>
      </candidateList>
      <explain>文本全半角错误。</explain>
      <paraID>679916B0</paraID>
      <start>1</start>
      <end>2</end>
      <status>unmodified</status>
      <modifiedWord/>
      <trackRevisions>false</trackRevisions>
    </reviewItem>
    <reviewItem>
      <errorID>d5b139a2-a3f5-4905-a565-652efa832a9a</errorID>
      <errorWord>II</errorWord>
      <group>L1_Knowledge</group>
      <groupName>知识性问题</groupName>
      <ability>L2_Knowledge</ability>
      <abilityName>其他知识</abilityName>
      <candidateList>
        <item>Ⅱ</item>
      </candidateList>
      <explain>中文环境下罗马数字格式错误。</explain>
      <paraID>39964F35</paraID>
      <start>0</start>
      <end>2</end>
      <status>unmodified</status>
      <modifiedWord/>
      <trackRevisions>false</trackRevisions>
    </reviewItem>
    <reviewItem>
      <errorID>0826a37f-ec87-456e-b765-d14f0dbce29d</errorID>
      <errorWord>III</errorWord>
      <group>L1_Knowledge</group>
      <groupName>知识性问题</groupName>
      <ability>L2_Knowledge</ability>
      <abilityName>其他知识</abilityName>
      <candidateList>
        <item>Ⅲ</item>
      </candidateList>
      <explain>中文环境下罗马数字格式错误。</explain>
      <paraID>615D49C2</paraID>
      <start>0</start>
      <end>3</end>
      <status>unmodified</status>
      <modifiedWord/>
      <trackRevisions>false</trackRevisions>
    </reviewItem>
    <reviewItem>
      <errorID>907b0e92-6fb3-42c9-b11c-d2644efa8d81</errorID>
      <errorWord>见</errorWord>
      <group>L1_Word</group>
      <groupName>字词问题</groupName>
      <ability>L2_Typo</ability>
      <abilityName>字词错误</abilityName>
      <candidateList>
        <item>见下</item>
      </candidateList>
      <explain/>
      <paraID>1D82E20C</paraID>
      <start>115</start>
      <end>116</end>
      <status>unmodified</status>
      <modifiedWord/>
      <trackRevisions>false</trackRevisions>
    </reviewItem>
    <reviewItem>
      <errorID>490d8bf4-9570-4b0c-84d2-0cdce520f0f7</errorID>
      <errorWord>II</errorWord>
      <group>L1_Knowledge</group>
      <groupName>知识性问题</groupName>
      <ability>L2_Knowledge</ability>
      <abilityName>其他知识</abilityName>
      <candidateList>
        <item>Ⅱ</item>
      </candidateList>
      <explain>中文环境下罗马数字格式错误。</explain>
      <paraID>63F3A945</paraID>
      <start>0</start>
      <end>2</end>
      <status>unmodified</status>
      <modifiedWord/>
      <trackRevisions>false</trackRevisions>
    </reviewItem>
    <reviewItem>
      <errorID>19db02cb-ef75-4c66-b5dc-3b88890ec254</errorID>
      <errorWord>III</errorWord>
      <group>L1_Knowledge</group>
      <groupName>知识性问题</groupName>
      <ability>L2_Knowledge</ability>
      <abilityName>其他知识</abilityName>
      <candidateList>
        <item>Ⅲ</item>
      </candidateList>
      <explain>中文环境下罗马数字格式错误。</explain>
      <paraID>771640C3</paraID>
      <start>0</start>
      <end>3</end>
      <status>unmodified</status>
      <modifiedWord/>
      <trackRevisions>false</trackRevisions>
    </reviewItem>
    <reviewItem>
      <errorID>d6a74b95-ab35-42f4-b00e-8fa0e1264c9c</errorID>
      <errorWord>IV</errorWord>
      <group>L1_Knowledge</group>
      <groupName>知识性问题</groupName>
      <ability>L2_Knowledge</ability>
      <abilityName>其他知识</abilityName>
      <candidateList>
        <item>Ⅳ</item>
      </candidateList>
      <explain>中文环境下罗马数字格式错误。</explain>
      <paraID>6EEAB580</paraID>
      <start>0</start>
      <end>2</end>
      <status>unmodified</status>
      <modifiedWord/>
      <trackRevisions>false</trackRevisions>
    </reviewItem>
    <reviewItem>
      <errorID>c3a980a2-dd72-4d5a-973d-f4d93570f768</errorID>
      <errorWord>，…，</errorWord>
      <group>L1_Punc</group>
      <groupName>标点问题</groupName>
      <ability>L2_Punc_CN</ability>
      <abilityName>标点符号问题</abilityName>
      <candidateList>
        <item>，</item>
      </candidateList>
      <explain/>
      <paraID>4956F37E</paraID>
      <start>5</start>
      <end>8</end>
      <status>unmodified</status>
      <modifiedWord/>
      <trackRevisions>false</trackRevisions>
    </reviewItem>
    <reviewItem>
      <errorID>28dc17e1-8d07-4eef-8029-8f8c29672a57</errorID>
      <errorWord>，…，</errorWord>
      <group>L1_Punc</group>
      <groupName>标点问题</groupName>
      <ability>L2_Punc_CN</ability>
      <abilityName>标点符号问题</abilityName>
      <candidateList>
        <item>，</item>
      </candidateList>
      <explain/>
      <paraID>2E2CD234</paraID>
      <start>5</start>
      <end>8</end>
      <status>unmodified</status>
      <modifiedWord/>
      <trackRevisions>false</trackRevisions>
    </reviewItem>
    <reviewItem>
      <errorID>c8eaf486-e2f4-4fce-9699-c459c9649391</errorID>
      <errorWord>(</errorWord>
      <group>L1_Format</group>
      <groupName>格式问题</groupName>
      <ability>L2_HalfPunc_CN</ability>
      <abilityName>全半角问题</abilityName>
      <candidateList>
        <item>（</item>
      </candidateList>
      <explain>文本全半角错误。</explain>
      <paraID> 12D2EFB</paraID>
      <start>16</start>
      <end>17</end>
      <status>ignored</status>
      <modifiedWord/>
      <trackRevisions>false</trackRevisions>
    </reviewItem>
    <reviewItem>
      <errorID>a245ae9d-5e54-4129-b779-80cb353a2cbe</errorID>
      <errorWord>)</errorWord>
      <group>L1_Format</group>
      <groupName>格式问题</groupName>
      <ability>L2_HalfPunc_CN</ability>
      <abilityName>全半角问题</abilityName>
      <candidateList>
        <item>）</item>
      </candidateList>
      <explain>文本全半角错误。</explain>
      <paraID> 12D2EFB</paraID>
      <start>27</start>
      <end>28</end>
      <status>ignored</status>
      <modifiedWord/>
      <trackRevisions>false</trackRevisions>
    </reviewItem>
    <reviewItem>
      <errorID>1aef9193-4135-4f71-8e29-69afb3af7651</errorID>
      <errorWord>*</errorWord>
      <group>L1_Punc</group>
      <groupName>标点问题</groupName>
      <ability>L2_Punc_CN</ability>
      <abilityName>标点符号问题</abilityName>
      <candidateList/>
      <explain/>
      <paraID> DAF8129</paraID>
      <start>0</start>
      <end>1</end>
      <status>unmodified</status>
      <modifiedWord/>
      <trackRevisions>false</trackRevisions>
    </reviewItem>
    <reviewItem>
      <errorID>a001b12e-8d3c-4385-bae8-230ad78cbdfd</errorID>
      <errorWord>(</errorWord>
      <group>L1_Format</group>
      <groupName>格式问题</groupName>
      <ability>L2_HalfPunc_CN</ability>
      <abilityName>全半角问题</abilityName>
      <candidateList>
        <item>（</item>
      </candidateList>
      <explain>文本全半角错误。</explain>
      <paraID>41323FFE</paraID>
      <start>3</start>
      <end>4</end>
      <status>ignored</status>
      <modifiedWord/>
      <trackRevisions>false</trackRevisions>
    </reviewItem>
    <reviewItem>
      <errorID>b3cd092d-57d4-4925-b837-3cf7a944fcfe</errorID>
      <errorWord>)</errorWord>
      <group>L1_Format</group>
      <groupName>格式问题</groupName>
      <ability>L2_HalfPunc_CN</ability>
      <abilityName>全半角问题</abilityName>
      <candidateList>
        <item>）</item>
      </candidateList>
      <explain>文本全半角错误。</explain>
      <paraID>41323FFE</paraID>
      <start>9</start>
      <end>10</end>
      <status>ignored</status>
      <modifiedWord/>
      <trackRevisions>false</trackRevisions>
    </reviewItem>
    <reviewItem>
      <errorID>f00a94d8-e69d-464c-b78f-3be2a12cd202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5025431A</paraID>
      <start>0</start>
      <end>2</end>
      <status>unmodified</status>
      <modifiedWord/>
      <trackRevisions>false</trackRevisions>
    </reviewItem>
    <reviewItem>
      <errorID>3f0f93c4-b9ba-48c7-bb13-4edd1844c2d7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57735467</paraID>
      <start>0</start>
      <end>2</end>
      <status>unmodified</status>
      <modifiedWord/>
      <trackRevisions>false</trackRevisions>
    </reviewItem>
    <reviewItem>
      <errorID>c96f846e-c43f-402c-b8a3-e0279ab07071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4B47B13C</paraID>
      <start>0</start>
      <end>2</end>
      <status>unmodified</status>
      <modifiedWord/>
      <trackRevisions>false</trackRevisions>
    </reviewItem>
    <reviewItem>
      <errorID>ea854e2f-ca67-42a8-b4e2-3a89f48ada32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3C1991E2</paraID>
      <start>0</start>
      <end>2</end>
      <status>unmodified</status>
      <modifiedWord/>
      <trackRevisions>false</trackRevisions>
    </reviewItem>
    <reviewItem>
      <errorID>e04959c1-745d-46bf-a2ef-68047066883a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2F8ED01F</paraID>
      <start>0</start>
      <end>2</end>
      <status>unmodified</status>
      <modifiedWord/>
      <trackRevisions>false</trackRevisions>
    </reviewItem>
    <reviewItem>
      <errorID>75ac6807-ba82-45ee-8e76-f24826d0e209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3135B44E</paraID>
      <start>0</start>
      <end>2</end>
      <status>unmodified</status>
      <modifiedWord/>
      <trackRevisions>false</trackRevisions>
    </reviewItem>
    <reviewItem>
      <errorID>b77f594c-a1ff-4d59-b10f-23392f9495f4</errorID>
      <errorWord>（</errorWord>
      <group>L1_Punc</group>
      <groupName>标点问题</groupName>
      <ability>L2_Punc_CN</ability>
      <abilityName>标点符号问题</abilityName>
      <candidateList/>
      <explain>同一形式括号套用。</explain>
      <paraID>7C0E497C</paraID>
      <start>71</start>
      <end>72</end>
      <status>unmodified</status>
      <modifiedWord/>
      <trackRevisions>false</trackRevisions>
    </reviewItem>
    <reviewItem>
      <errorID>0523307b-86bc-4690-9447-18d1b0d54808</errorID>
      <errorWord>）</errorWord>
      <group>L1_Punc</group>
      <groupName>标点问题</groupName>
      <ability>L2_Punc_CN</ability>
      <abilityName>标点符号问题</abilityName>
      <candidateList/>
      <explain>同一形式括号套用。</explain>
      <paraID>7C0E497C</paraID>
      <start>81</start>
      <end>82</end>
      <status>unmodified</status>
      <modifiedWord/>
      <trackRevisions>false</trackRevisions>
    </reviewItem>
    <reviewItem>
      <errorID>01b6f20b-6457-41a6-852f-27129aa411ae</errorID>
      <errorWord>处理达《污水综合</errorWord>
      <group>L1_Word</group>
      <groupName>字词问题</groupName>
      <ability>L2_Typo</ability>
      <abilityName>字词错误</abilityName>
      <candidateList>
        <item>处理达到《污水综合</item>
      </candidateList>
      <explain/>
      <paraID>7C0E497C</paraID>
      <start>116</start>
      <end>124</end>
      <status>unmodified</status>
      <modifiedWord/>
      <trackRevisions>false</trackRevisions>
    </reviewItem>
    <reviewItem>
      <errorID>3887274f-7326-4030-9db5-9e54db3b00a3</errorID>
      <errorWord>（</errorWord>
      <group>L1_Punc</group>
      <groupName>标点问题</groupName>
      <ability>L2_Punc_CN</ability>
      <abilityName>标点符号问题</abilityName>
      <candidateList/>
      <explain>同一形式括号套用。</explain>
      <paraID>7C0E497C</paraID>
      <start>171</start>
      <end>172</end>
      <status>unmodified</status>
      <modifiedWord/>
      <trackRevisions>false</trackRevisions>
    </reviewItem>
    <reviewItem>
      <errorID>95ae4377-ae63-4a30-b6ba-3952090a4c0d</errorID>
      <errorWord>）</errorWord>
      <group>L1_Punc</group>
      <groupName>标点问题</groupName>
      <ability>L2_Punc_CN</ability>
      <abilityName>标点符号问题</abilityName>
      <candidateList/>
      <explain>同一形式括号套用。</explain>
      <paraID>7C0E497C</paraID>
      <start>186</start>
      <end>187</end>
      <status>unmodified</status>
      <modifiedWord/>
      <trackRevisions>false</trackRevisions>
    </reviewItem>
    <reviewItem>
      <errorID>f52a591e-db84-4c1b-841f-a62f6705e17d</errorID>
      <errorWord>处理达《城镇污水</errorWord>
      <group>L1_Word</group>
      <groupName>字词问题</groupName>
      <ability>L2_Typo</ability>
      <abilityName>字词错误</abilityName>
      <candidateList>
        <item>处理达到《城镇污水</item>
      </candidateList>
      <explain/>
      <paraID>7C0E497C</paraID>
      <start>209</start>
      <end>217</end>
      <status>unmodified</status>
      <modifiedWord/>
      <trackRevisions>false</trackRevisions>
    </reviewItem>
    <reviewItem>
      <errorID>96947b2b-3308-4edf-84df-cd27fc35a589</errorID>
      <errorWord>达</errorWord>
      <group>L1_Word</group>
      <groupName>字词问题</groupName>
      <ability>L2_Typo</ability>
      <abilityName>字词错误</abilityName>
      <candidateList>
        <item>达到</item>
      </candidateList>
      <explain>〈动〉到（多指抽象事物或程度）：达得到｜达不到｜目的没有～｜～国际水平。</explain>
      <paraID>7C0E497C</paraID>
      <start>266</start>
      <end>267</end>
      <status>ignored</status>
      <modifiedWord/>
      <trackRevisions>false</trackRevisions>
    </reviewItem>
    <reviewItem>
      <errorID>5e613355-883a-47f6-bf74-3df49841e953</errorID>
      <errorWord>IV类</errorWord>
      <group>L1_Knowledge</group>
      <groupName>知识性问题</groupName>
      <ability>L2_Knowledge</ability>
      <abilityName>其他知识</abilityName>
      <candidateList>
        <item>Ⅳ类</item>
      </candidateList>
      <explain>中文环境下罗马数字格式错误。</explain>
      <paraID>7C0E497C</paraID>
      <start>291</start>
      <end>294</end>
      <status>unmodified</status>
      <modifiedWord/>
      <trackRevisions>false</trackRevisions>
    </reviewItem>
    <reviewItem>
      <errorID>c25de735-8e28-476a-bcb9-893a6326a1e6</errorID>
      <errorWord>（</errorWord>
      <group>L1_Punc</group>
      <groupName>标点问题</groupName>
      <ability>L2_Punc_CN</ability>
      <abilityName>标点符号问题</abilityName>
      <candidateList/>
      <explain>同一形式括号套用。</explain>
      <paraID>108CF423</paraID>
      <start>82</start>
      <end>83</end>
      <status>unmodified</status>
      <modifiedWord/>
      <trackRevisions>false</trackRevisions>
    </reviewItem>
    <reviewItem>
      <errorID>ef2089e1-3c86-4311-a878-82bcd90a057a</errorID>
      <errorWord>）</errorWord>
      <group>L1_Punc</group>
      <groupName>标点问题</groupName>
      <ability>L2_Punc_CN</ability>
      <abilityName>标点符号问题</abilityName>
      <candidateList/>
      <explain>同一形式括号套用。</explain>
      <paraID>108CF423</paraID>
      <start>92</start>
      <end>93</end>
      <status>unmodified</status>
      <modifiedWord/>
      <trackRevisions>false</trackRevisions>
    </reviewItem>
    <reviewItem>
      <errorID>15b9e07c-f688-42f5-920e-d0aa9ddc7514</errorID>
      <errorWord>处理达《污水综合</errorWord>
      <group>L1_Word</group>
      <groupName>字词问题</groupName>
      <ability>L2_Typo</ability>
      <abilityName>字词错误</abilityName>
      <candidateList>
        <item>处理达到《污水综合</item>
      </candidateList>
      <explain/>
      <paraID>70B1CEFC</paraID>
      <start>38</start>
      <end>46</end>
      <status>unmodified</status>
      <modifiedWord/>
      <trackRevisions>false</trackRevisions>
    </reviewItem>
    <reviewItem>
      <errorID>2aea9fc8-2f4e-4dfc-9062-bf20d3d9b13c</errorID>
      <errorWord>（</errorWord>
      <group>L1_Punc</group>
      <groupName>标点问题</groupName>
      <ability>L2_Punc_CN</ability>
      <abilityName>标点符号问题</abilityName>
      <candidateList/>
      <explain>同一形式括号套用。</explain>
      <paraID>70B1CEFC</paraID>
      <start>93</start>
      <end>94</end>
      <status>unmodified</status>
      <modifiedWord/>
      <trackRevisions>false</trackRevisions>
    </reviewItem>
    <reviewItem>
      <errorID>5d8b8bc3-a633-46f3-8599-c9da66559113</errorID>
      <errorWord>）</errorWord>
      <group>L1_Punc</group>
      <groupName>标点问题</groupName>
      <ability>L2_Punc_CN</ability>
      <abilityName>标点符号问题</abilityName>
      <candidateList/>
      <explain>同一形式括号套用。</explain>
      <paraID>70B1CEFC</paraID>
      <start>108</start>
      <end>109</end>
      <status>unmodified</status>
      <modifiedWord/>
      <trackRevisions>false</trackRevisions>
    </reviewItem>
    <reviewItem>
      <errorID>adf766ce-a7b0-4bab-91d6-1115d1275b2d</errorID>
      <errorWord>达</errorWord>
      <group>L1_Word</group>
      <groupName>字词问题</groupName>
      <ability>L2_Typo</ability>
      <abilityName>字词错误</abilityName>
      <candidateList>
        <item>达到</item>
      </candidateList>
      <explain>〈动〉到（多指抽象事物或程度）：达得到｜达不到｜目的没有～｜～国际水平。</explain>
      <paraID>70B1CEFC</paraID>
      <start>133</start>
      <end>134</end>
      <status>ignored</status>
      <modifiedWord/>
      <trackRevisions>false</trackRevisions>
    </reviewItem>
    <reviewItem>
      <errorID>ec5cd6b5-f205-40ae-a671-42b03355475a</errorID>
      <errorWord>达</errorWord>
      <group>L1_Word</group>
      <groupName>字词问题</groupName>
      <ability>L2_Typo</ability>
      <abilityName>字词错误</abilityName>
      <candidateList>
        <item>达到</item>
      </candidateList>
      <explain>〈动〉到（多指抽象事物或程度）：达得到｜达不到｜目的没有～｜～国际水平。</explain>
      <paraID>70B1CEFC</paraID>
      <start>188</start>
      <end>189</end>
      <status>ignored</status>
      <modifiedWord/>
      <trackRevisions>false</trackRevisions>
    </reviewItem>
    <reviewItem>
      <errorID>de4138fa-84a5-430e-9dae-d6e167ffcac8</errorID>
      <errorWord>IV类</errorWord>
      <group>L1_Knowledge</group>
      <groupName>知识性问题</groupName>
      <ability>L2_Knowledge</ability>
      <abilityName>其他知识</abilityName>
      <candidateList>
        <item>Ⅳ类</item>
      </candidateList>
      <explain>中文环境下罗马数字格式错误。</explain>
      <paraID>70B1CEFC</paraID>
      <start>213</start>
      <end>216</end>
      <status>unmodified</status>
      <modifiedWord/>
      <trackRevisions>false</trackRevisions>
    </reviewItem>
    <reviewItem>
      <errorID>f4920e8e-309a-4d4e-ab31-79afb63c0b6b</errorID>
      <errorWord>达</errorWord>
      <group>L1_Word</group>
      <groupName>字词问题</groupName>
      <ability>L2_Typo</ability>
      <abilityName>字词错误</abilityName>
      <candidateList>
        <item>达到</item>
      </candidateList>
      <explain>〈动〉到（多指抽象事物或程度）：达得到｜达不到｜目的没有～｜～国际水平。</explain>
      <paraID>347282E3</paraID>
      <start>124</start>
      <end>125</end>
      <status>ignored</status>
      <modifiedWord/>
      <trackRevisions>false</trackRevisions>
    </reviewItem>
    <reviewItem>
      <errorID>d9f3148a-efaa-450a-bf91-a9a0fd1cdc5b</errorID>
      <errorWord>IV类</errorWord>
      <group>L1_Knowledge</group>
      <groupName>知识性问题</groupName>
      <ability>L2_Knowledge</ability>
      <abilityName>其他知识</abilityName>
      <candidateList>
        <item>Ⅳ类</item>
      </candidateList>
      <explain>中文环境下罗马数字格式错误。</explain>
      <paraID>347282E3</paraID>
      <start>149</start>
      <end>152</end>
      <status>unmodified</status>
      <modifiedWord/>
      <trackRevisions>false</trackRevisions>
    </reviewItem>
    <reviewItem>
      <errorID>fe6d7bd2-868b-46bd-b642-e61a2931d410</errorID>
      <errorWord>(</errorWord>
      <group>L1_Format</group>
      <groupName>格式问题</groupName>
      <ability>L2_HalfPunc_CN</ability>
      <abilityName>全半角问题</abilityName>
      <candidateList>
        <item>（</item>
      </candidateList>
      <explain>文本全半角错误。</explain>
      <paraID>5ABBA836</paraID>
      <start>16</start>
      <end>17</end>
      <status>ignored</status>
      <modifiedWord/>
      <trackRevisions>false</trackRevisions>
    </reviewItem>
    <reviewItem>
      <errorID>24562577-8f41-4618-aa36-078a86cc6651</errorID>
      <errorWord>交有</errorWord>
      <group>L1_Word</group>
      <groupName>字词问题</groupName>
      <ability>L2_Typo</ability>
      <abilityName>字词错误</abilityName>
      <candidateList>
        <item>交由</item>
      </candidateList>
      <explain>存在发音相同字词的误用。</explain>
      <paraID>4D0EB389</paraID>
      <start>9</start>
      <end>11</end>
      <status>unmodified</status>
      <modifiedWord/>
      <trackRevisions>false</trackRevisions>
    </reviewItem>
    <reviewItem>
      <errorID>26a91cf6-b946-46d1-b621-026a490250ce</errorID>
      <errorWord>设</errorWord>
      <group>L1_Word</group>
      <groupName>字词问题</groupName>
      <ability>L2_Typo</ability>
      <abilityName>字词错误</abilityName>
      <candidateList>
        <item>设置</item>
      </candidateList>
      <explain>〈动〉❶设立：这座剧院是为儿童～的。❷安放；安装：～障碍。</explain>
      <paraID> 7CF515E</paraID>
      <start>54</start>
      <end>55</end>
      <status>unmodified</status>
      <modifiedWord/>
      <trackRevisions>false</trackRevisions>
    </reviewItem>
    <reviewItem>
      <errorID>4b1204e9-80f8-4786-ab82-c5797b72ac47</errorID>
      <errorWord>，</errorWord>
      <group>L1_Word</group>
      <groupName>字词问题</groupName>
      <ability>L2_Typo</ability>
      <abilityName>字词错误</abilityName>
      <candidateList>
        <item>，对</item>
      </candidateList>
      <explain/>
      <paraID>2FBDF0D4</paraID>
      <start>48</start>
      <end>49</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C174E9-1D16-4E39-B4CC-749100CE1312}">
  <ds:schemaRefs/>
</ds:datastoreItem>
</file>

<file path=customXml/itemProps3.xml><?xml version="1.0" encoding="utf-8"?>
<ds:datastoreItem xmlns:ds="http://schemas.openxmlformats.org/officeDocument/2006/customXml" ds:itemID="{AD5F4D1E-014A-495E-9585-71F55AB31C6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118</Pages>
  <Words>1155</Words>
  <Characters>1266</Characters>
  <Lines>605</Lines>
  <Paragraphs>170</Paragraphs>
  <TotalTime>9</TotalTime>
  <ScaleCrop>false</ScaleCrop>
  <LinksUpToDate>false</LinksUpToDate>
  <CharactersWithSpaces>1306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2026-06-11T07:11:00Z</dcterms:created>
  <dc:creator>xd</dc:creator>
  <cp:lastModifiedBy>辜磊</cp:lastModifiedBy>
  <cp:lastPrinted>2026-08-11T01:44:33Z</cp:lastPrinted>
  <dcterms:modified xsi:type="dcterms:W3CDTF">2026-08-11T01:53:22Z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6479A5D5B5374E5AACBDF2CC13AE2BAB_13</vt:lpwstr>
  </property>
  <property fmtid="{D5CDD505-2E9C-101B-9397-08002B2CF9AE}" pid="4" name="KSOTemplateDocerSaveRecord">
    <vt:lpwstr>eyJoZGlkIjoiYTUxZTJhODQ1OGVjMmM0YjJiNzY2NWYyZmRiYzI5NmMiLCJ1c2VySWQiOiIxNDkwMTU0ODc0In0=</vt:lpwstr>
  </property>
</Properties>
</file>