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djustRightInd w:val="0"/>
        <w:snapToGrid w:val="0"/>
        <w:spacing w:line="348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hAnsi="黑体" w:eastAsia="黑体"/>
          <w:spacing w:val="-10"/>
          <w:sz w:val="36"/>
          <w:szCs w:val="30"/>
        </w:rPr>
      </w:pPr>
      <w:r>
        <w:rPr>
          <w:rFonts w:hint="eastAsia" w:ascii="黑体" w:hAnsi="黑体" w:eastAsia="黑体"/>
          <w:spacing w:val="-10"/>
          <w:sz w:val="36"/>
          <w:szCs w:val="30"/>
        </w:rPr>
        <w:t>重庆市九龙坡区地级及以上城市</w:t>
      </w:r>
    </w:p>
    <w:p>
      <w:pPr>
        <w:spacing w:line="360" w:lineRule="auto"/>
        <w:jc w:val="center"/>
        <w:rPr>
          <w:rFonts w:ascii="黑体" w:hAnsi="黑体" w:eastAsia="黑体"/>
          <w:spacing w:val="-10"/>
          <w:sz w:val="36"/>
          <w:szCs w:val="30"/>
        </w:rPr>
      </w:pPr>
      <w:r>
        <w:rPr>
          <w:rFonts w:hint="eastAsia" w:ascii="黑体" w:hAnsi="黑体" w:eastAsia="黑体"/>
          <w:spacing w:val="-10"/>
          <w:sz w:val="36"/>
          <w:szCs w:val="30"/>
        </w:rPr>
        <w:t>集中式生活饮用水水源水质状况</w:t>
      </w:r>
    </w:p>
    <w:p>
      <w:pPr>
        <w:adjustRightInd w:val="0"/>
        <w:snapToGrid w:val="0"/>
        <w:spacing w:line="360" w:lineRule="auto"/>
        <w:ind w:firstLine="3300" w:firstLineChars="1100"/>
        <w:outlineLvl w:val="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（202</w:t>
      </w:r>
      <w:r>
        <w:rPr>
          <w:rFonts w:hint="eastAsia" w:ascii="仿宋_GB2312" w:eastAsia="仿宋_GB2312"/>
          <w:sz w:val="30"/>
          <w:lang w:val="en-US" w:eastAsia="zh-CN"/>
        </w:rPr>
        <w:t>3</w:t>
      </w:r>
      <w:r>
        <w:rPr>
          <w:rFonts w:hint="eastAsia" w:ascii="仿宋_GB2312" w:eastAsia="仿宋_GB2312"/>
          <w:sz w:val="30"/>
        </w:rPr>
        <w:t>年</w:t>
      </w:r>
      <w:r>
        <w:rPr>
          <w:rFonts w:hint="eastAsia" w:ascii="仿宋_GB2312" w:hAnsi="仿宋_GB2312" w:eastAsia="仿宋_GB2312"/>
          <w:sz w:val="30"/>
          <w:lang w:val="en-US" w:eastAsia="zh-CN"/>
        </w:rPr>
        <w:t>10</w:t>
      </w:r>
      <w:r>
        <w:rPr>
          <w:rFonts w:hint="eastAsia" w:ascii="仿宋_GB2312" w:eastAsia="仿宋_GB2312"/>
          <w:sz w:val="30"/>
        </w:rPr>
        <w:t>月）</w:t>
      </w: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/>
          <w:spacing w:val="-10"/>
          <w:sz w:val="30"/>
          <w:szCs w:val="30"/>
        </w:rPr>
        <w:t>一、监测情况</w:t>
      </w:r>
    </w:p>
    <w:p>
      <w:pPr>
        <w:spacing w:line="348" w:lineRule="auto"/>
        <w:ind w:firstLine="60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  <w:r>
        <w:rPr>
          <w:rFonts w:hint="eastAsia" w:ascii="仿宋_GB2312" w:eastAsia="仿宋_GB2312"/>
          <w:sz w:val="30"/>
        </w:rPr>
        <w:t>202</w:t>
      </w:r>
      <w:r>
        <w:rPr>
          <w:rFonts w:hint="eastAsia" w:ascii="仿宋_GB2312" w:eastAsia="仿宋_GB2312"/>
          <w:sz w:val="30"/>
          <w:lang w:val="en-US" w:eastAsia="zh-CN"/>
        </w:rPr>
        <w:t>3</w:t>
      </w:r>
      <w:r>
        <w:rPr>
          <w:rFonts w:hint="eastAsia" w:ascii="仿宋_GB2312" w:eastAsia="仿宋_GB2312"/>
          <w:sz w:val="30"/>
        </w:rPr>
        <w:t>年</w:t>
      </w:r>
      <w:r>
        <w:rPr>
          <w:rFonts w:hint="eastAsia" w:ascii="仿宋_GB2312" w:hAnsi="仿宋_GB2312" w:eastAsia="仿宋_GB2312"/>
          <w:sz w:val="30"/>
          <w:lang w:val="en-US" w:eastAsia="zh-CN"/>
        </w:rPr>
        <w:t>10</w:t>
      </w:r>
      <w:r>
        <w:rPr>
          <w:rFonts w:hint="eastAsia" w:ascii="仿宋_GB2312" w:eastAsia="仿宋_GB2312"/>
          <w:sz w:val="30"/>
        </w:rPr>
        <w:t>月,</w:t>
      </w:r>
      <w:r>
        <w:rPr>
          <w:rFonts w:hint="eastAsia" w:ascii="仿宋_GB2312" w:hAnsi="仿宋_GB2312" w:eastAsia="仿宋_GB2312"/>
          <w:spacing w:val="-10"/>
          <w:sz w:val="30"/>
          <w:szCs w:val="30"/>
        </w:rPr>
        <w:t>我区共监测2个地级及以上城市集中式生活饮用水水源，均为河流型地表水水源。监测项目为《地表水环境质量标准》（GB3838-2002）表1的基本项目（23项，化学需氧量除外）、表2的补充项目（5项）和表3的优选特定项目（33项），共61项。</w:t>
      </w: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/>
          <w:spacing w:val="-10"/>
          <w:sz w:val="30"/>
          <w:szCs w:val="30"/>
        </w:rPr>
        <w:t>二、评价标准及方法</w:t>
      </w: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/>
          <w:spacing w:val="-10"/>
          <w:sz w:val="30"/>
          <w:szCs w:val="3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/>
          <w:spacing w:val="-10"/>
          <w:sz w:val="30"/>
          <w:szCs w:val="30"/>
        </w:rPr>
        <w:t>三、评价结果</w:t>
      </w: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/>
          <w:spacing w:val="-10"/>
          <w:sz w:val="30"/>
          <w:szCs w:val="30"/>
          <w:lang w:val="en-US" w:eastAsia="zh-CN"/>
        </w:rPr>
        <w:t>2023年10</w:t>
      </w:r>
      <w:r>
        <w:rPr>
          <w:rFonts w:hint="eastAsia" w:ascii="仿宋_GB2312" w:hAnsi="仿宋_GB2312" w:eastAsia="仿宋_GB2312"/>
          <w:spacing w:val="-10"/>
          <w:sz w:val="30"/>
          <w:szCs w:val="30"/>
        </w:rPr>
        <w:t>月，监测的2个地级及以上城市集中式生活饮用水水源均达标（达到或优于Ⅲ类标准），水质达标率为100%。水质达标状况详见附表。</w:t>
      </w: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</w:p>
    <w:p>
      <w:pPr>
        <w:spacing w:line="348" w:lineRule="auto"/>
        <w:ind w:firstLine="560" w:firstLineChars="200"/>
        <w:rPr>
          <w:rFonts w:hint="eastAsia" w:ascii="仿宋_GB2312" w:hAnsi="仿宋_GB2312" w:eastAsia="仿宋_GB2312"/>
          <w:spacing w:val="-10"/>
          <w:sz w:val="30"/>
          <w:szCs w:val="30"/>
        </w:rPr>
      </w:pPr>
    </w:p>
    <w:p>
      <w:pPr>
        <w:adjustRightInd w:val="0"/>
        <w:snapToGrid w:val="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</w:t>
      </w:r>
    </w:p>
    <w:p>
      <w:pPr>
        <w:adjustRightInd w:val="0"/>
        <w:snapToGrid w:val="0"/>
        <w:jc w:val="center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月九龙坡区地级及以上城市</w:t>
      </w:r>
    </w:p>
    <w:p>
      <w:pPr>
        <w:adjustRightInd w:val="0"/>
        <w:snapToGrid w:val="0"/>
        <w:jc w:val="center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集中式生活饮用水水源水质状况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1"/>
        <w:gridCol w:w="2089"/>
        <w:gridCol w:w="842"/>
        <w:gridCol w:w="842"/>
        <w:gridCol w:w="1535"/>
        <w:gridCol w:w="1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49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区县名称</w:t>
            </w:r>
          </w:p>
        </w:tc>
        <w:tc>
          <w:tcPr>
            <w:tcW w:w="122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水源名称</w:t>
            </w:r>
          </w:p>
        </w:tc>
        <w:tc>
          <w:tcPr>
            <w:tcW w:w="49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水源类型</w:t>
            </w:r>
          </w:p>
        </w:tc>
        <w:tc>
          <w:tcPr>
            <w:tcW w:w="49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达标情况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超标指标及超标倍数</w:t>
            </w:r>
          </w:p>
        </w:tc>
        <w:tc>
          <w:tcPr>
            <w:tcW w:w="106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监测单位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九龙坡区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长江大学城水厂水源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河流型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10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重庆市生态环境监测中心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九龙坡区长江和尚山水厂水源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河流型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10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ab/>
      </w:r>
    </w:p>
    <w:p>
      <w:pPr>
        <w:tabs>
          <w:tab w:val="left" w:pos="1050"/>
        </w:tabs>
        <w:rPr>
          <w:rFonts w:hint="eastAsia"/>
        </w:rPr>
      </w:pPr>
    </w:p>
    <w:p>
      <w:pPr>
        <w:adjustRightInd w:val="0"/>
        <w:snapToGrid w:val="0"/>
        <w:jc w:val="left"/>
        <w:rPr>
          <w:rFonts w:ascii="方正小标宋_GBK" w:eastAsia="方正小标宋_GBK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方正小标宋_GBK" w:eastAsia="方正小标宋_GBK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方正小标宋_GBK" w:eastAsia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Dg5OTNmOGIzNDEzYzM5OTY3MTNlNTcyNDk3ZmUifQ=="/>
  </w:docVars>
  <w:rsids>
    <w:rsidRoot w:val="00784E6D"/>
    <w:rsid w:val="00025642"/>
    <w:rsid w:val="0006572D"/>
    <w:rsid w:val="00072B4D"/>
    <w:rsid w:val="00085E19"/>
    <w:rsid w:val="00087526"/>
    <w:rsid w:val="00092939"/>
    <w:rsid w:val="000A3D6A"/>
    <w:rsid w:val="000D0D86"/>
    <w:rsid w:val="0010688F"/>
    <w:rsid w:val="00106910"/>
    <w:rsid w:val="00114B94"/>
    <w:rsid w:val="00156FA5"/>
    <w:rsid w:val="00157808"/>
    <w:rsid w:val="00176DAA"/>
    <w:rsid w:val="00183B8F"/>
    <w:rsid w:val="00184055"/>
    <w:rsid w:val="001D7DFC"/>
    <w:rsid w:val="001F3894"/>
    <w:rsid w:val="00200CFF"/>
    <w:rsid w:val="00203697"/>
    <w:rsid w:val="00212BBF"/>
    <w:rsid w:val="0021723F"/>
    <w:rsid w:val="00240F20"/>
    <w:rsid w:val="00257342"/>
    <w:rsid w:val="00290D34"/>
    <w:rsid w:val="002B328F"/>
    <w:rsid w:val="002E4F8F"/>
    <w:rsid w:val="0037104D"/>
    <w:rsid w:val="003949F3"/>
    <w:rsid w:val="003A06F2"/>
    <w:rsid w:val="003D37FA"/>
    <w:rsid w:val="003F6A43"/>
    <w:rsid w:val="00424D93"/>
    <w:rsid w:val="00433F05"/>
    <w:rsid w:val="00434157"/>
    <w:rsid w:val="00436C24"/>
    <w:rsid w:val="00452CB4"/>
    <w:rsid w:val="00495E72"/>
    <w:rsid w:val="004D0D27"/>
    <w:rsid w:val="004D0F6D"/>
    <w:rsid w:val="004E596B"/>
    <w:rsid w:val="00507A85"/>
    <w:rsid w:val="00542D48"/>
    <w:rsid w:val="005463FD"/>
    <w:rsid w:val="00563320"/>
    <w:rsid w:val="005736D8"/>
    <w:rsid w:val="00573E3B"/>
    <w:rsid w:val="005A168D"/>
    <w:rsid w:val="005D1123"/>
    <w:rsid w:val="005E5F6B"/>
    <w:rsid w:val="005F56BC"/>
    <w:rsid w:val="005F56E1"/>
    <w:rsid w:val="006150B9"/>
    <w:rsid w:val="006706D4"/>
    <w:rsid w:val="006B0FA5"/>
    <w:rsid w:val="006B66E0"/>
    <w:rsid w:val="006F7D93"/>
    <w:rsid w:val="00717EA3"/>
    <w:rsid w:val="007317C8"/>
    <w:rsid w:val="00747EC1"/>
    <w:rsid w:val="00770EB5"/>
    <w:rsid w:val="00784E6D"/>
    <w:rsid w:val="00804B6D"/>
    <w:rsid w:val="00850C86"/>
    <w:rsid w:val="008833FF"/>
    <w:rsid w:val="00893858"/>
    <w:rsid w:val="008A0681"/>
    <w:rsid w:val="008A3589"/>
    <w:rsid w:val="0091103A"/>
    <w:rsid w:val="00953C5F"/>
    <w:rsid w:val="0095747B"/>
    <w:rsid w:val="009630C9"/>
    <w:rsid w:val="00972733"/>
    <w:rsid w:val="009D0D0E"/>
    <w:rsid w:val="009E479B"/>
    <w:rsid w:val="00A0590F"/>
    <w:rsid w:val="00A10E29"/>
    <w:rsid w:val="00A23D9D"/>
    <w:rsid w:val="00A27AF0"/>
    <w:rsid w:val="00A321FC"/>
    <w:rsid w:val="00A42714"/>
    <w:rsid w:val="00A52CDC"/>
    <w:rsid w:val="00A74082"/>
    <w:rsid w:val="00A85A47"/>
    <w:rsid w:val="00AA6C46"/>
    <w:rsid w:val="00AE7627"/>
    <w:rsid w:val="00B07A63"/>
    <w:rsid w:val="00B21712"/>
    <w:rsid w:val="00BE2B60"/>
    <w:rsid w:val="00BE3569"/>
    <w:rsid w:val="00BF0E69"/>
    <w:rsid w:val="00C05892"/>
    <w:rsid w:val="00C35BB3"/>
    <w:rsid w:val="00C62F9A"/>
    <w:rsid w:val="00C75A6A"/>
    <w:rsid w:val="00C8202C"/>
    <w:rsid w:val="00C82BEB"/>
    <w:rsid w:val="00C9033E"/>
    <w:rsid w:val="00CA27AC"/>
    <w:rsid w:val="00CD22E4"/>
    <w:rsid w:val="00CF4757"/>
    <w:rsid w:val="00CF7A15"/>
    <w:rsid w:val="00D34BB6"/>
    <w:rsid w:val="00D354B6"/>
    <w:rsid w:val="00D608B3"/>
    <w:rsid w:val="00D70874"/>
    <w:rsid w:val="00D74201"/>
    <w:rsid w:val="00D85AE1"/>
    <w:rsid w:val="00D90E9F"/>
    <w:rsid w:val="00DC179B"/>
    <w:rsid w:val="00DC3DE6"/>
    <w:rsid w:val="00DC61AB"/>
    <w:rsid w:val="00DE309E"/>
    <w:rsid w:val="00DF4ACF"/>
    <w:rsid w:val="00E028AC"/>
    <w:rsid w:val="00E57FA9"/>
    <w:rsid w:val="00E67E1C"/>
    <w:rsid w:val="00E8012B"/>
    <w:rsid w:val="00EA53C4"/>
    <w:rsid w:val="00EA544B"/>
    <w:rsid w:val="00EA5740"/>
    <w:rsid w:val="00EB4D9D"/>
    <w:rsid w:val="00EC4E44"/>
    <w:rsid w:val="00EE4252"/>
    <w:rsid w:val="00EF267B"/>
    <w:rsid w:val="00EF78B3"/>
    <w:rsid w:val="00F3207C"/>
    <w:rsid w:val="00F54827"/>
    <w:rsid w:val="00F77494"/>
    <w:rsid w:val="00F83E57"/>
    <w:rsid w:val="00FC4644"/>
    <w:rsid w:val="00FD07CC"/>
    <w:rsid w:val="00FF137A"/>
    <w:rsid w:val="02756FA1"/>
    <w:rsid w:val="052B68FB"/>
    <w:rsid w:val="0CED7499"/>
    <w:rsid w:val="0EA15202"/>
    <w:rsid w:val="17763F50"/>
    <w:rsid w:val="185B4011"/>
    <w:rsid w:val="1B6A672D"/>
    <w:rsid w:val="1D5E0106"/>
    <w:rsid w:val="1F1279F7"/>
    <w:rsid w:val="1F84562C"/>
    <w:rsid w:val="25382DB2"/>
    <w:rsid w:val="29AA78D5"/>
    <w:rsid w:val="2CA05AA8"/>
    <w:rsid w:val="2CB3533D"/>
    <w:rsid w:val="319E08C3"/>
    <w:rsid w:val="32F27163"/>
    <w:rsid w:val="338853C0"/>
    <w:rsid w:val="36B42B58"/>
    <w:rsid w:val="39A0620D"/>
    <w:rsid w:val="3D93722C"/>
    <w:rsid w:val="3E6272E3"/>
    <w:rsid w:val="3E6F6680"/>
    <w:rsid w:val="417A5624"/>
    <w:rsid w:val="442F0FB4"/>
    <w:rsid w:val="44797EBE"/>
    <w:rsid w:val="44EB21DC"/>
    <w:rsid w:val="45AC6E0A"/>
    <w:rsid w:val="4FB023EA"/>
    <w:rsid w:val="52652CC0"/>
    <w:rsid w:val="5D81439B"/>
    <w:rsid w:val="63CB1FE9"/>
    <w:rsid w:val="65912E3A"/>
    <w:rsid w:val="67563493"/>
    <w:rsid w:val="6B7200D8"/>
    <w:rsid w:val="73E84102"/>
    <w:rsid w:val="7A802904"/>
    <w:rsid w:val="7E8E4DC7"/>
    <w:rsid w:val="7FC63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417</Words>
  <Characters>456</Characters>
  <Lines>3</Lines>
  <Paragraphs>1</Paragraphs>
  <TotalTime>0</TotalTime>
  <ScaleCrop>false</ScaleCrop>
  <LinksUpToDate>false</LinksUpToDate>
  <CharactersWithSpaces>457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2022-04-24T06:23:00Z</dcterms:created>
  <dc:creator>Hewlett-Packard</dc:creator>
  <cp:lastModifiedBy>HBJ</cp:lastModifiedBy>
  <dcterms:modified xsi:type="dcterms:W3CDTF">2023-11-20T07:02:43Z</dcterms:modified>
  <dc:title>重庆市集中式生活饮用水水源水质监测信息公开方案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5074152A66FB45658F7EFD12B7ABF90C</vt:lpwstr>
  </property>
</Properties>
</file>