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60D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重庆市九龙坡区卫生健康委员会</w:t>
      </w:r>
    </w:p>
    <w:p w14:paraId="103CDE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eastAsia="方正小标宋_GBK" w:cs="方正小标宋_GBK"/>
          <w:color w:val="000000"/>
          <w:sz w:val="44"/>
          <w:szCs w:val="44"/>
        </w:rPr>
        <w:t>年政府信息公开工作年度报告</w:t>
      </w:r>
    </w:p>
    <w:p w14:paraId="786E3AD7">
      <w:pPr>
        <w:shd w:val="clear"/>
        <w:spacing w:line="600" w:lineRule="exact"/>
        <w:ind w:firstLine="640" w:firstLineChars="200"/>
        <w:rPr>
          <w:color w:val="000000"/>
          <w:szCs w:val="32"/>
        </w:rPr>
      </w:pPr>
    </w:p>
    <w:p w14:paraId="3D7BAE94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  <w:lang w:eastAsia="zh-CN"/>
        </w:rPr>
        <w:t>一、</w:t>
      </w:r>
      <w:r>
        <w:rPr>
          <w:rFonts w:hint="eastAsia" w:eastAsia="方正黑体_GBK" w:cs="方正黑体_GBK"/>
          <w:color w:val="000000"/>
          <w:szCs w:val="32"/>
        </w:rPr>
        <w:t>总体情况</w:t>
      </w:r>
    </w:p>
    <w:p w14:paraId="07B08F37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九龙坡区卫生健康委认真贯彻实施《中华人民共和国政府信息公开条例》，围绕本部门工作要点的重点任务、重点领域和重点指标，坚持以公开为常态、不公开为例外，聚焦社会热点，紧贴群众需求，不断优化信息公开流程，丰富信息公开内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推动卫生健康领域政府信息公开工作迈上新台阶。</w:t>
      </w:r>
    </w:p>
    <w:p w14:paraId="233789B3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（一）主动公开工作情况</w:t>
      </w:r>
    </w:p>
    <w:p w14:paraId="2635AF97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全年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政府官网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公开</w:t>
      </w:r>
      <w:r>
        <w:rPr>
          <w:rFonts w:hint="eastAsia" w:cs="Times New Roman"/>
          <w:sz w:val="32"/>
          <w:szCs w:val="32"/>
          <w:lang w:val="en-US" w:eastAsia="zh-CN"/>
        </w:rPr>
        <w:t>政务信息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行政许可</w:t>
      </w:r>
      <w:r>
        <w:rPr>
          <w:rFonts w:hint="eastAsia" w:cs="Times New Roman"/>
          <w:sz w:val="32"/>
          <w:szCs w:val="32"/>
          <w:lang w:val="en-US" w:eastAsia="zh-CN"/>
        </w:rPr>
        <w:t>、服务指南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等信息共计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328篇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“九龙卫生健康”微信公众号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对外发布信息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366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确保工作进展和政策要求及时公开到位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34399B6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（二）依申请公开工作情况</w:t>
      </w:r>
    </w:p>
    <w:p w14:paraId="058100AD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规范受理依申请公开信息流程与机制，并按标准答复告知，全年依法依规受理政府信息公开申请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件，其中予以公开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件，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部分公开3件，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属于四类过程性信息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不予公开1件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eastAsia="zh-CN"/>
        </w:rPr>
        <w:t>，均在法定期限内予以答复，未发生因政务公开工作引发的行政复议和行政诉讼。</w:t>
      </w:r>
    </w:p>
    <w:p w14:paraId="327CC9D8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（三）政府信息管理</w:t>
      </w:r>
    </w:p>
    <w:p w14:paraId="5592C176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严格执行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我市、区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政府信息公开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相关工作规范及要求，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做好日常公文类信息公开属性源头认定和发布审查工作，加强信息公开保密审查。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  <w:t>二是加强政策解读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  <w:t>积极做好行政规范性文件解读工作，按照“谁起草谁解读”的原则，确保每个行政规范性文件都有对应解读。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行政规范性文件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件，废止行政规范性文件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件，现行有效的行政规范性文件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件。</w:t>
      </w:r>
    </w:p>
    <w:p w14:paraId="6CEDF071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（四）平台建设</w:t>
      </w:r>
    </w:p>
    <w:p w14:paraId="6DD357D1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进一步加强对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九龙坡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区卫生健康委网站和政务新媒体的建设管理，不断完善委员会门户网站栏目，涉及功能升级、便民服务等平台建设。充分发挥门户网站发布信息、解读政策、回应关切、引导舆论的功能。</w:t>
      </w:r>
    </w:p>
    <w:p w14:paraId="7C7CA17F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（五）监督保障</w:t>
      </w:r>
    </w:p>
    <w:p w14:paraId="211B9774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一是根据工作安排及时调整政务公开工作领导小组及职责，进一步理顺和完善领导体制、工作机制。二是持续加强对政府信息公开工作的日常指导和监督检查，继续将政务公开评价指标纳入年度绩效考核。</w:t>
      </w:r>
    </w:p>
    <w:p w14:paraId="0F547545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C2B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619F33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第二十条第（一）项</w:t>
            </w:r>
          </w:p>
        </w:tc>
      </w:tr>
      <w:tr w14:paraId="0579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1F00F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9DF50F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CF4F07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241190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现行有效件数</w:t>
            </w:r>
          </w:p>
        </w:tc>
      </w:tr>
      <w:tr w14:paraId="0AD2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D8E16D"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D2AB79">
            <w:pPr>
              <w:widowControl/>
              <w:shd w:val="clear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6E3F9A">
            <w:pPr>
              <w:widowControl/>
              <w:shd w:val="clear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A67984">
            <w:pPr>
              <w:widowControl/>
              <w:shd w:val="clear"/>
              <w:jc w:val="center"/>
              <w:rPr>
                <w:rFonts w:hint="eastAsia" w:eastAsia="等线"/>
                <w:color w:val="auto"/>
                <w:lang w:val="en-US" w:eastAsia="zh-CN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D3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D10581"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22DFE3">
            <w:pPr>
              <w:widowControl/>
              <w:shd w:val="clear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055CFA">
            <w:pPr>
              <w:widowControl/>
              <w:shd w:val="clear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3159C22">
            <w:pPr>
              <w:widowControl/>
              <w:shd w:val="clear"/>
              <w:jc w:val="center"/>
              <w:rPr>
                <w:rFonts w:hint="default" w:eastAsia="等线"/>
                <w:color w:val="auto"/>
                <w:lang w:val="en-US" w:eastAsia="zh-CN"/>
              </w:rPr>
            </w:pPr>
            <w:r>
              <w:rPr>
                <w:rFonts w:hint="eastAsia" w:eastAsia="等线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0EF0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233253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第二十条第（五）项</w:t>
            </w:r>
          </w:p>
        </w:tc>
      </w:tr>
      <w:tr w14:paraId="4CE3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AB8FA0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C729CC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5CE5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62297F">
            <w:pPr>
              <w:widowControl/>
              <w:shd w:val="clear"/>
              <w:jc w:val="left"/>
              <w:rPr>
                <w:color w:val="auto"/>
                <w:highlight w:val="none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5E14D8">
            <w:pPr>
              <w:widowControl/>
              <w:shd w:val="clear"/>
              <w:jc w:val="center"/>
              <w:rPr>
                <w:rFonts w:hint="default" w:eastAsia="等线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10052</w:t>
            </w:r>
          </w:p>
        </w:tc>
      </w:tr>
      <w:tr w14:paraId="1227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E9467A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 w14:paraId="37F7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BFBAE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EC8B6D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 w14:paraId="4D1B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7E4A69F"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AF101A">
            <w:pPr>
              <w:widowControl/>
              <w:shd w:val="clear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62</w:t>
            </w:r>
          </w:p>
        </w:tc>
      </w:tr>
      <w:tr w14:paraId="7FA4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45E254"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6747A7">
            <w:pPr>
              <w:widowControl/>
              <w:shd w:val="clear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8E8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65E441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第二十条第（八）项</w:t>
            </w:r>
          </w:p>
        </w:tc>
      </w:tr>
      <w:tr w14:paraId="7DD8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4C0AB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5D777E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6FED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8230D7"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9B902B">
            <w:pPr>
              <w:shd w:val="clear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 w14:paraId="0A4DEC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375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A3F7C08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7903D9A8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7F57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82822E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CF1E17D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5739A536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8D12061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7AAB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CAE405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70FD0C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F868F4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 w14:paraId="4E036F2C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671AE2E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 w14:paraId="62206B80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34C8D12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FA839B8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FA0B1F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EC36B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</w:tr>
      <w:tr w14:paraId="2DF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AB66B6E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CD9BC8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A848B0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F28BF4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065A53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90752B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8246B4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550E608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</w:tr>
      <w:tr w14:paraId="497F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3BA4EA6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FC47C5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725F939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111687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C50E297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2BD3DE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C244F3C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5E9038A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C5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34E98CC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49B619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8AE5B1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53EFC9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483495B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81001C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5251869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65FFECA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38017C0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</w:tr>
      <w:tr w14:paraId="413A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680E9E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FEACF83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B3AAF7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D15683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FF2F5E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C687A76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F2029D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E5AD15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20C25D8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57DC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AE8B47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8779CD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4EBB766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9F87D49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DCC834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A45FB0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95D5967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69C892F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5E76E1">
            <w:pPr>
              <w:widowControl/>
              <w:shd w:val="clear"/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9575FAD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C44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C1020B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756EE4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A0F4B1D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6CDAB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599655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F32A3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F79F5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0A07E4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88D573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283513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11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474F7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C0EA3D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00E75CC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229D43C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7A3A1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7374CC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CCAF85C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D68B44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FE4E8C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685C6F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72D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9DA549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A9274D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D43F514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DDCD097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7E70E8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171CC3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CD0FBF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753B0D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D8613D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B8AC50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A35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B546BE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203CC8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405F2A5A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52B033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F89DDD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0D22F1D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BBA45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8BC96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241B05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703E78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66E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E56BA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7B6426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5F38E2FC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1691DA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6F215C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A6E1A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A2B53D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A2F31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847701F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8F44C4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0DEF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5BC77E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169F42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23783E19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5AD2D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F253A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6EF649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29741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0B628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1E84CB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147202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6E6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B06371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DA77E3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7AC4A6D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46BE549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186234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721DF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748C5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AA518F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CF31AC6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4E5AEE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6E8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268B7B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66AAED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210D2F65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40C983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51BEB1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B83FB1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EEED21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5A993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D024E84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54E388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5D5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559FE6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3850B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E87615E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119E239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7D39E1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BBBFF4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D8C12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1A6297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62E0D7C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5BE4E1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635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CF8641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1EA4B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1715FC6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9CADF5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467027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2972AF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75F7D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6D636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C7A5299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1FE4C2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07C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5BE7DE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A32CC8E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93ADD21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04DCCC0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1D9EB9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6DA9F0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605DA6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E795E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D7EAA6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B7329B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79F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82329D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63C6FC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1DFDF37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B2D1DC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A73F9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7D689AD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1DAC3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21345D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3631BB3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28D490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57E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D51099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6359A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46AEF1B7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35D90FA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3BBE07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77CC5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FF5384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06BBDDC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35ACB0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9A9FE4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A6C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C9ECF7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649493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6E9C600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AE7D00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34F6C9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66B2E1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5C1F3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6B42FA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2DB4AD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7A4FAA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F9B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3BCCF6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21C3CA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4C7EFDE9">
            <w:pPr>
              <w:widowControl/>
              <w:shd w:val="clea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D284DB1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4ED09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F32BC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C6B05F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AE15B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0B1096E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141814F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6C4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1C5BB8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D9B0094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5A8A751D">
            <w:pPr>
              <w:widowControl/>
              <w:shd w:val="clea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9D746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5A97A2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FA3C2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FB5407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A37FE4F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FBC4F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AA5CA1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98C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B42E46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766EE8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359FA71D">
            <w:pPr>
              <w:widowControl/>
              <w:shd w:val="clea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BFF3A1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0933FC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85BB90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C8842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DE96A7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362AC5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03D9019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0E3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7FDDA3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BDACF3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05B4A8D3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0FCDC2A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DAB569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DEFECE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8F07E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EA4B03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0978F4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0E74D13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35D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68A637">
            <w:pPr>
              <w:shd w:val="clea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8B6B99A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03448D">
            <w:pPr>
              <w:widowControl/>
              <w:shd w:val="clear"/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A706F2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5669F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0CDEFB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E3B2D27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A5A619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CEC2458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6</w:t>
            </w:r>
          </w:p>
        </w:tc>
      </w:tr>
      <w:tr w14:paraId="603D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5282FB">
            <w:pPr>
              <w:widowControl/>
              <w:shd w:val="clear"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06BB658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705EAD5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F337CF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6BD78B6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0F7A11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2D1C1B">
            <w:pPr>
              <w:widowControl/>
              <w:shd w:val="clear"/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B1193BA">
            <w:pPr>
              <w:widowControl/>
              <w:shd w:val="clear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 w14:paraId="45B948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960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3EB1599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40AB8390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行政诉讼</w:t>
            </w:r>
          </w:p>
        </w:tc>
      </w:tr>
      <w:tr w14:paraId="58A3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AEA58CC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3A10EBD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58BC33C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12B1491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6F69BD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4C82A17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2F665CC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复议后起诉</w:t>
            </w:r>
          </w:p>
        </w:tc>
      </w:tr>
      <w:tr w14:paraId="064E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611B66">
            <w:pPr>
              <w:shd w:val="clear"/>
              <w:rPr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234D8E">
            <w:pPr>
              <w:shd w:val="clear"/>
              <w:rPr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12FFEC">
            <w:pPr>
              <w:shd w:val="clear"/>
              <w:rPr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E0B582">
            <w:pPr>
              <w:shd w:val="clear"/>
              <w:rPr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D9398E">
            <w:pPr>
              <w:shd w:val="clear"/>
              <w:rPr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6AE4C68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F5F2DEB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4A712797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25BAC9F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9BE214D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0D0563F2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44F65B87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406CC0B2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F6A4C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1735246"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 w14:paraId="6EA0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08D4FD2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 2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BD86457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05173E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3C2860D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1CCDCC6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83B9C41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778A711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104B8314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25FB2C3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002B33BD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91AF04C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32FDA672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16C1B6C9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 1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5A8AF9AD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1 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539C3BE1">
            <w:pPr>
              <w:widowControl/>
              <w:shd w:val="clear"/>
              <w:jc w:val="center"/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0"/>
                <w:lang w:val="en-US" w:eastAsia="zh-CN" w:bidi="ar"/>
              </w:rPr>
              <w:t>3</w:t>
            </w:r>
          </w:p>
        </w:tc>
      </w:tr>
    </w:tbl>
    <w:p w14:paraId="1B6EBB6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  <w:lang w:val="en-US" w:eastAsia="zh-CN"/>
        </w:rPr>
        <w:t>五、</w:t>
      </w:r>
      <w:r>
        <w:rPr>
          <w:rFonts w:hint="eastAsia" w:eastAsia="方正黑体_GBK" w:cs="方正黑体_GBK"/>
          <w:color w:val="000000"/>
          <w:szCs w:val="32"/>
        </w:rPr>
        <w:t>存在的主要问题及改进情况</w:t>
      </w:r>
    </w:p>
    <w:p w14:paraId="3982F4CD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我委不断深化主动公开内容，依法规范办理政府信息公开申请。政府信息公开工作持续发力，相关工作取得了一定成效，但与社会公众的需求和政务公开工作要求相比，仍需要进一步提质增效。存在主动公开内容有待深化，少数信息存在公开不及时等问题。</w:t>
      </w:r>
    </w:p>
    <w:p w14:paraId="77953F6D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下一步，我委将深入贯彻落实《中华人民共和国政府信息公开条例》，坚持以公开为常态、不公开为例外的原则，及时更新政府信息，提高公开内容质量，优化公开板块。</w:t>
      </w:r>
    </w:p>
    <w:p w14:paraId="356D14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黑体_GBK" w:cs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六、其他需要报告的事项</w:t>
      </w:r>
    </w:p>
    <w:p w14:paraId="033513E2">
      <w:pPr>
        <w:numPr>
          <w:ilvl w:val="0"/>
          <w:numId w:val="0"/>
        </w:numPr>
        <w:shd w:val="clear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按照《政府信息公开信息处理费管理办法》，2024年度九龙坡区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卫生健康委员会政府信息公开申请未收取信息处理费。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本年度无其他需要报告的事项。</w:t>
      </w:r>
    </w:p>
    <w:sectPr>
      <w:footerReference r:id="rId3" w:type="default"/>
      <w:pgSz w:w="11906" w:h="16838"/>
      <w:pgMar w:top="2098" w:right="1531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CC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0954B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600" w:lineRule="exact"/>
                            <w:ind w:left="567" w:right="567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0954B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600" w:lineRule="exact"/>
                      <w:ind w:left="567" w:right="567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00000000"/>
    <w:rsid w:val="04427661"/>
    <w:rsid w:val="07F301C5"/>
    <w:rsid w:val="094B5940"/>
    <w:rsid w:val="119763EA"/>
    <w:rsid w:val="11EE77B0"/>
    <w:rsid w:val="13922A31"/>
    <w:rsid w:val="15932B49"/>
    <w:rsid w:val="160459AA"/>
    <w:rsid w:val="18245CDA"/>
    <w:rsid w:val="1A4B14B5"/>
    <w:rsid w:val="1B06696D"/>
    <w:rsid w:val="1BFE7461"/>
    <w:rsid w:val="1C220782"/>
    <w:rsid w:val="1E9C45DC"/>
    <w:rsid w:val="1F75506D"/>
    <w:rsid w:val="1F9E2A7D"/>
    <w:rsid w:val="20851515"/>
    <w:rsid w:val="21DE0150"/>
    <w:rsid w:val="2360103D"/>
    <w:rsid w:val="271B299E"/>
    <w:rsid w:val="282179B4"/>
    <w:rsid w:val="307750E9"/>
    <w:rsid w:val="385803C0"/>
    <w:rsid w:val="39AB195F"/>
    <w:rsid w:val="39E11825"/>
    <w:rsid w:val="3A381366"/>
    <w:rsid w:val="3C0E4C80"/>
    <w:rsid w:val="3C4D2A71"/>
    <w:rsid w:val="3DC015FF"/>
    <w:rsid w:val="40C15F0C"/>
    <w:rsid w:val="42383FAC"/>
    <w:rsid w:val="43E21F4F"/>
    <w:rsid w:val="44D03A88"/>
    <w:rsid w:val="44FF0DB1"/>
    <w:rsid w:val="45271B4E"/>
    <w:rsid w:val="47307948"/>
    <w:rsid w:val="4A280DAA"/>
    <w:rsid w:val="4BC017ED"/>
    <w:rsid w:val="4DC51D20"/>
    <w:rsid w:val="4F0658AF"/>
    <w:rsid w:val="539D0E50"/>
    <w:rsid w:val="54AA6D09"/>
    <w:rsid w:val="55124993"/>
    <w:rsid w:val="57222D48"/>
    <w:rsid w:val="5D64590D"/>
    <w:rsid w:val="5F6C2EBD"/>
    <w:rsid w:val="5F9669AD"/>
    <w:rsid w:val="603B318E"/>
    <w:rsid w:val="611C272F"/>
    <w:rsid w:val="64750F4C"/>
    <w:rsid w:val="64AD1CEC"/>
    <w:rsid w:val="650A75D2"/>
    <w:rsid w:val="67CA3195"/>
    <w:rsid w:val="688F051A"/>
    <w:rsid w:val="6CB23453"/>
    <w:rsid w:val="6FD43C48"/>
    <w:rsid w:val="70207CAA"/>
    <w:rsid w:val="76373F9F"/>
    <w:rsid w:val="7A996FD7"/>
    <w:rsid w:val="95BFFF19"/>
    <w:rsid w:val="BF15D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972</Characters>
  <Lines>0</Lines>
  <Paragraphs>0</Paragraphs>
  <TotalTime>85</TotalTime>
  <ScaleCrop>false</ScaleCrop>
  <LinksUpToDate>false</LinksUpToDate>
  <CharactersWithSpaces>972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2023-01-13T19:01:00Z</dcterms:created>
  <dc:creator>cdf</dc:creator>
  <cp:lastModifiedBy>走一走、听一听</cp:lastModifiedBy>
  <cp:lastPrinted>2025-01-16T07:26:00Z</cp:lastPrinted>
  <dcterms:modified xsi:type="dcterms:W3CDTF">2025-01-21T07:43:01Z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4B45066B68044714A814AC33734CFC0A_12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