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ED" w:rsidRDefault="00EE49F0" w:rsidP="00346DED">
      <w:pPr>
        <w:spacing w:before="143" w:line="218" w:lineRule="auto"/>
        <w:jc w:val="center"/>
        <w:rPr>
          <w:rFonts w:ascii="方正小标宋_GBK" w:eastAsia="方正小标宋_GBK" w:hAnsi="宋体" w:cs="宋体"/>
          <w:sz w:val="44"/>
          <w:szCs w:val="44"/>
        </w:rPr>
      </w:pPr>
      <w:r>
        <w:rPr>
          <w:rFonts w:ascii="方正小标宋_GBK" w:eastAsia="方正小标宋_GBK" w:hAnsi="宋体" w:cs="宋体" w:hint="eastAsia"/>
          <w:b/>
          <w:bCs/>
          <w:spacing w:val="-9"/>
          <w:sz w:val="44"/>
          <w:szCs w:val="44"/>
        </w:rPr>
        <w:t>重庆市九龙坡区</w:t>
      </w:r>
      <w:r w:rsidR="00976B3A">
        <w:rPr>
          <w:rFonts w:ascii="方正小标宋_GBK" w:eastAsia="方正小标宋_GBK" w:hAnsi="宋体" w:cs="宋体" w:hint="eastAsia"/>
          <w:b/>
          <w:bCs/>
          <w:spacing w:val="-9"/>
          <w:sz w:val="44"/>
          <w:szCs w:val="44"/>
        </w:rPr>
        <w:t>住房和城乡建设委员会</w:t>
      </w:r>
      <w:bookmarkStart w:id="0" w:name="_GoBack"/>
      <w:bookmarkEnd w:id="0"/>
      <w:r w:rsidR="00346DED">
        <w:rPr>
          <w:rFonts w:ascii="方正小标宋_GBK" w:eastAsia="方正小标宋_GBK" w:hAnsi="宋体" w:cs="宋体" w:hint="eastAsia"/>
          <w:b/>
          <w:bCs/>
          <w:spacing w:val="-9"/>
          <w:sz w:val="44"/>
          <w:szCs w:val="44"/>
        </w:rPr>
        <w:t>涉企行政检查事项清单</w:t>
      </w:r>
    </w:p>
    <w:p w:rsidR="00346DED" w:rsidRDefault="00346DED" w:rsidP="00346DED">
      <w:pPr>
        <w:spacing w:before="19"/>
      </w:pPr>
    </w:p>
    <w:tbl>
      <w:tblPr>
        <w:tblStyle w:val="TableNormal"/>
        <w:tblW w:w="14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6"/>
        <w:gridCol w:w="3082"/>
        <w:gridCol w:w="1980"/>
        <w:gridCol w:w="3443"/>
        <w:gridCol w:w="4253"/>
      </w:tblGrid>
      <w:tr w:rsidR="00DF40C3" w:rsidTr="00976B3A">
        <w:trPr>
          <w:trHeight w:val="925"/>
        </w:trPr>
        <w:tc>
          <w:tcPr>
            <w:tcW w:w="1266" w:type="dxa"/>
            <w:tcBorders>
              <w:top w:val="single" w:sz="4" w:space="0" w:color="000000"/>
              <w:left w:val="single" w:sz="4" w:space="0" w:color="000000"/>
              <w:bottom w:val="single" w:sz="4" w:space="0" w:color="000000"/>
              <w:right w:val="single" w:sz="4" w:space="0" w:color="000000"/>
            </w:tcBorders>
            <w:vAlign w:val="center"/>
            <w:hideMark/>
          </w:tcPr>
          <w:p w:rsidR="00DF40C3" w:rsidRDefault="00DF40C3" w:rsidP="00DF40C3">
            <w:pPr>
              <w:spacing w:before="192" w:line="220" w:lineRule="auto"/>
              <w:ind w:left="108"/>
              <w:jc w:val="center"/>
              <w:rPr>
                <w:rFonts w:ascii="方正黑体_GBK" w:eastAsia="方正黑体_GBK" w:hAnsi="宋体" w:cs="宋体"/>
                <w:sz w:val="24"/>
                <w:szCs w:val="24"/>
              </w:rPr>
            </w:pPr>
            <w:r>
              <w:rPr>
                <w:rFonts w:ascii="方正黑体_GBK" w:eastAsia="方正黑体_GBK" w:hAnsi="宋体" w:cs="宋体" w:hint="eastAsia"/>
                <w:bCs/>
                <w:spacing w:val="-5"/>
                <w:sz w:val="24"/>
                <w:szCs w:val="24"/>
              </w:rPr>
              <w:t>序号</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DF40C3" w:rsidRDefault="00DF40C3" w:rsidP="00DF40C3">
            <w:pPr>
              <w:spacing w:before="192" w:line="218" w:lineRule="auto"/>
              <w:jc w:val="center"/>
              <w:rPr>
                <w:rFonts w:ascii="方正黑体_GBK" w:eastAsia="方正黑体_GBK" w:hAnsi="宋体" w:cs="宋体"/>
                <w:sz w:val="24"/>
                <w:szCs w:val="24"/>
              </w:rPr>
            </w:pPr>
            <w:r>
              <w:rPr>
                <w:rFonts w:ascii="方正黑体_GBK" w:eastAsia="方正黑体_GBK" w:hAnsi="宋体" w:cs="宋体" w:hint="eastAsia"/>
                <w:bCs/>
                <w:spacing w:val="-5"/>
                <w:sz w:val="24"/>
                <w:szCs w:val="24"/>
              </w:rPr>
              <w:t>事项名称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40C3" w:rsidRDefault="00DF40C3" w:rsidP="00DF40C3">
            <w:pPr>
              <w:spacing w:before="191" w:line="218" w:lineRule="auto"/>
              <w:jc w:val="center"/>
              <w:rPr>
                <w:rFonts w:ascii="方正黑体_GBK" w:eastAsia="方正黑体_GBK" w:hAnsi="宋体" w:cs="宋体"/>
                <w:sz w:val="24"/>
                <w:szCs w:val="24"/>
              </w:rPr>
            </w:pPr>
            <w:r>
              <w:rPr>
                <w:rFonts w:ascii="方正黑体_GBK" w:eastAsia="方正黑体_GBK" w:hAnsi="宋体" w:cs="宋体" w:hint="eastAsia"/>
                <w:bCs/>
                <w:spacing w:val="-5"/>
                <w:sz w:val="24"/>
                <w:szCs w:val="24"/>
              </w:rPr>
              <w:t>检查内容</w:t>
            </w:r>
          </w:p>
        </w:tc>
        <w:tc>
          <w:tcPr>
            <w:tcW w:w="3443" w:type="dxa"/>
            <w:tcBorders>
              <w:top w:val="single" w:sz="4" w:space="0" w:color="000000"/>
              <w:left w:val="single" w:sz="4" w:space="0" w:color="000000"/>
              <w:bottom w:val="single" w:sz="4" w:space="0" w:color="000000"/>
              <w:right w:val="single" w:sz="4" w:space="0" w:color="000000"/>
            </w:tcBorders>
            <w:vAlign w:val="center"/>
            <w:hideMark/>
          </w:tcPr>
          <w:p w:rsidR="00DF40C3" w:rsidRDefault="00DF40C3" w:rsidP="00DF40C3">
            <w:pPr>
              <w:adjustRightInd w:val="0"/>
              <w:spacing w:line="400" w:lineRule="exact"/>
              <w:jc w:val="center"/>
              <w:rPr>
                <w:rFonts w:ascii="方正黑体_GBK" w:eastAsia="方正黑体_GBK" w:hAnsi="方正黑体_GBK" w:cs="方正黑体_GBK"/>
                <w:kern w:val="2"/>
                <w:sz w:val="28"/>
                <w:szCs w:val="28"/>
              </w:rPr>
            </w:pPr>
            <w:r>
              <w:rPr>
                <w:rFonts w:ascii="方正黑体_GBK" w:eastAsia="方正黑体_GBK" w:hAnsi="方正黑体_GBK" w:cs="方正黑体_GBK" w:hint="eastAsia"/>
                <w:sz w:val="28"/>
                <w:szCs w:val="28"/>
              </w:rPr>
              <w:t>是否属于涉</w:t>
            </w:r>
            <w:proofErr w:type="gramStart"/>
            <w:r>
              <w:rPr>
                <w:rFonts w:ascii="方正黑体_GBK" w:eastAsia="方正黑体_GBK" w:hAnsi="方正黑体_GBK" w:cs="方正黑体_GBK" w:hint="eastAsia"/>
                <w:sz w:val="28"/>
                <w:szCs w:val="28"/>
              </w:rPr>
              <w:t>企行政</w:t>
            </w:r>
            <w:proofErr w:type="gramEnd"/>
            <w:r>
              <w:rPr>
                <w:rFonts w:ascii="方正黑体_GBK" w:eastAsia="方正黑体_GBK" w:hAnsi="方正黑体_GBK" w:cs="方正黑体_GBK" w:hint="eastAsia"/>
                <w:sz w:val="28"/>
                <w:szCs w:val="28"/>
              </w:rPr>
              <w:t>检查事项</w:t>
            </w:r>
          </w:p>
        </w:tc>
        <w:tc>
          <w:tcPr>
            <w:tcW w:w="4253"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spacing w:before="189" w:line="218" w:lineRule="auto"/>
              <w:jc w:val="center"/>
              <w:rPr>
                <w:rFonts w:ascii="方正黑体_GBK" w:eastAsia="方正黑体_GBK" w:hAnsi="宋体" w:cs="宋体"/>
                <w:sz w:val="24"/>
                <w:szCs w:val="24"/>
              </w:rPr>
            </w:pPr>
            <w:r>
              <w:rPr>
                <w:rFonts w:ascii="方正黑体_GBK" w:eastAsia="方正黑体_GBK" w:hAnsi="宋体" w:cs="宋体" w:hint="eastAsia"/>
                <w:bCs/>
                <w:spacing w:val="-5"/>
                <w:sz w:val="24"/>
                <w:szCs w:val="24"/>
              </w:rPr>
              <w:t>法定依据</w:t>
            </w:r>
          </w:p>
        </w:tc>
      </w:tr>
      <w:tr w:rsidR="00DF40C3" w:rsidTr="00976B3A">
        <w:trPr>
          <w:trHeight w:val="629"/>
        </w:trPr>
        <w:tc>
          <w:tcPr>
            <w:tcW w:w="1266" w:type="dxa"/>
            <w:tcBorders>
              <w:top w:val="single" w:sz="4" w:space="0" w:color="000000"/>
              <w:left w:val="single" w:sz="4" w:space="0" w:color="000000"/>
              <w:bottom w:val="single" w:sz="4" w:space="0" w:color="000000"/>
              <w:right w:val="single" w:sz="4" w:space="0" w:color="000000"/>
            </w:tcBorders>
            <w:vAlign w:val="center"/>
            <w:hideMark/>
          </w:tcPr>
          <w:p w:rsidR="00DF40C3" w:rsidRPr="00C7780D" w:rsidRDefault="00DF40C3" w:rsidP="00DF40C3">
            <w:pPr>
              <w:spacing w:before="228" w:line="370" w:lineRule="exact"/>
              <w:ind w:left="225"/>
              <w:jc w:val="center"/>
              <w:rPr>
                <w:rFonts w:ascii="方正仿宋_GBK" w:eastAsia="方正仿宋_GBK" w:hAnsi="宋体" w:cs="宋体"/>
                <w:sz w:val="24"/>
                <w:szCs w:val="24"/>
              </w:rPr>
            </w:pPr>
            <w:r w:rsidRPr="00C7780D">
              <w:rPr>
                <w:rFonts w:ascii="方正仿宋_GBK" w:eastAsia="方正仿宋_GBK" w:hAnsi="宋体" w:cs="宋体" w:hint="eastAsia"/>
                <w:position w:val="2"/>
                <w:sz w:val="24"/>
                <w:szCs w:val="24"/>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F40C3" w:rsidRPr="00C7780D" w:rsidRDefault="00DF40C3" w:rsidP="00976B3A">
            <w:pPr>
              <w:pStyle w:val="TableText"/>
              <w:jc w:val="center"/>
              <w:rPr>
                <w:rFonts w:ascii="方正仿宋_GBK" w:eastAsia="方正仿宋_GBK"/>
                <w:sz w:val="24"/>
                <w:szCs w:val="24"/>
                <w:lang w:eastAsia="zh-CN"/>
              </w:rPr>
            </w:pPr>
            <w:r w:rsidRPr="00C7780D">
              <w:rPr>
                <w:rFonts w:ascii="方正仿宋_GBK" w:eastAsia="方正仿宋_GBK" w:hAnsi="微软雅黑" w:cs="微软雅黑" w:hint="eastAsia"/>
                <w:sz w:val="24"/>
                <w:szCs w:val="24"/>
                <w:lang w:eastAsia="zh-CN"/>
              </w:rPr>
              <w:t>对房屋租赁行为行政检查</w:t>
            </w:r>
            <w:r>
              <w:rPr>
                <w:rFonts w:ascii="方正仿宋_GBK" w:eastAsia="方正仿宋_GBK" w:hAnsi="微软雅黑" w:cs="微软雅黑" w:hint="eastAsia"/>
                <w:sz w:val="24"/>
                <w:szCs w:val="24"/>
                <w:lang w:eastAsia="zh-CN"/>
              </w:rPr>
              <w:t xml:space="preserve"> </w:t>
            </w:r>
            <w:r>
              <w:rPr>
                <w:rFonts w:ascii="方正仿宋_GBK" w:eastAsia="方正仿宋_GBK" w:hAnsi="微软雅黑" w:cs="微软雅黑"/>
                <w:sz w:val="24"/>
                <w:szCs w:val="24"/>
                <w:lang w:eastAsia="zh-CN"/>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DF40C3" w:rsidRPr="00DF40C3" w:rsidRDefault="00DF40C3" w:rsidP="00DF40C3">
            <w:pPr>
              <w:adjustRightIn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DF40C3" w:rsidRPr="00DF40C3" w:rsidRDefault="00DF40C3"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《商品房屋租赁管理办法》</w:t>
            </w:r>
          </w:p>
        </w:tc>
      </w:tr>
      <w:tr w:rsidR="00DF40C3" w:rsidTr="00976B3A">
        <w:trPr>
          <w:trHeight w:val="628"/>
        </w:trPr>
        <w:tc>
          <w:tcPr>
            <w:tcW w:w="1266" w:type="dxa"/>
            <w:tcBorders>
              <w:top w:val="single" w:sz="4" w:space="0" w:color="000000"/>
              <w:left w:val="single" w:sz="4" w:space="0" w:color="000000"/>
              <w:bottom w:val="single" w:sz="4" w:space="0" w:color="000000"/>
              <w:right w:val="single" w:sz="4" w:space="0" w:color="000000"/>
            </w:tcBorders>
            <w:vAlign w:val="center"/>
          </w:tcPr>
          <w:p w:rsidR="00DF40C3" w:rsidRPr="00C7780D" w:rsidRDefault="00DF40C3" w:rsidP="00DF40C3">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F40C3" w:rsidRPr="00976B3A" w:rsidRDefault="00DF40C3"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对房地产开发企业资质的行政检查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adjustRightIn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DF40C3" w:rsidRPr="00DF40C3" w:rsidRDefault="00DF40C3"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《城市房地产开发经营管理条例》《房地产开发企业资质管理规定》《重庆市城市房地产开发经营管理条例》</w:t>
            </w:r>
          </w:p>
        </w:tc>
      </w:tr>
      <w:tr w:rsidR="00DF40C3" w:rsidTr="00976B3A">
        <w:trPr>
          <w:trHeight w:val="629"/>
        </w:trPr>
        <w:tc>
          <w:tcPr>
            <w:tcW w:w="1266" w:type="dxa"/>
            <w:tcBorders>
              <w:top w:val="single" w:sz="4" w:space="0" w:color="000000"/>
              <w:left w:val="single" w:sz="4" w:space="0" w:color="000000"/>
              <w:bottom w:val="single" w:sz="4" w:space="0" w:color="000000"/>
              <w:right w:val="single" w:sz="4" w:space="0" w:color="000000"/>
            </w:tcBorders>
            <w:vAlign w:val="center"/>
          </w:tcPr>
          <w:p w:rsidR="00DF40C3" w:rsidRPr="00C7780D" w:rsidRDefault="00DF40C3" w:rsidP="00DF40C3">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F40C3" w:rsidRPr="00976B3A" w:rsidRDefault="00DF40C3"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对本市建设工程企业资质和市外</w:t>
            </w:r>
            <w:proofErr w:type="gramStart"/>
            <w:r w:rsidRPr="00C7780D">
              <w:rPr>
                <w:rFonts w:ascii="方正仿宋_GBK" w:eastAsia="方正仿宋_GBK" w:hAnsi="微软雅黑" w:cs="微软雅黑" w:hint="eastAsia"/>
                <w:sz w:val="24"/>
                <w:szCs w:val="24"/>
                <w:lang w:eastAsia="zh-CN"/>
              </w:rPr>
              <w:t>入渝信息</w:t>
            </w:r>
            <w:proofErr w:type="gramEnd"/>
            <w:r w:rsidRPr="00C7780D">
              <w:rPr>
                <w:rFonts w:ascii="方正仿宋_GBK" w:eastAsia="方正仿宋_GBK" w:hAnsi="微软雅黑" w:cs="微软雅黑" w:hint="eastAsia"/>
                <w:sz w:val="24"/>
                <w:szCs w:val="24"/>
                <w:lang w:eastAsia="zh-CN"/>
              </w:rPr>
              <w:t>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DF40C3" w:rsidRDefault="00DF40C3"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DF40C3" w:rsidRPr="00DF40C3" w:rsidRDefault="00DF40C3"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《建筑业企业资质管理规定》</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对城镇房屋安全鉴定活动的行政检查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《建设工程质量管理条例》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5</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对城镇房屋使用安全的行政检查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sidRPr="00DF40C3">
              <w:rPr>
                <w:rFonts w:ascii="方正仿宋_GBK" w:eastAsia="方正仿宋_GBK" w:hint="eastAsia"/>
                <w:sz w:val="28"/>
                <w:szCs w:val="28"/>
              </w:rPr>
              <w:t>否</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《城市危险房屋管理规定》《重庆市城镇房屋使用安全管理办法》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对物业服务企业的服务活动、行为的行政检查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jc w:val="center"/>
              <w:rPr>
                <w:rFonts w:ascii="方正仿宋_GBK" w:eastAsia="方正仿宋_GBK"/>
                <w:sz w:val="28"/>
                <w:szCs w:val="28"/>
              </w:rP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《重庆市物业管理条例》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7</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对开发建设单位、物业管理单位、相关主体、个人在物</w:t>
            </w:r>
            <w:r w:rsidRPr="00C7780D">
              <w:rPr>
                <w:rFonts w:ascii="方正仿宋_GBK" w:eastAsia="方正仿宋_GBK" w:hAnsi="微软雅黑" w:cs="微软雅黑" w:hint="eastAsia"/>
                <w:sz w:val="24"/>
                <w:szCs w:val="24"/>
                <w:lang w:eastAsia="zh-CN"/>
              </w:rPr>
              <w:lastRenderedPageBreak/>
              <w:t>业管理区域的运行维护等行为的行政检查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《重庆市物业管理条例》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8</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对开发建设单位、物业管理单位、相关主体涉及</w:t>
            </w:r>
            <w:proofErr w:type="gramStart"/>
            <w:r w:rsidRPr="00C7780D">
              <w:rPr>
                <w:rFonts w:ascii="方正仿宋_GBK" w:eastAsia="方正仿宋_GBK" w:hAnsi="微软雅黑" w:cs="微软雅黑" w:hint="eastAsia"/>
                <w:sz w:val="24"/>
                <w:szCs w:val="24"/>
                <w:lang w:eastAsia="zh-CN"/>
              </w:rPr>
              <w:t>物业专项</w:t>
            </w:r>
            <w:proofErr w:type="gramEnd"/>
            <w:r w:rsidRPr="00C7780D">
              <w:rPr>
                <w:rFonts w:ascii="方正仿宋_GBK" w:eastAsia="方正仿宋_GBK" w:hAnsi="微软雅黑" w:cs="微软雅黑" w:hint="eastAsia"/>
                <w:sz w:val="24"/>
                <w:szCs w:val="24"/>
                <w:lang w:eastAsia="zh-CN"/>
              </w:rPr>
              <w:t>维修资金、公共收益情况的行政检查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《重庆市物业管理条例》、《重庆市物业专项维修资金管理办法》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9</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对建设单位选聘物业服务企业的行政检查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《重庆市物业管理条例》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10</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对勘察、施工单位是否根据管线现状资料采取保护措施作业的行政检查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《重庆市城市管线条例》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11</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对管线建设单位、管线权属单位及管线建设工程的行政检查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《重庆市城市管线条例》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12</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对城镇房屋白蚁防治活动的行政检查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《城市房屋白蚁防治管理规定》</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13</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对绿色建筑与节能工程实施质量的行政检查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《民用建筑节能条例》、《重庆市建筑节能条例》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14</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对房屋建筑和市政基础设施工程勘察现场作业行为的行政检查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《建设工程勘察设计管理条例》、《重庆市建设工程勘察设计管理条例》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15</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对排水户的行政检查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《城镇污水排入排水管网许可管理办法》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lastRenderedPageBreak/>
              <w:t>16</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对污泥处置单位的行政检查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《城镇排水与污水处理条例》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17</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对城镇排水与污水处理设施维护运营单位的行政检查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《重庆市市政设施管理条例》</w:t>
            </w:r>
            <w:r w:rsidR="00201E57">
              <w:rPr>
                <w:rFonts w:ascii="方正仿宋_GBK" w:eastAsia="方正仿宋_GBK" w:hAnsi="微软雅黑" w:cs="微软雅黑" w:hint="eastAsia"/>
                <w:sz w:val="24"/>
                <w:szCs w:val="24"/>
                <w:lang w:eastAsia="zh-CN"/>
              </w:rPr>
              <w:t>、《</w:t>
            </w:r>
            <w:r w:rsidR="00201E57" w:rsidRPr="00201E57">
              <w:rPr>
                <w:rFonts w:ascii="方正仿宋_GBK" w:eastAsia="方正仿宋_GBK" w:hAnsi="微软雅黑" w:cs="微软雅黑" w:hint="eastAsia"/>
                <w:sz w:val="24"/>
                <w:szCs w:val="24"/>
                <w:lang w:eastAsia="zh-CN"/>
              </w:rPr>
              <w:t>城镇排水与污水处理条例</w:t>
            </w:r>
            <w:r w:rsidR="00201E57">
              <w:rPr>
                <w:rFonts w:ascii="方正仿宋_GBK" w:eastAsia="方正仿宋_GBK" w:hAnsi="微软雅黑" w:cs="微软雅黑" w:hint="eastAsia"/>
                <w:sz w:val="24"/>
                <w:szCs w:val="24"/>
                <w:lang w:eastAsia="zh-CN"/>
              </w:rPr>
              <w:t>》</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18</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对工程造价项目的行政检查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否</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《工程造价咨询企业管理办法》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19</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对公租房使用是否规范的行政检查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《公共租赁住房管理办法》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0</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对建筑起重机械使用登记的行政检查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《建筑起重机械安全监督管理规定》</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对城市轨道交通工程质量安全的行政检查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《房屋建筑和市政工程基础设施工程质量监督管理规定》、《住房城乡建设部关于印发城市轨道交通建设工程验收管理暂行办法的通知》</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对建设工程质量现场行为的行政检查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《建设工程质量管理条例》、《房屋建筑和市政基础设施工程质量监督管理规定》</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对建设工程安全现场行为的行政检查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《重庆市建设工程安全生产管理办法》、《重庆市建筑管理条例》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对安全生产许可证动态变化的行政检查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《建筑施工企业安全生产许可证管理规定》、《建筑施工企业安全生产许可证动态监管暂行办法》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lastRenderedPageBreak/>
              <w:t>2</w:t>
            </w:r>
            <w:r w:rsidR="00201E57">
              <w:rPr>
                <w:rFonts w:ascii="方正仿宋_GBK" w:eastAsia="方正仿宋_GBK"/>
                <w:sz w:val="24"/>
                <w:szCs w:val="24"/>
                <w:lang w:eastAsia="zh-CN"/>
              </w:rPr>
              <w:t>5</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对造价咨询企业经营行为和执业行为的行政检查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《工程造价咨询企业管理办法》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对房地产开发企业开发经营行为的行政检查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《城市房地产开发经营管理条例》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2</w:t>
            </w:r>
            <w:r w:rsidR="00201E57">
              <w:rPr>
                <w:rFonts w:ascii="方正仿宋_GBK" w:eastAsia="方正仿宋_GBK"/>
                <w:sz w:val="24"/>
                <w:szCs w:val="24"/>
                <w:lang w:eastAsia="zh-CN"/>
              </w:rPr>
              <w:t>7</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对勘察设计质量的行政检查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《建设工程勘察设计管理条例》</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hint="eastAsia"/>
                <w:sz w:val="24"/>
                <w:szCs w:val="24"/>
                <w:lang w:eastAsia="zh-CN"/>
              </w:rPr>
              <w:t>2</w:t>
            </w:r>
            <w:r>
              <w:rPr>
                <w:rFonts w:ascii="方正仿宋_GBK" w:eastAsia="方正仿宋_GBK"/>
                <w:sz w:val="24"/>
                <w:szCs w:val="24"/>
                <w:lang w:eastAsia="zh-CN"/>
              </w:rPr>
              <w:t>8</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对工程勘察设计企业资质和勘察设计</w:t>
            </w:r>
            <w:proofErr w:type="gramStart"/>
            <w:r w:rsidRPr="00C7780D">
              <w:rPr>
                <w:rFonts w:ascii="方正仿宋_GBK" w:eastAsia="方正仿宋_GBK" w:hAnsi="微软雅黑" w:cs="微软雅黑" w:hint="eastAsia"/>
                <w:sz w:val="24"/>
                <w:szCs w:val="24"/>
                <w:lang w:eastAsia="zh-CN"/>
              </w:rPr>
              <w:t>类注册</w:t>
            </w:r>
            <w:proofErr w:type="gramEnd"/>
            <w:r w:rsidRPr="00C7780D">
              <w:rPr>
                <w:rFonts w:ascii="方正仿宋_GBK" w:eastAsia="方正仿宋_GBK" w:hAnsi="微软雅黑" w:cs="微软雅黑" w:hint="eastAsia"/>
                <w:sz w:val="24"/>
                <w:szCs w:val="24"/>
                <w:lang w:eastAsia="zh-CN"/>
              </w:rPr>
              <w:t>人员资格的行政检查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《勘察设计注册工程师管理规定》</w:t>
            </w:r>
            <w:r w:rsidR="00201E57">
              <w:rPr>
                <w:rFonts w:ascii="方正仿宋_GBK" w:eastAsia="方正仿宋_GBK" w:hAnsi="微软雅黑" w:cs="微软雅黑" w:hint="eastAsia"/>
                <w:sz w:val="24"/>
                <w:szCs w:val="24"/>
                <w:lang w:eastAsia="zh-CN"/>
              </w:rPr>
              <w:t>、《</w:t>
            </w:r>
            <w:r w:rsidR="00201E57" w:rsidRPr="00201E57">
              <w:rPr>
                <w:rFonts w:ascii="方正仿宋_GBK" w:eastAsia="方正仿宋_GBK" w:hAnsi="微软雅黑" w:cs="微软雅黑" w:hint="eastAsia"/>
                <w:sz w:val="24"/>
                <w:szCs w:val="24"/>
                <w:lang w:eastAsia="zh-CN"/>
              </w:rPr>
              <w:t>建设工程勘察设计资质管理规定</w:t>
            </w:r>
            <w:r w:rsidR="00201E57">
              <w:rPr>
                <w:rFonts w:ascii="方正仿宋_GBK" w:eastAsia="方正仿宋_GBK" w:hAnsi="微软雅黑" w:cs="微软雅黑" w:hint="eastAsia"/>
                <w:sz w:val="24"/>
                <w:szCs w:val="24"/>
                <w:lang w:eastAsia="zh-CN"/>
              </w:rPr>
              <w:t>》</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201E57" w:rsidP="00DF40C3">
            <w:pPr>
              <w:pStyle w:val="TableText"/>
              <w:jc w:val="center"/>
              <w:rPr>
                <w:rFonts w:ascii="方正仿宋_GBK" w:eastAsia="方正仿宋_GBK"/>
                <w:sz w:val="24"/>
                <w:szCs w:val="24"/>
                <w:lang w:eastAsia="zh-CN"/>
              </w:rPr>
            </w:pPr>
            <w:r>
              <w:rPr>
                <w:rFonts w:ascii="方正仿宋_GBK" w:eastAsia="方正仿宋_GBK"/>
                <w:sz w:val="24"/>
                <w:szCs w:val="24"/>
                <w:lang w:eastAsia="zh-CN"/>
              </w:rPr>
              <w:t>29</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对房地产经纪机构和从业人员经纪活动的行政检查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《房地产经纪管理办法》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3</w:t>
            </w:r>
            <w:r w:rsidR="00201E57">
              <w:rPr>
                <w:rFonts w:ascii="方正仿宋_GBK" w:eastAsia="方正仿宋_GBK"/>
                <w:sz w:val="24"/>
                <w:szCs w:val="24"/>
                <w:lang w:eastAsia="zh-CN"/>
              </w:rPr>
              <w:t>0</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对房地产估价机构的行政检查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《房地产估价机构管理办法》</w:t>
            </w:r>
          </w:p>
        </w:tc>
      </w:tr>
      <w:tr w:rsidR="00C51130" w:rsidTr="00976B3A">
        <w:trPr>
          <w:trHeight w:val="633"/>
        </w:trPr>
        <w:tc>
          <w:tcPr>
            <w:tcW w:w="1266" w:type="dxa"/>
            <w:tcBorders>
              <w:top w:val="single" w:sz="4" w:space="0" w:color="000000"/>
              <w:left w:val="single" w:sz="4" w:space="0" w:color="000000"/>
              <w:bottom w:val="single" w:sz="4" w:space="0" w:color="000000"/>
              <w:right w:val="single" w:sz="4" w:space="0" w:color="000000"/>
            </w:tcBorders>
            <w:vAlign w:val="center"/>
          </w:tcPr>
          <w:p w:rsidR="00C51130" w:rsidRPr="00C7780D" w:rsidRDefault="00C51130" w:rsidP="00201E57">
            <w:pPr>
              <w:pStyle w:val="TableText"/>
              <w:jc w:val="center"/>
              <w:rPr>
                <w:rFonts w:ascii="方正仿宋_GBK" w:eastAsia="方正仿宋_GBK"/>
                <w:sz w:val="24"/>
                <w:szCs w:val="24"/>
                <w:lang w:eastAsia="zh-CN"/>
              </w:rPr>
            </w:pPr>
            <w:r w:rsidRPr="00C7780D">
              <w:rPr>
                <w:rFonts w:ascii="方正仿宋_GBK" w:eastAsia="方正仿宋_GBK" w:hint="eastAsia"/>
                <w:sz w:val="24"/>
                <w:szCs w:val="24"/>
                <w:lang w:eastAsia="zh-CN"/>
              </w:rPr>
              <w:t>3</w:t>
            </w:r>
            <w:r w:rsidR="00201E57">
              <w:rPr>
                <w:rFonts w:ascii="方正仿宋_GBK" w:eastAsia="方正仿宋_GBK"/>
                <w:sz w:val="24"/>
                <w:szCs w:val="24"/>
                <w:lang w:eastAsia="zh-CN"/>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C51130" w:rsidRPr="00976B3A" w:rsidRDefault="00C51130" w:rsidP="00976B3A">
            <w:pPr>
              <w:pStyle w:val="TableText"/>
              <w:jc w:val="center"/>
              <w:rPr>
                <w:rFonts w:ascii="方正仿宋_GBK" w:eastAsia="方正仿宋_GBK" w:hAnsi="微软雅黑" w:cs="微软雅黑" w:hint="eastAsia"/>
                <w:sz w:val="24"/>
                <w:szCs w:val="24"/>
                <w:lang w:eastAsia="zh-CN"/>
              </w:rPr>
            </w:pPr>
            <w:r w:rsidRPr="00C7780D">
              <w:rPr>
                <w:rFonts w:ascii="方正仿宋_GBK" w:eastAsia="方正仿宋_GBK" w:hAnsi="微软雅黑" w:cs="微软雅黑" w:hint="eastAsia"/>
                <w:sz w:val="24"/>
                <w:szCs w:val="24"/>
                <w:lang w:eastAsia="zh-CN"/>
              </w:rPr>
              <w:t>对房地产市场交易行为的行政检查</w:t>
            </w:r>
          </w:p>
        </w:tc>
        <w:tc>
          <w:tcPr>
            <w:tcW w:w="1980"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pStyle w:val="TableText"/>
              <w:jc w:val="center"/>
              <w:rPr>
                <w:lang w:eastAsia="zh-CN"/>
              </w:rPr>
            </w:pPr>
          </w:p>
        </w:tc>
        <w:tc>
          <w:tcPr>
            <w:tcW w:w="3443" w:type="dxa"/>
            <w:tcBorders>
              <w:top w:val="single" w:sz="4" w:space="0" w:color="000000"/>
              <w:left w:val="single" w:sz="4" w:space="0" w:color="000000"/>
              <w:bottom w:val="single" w:sz="4" w:space="0" w:color="000000"/>
              <w:right w:val="single" w:sz="4" w:space="0" w:color="000000"/>
            </w:tcBorders>
            <w:vAlign w:val="center"/>
          </w:tcPr>
          <w:p w:rsidR="00C51130" w:rsidRDefault="00C51130" w:rsidP="00DF40C3">
            <w:pPr>
              <w:jc w:val="center"/>
            </w:pPr>
            <w:r>
              <w:rPr>
                <w:rFonts w:ascii="Times New Roman" w:eastAsia="方正仿宋_GBK" w:hAnsi="Times New Roman" w:cs="Times New Roman" w:hint="eastAsia"/>
                <w:sz w:val="28"/>
                <w:szCs w:val="28"/>
              </w:rPr>
              <w:t>是</w:t>
            </w:r>
          </w:p>
        </w:tc>
        <w:tc>
          <w:tcPr>
            <w:tcW w:w="4253" w:type="dxa"/>
            <w:tcBorders>
              <w:top w:val="single" w:sz="4" w:space="0" w:color="000000"/>
              <w:left w:val="single" w:sz="4" w:space="0" w:color="000000"/>
              <w:bottom w:val="single" w:sz="4" w:space="0" w:color="000000"/>
              <w:right w:val="single" w:sz="4" w:space="0" w:color="000000"/>
            </w:tcBorders>
            <w:vAlign w:val="center"/>
          </w:tcPr>
          <w:p w:rsidR="00C51130" w:rsidRPr="00DF40C3" w:rsidRDefault="00C51130" w:rsidP="00DF40C3">
            <w:pPr>
              <w:pStyle w:val="TableText"/>
              <w:rPr>
                <w:rFonts w:ascii="方正仿宋_GBK" w:eastAsia="方正仿宋_GBK"/>
                <w:sz w:val="24"/>
                <w:szCs w:val="24"/>
                <w:lang w:eastAsia="zh-CN"/>
              </w:rPr>
            </w:pPr>
            <w:r w:rsidRPr="00DF40C3">
              <w:rPr>
                <w:rFonts w:ascii="方正仿宋_GBK" w:eastAsia="方正仿宋_GBK" w:hAnsi="微软雅黑" w:cs="微软雅黑" w:hint="eastAsia"/>
                <w:sz w:val="24"/>
                <w:szCs w:val="24"/>
                <w:lang w:eastAsia="zh-CN"/>
              </w:rPr>
              <w:t>《重庆市城镇房地产交易管理条例》</w:t>
            </w:r>
          </w:p>
        </w:tc>
      </w:tr>
    </w:tbl>
    <w:p w:rsidR="006A31E3" w:rsidRDefault="006A31E3" w:rsidP="00DF40C3">
      <w:pPr>
        <w:jc w:val="center"/>
      </w:pPr>
    </w:p>
    <w:sectPr w:rsidR="006A31E3" w:rsidSect="00346DE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ED"/>
    <w:rsid w:val="00201E57"/>
    <w:rsid w:val="00206115"/>
    <w:rsid w:val="00346DED"/>
    <w:rsid w:val="003D4CAE"/>
    <w:rsid w:val="005A44B4"/>
    <w:rsid w:val="005B7299"/>
    <w:rsid w:val="006A31E3"/>
    <w:rsid w:val="007718CD"/>
    <w:rsid w:val="0080193C"/>
    <w:rsid w:val="008149EE"/>
    <w:rsid w:val="00976B3A"/>
    <w:rsid w:val="00C51130"/>
    <w:rsid w:val="00C7780D"/>
    <w:rsid w:val="00DF40C3"/>
    <w:rsid w:val="00EE49F0"/>
    <w:rsid w:val="00F0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BACF"/>
  <w15:chartTrackingRefBased/>
  <w15:docId w15:val="{FF1BF261-D951-4DE8-BF9E-B141964D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346DED"/>
    <w:pPr>
      <w:widowControl/>
      <w:kinsoku w:val="0"/>
      <w:autoSpaceDE w:val="0"/>
      <w:autoSpaceDN w:val="0"/>
      <w:adjustRightInd w:val="0"/>
      <w:snapToGrid w:val="0"/>
      <w:jc w:val="left"/>
    </w:pPr>
    <w:rPr>
      <w:rFonts w:ascii="Arial" w:eastAsia="Arial" w:hAnsi="Arial" w:cs="Arial"/>
      <w:color w:val="000000"/>
      <w:kern w:val="0"/>
      <w:szCs w:val="21"/>
      <w:lang w:eastAsia="en-US"/>
    </w:rPr>
  </w:style>
  <w:style w:type="table" w:customStyle="1" w:styleId="TableNormal">
    <w:name w:val="Table Normal"/>
    <w:semiHidden/>
    <w:qFormat/>
    <w:rsid w:val="00346DED"/>
    <w:rPr>
      <w:rFonts w:ascii="Arial" w:eastAsia="等线" w:hAnsi="Arial" w:cs="Arial"/>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F06538"/>
    <w:rPr>
      <w:sz w:val="18"/>
      <w:szCs w:val="18"/>
    </w:rPr>
  </w:style>
  <w:style w:type="character" w:customStyle="1" w:styleId="a4">
    <w:name w:val="批注框文本 字符"/>
    <w:basedOn w:val="a0"/>
    <w:link w:val="a3"/>
    <w:uiPriority w:val="99"/>
    <w:semiHidden/>
    <w:rsid w:val="00F06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徐一心</dc:creator>
  <cp:keywords/>
  <dc:description/>
  <cp:lastModifiedBy>徐一心</cp:lastModifiedBy>
  <cp:revision>2</cp:revision>
  <cp:lastPrinted>2025-03-27T01:53:00Z</cp:lastPrinted>
  <dcterms:created xsi:type="dcterms:W3CDTF">2025-03-27T01:53:00Z</dcterms:created>
  <dcterms:modified xsi:type="dcterms:W3CDTF">2025-03-27T01:53:00Z</dcterms:modified>
</cp:coreProperties>
</file>