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05D4E">
      <w:pPr>
        <w:spacing w:before="143" w:line="219" w:lineRule="auto"/>
        <w:jc w:val="center"/>
        <w:rPr>
          <w:rFonts w:hint="default" w:ascii="方正小标宋_GBK" w:hAnsi="宋体" w:eastAsia="方正小标宋_GBK" w:cs="宋体"/>
          <w:sz w:val="44"/>
          <w:szCs w:val="44"/>
          <w:lang w:val="en-US" w:eastAsia="zh-CN"/>
        </w:rPr>
      </w:pPr>
      <w:r>
        <w:rPr>
          <w:rFonts w:hint="eastAsia" w:ascii="方正小标宋_GBK" w:hAnsi="Times New Roman" w:eastAsia="方正小标宋_GBK" w:cs="Times New Roman"/>
          <w:b/>
          <w:bCs/>
          <w:spacing w:val="-9"/>
          <w:sz w:val="44"/>
          <w:szCs w:val="44"/>
          <w:lang w:eastAsia="zh-CN"/>
        </w:rPr>
        <w:t>九龙坡区镇（街道）</w:t>
      </w:r>
      <w:r>
        <w:rPr>
          <w:rFonts w:hint="eastAsia" w:ascii="方正小标宋_GBK" w:hAnsi="宋体" w:eastAsia="方正小标宋_GBK" w:cs="宋体"/>
          <w:b/>
          <w:bCs/>
          <w:spacing w:val="-9"/>
          <w:sz w:val="44"/>
          <w:szCs w:val="44"/>
        </w:rPr>
        <w:t>涉企行政检查事项清单</w:t>
      </w:r>
    </w:p>
    <w:p w14:paraId="7369C6B4">
      <w:pPr>
        <w:spacing w:before="19"/>
      </w:pPr>
    </w:p>
    <w:tbl>
      <w:tblPr>
        <w:tblStyle w:val="9"/>
        <w:tblW w:w="131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6"/>
        <w:gridCol w:w="4507"/>
        <w:gridCol w:w="1890"/>
        <w:gridCol w:w="5460"/>
      </w:tblGrid>
      <w:tr w14:paraId="7FDE8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1266" w:type="dxa"/>
            <w:vAlign w:val="center"/>
          </w:tcPr>
          <w:p w14:paraId="1FE1CB0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4507" w:type="dxa"/>
            <w:vAlign w:val="center"/>
          </w:tcPr>
          <w:p w14:paraId="598578B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事项名称</w:t>
            </w:r>
          </w:p>
        </w:tc>
        <w:tc>
          <w:tcPr>
            <w:tcW w:w="1890" w:type="dxa"/>
            <w:shd w:val="clear" w:color="auto" w:fill="auto"/>
            <w:vAlign w:val="center"/>
          </w:tcPr>
          <w:p w14:paraId="4480CEB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是否属于涉企行政检查事项</w:t>
            </w:r>
          </w:p>
        </w:tc>
        <w:tc>
          <w:tcPr>
            <w:tcW w:w="5460" w:type="dxa"/>
            <w:vAlign w:val="center"/>
          </w:tcPr>
          <w:p w14:paraId="1436DD7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法定依据</w:t>
            </w:r>
          </w:p>
        </w:tc>
      </w:tr>
      <w:tr w14:paraId="3F278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266" w:type="dxa"/>
            <w:vAlign w:val="center"/>
          </w:tcPr>
          <w:p w14:paraId="6CA7243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w:t>
            </w:r>
          </w:p>
        </w:tc>
        <w:tc>
          <w:tcPr>
            <w:tcW w:w="4507" w:type="dxa"/>
            <w:vAlign w:val="center"/>
          </w:tcPr>
          <w:p w14:paraId="0A7660C8">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对机关、团体、部队、院校、企事业单位和其他组织及个体工商户名称、字号、标志等牌匾和标识保持完好、清洁的行政检查</w:t>
            </w:r>
          </w:p>
        </w:tc>
        <w:tc>
          <w:tcPr>
            <w:tcW w:w="1890" w:type="dxa"/>
            <w:shd w:val="clear" w:color="auto" w:fill="auto"/>
            <w:vAlign w:val="center"/>
          </w:tcPr>
          <w:p w14:paraId="68A1EAC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0F9A337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《重庆市市容环境卫生管理条例》（2018年修正）第三十七条第一款 机关、团体、部队、院校、企事业单位和其他组织及个体工商户的名称、字号、标志等牌匾和标识，应当无污损、无残缺。</w:t>
            </w:r>
          </w:p>
        </w:tc>
      </w:tr>
      <w:tr w14:paraId="30B72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66" w:type="dxa"/>
            <w:vAlign w:val="center"/>
          </w:tcPr>
          <w:p w14:paraId="797FE1D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w:t>
            </w:r>
          </w:p>
        </w:tc>
        <w:tc>
          <w:tcPr>
            <w:tcW w:w="4507" w:type="dxa"/>
            <w:vAlign w:val="center"/>
          </w:tcPr>
          <w:p w14:paraId="728545FA">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对消防安全重点单位及公安派出所监督检查单位以外其他单位或者个人埋压、圈占、遮挡消火栓行为的行政检查</w:t>
            </w:r>
          </w:p>
        </w:tc>
        <w:tc>
          <w:tcPr>
            <w:tcW w:w="1890" w:type="dxa"/>
            <w:shd w:val="clear" w:color="auto" w:fill="auto"/>
            <w:vAlign w:val="center"/>
          </w:tcPr>
          <w:p w14:paraId="3B0168AD">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3B52C01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2180B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266" w:type="dxa"/>
            <w:vAlign w:val="center"/>
          </w:tcPr>
          <w:p w14:paraId="3DCA3D3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3</w:t>
            </w:r>
          </w:p>
        </w:tc>
        <w:tc>
          <w:tcPr>
            <w:tcW w:w="4507" w:type="dxa"/>
            <w:vAlign w:val="center"/>
          </w:tcPr>
          <w:p w14:paraId="310E258C">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w:t>
            </w:r>
            <w:bookmarkStart w:id="0" w:name="_GoBack"/>
            <w:bookmarkEnd w:id="0"/>
            <w:r>
              <w:rPr>
                <w:rFonts w:hint="eastAsia" w:ascii="宋体" w:hAnsi="宋体" w:eastAsia="宋体" w:cs="宋体"/>
                <w:i w:val="0"/>
                <w:iCs w:val="0"/>
                <w:color w:val="000000"/>
                <w:kern w:val="0"/>
                <w:sz w:val="24"/>
                <w:szCs w:val="24"/>
                <w:u w:val="none"/>
                <w:lang w:val="en-US" w:eastAsia="zh-CN" w:bidi="ar"/>
              </w:rPr>
              <w:t>个人保持疏散通道、安全出口畅通的行政检查</w:t>
            </w:r>
          </w:p>
        </w:tc>
        <w:tc>
          <w:tcPr>
            <w:tcW w:w="1890" w:type="dxa"/>
            <w:shd w:val="clear" w:color="auto" w:fill="auto"/>
            <w:vAlign w:val="center"/>
          </w:tcPr>
          <w:p w14:paraId="4F06B82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23EAAF2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44ECF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16C6235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4</w:t>
            </w:r>
          </w:p>
        </w:tc>
        <w:tc>
          <w:tcPr>
            <w:tcW w:w="4507" w:type="dxa"/>
            <w:vAlign w:val="center"/>
          </w:tcPr>
          <w:p w14:paraId="261F23C1">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对消防安全重点单位及公安派出所监督检查单位以外其他单位或者个人保持消防车通道畅通，不妨碍消防车通行的行政检查</w:t>
            </w:r>
          </w:p>
        </w:tc>
        <w:tc>
          <w:tcPr>
            <w:tcW w:w="1890" w:type="dxa"/>
            <w:shd w:val="clear" w:color="auto" w:fill="auto"/>
            <w:vAlign w:val="center"/>
          </w:tcPr>
          <w:p w14:paraId="07F2EA9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6C3071D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70B83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47444DB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5</w:t>
            </w:r>
          </w:p>
        </w:tc>
        <w:tc>
          <w:tcPr>
            <w:tcW w:w="4507" w:type="dxa"/>
            <w:vAlign w:val="center"/>
          </w:tcPr>
          <w:p w14:paraId="53EE4C9E">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对霓虹灯、电子显示屏（牌）、灯箱等形式的户外广告保持完好、无破损、污迹和严重褪色，显示完好行政检查</w:t>
            </w:r>
          </w:p>
        </w:tc>
        <w:tc>
          <w:tcPr>
            <w:tcW w:w="1890" w:type="dxa"/>
            <w:shd w:val="clear" w:color="auto" w:fill="auto"/>
            <w:vAlign w:val="center"/>
          </w:tcPr>
          <w:p w14:paraId="07D5A974">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53C9C3C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《重庆市市容环境卫生管理条例》第三十六条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户外广告应保持安全完好，无破损、污迹和严重褪色；霓虹灯、电子显示屏（牌）、灯箱等形式的户外广告应保持显示完好。</w:t>
            </w:r>
          </w:p>
        </w:tc>
      </w:tr>
      <w:tr w14:paraId="71081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650DC9B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6</w:t>
            </w:r>
          </w:p>
        </w:tc>
        <w:tc>
          <w:tcPr>
            <w:tcW w:w="4507" w:type="dxa"/>
            <w:vAlign w:val="center"/>
          </w:tcPr>
          <w:p w14:paraId="1DC65E92">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对互联网上网服务营业场所经营单位接纳未成年人进入营业场所的行政检查</w:t>
            </w:r>
          </w:p>
        </w:tc>
        <w:tc>
          <w:tcPr>
            <w:tcW w:w="1890" w:type="dxa"/>
            <w:shd w:val="clear" w:color="auto" w:fill="auto"/>
            <w:vAlign w:val="center"/>
          </w:tcPr>
          <w:p w14:paraId="36DA1E0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2ED75F0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《中华人民共和国未成年人保护法》</w:t>
            </w:r>
          </w:p>
        </w:tc>
      </w:tr>
      <w:tr w14:paraId="52CE4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0AD1949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7</w:t>
            </w:r>
          </w:p>
        </w:tc>
        <w:tc>
          <w:tcPr>
            <w:tcW w:w="4507" w:type="dxa"/>
            <w:vAlign w:val="center"/>
          </w:tcPr>
          <w:p w14:paraId="1007CA8D">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对露天堆场、仓库、消纳场、填埋场未采取措施防治扬尘污染的行政检查</w:t>
            </w:r>
          </w:p>
        </w:tc>
        <w:tc>
          <w:tcPr>
            <w:tcW w:w="1890" w:type="dxa"/>
            <w:shd w:val="clear" w:color="auto" w:fill="auto"/>
            <w:vAlign w:val="center"/>
          </w:tcPr>
          <w:p w14:paraId="76A6B1C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5372BA4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《重庆是大气污染防治条例》（2021修订）第八十六条  违反本条例规定，露天堆场、仓库、消纳场、填埋场未采取措施防治扬尘污染的，由生态环境主管部门或者其他负有环境保护监督管理职责的部门责令改正，处一万元以上十万元以下罚款；逾期未改正的，责令停业整治或者停工整治。</w:t>
            </w:r>
          </w:p>
        </w:tc>
      </w:tr>
      <w:tr w14:paraId="13699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29E5DA8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8</w:t>
            </w:r>
          </w:p>
        </w:tc>
        <w:tc>
          <w:tcPr>
            <w:tcW w:w="4507" w:type="dxa"/>
            <w:vAlign w:val="center"/>
          </w:tcPr>
          <w:p w14:paraId="553299AE">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对长江防护林体系建设的行政检查</w:t>
            </w:r>
          </w:p>
        </w:tc>
        <w:tc>
          <w:tcPr>
            <w:tcW w:w="1890" w:type="dxa"/>
            <w:shd w:val="clear" w:color="auto" w:fill="auto"/>
            <w:vAlign w:val="center"/>
          </w:tcPr>
          <w:p w14:paraId="4839511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1AF690E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《重庆市长江防护林体系管理条例》（2019年修正）</w:t>
            </w:r>
          </w:p>
        </w:tc>
      </w:tr>
      <w:tr w14:paraId="4F85C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3F15B69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9</w:t>
            </w:r>
          </w:p>
        </w:tc>
        <w:tc>
          <w:tcPr>
            <w:tcW w:w="4507" w:type="dxa"/>
            <w:vAlign w:val="center"/>
          </w:tcPr>
          <w:p w14:paraId="58E95C31">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对干洗、机动车维修设置废气污染防治设施并保持正常使用，不影响周边环境的行政检查</w:t>
            </w:r>
          </w:p>
        </w:tc>
        <w:tc>
          <w:tcPr>
            <w:tcW w:w="1890" w:type="dxa"/>
            <w:shd w:val="clear" w:color="auto" w:fill="auto"/>
            <w:vAlign w:val="center"/>
          </w:tcPr>
          <w:p w14:paraId="0F9CB33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4E9A80B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《中华人民共和国大气污染防治法》（2018年修正）</w:t>
            </w:r>
          </w:p>
        </w:tc>
      </w:tr>
      <w:tr w14:paraId="5B28A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1C57D0E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10</w:t>
            </w:r>
          </w:p>
        </w:tc>
        <w:tc>
          <w:tcPr>
            <w:tcW w:w="4507" w:type="dxa"/>
            <w:vAlign w:val="center"/>
          </w:tcPr>
          <w:p w14:paraId="5B3B2FC7">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遵守生产、储存、经营易燃易爆危险品的场所与居住场所设置规定，保持安全距离，以及遵守生产、储存、经营其他物品的场所与居住场所设置消防技术标准的行政检查</w:t>
            </w:r>
          </w:p>
        </w:tc>
        <w:tc>
          <w:tcPr>
            <w:tcW w:w="1890" w:type="dxa"/>
            <w:shd w:val="clear" w:color="auto" w:fill="auto"/>
            <w:vAlign w:val="center"/>
          </w:tcPr>
          <w:p w14:paraId="5FA6AE0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42EC95B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7A766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618623F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11</w:t>
            </w:r>
          </w:p>
        </w:tc>
        <w:tc>
          <w:tcPr>
            <w:tcW w:w="4507" w:type="dxa"/>
            <w:vAlign w:val="center"/>
          </w:tcPr>
          <w:p w14:paraId="745ACB8B">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对在居民住宅楼、未配套设立专用烟道的商住综合楼、商住综合楼内与居住层相邻的商业楼层内新建、改建、扩建产生油烟、异味、废气的餐饮服务、加工服务、服装干洗和机动车维修等项目的行政检查</w:t>
            </w:r>
          </w:p>
        </w:tc>
        <w:tc>
          <w:tcPr>
            <w:tcW w:w="1890" w:type="dxa"/>
            <w:shd w:val="clear" w:color="auto" w:fill="auto"/>
            <w:vAlign w:val="center"/>
          </w:tcPr>
          <w:p w14:paraId="3CFEA7D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7CD5807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《中华人民共和国大气污染防治法》（2018年修正）</w:t>
            </w:r>
          </w:p>
        </w:tc>
      </w:tr>
      <w:tr w14:paraId="7ADE5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3447B93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12</w:t>
            </w:r>
          </w:p>
        </w:tc>
        <w:tc>
          <w:tcPr>
            <w:tcW w:w="4507" w:type="dxa"/>
            <w:vAlign w:val="center"/>
          </w:tcPr>
          <w:p w14:paraId="5050E1C1">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对消防安全重点单位及公安派出所监督检查单位以外其他单位或者个人遵守高层民用建筑的公共门厅、疏散走道、楼梯间、安全出口的规定，不停放电动自行车或者为电动自行车充电的行政检查</w:t>
            </w:r>
          </w:p>
        </w:tc>
        <w:tc>
          <w:tcPr>
            <w:tcW w:w="1890" w:type="dxa"/>
            <w:shd w:val="clear" w:color="auto" w:fill="auto"/>
            <w:vAlign w:val="center"/>
          </w:tcPr>
          <w:p w14:paraId="01B34062">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42F2B7D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5B0A0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4A81BD5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13</w:t>
            </w:r>
          </w:p>
        </w:tc>
        <w:tc>
          <w:tcPr>
            <w:tcW w:w="4507" w:type="dxa"/>
            <w:vAlign w:val="center"/>
          </w:tcPr>
          <w:p w14:paraId="34F51B47">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1890" w:type="dxa"/>
            <w:shd w:val="clear" w:color="auto" w:fill="auto"/>
            <w:vAlign w:val="center"/>
          </w:tcPr>
          <w:p w14:paraId="68FFCD7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18AE2AA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7C032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4BB3F16F">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14</w:t>
            </w:r>
          </w:p>
        </w:tc>
        <w:tc>
          <w:tcPr>
            <w:tcW w:w="4507" w:type="dxa"/>
            <w:vAlign w:val="center"/>
          </w:tcPr>
          <w:p w14:paraId="4A583CC7">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对森林防火期内在森林防火区内进行实弹演习、爆破等活动申请批准的行政检查</w:t>
            </w:r>
          </w:p>
        </w:tc>
        <w:tc>
          <w:tcPr>
            <w:tcW w:w="1890" w:type="dxa"/>
            <w:shd w:val="clear" w:color="auto" w:fill="auto"/>
            <w:vAlign w:val="center"/>
          </w:tcPr>
          <w:p w14:paraId="627B6D3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1E20E30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《森林防火条例》</w:t>
            </w:r>
          </w:p>
        </w:tc>
      </w:tr>
      <w:tr w14:paraId="3D79F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590A2C96">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15</w:t>
            </w:r>
          </w:p>
        </w:tc>
        <w:tc>
          <w:tcPr>
            <w:tcW w:w="4507" w:type="dxa"/>
            <w:vAlign w:val="center"/>
          </w:tcPr>
          <w:p w14:paraId="4D836DBD">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对娱乐场所在显著位置悬挂娱乐经营许可证、未成年人禁入或者限入标志以及标志注明举报电话的行政检查</w:t>
            </w:r>
          </w:p>
        </w:tc>
        <w:tc>
          <w:tcPr>
            <w:tcW w:w="1890" w:type="dxa"/>
            <w:shd w:val="clear" w:color="auto" w:fill="auto"/>
            <w:vAlign w:val="center"/>
          </w:tcPr>
          <w:p w14:paraId="564DA29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460ADDF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《娱乐场所管理办法》（2022年修订）</w:t>
            </w:r>
          </w:p>
        </w:tc>
      </w:tr>
      <w:tr w14:paraId="7948C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510C65C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16</w:t>
            </w:r>
          </w:p>
        </w:tc>
        <w:tc>
          <w:tcPr>
            <w:tcW w:w="4507" w:type="dxa"/>
            <w:vAlign w:val="center"/>
          </w:tcPr>
          <w:p w14:paraId="71BACE57">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对停车场经营管理者经营运行为的行政检查</w:t>
            </w:r>
          </w:p>
        </w:tc>
        <w:tc>
          <w:tcPr>
            <w:tcW w:w="1890" w:type="dxa"/>
            <w:shd w:val="clear" w:color="auto" w:fill="auto"/>
            <w:vAlign w:val="center"/>
          </w:tcPr>
          <w:p w14:paraId="40BF6973">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047E3F3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《重庆市停车场管理办法》（2020年修正）</w:t>
            </w:r>
          </w:p>
        </w:tc>
      </w:tr>
      <w:tr w14:paraId="50917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066EF241">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17</w:t>
            </w:r>
          </w:p>
        </w:tc>
        <w:tc>
          <w:tcPr>
            <w:tcW w:w="4507" w:type="dxa"/>
            <w:vAlign w:val="center"/>
          </w:tcPr>
          <w:p w14:paraId="429A3A0A">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对歌舞娱乐场所是否接纳未成年人的行政检查</w:t>
            </w:r>
          </w:p>
        </w:tc>
        <w:tc>
          <w:tcPr>
            <w:tcW w:w="1890" w:type="dxa"/>
            <w:shd w:val="clear" w:color="auto" w:fill="auto"/>
            <w:vAlign w:val="center"/>
          </w:tcPr>
          <w:p w14:paraId="60C9AA4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40AF60F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《娱乐场所管理条例》（2020年修订）</w:t>
            </w:r>
          </w:p>
        </w:tc>
      </w:tr>
      <w:tr w14:paraId="51452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422CCE5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18</w:t>
            </w:r>
          </w:p>
        </w:tc>
        <w:tc>
          <w:tcPr>
            <w:tcW w:w="4507" w:type="dxa"/>
            <w:vAlign w:val="center"/>
          </w:tcPr>
          <w:p w14:paraId="7B52E0FB">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对消防安全重点单位及公安派出所监督检查单位以外其他单位或者个人在建筑物内部公共区域随意焚烧物品的行政检查</w:t>
            </w:r>
          </w:p>
        </w:tc>
        <w:tc>
          <w:tcPr>
            <w:tcW w:w="1890" w:type="dxa"/>
            <w:shd w:val="clear" w:color="auto" w:fill="auto"/>
            <w:vAlign w:val="center"/>
          </w:tcPr>
          <w:p w14:paraId="70F62F9B">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6B6522E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《中华人民共和国消防法》第三十一条、第五十三条第一款</w:t>
            </w:r>
          </w:p>
        </w:tc>
      </w:tr>
      <w:tr w14:paraId="2436E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6C93B610">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19</w:t>
            </w:r>
          </w:p>
        </w:tc>
        <w:tc>
          <w:tcPr>
            <w:tcW w:w="4507" w:type="dxa"/>
            <w:vAlign w:val="center"/>
          </w:tcPr>
          <w:p w14:paraId="4D534746">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对在城市建成区、人口集中区域露天焚烧电子废物、油毡、沥青、橡胶、塑料、皮革以及其他产生有毒有害烟尘和恶臭气体的物质的行政检查</w:t>
            </w:r>
          </w:p>
        </w:tc>
        <w:tc>
          <w:tcPr>
            <w:tcW w:w="1890" w:type="dxa"/>
            <w:shd w:val="clear" w:color="auto" w:fill="auto"/>
            <w:vAlign w:val="center"/>
          </w:tcPr>
          <w:p w14:paraId="5CA9C18A">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20990C4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《中华人民共和国大气污染防治法》（2018年修正）第八十二条第一款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《重庆市大气污染防治条例》（2021年修正）第六十四条</w:t>
            </w:r>
          </w:p>
        </w:tc>
      </w:tr>
      <w:tr w14:paraId="67EE7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764C2817">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20</w:t>
            </w:r>
          </w:p>
        </w:tc>
        <w:tc>
          <w:tcPr>
            <w:tcW w:w="4507" w:type="dxa"/>
            <w:vAlign w:val="center"/>
          </w:tcPr>
          <w:p w14:paraId="02A9C208">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对经批准临时占用道路堆放建筑材料放置整齐，散体、流体物料使用围挡存放的行政检查</w:t>
            </w:r>
          </w:p>
        </w:tc>
        <w:tc>
          <w:tcPr>
            <w:tcW w:w="1890" w:type="dxa"/>
            <w:shd w:val="clear" w:color="auto" w:fill="auto"/>
            <w:vAlign w:val="center"/>
          </w:tcPr>
          <w:p w14:paraId="0A7C943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601A73F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《重庆市市容环境卫生管理条例》（2018年修正）第二十八条  经市政设施主管部门批准临时占用道路堆放建筑材料的，应当放置整齐，散体、流体物料应当围挡存放。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违反前款规定的，责令改正，并处五百元以上二千元以下罚款。</w:t>
            </w:r>
          </w:p>
        </w:tc>
      </w:tr>
      <w:tr w14:paraId="59C0B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5A9E5678">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21</w:t>
            </w:r>
          </w:p>
        </w:tc>
        <w:tc>
          <w:tcPr>
            <w:tcW w:w="4507" w:type="dxa"/>
            <w:vAlign w:val="center"/>
          </w:tcPr>
          <w:p w14:paraId="0651C417">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对经市政行政主管部门批准在城市道路设施上设置占道停车点的行政检查</w:t>
            </w:r>
          </w:p>
        </w:tc>
        <w:tc>
          <w:tcPr>
            <w:tcW w:w="1890" w:type="dxa"/>
            <w:shd w:val="clear" w:color="auto" w:fill="auto"/>
            <w:vAlign w:val="center"/>
          </w:tcPr>
          <w:p w14:paraId="70A290A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5288869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《重庆市市政设施管理条例》（2022年修正）第二十一条 在城市道路设施上，未经市政行政主管部门批准不得进行下列占用、挖掘行为：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(一)设置占道停车点;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(二)在人行道上停放机动车;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(三)堆放物品、设置标牌或广告;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(四)开设车行坡道或进出道口;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(五)建设各种建(构)筑物;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(六)其他占用、挖掘城市道路设施的行为。</w:t>
            </w:r>
          </w:p>
        </w:tc>
      </w:tr>
      <w:tr w14:paraId="73E62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266" w:type="dxa"/>
            <w:vAlign w:val="center"/>
          </w:tcPr>
          <w:p w14:paraId="0DED2A7C">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22</w:t>
            </w:r>
          </w:p>
        </w:tc>
        <w:tc>
          <w:tcPr>
            <w:tcW w:w="4507" w:type="dxa"/>
            <w:vAlign w:val="center"/>
          </w:tcPr>
          <w:p w14:paraId="516C82A7">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对经市政行政主管部门批准在城市道路设施上堆放物品、设置标牌或广告的行政检查</w:t>
            </w:r>
          </w:p>
        </w:tc>
        <w:tc>
          <w:tcPr>
            <w:tcW w:w="1890" w:type="dxa"/>
            <w:shd w:val="clear" w:color="auto" w:fill="auto"/>
            <w:vAlign w:val="center"/>
          </w:tcPr>
          <w:p w14:paraId="2BA64FB9">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1289823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《重庆市市政设施管理条例》（2022年修正）第二十一条 在城市道路设施上，未经市政行政主管部门批准不得进行下列占用、挖掘行为：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(一)设置占道停车点;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(二)在人行道上停放机动车;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(三)堆放物品、设置标牌或广告;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(四)开设车行坡道或进出道口;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(五)建设各种建(构)筑物;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(六)其他占用、挖掘城市道路设施的行为。</w:t>
            </w:r>
          </w:p>
        </w:tc>
      </w:tr>
      <w:tr w14:paraId="46DFA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66" w:type="dxa"/>
            <w:vAlign w:val="center"/>
          </w:tcPr>
          <w:p w14:paraId="7C2D465E">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eastAsia" w:ascii="Times New Roman" w:hAnsi="Times New Roman" w:eastAsia="方正仿宋_GBK" w:cs="Times New Roman"/>
                <w:kern w:val="2"/>
                <w:sz w:val="28"/>
                <w:szCs w:val="28"/>
                <w:vertAlign w:val="baseline"/>
                <w:lang w:val="en-US" w:eastAsia="zh-CN" w:bidi="ar-SA"/>
              </w:rPr>
              <w:t>23</w:t>
            </w:r>
          </w:p>
        </w:tc>
        <w:tc>
          <w:tcPr>
            <w:tcW w:w="4507" w:type="dxa"/>
            <w:vAlign w:val="center"/>
          </w:tcPr>
          <w:p w14:paraId="4B610520">
            <w:pPr>
              <w:keepNext w:val="0"/>
              <w:keepLines w:val="0"/>
              <w:widowControl/>
              <w:suppressLineNumbers w:val="0"/>
              <w:jc w:val="both"/>
              <w:textAlignment w:val="bottom"/>
              <w:rPr>
                <w:sz w:val="20"/>
              </w:rPr>
            </w:pPr>
            <w:r>
              <w:rPr>
                <w:rFonts w:hint="eastAsia" w:ascii="宋体" w:hAnsi="宋体" w:eastAsia="宋体" w:cs="宋体"/>
                <w:i w:val="0"/>
                <w:iCs w:val="0"/>
                <w:color w:val="000000"/>
                <w:kern w:val="0"/>
                <w:sz w:val="24"/>
                <w:szCs w:val="24"/>
                <w:u w:val="none"/>
                <w:lang w:val="en-US" w:eastAsia="zh-CN" w:bidi="ar"/>
              </w:rPr>
              <w:t>对经市政行政主管部门批准在城市道路设施上开设车行坡道或进出道口的行政检查</w:t>
            </w:r>
          </w:p>
        </w:tc>
        <w:tc>
          <w:tcPr>
            <w:tcW w:w="1890" w:type="dxa"/>
            <w:shd w:val="clear" w:color="auto" w:fill="auto"/>
            <w:vAlign w:val="center"/>
          </w:tcPr>
          <w:p w14:paraId="0E140635">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是</w:t>
            </w:r>
          </w:p>
        </w:tc>
        <w:tc>
          <w:tcPr>
            <w:tcW w:w="5460" w:type="dxa"/>
            <w:vAlign w:val="center"/>
          </w:tcPr>
          <w:p w14:paraId="78E6B91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《重庆市市政设施管理条例》（2022年修正）第二十一条 在城市道路设施上，未经市政行政主管部门批准不得进行下列占用、挖掘行为：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(一)设置占道停车点;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(二)在人行道上停放机动车;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(三)堆放物品、设置标牌或广告;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(四)开设车行坡道或进出道口;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(五)建设各种建(构)筑物;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(六)其他占用、挖掘城市道路设施的行为。</w:t>
            </w:r>
          </w:p>
        </w:tc>
      </w:tr>
    </w:tbl>
    <w:p w14:paraId="2CACDA82">
      <w:pPr>
        <w:spacing w:line="600" w:lineRule="exact"/>
        <w:ind w:firstLine="640" w:firstLineChars="200"/>
        <w:rPr>
          <w:rFonts w:ascii="方正仿宋_GBK" w:eastAsia="方正仿宋_GBK"/>
          <w:sz w:val="32"/>
          <w:szCs w:val="32"/>
        </w:rPr>
      </w:pPr>
    </w:p>
    <w:sectPr>
      <w:pgSz w:w="16838" w:h="11906" w:orient="landscape"/>
      <w:pgMar w:top="1446" w:right="2098" w:bottom="1446"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31"/>
    <w:rsid w:val="000C1874"/>
    <w:rsid w:val="0026579A"/>
    <w:rsid w:val="002657C4"/>
    <w:rsid w:val="002D4C26"/>
    <w:rsid w:val="00482E15"/>
    <w:rsid w:val="004E00FD"/>
    <w:rsid w:val="00666435"/>
    <w:rsid w:val="00772D66"/>
    <w:rsid w:val="007D6F3D"/>
    <w:rsid w:val="007F262A"/>
    <w:rsid w:val="00807717"/>
    <w:rsid w:val="00964C35"/>
    <w:rsid w:val="00A468D6"/>
    <w:rsid w:val="00C97531"/>
    <w:rsid w:val="00D47549"/>
    <w:rsid w:val="00D84CAE"/>
    <w:rsid w:val="00DE16FA"/>
    <w:rsid w:val="00E37F6B"/>
    <w:rsid w:val="00E8446A"/>
    <w:rsid w:val="00F12383"/>
    <w:rsid w:val="00F427D1"/>
    <w:rsid w:val="01FD4469"/>
    <w:rsid w:val="02BC7D06"/>
    <w:rsid w:val="09683780"/>
    <w:rsid w:val="0BAB6B6A"/>
    <w:rsid w:val="0D162709"/>
    <w:rsid w:val="0D5F7C0C"/>
    <w:rsid w:val="0ECC12D1"/>
    <w:rsid w:val="13D824C6"/>
    <w:rsid w:val="151700EF"/>
    <w:rsid w:val="17F950D9"/>
    <w:rsid w:val="1A783F94"/>
    <w:rsid w:val="1AB1212E"/>
    <w:rsid w:val="235E786D"/>
    <w:rsid w:val="2426102C"/>
    <w:rsid w:val="2C4958B7"/>
    <w:rsid w:val="2D0F6B01"/>
    <w:rsid w:val="2D287BC3"/>
    <w:rsid w:val="31655C4E"/>
    <w:rsid w:val="3B7641EF"/>
    <w:rsid w:val="3DC36269"/>
    <w:rsid w:val="407C5E04"/>
    <w:rsid w:val="45B71E2A"/>
    <w:rsid w:val="4C786769"/>
    <w:rsid w:val="51D45CDF"/>
    <w:rsid w:val="61072CDE"/>
    <w:rsid w:val="676D784C"/>
    <w:rsid w:val="694C640B"/>
    <w:rsid w:val="6B7D1054"/>
    <w:rsid w:val="6C663340"/>
    <w:rsid w:val="6FE50A20"/>
    <w:rsid w:val="765B7C8E"/>
    <w:rsid w:val="77C41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0">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4</Pages>
  <Words>2395</Words>
  <Characters>2451</Characters>
  <Lines>7</Lines>
  <Paragraphs>2</Paragraphs>
  <TotalTime>32</TotalTime>
  <ScaleCrop>false</ScaleCrop>
  <LinksUpToDate>false</LinksUpToDate>
  <CharactersWithSpaces>2480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2025-03-18T02:35:00Z</dcterms:created>
  <dc:creator>Windows 用户</dc:creator>
  <cp:lastModifiedBy>WPS_1657423321</cp:lastModifiedBy>
  <cp:lastPrinted>2025-03-18T07:24:00Z</cp:lastPrinted>
  <dcterms:modified xsi:type="dcterms:W3CDTF">2025-04-07T05:53:30Z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eyJoZGlkIjoiYWYxYmUyZDQyY2RmY2Q5ZjRlM2U1NTcxYjcyNjYzMjUifQ==</vt:lpwstr>
  </property>
  <property fmtid="{D5CDD505-2E9C-101B-9397-08002B2CF9AE}" pid="3" name="KSOProductBuildVer">
    <vt:lpwstr>2052-12.1.0.20305</vt:lpwstr>
  </property>
  <property fmtid="{D5CDD505-2E9C-101B-9397-08002B2CF9AE}" pid="4" name="ICV">
    <vt:lpwstr>9A42E4220CC246F1A869667B135FCA14_13</vt:lpwstr>
  </property>
</Properties>
</file>