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firstLine="1361"/>
        <w:jc w:val="center"/>
        <w:rPr>
          <w:rFonts w:hint="eastAsia" w:ascii="方正仿宋_GBK" w:hAnsi="方正仿宋_GBK" w:eastAsia="方正仿宋_GBK" w:cs="方正仿宋_GBK"/>
          <w:bCs/>
          <w:color w:val="000000"/>
          <w:w w:val="95"/>
          <w:kern w:val="32"/>
          <w:sz w:val="32"/>
          <w:szCs w:val="32"/>
        </w:rPr>
      </w:pPr>
      <w:bookmarkStart w:id="0" w:name="_Toc23980"/>
      <w:bookmarkStart w:id="145" w:name="_GoBack"/>
      <w:bookmarkEnd w:id="145"/>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b/>
          <w:bCs/>
          <w:color w:val="000000"/>
          <w:sz w:val="60"/>
          <w:szCs w:val="60"/>
        </w:rPr>
      </w:pPr>
      <w:r>
        <w:rPr>
          <w:rFonts w:hint="eastAsia" w:ascii="宋体" w:hAnsi="宋体" w:eastAsia="宋体" w:cs="宋体"/>
          <w:b/>
          <w:bCs/>
          <w:color w:val="000000"/>
          <w:sz w:val="44"/>
          <w:szCs w:val="44"/>
          <w:lang w:val="en-US" w:eastAsia="zh-CN"/>
        </w:rPr>
        <w:t>重庆市九龙坡区石坪桥街道办事处</w:t>
      </w:r>
    </w:p>
    <w:p>
      <w:pPr>
        <w:keepNext w:val="0"/>
        <w:keepLines w:val="0"/>
        <w:pageBreakBefore w:val="0"/>
        <w:widowControl w:val="0"/>
        <w:kinsoku/>
        <w:wordWrap/>
        <w:overflowPunct/>
        <w:topLinePunct w:val="0"/>
        <w:autoSpaceDE/>
        <w:autoSpaceDN/>
        <w:bidi w:val="0"/>
        <w:adjustRightInd/>
        <w:snapToGrid w:val="0"/>
        <w:spacing w:before="573" w:beforeLines="200" w:after="573" w:afterLines="200" w:line="360" w:lineRule="auto"/>
        <w:ind w:firstLine="0" w:firstLineChars="0"/>
        <w:jc w:val="center"/>
        <w:textAlignment w:val="auto"/>
        <w:rPr>
          <w:rFonts w:hint="eastAsia" w:ascii="方正仿宋_GBK" w:hAnsi="方正仿宋_GBK" w:eastAsia="方正仿宋_GBK" w:cs="方正仿宋_GBK"/>
          <w:b/>
          <w:bCs/>
          <w:color w:val="000000"/>
          <w:sz w:val="60"/>
          <w:szCs w:val="60"/>
        </w:rPr>
      </w:pPr>
      <w:r>
        <w:rPr>
          <w:rFonts w:hint="eastAsia" w:ascii="黑体" w:hAnsi="黑体" w:eastAsia="黑体" w:cs="黑体"/>
          <w:b/>
          <w:bCs/>
          <w:color w:val="000000"/>
          <w:sz w:val="52"/>
          <w:szCs w:val="52"/>
          <w:lang w:val="en-US" w:eastAsia="zh-CN"/>
        </w:rPr>
        <w:t>突发事件</w:t>
      </w:r>
      <w:r>
        <w:rPr>
          <w:rFonts w:hint="eastAsia" w:ascii="黑体" w:hAnsi="黑体" w:eastAsia="黑体" w:cs="黑体"/>
          <w:b/>
          <w:bCs/>
          <w:color w:val="000000"/>
          <w:sz w:val="52"/>
          <w:szCs w:val="52"/>
        </w:rPr>
        <w:t>风险辨识评估报告</w:t>
      </w:r>
    </w:p>
    <w:p>
      <w:pPr>
        <w:snapToGrid w:val="0"/>
        <w:spacing w:line="1000" w:lineRule="exact"/>
        <w:ind w:firstLine="960"/>
        <w:jc w:val="center"/>
        <w:rPr>
          <w:rFonts w:hint="eastAsia" w:ascii="方正仿宋_GBK" w:hAnsi="方正仿宋_GBK" w:eastAsia="方正仿宋_GBK" w:cs="方正仿宋_GBK"/>
          <w:color w:val="000000"/>
          <w:kern w:val="32"/>
          <w:sz w:val="48"/>
          <w:szCs w:val="48"/>
        </w:rPr>
      </w:pPr>
    </w:p>
    <w:p>
      <w:pPr>
        <w:ind w:firstLine="643"/>
        <w:jc w:val="left"/>
        <w:rPr>
          <w:rFonts w:hint="eastAsia" w:ascii="方正仿宋_GBK" w:hAnsi="方正仿宋_GBK" w:eastAsia="方正仿宋_GBK" w:cs="方正仿宋_GBK"/>
          <w:b/>
          <w:color w:val="000000"/>
          <w:kern w:val="32"/>
          <w:szCs w:val="32"/>
        </w:rPr>
      </w:pPr>
    </w:p>
    <w:p>
      <w:pPr>
        <w:ind w:firstLine="640"/>
        <w:jc w:val="left"/>
        <w:rPr>
          <w:rFonts w:hint="eastAsia" w:ascii="方正仿宋_GBK" w:hAnsi="方正仿宋_GBK" w:eastAsia="方正仿宋_GBK" w:cs="方正仿宋_GBK"/>
          <w:color w:val="000000"/>
          <w:kern w:val="32"/>
          <w:szCs w:val="32"/>
        </w:rPr>
      </w:pPr>
    </w:p>
    <w:p>
      <w:pPr>
        <w:ind w:firstLine="643"/>
        <w:jc w:val="left"/>
        <w:rPr>
          <w:rFonts w:hint="eastAsia" w:ascii="方正仿宋_GBK" w:hAnsi="方正仿宋_GBK" w:eastAsia="方正仿宋_GBK" w:cs="方正仿宋_GBK"/>
          <w:b/>
          <w:color w:val="000000"/>
          <w:kern w:val="32"/>
          <w:szCs w:val="32"/>
        </w:rPr>
      </w:pPr>
    </w:p>
    <w:p>
      <w:pPr>
        <w:ind w:firstLine="643"/>
        <w:jc w:val="left"/>
        <w:rPr>
          <w:rFonts w:hint="eastAsia" w:ascii="方正仿宋_GBK" w:hAnsi="方正仿宋_GBK" w:eastAsia="方正仿宋_GBK" w:cs="方正仿宋_GBK"/>
          <w:b/>
          <w:color w:val="000000"/>
          <w:kern w:val="32"/>
          <w:szCs w:val="32"/>
        </w:rPr>
      </w:pPr>
    </w:p>
    <w:p>
      <w:pPr>
        <w:ind w:firstLine="643"/>
        <w:jc w:val="left"/>
        <w:rPr>
          <w:rFonts w:hint="eastAsia" w:ascii="方正仿宋_GBK" w:hAnsi="方正仿宋_GBK" w:eastAsia="方正仿宋_GBK" w:cs="方正仿宋_GBK"/>
          <w:b/>
          <w:color w:val="000000"/>
          <w:kern w:val="32"/>
          <w:szCs w:val="32"/>
        </w:rPr>
      </w:pPr>
    </w:p>
    <w:p>
      <w:pPr>
        <w:ind w:firstLine="643"/>
        <w:jc w:val="left"/>
        <w:rPr>
          <w:rFonts w:hint="eastAsia" w:ascii="方正仿宋_GBK" w:hAnsi="方正仿宋_GBK" w:eastAsia="方正仿宋_GBK" w:cs="方正仿宋_GBK"/>
          <w:b/>
          <w:color w:val="000000"/>
          <w:kern w:val="32"/>
          <w:szCs w:val="32"/>
        </w:rPr>
      </w:pPr>
    </w:p>
    <w:p>
      <w:pPr>
        <w:ind w:firstLine="643"/>
        <w:jc w:val="left"/>
        <w:rPr>
          <w:rFonts w:hint="eastAsia" w:ascii="方正仿宋_GBK" w:hAnsi="方正仿宋_GBK" w:eastAsia="方正仿宋_GBK" w:cs="方正仿宋_GBK"/>
          <w:b/>
          <w:color w:val="000000"/>
          <w:kern w:val="32"/>
          <w:szCs w:val="32"/>
        </w:rPr>
      </w:pPr>
    </w:p>
    <w:p>
      <w:pPr>
        <w:pStyle w:val="38"/>
        <w:rPr>
          <w:rFonts w:hint="eastAsia" w:ascii="方正仿宋_GBK" w:hAnsi="方正仿宋_GBK" w:eastAsia="方正仿宋_GBK" w:cs="方正仿宋_GBK"/>
          <w:b/>
          <w:kern w:val="32"/>
          <w:sz w:val="32"/>
          <w:szCs w:val="32"/>
        </w:rPr>
      </w:pPr>
    </w:p>
    <w:p>
      <w:pPr>
        <w:ind w:firstLine="643"/>
        <w:jc w:val="left"/>
        <w:rPr>
          <w:rFonts w:hint="eastAsia" w:ascii="方正仿宋_GBK" w:hAnsi="方正仿宋_GBK" w:eastAsia="方正仿宋_GBK" w:cs="方正仿宋_GBK"/>
          <w:b/>
          <w:color w:val="000000"/>
          <w:kern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snapToGrid/>
          <w:color w:val="000000"/>
          <w:kern w:val="32"/>
          <w:sz w:val="36"/>
          <w:szCs w:val="36"/>
          <w:lang w:val="en-US" w:eastAsia="zh-CN" w:bidi="ar-SA"/>
        </w:rPr>
      </w:pPr>
      <w:bookmarkStart w:id="1" w:name="_Toc42791958"/>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snapToGrid/>
          <w:color w:val="000000"/>
          <w:kern w:val="32"/>
          <w:sz w:val="36"/>
          <w:szCs w:val="36"/>
          <w:lang w:val="en-US" w:eastAsia="zh-CN" w:bidi="ar-SA"/>
        </w:rPr>
      </w:pPr>
      <w:r>
        <w:rPr>
          <w:rFonts w:hint="eastAsia" w:ascii="仿宋" w:hAnsi="仿宋" w:eastAsia="仿宋" w:cs="仿宋"/>
          <w:b/>
          <w:bCs/>
          <w:snapToGrid/>
          <w:color w:val="000000"/>
          <w:kern w:val="32"/>
          <w:sz w:val="36"/>
          <w:szCs w:val="36"/>
          <w:lang w:val="en-US" w:eastAsia="zh-CN" w:bidi="ar-SA"/>
        </w:rPr>
        <w:t>主编单位：重庆市九龙坡区石坪桥街道办事处</w:t>
      </w:r>
    </w:p>
    <w:p>
      <w:pPr>
        <w:keepNext w:val="0"/>
        <w:keepLines w:val="0"/>
        <w:pageBreakBefore w:val="0"/>
        <w:widowControl w:val="0"/>
        <w:kinsoku/>
        <w:wordWrap/>
        <w:overflowPunct/>
        <w:topLinePunct w:val="0"/>
        <w:autoSpaceDE/>
        <w:autoSpaceDN/>
        <w:bidi w:val="0"/>
        <w:adjustRightInd/>
        <w:snapToGrid/>
        <w:spacing w:before="287" w:beforeLines="100" w:after="287" w:afterLines="100" w:line="360" w:lineRule="auto"/>
        <w:ind w:firstLine="0" w:firstLineChars="0"/>
        <w:jc w:val="center"/>
        <w:textAlignment w:val="auto"/>
        <w:rPr>
          <w:rStyle w:val="36"/>
          <w:rFonts w:hint="eastAsia" w:ascii="方正仿宋_GBK" w:hAnsi="方正仿宋_GBK" w:eastAsia="方正仿宋_GBK" w:cs="方正仿宋_GBK"/>
          <w:b/>
          <w:bCs w:val="0"/>
          <w:color w:val="auto"/>
          <w:kern w:val="2"/>
          <w:sz w:val="44"/>
          <w:szCs w:val="44"/>
          <w:u w:val="none"/>
          <w:lang w:eastAsia="zh-CN"/>
        </w:rPr>
      </w:pPr>
      <w:r>
        <w:rPr>
          <w:rFonts w:hint="eastAsia" w:ascii="仿宋" w:hAnsi="仿宋" w:eastAsia="仿宋" w:cs="仿宋"/>
          <w:b/>
          <w:bCs/>
          <w:snapToGrid/>
          <w:color w:val="000000"/>
          <w:kern w:val="32"/>
          <w:sz w:val="36"/>
          <w:szCs w:val="36"/>
          <w:lang w:val="en-US" w:eastAsia="zh-CN" w:bidi="ar-SA"/>
        </w:rPr>
        <w:t>2023年6月</w:t>
      </w:r>
      <w:bookmarkEnd w:id="1"/>
      <w:r>
        <w:rPr>
          <w:rFonts w:hint="eastAsia" w:ascii="仿宋" w:hAnsi="仿宋" w:eastAsia="仿宋" w:cs="仿宋"/>
          <w:b/>
          <w:bCs/>
          <w:snapToGrid/>
          <w:color w:val="000000"/>
          <w:kern w:val="32"/>
          <w:sz w:val="36"/>
          <w:szCs w:val="36"/>
          <w:lang w:val="en-US" w:eastAsia="zh-CN" w:bidi="ar-SA"/>
        </w:rPr>
        <w:br w:type="page"/>
      </w:r>
      <w:bookmarkStart w:id="2" w:name="_Toc50545492"/>
      <w:bookmarkStart w:id="3" w:name="_Toc50545614"/>
      <w:bookmarkStart w:id="4" w:name="_Toc47279420"/>
      <w:r>
        <w:rPr>
          <w:rStyle w:val="36"/>
          <w:rFonts w:hint="eastAsia" w:ascii="黑体" w:hAnsi="黑体" w:eastAsia="黑体" w:cs="黑体"/>
          <w:b/>
          <w:bCs w:val="0"/>
          <w:color w:val="auto"/>
          <w:kern w:val="2"/>
          <w:sz w:val="44"/>
          <w:szCs w:val="44"/>
          <w:u w:val="none"/>
          <w:lang w:eastAsia="zh-CN"/>
        </w:rPr>
        <w:t>目</w:t>
      </w:r>
      <w:r>
        <w:rPr>
          <w:rStyle w:val="36"/>
          <w:rFonts w:hint="eastAsia" w:ascii="黑体" w:hAnsi="黑体" w:eastAsia="黑体" w:cs="黑体"/>
          <w:b/>
          <w:bCs w:val="0"/>
          <w:color w:val="auto"/>
          <w:kern w:val="2"/>
          <w:sz w:val="44"/>
          <w:szCs w:val="44"/>
          <w:u w:val="none"/>
          <w:lang w:val="en-US" w:eastAsia="zh-CN"/>
        </w:rPr>
        <w:t xml:space="preserve">  </w:t>
      </w:r>
      <w:r>
        <w:rPr>
          <w:rStyle w:val="36"/>
          <w:rFonts w:hint="eastAsia" w:ascii="黑体" w:hAnsi="黑体" w:eastAsia="黑体" w:cs="黑体"/>
          <w:b/>
          <w:bCs w:val="0"/>
          <w:color w:val="auto"/>
          <w:kern w:val="2"/>
          <w:sz w:val="44"/>
          <w:szCs w:val="44"/>
          <w:u w:val="none"/>
          <w:lang w:eastAsia="zh-CN"/>
        </w:rPr>
        <w:t>录</w:t>
      </w:r>
      <w:bookmarkEnd w:id="2"/>
      <w:bookmarkEnd w:id="3"/>
      <w:bookmarkEnd w:id="4"/>
    </w:p>
    <w:bookmarkEnd w:id="0"/>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 w:val="28"/>
          <w:szCs w:val="28"/>
        </w:rPr>
        <w:fldChar w:fldCharType="begin"/>
      </w:r>
      <w:r>
        <w:rPr>
          <w:rFonts w:hint="eastAsia" w:ascii="方正仿宋_GBK" w:hAnsi="方正仿宋_GBK" w:eastAsia="方正仿宋_GBK" w:cs="方正仿宋_GBK"/>
          <w:color w:val="000000"/>
          <w:sz w:val="28"/>
          <w:szCs w:val="28"/>
        </w:rPr>
        <w:instrText xml:space="preserve">TOC \o "1-2" \h \u </w:instrText>
      </w:r>
      <w:r>
        <w:rPr>
          <w:rFonts w:hint="eastAsia" w:ascii="方正仿宋_GBK" w:hAnsi="方正仿宋_GBK" w:eastAsia="方正仿宋_GBK" w:cs="方正仿宋_GBK"/>
          <w:color w:val="000000"/>
          <w:sz w:val="28"/>
          <w:szCs w:val="28"/>
        </w:rPr>
        <w:fldChar w:fldCharType="separate"/>
      </w:r>
      <w:r>
        <w:rPr>
          <w:rFonts w:hint="eastAsia" w:ascii="方正仿宋_GBK" w:hAnsi="方正仿宋_GBK" w:eastAsia="方正仿宋_GBK" w:cs="方正仿宋_GBK"/>
          <w:b/>
          <w:bCs/>
          <w:color w:val="000000"/>
          <w:szCs w:val="28"/>
        </w:rPr>
        <w:fldChar w:fldCharType="begin"/>
      </w:r>
      <w:r>
        <w:rPr>
          <w:rFonts w:hint="eastAsia" w:ascii="方正仿宋_GBK" w:hAnsi="方正仿宋_GBK" w:eastAsia="方正仿宋_GBK" w:cs="方正仿宋_GBK"/>
          <w:b/>
          <w:bCs/>
          <w:szCs w:val="28"/>
        </w:rPr>
        <w:instrText xml:space="preserve"> HYPERLINK \l _Toc15862 </w:instrText>
      </w:r>
      <w:r>
        <w:rPr>
          <w:rFonts w:hint="eastAsia" w:ascii="方正仿宋_GBK" w:hAnsi="方正仿宋_GBK" w:eastAsia="方正仿宋_GBK" w:cs="方正仿宋_GBK"/>
          <w:b/>
          <w:bCs/>
          <w:szCs w:val="28"/>
        </w:rPr>
        <w:fldChar w:fldCharType="separate"/>
      </w:r>
      <w:r>
        <w:rPr>
          <w:rFonts w:hint="eastAsia" w:ascii="黑体" w:hAnsi="黑体" w:eastAsia="黑体" w:cs="黑体"/>
          <w:b/>
          <w:bCs/>
          <w:kern w:val="2"/>
          <w:szCs w:val="32"/>
          <w:lang w:eastAsia="zh-CN"/>
        </w:rPr>
        <w:t>1</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前言</w:t>
      </w:r>
      <w:r>
        <w:rPr>
          <w:b/>
          <w:bCs/>
        </w:rPr>
        <w:tab/>
      </w:r>
      <w:r>
        <w:rPr>
          <w:b/>
          <w:bCs/>
        </w:rPr>
        <w:fldChar w:fldCharType="begin"/>
      </w:r>
      <w:r>
        <w:rPr>
          <w:b/>
          <w:bCs/>
        </w:rPr>
        <w:instrText xml:space="preserve"> PAGEREF _Toc15862 \h </w:instrText>
      </w:r>
      <w:r>
        <w:rPr>
          <w:b/>
          <w:bCs/>
        </w:rPr>
        <w:fldChar w:fldCharType="separate"/>
      </w:r>
      <w:r>
        <w:rPr>
          <w:b/>
          <w:bCs/>
        </w:rPr>
        <w:t>1</w:t>
      </w:r>
      <w:r>
        <w:rPr>
          <w:b/>
          <w:bCs/>
        </w:rPr>
        <w:fldChar w:fldCharType="end"/>
      </w:r>
      <w:r>
        <w:rPr>
          <w:rFonts w:hint="eastAsia" w:ascii="方正仿宋_GBK" w:hAnsi="方正仿宋_GBK" w:eastAsia="方正仿宋_GBK" w:cs="方正仿宋_GBK"/>
          <w:b/>
          <w:bCs/>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_Toc8477 </w:instrText>
      </w:r>
      <w:r>
        <w:rPr>
          <w:rFonts w:hint="eastAsia" w:ascii="方正仿宋_GBK" w:hAnsi="方正仿宋_GBK" w:eastAsia="方正仿宋_GBK" w:cs="方正仿宋_GBK"/>
          <w:szCs w:val="28"/>
        </w:rPr>
        <w:fldChar w:fldCharType="separate"/>
      </w:r>
      <w:r>
        <w:rPr>
          <w:rFonts w:hint="eastAsia" w:ascii="楷体" w:hAnsi="楷体" w:eastAsia="楷体" w:cs="楷体"/>
        </w:rPr>
        <w:t>1.1</w:t>
      </w:r>
      <w:r>
        <w:rPr>
          <w:rFonts w:hint="eastAsia" w:ascii="楷体" w:hAnsi="楷体" w:eastAsia="楷体" w:cs="楷体"/>
          <w:lang w:val="en-US" w:eastAsia="zh-CN"/>
        </w:rPr>
        <w:t xml:space="preserve">  </w:t>
      </w:r>
      <w:r>
        <w:rPr>
          <w:rFonts w:hint="eastAsia" w:ascii="楷体" w:hAnsi="楷体" w:eastAsia="楷体" w:cs="楷体"/>
        </w:rPr>
        <w:t>指导思想</w:t>
      </w:r>
      <w:r>
        <w:tab/>
      </w:r>
      <w:r>
        <w:fldChar w:fldCharType="begin"/>
      </w:r>
      <w:r>
        <w:instrText xml:space="preserve"> PAGEREF _Toc8477 \h </w:instrText>
      </w:r>
      <w:r>
        <w:fldChar w:fldCharType="separate"/>
      </w:r>
      <w:r>
        <w:t>1</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_Toc26209 </w:instrText>
      </w:r>
      <w:r>
        <w:rPr>
          <w:rFonts w:hint="eastAsia" w:ascii="方正仿宋_GBK" w:hAnsi="方正仿宋_GBK" w:eastAsia="方正仿宋_GBK" w:cs="方正仿宋_GBK"/>
          <w:szCs w:val="28"/>
        </w:rPr>
        <w:fldChar w:fldCharType="separate"/>
      </w:r>
      <w:r>
        <w:rPr>
          <w:rFonts w:hint="eastAsia" w:ascii="楷体" w:hAnsi="楷体" w:eastAsia="楷体" w:cs="楷体"/>
        </w:rPr>
        <w:t>1.2</w:t>
      </w:r>
      <w:r>
        <w:rPr>
          <w:rFonts w:hint="eastAsia" w:ascii="楷体" w:hAnsi="楷体" w:eastAsia="楷体" w:cs="楷体"/>
          <w:lang w:val="en-US" w:eastAsia="zh-CN"/>
        </w:rPr>
        <w:t xml:space="preserve">  </w:t>
      </w:r>
      <w:r>
        <w:rPr>
          <w:rFonts w:hint="eastAsia" w:ascii="楷体" w:hAnsi="楷体" w:eastAsia="楷体" w:cs="楷体"/>
        </w:rPr>
        <w:t>工作范围</w:t>
      </w:r>
      <w:r>
        <w:tab/>
      </w:r>
      <w:r>
        <w:fldChar w:fldCharType="begin"/>
      </w:r>
      <w:r>
        <w:instrText xml:space="preserve"> PAGEREF _Toc26209 \h </w:instrText>
      </w:r>
      <w:r>
        <w:fldChar w:fldCharType="separate"/>
      </w:r>
      <w:r>
        <w:t>2</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_Toc1501 </w:instrText>
      </w:r>
      <w:r>
        <w:rPr>
          <w:rFonts w:hint="eastAsia" w:ascii="方正仿宋_GBK" w:hAnsi="方正仿宋_GBK" w:eastAsia="方正仿宋_GBK" w:cs="方正仿宋_GBK"/>
          <w:szCs w:val="28"/>
        </w:rPr>
        <w:fldChar w:fldCharType="separate"/>
      </w:r>
      <w:r>
        <w:rPr>
          <w:rFonts w:hint="eastAsia" w:ascii="楷体" w:hAnsi="楷体" w:eastAsia="楷体" w:cs="楷体"/>
        </w:rPr>
        <w:t>1.3</w:t>
      </w:r>
      <w:r>
        <w:rPr>
          <w:rFonts w:hint="eastAsia" w:ascii="楷体" w:hAnsi="楷体" w:eastAsia="楷体" w:cs="楷体"/>
          <w:lang w:val="en-US" w:eastAsia="zh-CN"/>
        </w:rPr>
        <w:t xml:space="preserve">  </w:t>
      </w:r>
      <w:r>
        <w:rPr>
          <w:rFonts w:hint="eastAsia" w:ascii="楷体" w:hAnsi="楷体" w:eastAsia="楷体" w:cs="楷体"/>
        </w:rPr>
        <w:t>编制依据</w:t>
      </w:r>
      <w:r>
        <w:tab/>
      </w:r>
      <w:r>
        <w:fldChar w:fldCharType="begin"/>
      </w:r>
      <w:r>
        <w:instrText xml:space="preserve"> PAGEREF _Toc1501 \h </w:instrText>
      </w:r>
      <w:r>
        <w:fldChar w:fldCharType="separate"/>
      </w:r>
      <w:r>
        <w:t>2</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_Toc26434 </w:instrText>
      </w:r>
      <w:r>
        <w:rPr>
          <w:rFonts w:hint="eastAsia" w:ascii="方正仿宋_GBK" w:hAnsi="方正仿宋_GBK" w:eastAsia="方正仿宋_GBK" w:cs="方正仿宋_GBK"/>
          <w:szCs w:val="28"/>
        </w:rPr>
        <w:fldChar w:fldCharType="separate"/>
      </w:r>
      <w:r>
        <w:rPr>
          <w:rFonts w:hint="eastAsia" w:ascii="楷体" w:hAnsi="楷体" w:eastAsia="楷体" w:cs="楷体"/>
        </w:rPr>
        <w:t>1.4</w:t>
      </w:r>
      <w:r>
        <w:rPr>
          <w:rFonts w:hint="eastAsia" w:ascii="楷体" w:hAnsi="楷体" w:eastAsia="楷体" w:cs="楷体"/>
          <w:lang w:val="en-US" w:eastAsia="zh-CN"/>
        </w:rPr>
        <w:t xml:space="preserve">  </w:t>
      </w:r>
      <w:r>
        <w:rPr>
          <w:rFonts w:hint="eastAsia" w:ascii="楷体" w:hAnsi="楷体" w:eastAsia="楷体" w:cs="楷体"/>
        </w:rPr>
        <w:t>工作原则</w:t>
      </w:r>
      <w:r>
        <w:tab/>
      </w:r>
      <w:r>
        <w:fldChar w:fldCharType="begin"/>
      </w:r>
      <w:r>
        <w:instrText xml:space="preserve"> PAGEREF _Toc26434 \h </w:instrText>
      </w:r>
      <w:r>
        <w:fldChar w:fldCharType="separate"/>
      </w:r>
      <w:r>
        <w:t>5</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_Toc6775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2</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石坪桥街道基本情况</w:t>
      </w:r>
      <w:r>
        <w:tab/>
      </w:r>
      <w:r>
        <w:fldChar w:fldCharType="begin"/>
      </w:r>
      <w:r>
        <w:instrText xml:space="preserve"> PAGEREF _Toc6775 \h </w:instrText>
      </w:r>
      <w:r>
        <w:fldChar w:fldCharType="separate"/>
      </w:r>
      <w:r>
        <w:t>6</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_Toc30171 </w:instrText>
      </w:r>
      <w:r>
        <w:rPr>
          <w:rFonts w:hint="eastAsia" w:ascii="方正仿宋_GBK" w:hAnsi="方正仿宋_GBK" w:eastAsia="方正仿宋_GBK" w:cs="方正仿宋_GBK"/>
          <w:szCs w:val="28"/>
        </w:rPr>
        <w:fldChar w:fldCharType="separate"/>
      </w:r>
      <w:r>
        <w:rPr>
          <w:rFonts w:hint="eastAsia" w:ascii="楷体" w:hAnsi="楷体" w:eastAsia="楷体" w:cs="楷体"/>
        </w:rPr>
        <w:t>2.1</w:t>
      </w:r>
      <w:r>
        <w:rPr>
          <w:rFonts w:hint="eastAsia" w:ascii="楷体" w:hAnsi="楷体" w:eastAsia="楷体" w:cs="楷体"/>
          <w:lang w:val="en-US" w:eastAsia="zh-CN"/>
        </w:rPr>
        <w:t xml:space="preserve">  基本</w:t>
      </w:r>
      <w:r>
        <w:rPr>
          <w:rFonts w:hint="eastAsia" w:ascii="楷体" w:hAnsi="楷体" w:eastAsia="楷体" w:cs="楷体"/>
        </w:rPr>
        <w:t>概况</w:t>
      </w:r>
      <w:r>
        <w:tab/>
      </w:r>
      <w:r>
        <w:fldChar w:fldCharType="begin"/>
      </w:r>
      <w:r>
        <w:instrText xml:space="preserve"> PAGEREF _Toc30171 \h </w:instrText>
      </w:r>
      <w:r>
        <w:fldChar w:fldCharType="separate"/>
      </w:r>
      <w:r>
        <w:t>6</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_Toc21275 </w:instrText>
      </w:r>
      <w:r>
        <w:rPr>
          <w:rFonts w:hint="eastAsia" w:ascii="方正仿宋_GBK" w:hAnsi="方正仿宋_GBK" w:eastAsia="方正仿宋_GBK" w:cs="方正仿宋_GBK"/>
          <w:szCs w:val="28"/>
        </w:rPr>
        <w:fldChar w:fldCharType="separate"/>
      </w:r>
      <w:r>
        <w:rPr>
          <w:rFonts w:hint="eastAsia" w:ascii="楷体" w:hAnsi="楷体" w:eastAsia="楷体" w:cs="楷体"/>
          <w:bCs w:val="0"/>
          <w:kern w:val="2"/>
          <w:szCs w:val="20"/>
          <w:lang w:val="en-US" w:eastAsia="zh-CN" w:bidi="ar-SA"/>
        </w:rPr>
        <w:t>2.2  地理位置</w:t>
      </w:r>
      <w:r>
        <w:tab/>
      </w:r>
      <w:r>
        <w:fldChar w:fldCharType="begin"/>
      </w:r>
      <w:r>
        <w:instrText xml:space="preserve"> PAGEREF _Toc21275 \h </w:instrText>
      </w:r>
      <w:r>
        <w:fldChar w:fldCharType="separate"/>
      </w:r>
      <w:r>
        <w:t>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_Toc16833 </w:instrText>
      </w:r>
      <w:r>
        <w:rPr>
          <w:rFonts w:hint="eastAsia" w:ascii="方正仿宋_GBK" w:hAnsi="方正仿宋_GBK" w:eastAsia="方正仿宋_GBK" w:cs="方正仿宋_GBK"/>
          <w:szCs w:val="28"/>
        </w:rPr>
        <w:fldChar w:fldCharType="separate"/>
      </w:r>
      <w:r>
        <w:rPr>
          <w:rFonts w:hint="eastAsia" w:ascii="楷体" w:hAnsi="楷体" w:eastAsia="楷体" w:cs="楷体"/>
          <w:bCs/>
          <w:kern w:val="2"/>
          <w:szCs w:val="32"/>
          <w:lang w:val="en-US" w:eastAsia="zh-CN" w:bidi="ar-SA"/>
        </w:rPr>
        <w:t>2.3  管辖范围</w:t>
      </w:r>
      <w:r>
        <w:tab/>
      </w:r>
      <w:r>
        <w:fldChar w:fldCharType="begin"/>
      </w:r>
      <w:r>
        <w:instrText xml:space="preserve"> PAGEREF _Toc16833 \h </w:instrText>
      </w:r>
      <w:r>
        <w:fldChar w:fldCharType="separate"/>
      </w:r>
      <w:r>
        <w:t>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_Toc9352 </w:instrText>
      </w:r>
      <w:r>
        <w:rPr>
          <w:rFonts w:hint="eastAsia" w:ascii="方正仿宋_GBK" w:hAnsi="方正仿宋_GBK" w:eastAsia="方正仿宋_GBK" w:cs="方正仿宋_GBK"/>
          <w:szCs w:val="28"/>
        </w:rPr>
        <w:fldChar w:fldCharType="separate"/>
      </w:r>
      <w:r>
        <w:rPr>
          <w:rFonts w:hint="eastAsia" w:ascii="楷体" w:hAnsi="楷体" w:eastAsia="楷体" w:cs="楷体"/>
          <w:bCs/>
          <w:kern w:val="2"/>
          <w:szCs w:val="32"/>
          <w:lang w:val="en-US" w:eastAsia="zh-CN" w:bidi="ar-SA"/>
        </w:rPr>
        <w:t>2.4  管理机构</w:t>
      </w:r>
      <w:r>
        <w:tab/>
      </w:r>
      <w:r>
        <w:fldChar w:fldCharType="begin"/>
      </w:r>
      <w:r>
        <w:instrText xml:space="preserve"> PAGEREF _Toc9352 \h </w:instrText>
      </w:r>
      <w:r>
        <w:fldChar w:fldCharType="separate"/>
      </w:r>
      <w:r>
        <w:t>9</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_Toc8327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3</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风险辨识</w:t>
      </w:r>
      <w:r>
        <w:tab/>
      </w:r>
      <w:r>
        <w:fldChar w:fldCharType="begin"/>
      </w:r>
      <w:r>
        <w:instrText xml:space="preserve"> PAGEREF _Toc8327 \h </w:instrText>
      </w:r>
      <w:r>
        <w:fldChar w:fldCharType="separate"/>
      </w:r>
      <w:r>
        <w:t>11</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_Toc13101 </w:instrText>
      </w:r>
      <w:r>
        <w:rPr>
          <w:rFonts w:hint="eastAsia" w:ascii="方正仿宋_GBK" w:hAnsi="方正仿宋_GBK" w:eastAsia="方正仿宋_GBK" w:cs="方正仿宋_GBK"/>
          <w:szCs w:val="28"/>
        </w:rPr>
        <w:fldChar w:fldCharType="separate"/>
      </w:r>
      <w:r>
        <w:rPr>
          <w:rFonts w:hint="eastAsia" w:ascii="楷体" w:hAnsi="楷体" w:eastAsia="楷体" w:cs="楷体"/>
        </w:rPr>
        <w:t>3.1</w:t>
      </w:r>
      <w:r>
        <w:rPr>
          <w:rFonts w:hint="eastAsia" w:ascii="楷体" w:hAnsi="楷体" w:eastAsia="楷体" w:cs="楷体"/>
          <w:lang w:val="en-US" w:eastAsia="zh-CN"/>
        </w:rPr>
        <w:t xml:space="preserve">  </w:t>
      </w:r>
      <w:r>
        <w:rPr>
          <w:rFonts w:hint="eastAsia" w:ascii="楷体" w:hAnsi="楷体" w:eastAsia="楷体" w:cs="楷体"/>
        </w:rPr>
        <w:t>风险辨识内容</w:t>
      </w:r>
      <w:r>
        <w:tab/>
      </w:r>
      <w:r>
        <w:fldChar w:fldCharType="begin"/>
      </w:r>
      <w:r>
        <w:instrText xml:space="preserve"> PAGEREF _Toc13101 \h </w:instrText>
      </w:r>
      <w:r>
        <w:fldChar w:fldCharType="separate"/>
      </w:r>
      <w:r>
        <w:t>11</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_Toc14197 </w:instrText>
      </w:r>
      <w:r>
        <w:rPr>
          <w:rFonts w:hint="eastAsia" w:ascii="方正仿宋_GBK" w:hAnsi="方正仿宋_GBK" w:eastAsia="方正仿宋_GBK" w:cs="方正仿宋_GBK"/>
          <w:szCs w:val="28"/>
        </w:rPr>
        <w:fldChar w:fldCharType="separate"/>
      </w:r>
      <w:r>
        <w:rPr>
          <w:rFonts w:hint="eastAsia" w:ascii="楷体" w:hAnsi="楷体" w:eastAsia="楷体" w:cs="楷体"/>
        </w:rPr>
        <w:t>3.2</w:t>
      </w:r>
      <w:r>
        <w:rPr>
          <w:rFonts w:hint="eastAsia" w:ascii="楷体" w:hAnsi="楷体" w:eastAsia="楷体" w:cs="楷体"/>
          <w:lang w:val="en-US" w:eastAsia="zh-CN"/>
        </w:rPr>
        <w:t xml:space="preserve">  </w:t>
      </w:r>
      <w:r>
        <w:rPr>
          <w:rFonts w:hint="eastAsia" w:ascii="楷体" w:hAnsi="楷体" w:eastAsia="楷体" w:cs="楷体"/>
        </w:rPr>
        <w:t>风险辨识单元</w:t>
      </w:r>
      <w:r>
        <w:tab/>
      </w:r>
      <w:r>
        <w:fldChar w:fldCharType="begin"/>
      </w:r>
      <w:r>
        <w:instrText xml:space="preserve"> PAGEREF _Toc14197 \h </w:instrText>
      </w:r>
      <w:r>
        <w:fldChar w:fldCharType="separate"/>
      </w:r>
      <w:r>
        <w:t>11</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_Toc7973 </w:instrText>
      </w:r>
      <w:r>
        <w:rPr>
          <w:rFonts w:hint="eastAsia" w:ascii="方正仿宋_GBK" w:hAnsi="方正仿宋_GBK" w:eastAsia="方正仿宋_GBK" w:cs="方正仿宋_GBK"/>
          <w:szCs w:val="28"/>
        </w:rPr>
        <w:fldChar w:fldCharType="separate"/>
      </w:r>
      <w:r>
        <w:rPr>
          <w:rFonts w:hint="eastAsia" w:ascii="楷体" w:hAnsi="楷体" w:eastAsia="楷体" w:cs="楷体"/>
        </w:rPr>
        <w:t>3.3</w:t>
      </w:r>
      <w:r>
        <w:rPr>
          <w:rFonts w:hint="eastAsia" w:ascii="楷体" w:hAnsi="楷体" w:eastAsia="楷体" w:cs="楷体"/>
          <w:lang w:val="en-US" w:eastAsia="zh-CN"/>
        </w:rPr>
        <w:t xml:space="preserve">  </w:t>
      </w:r>
      <w:r>
        <w:rPr>
          <w:rFonts w:hint="eastAsia" w:ascii="楷体" w:hAnsi="楷体" w:eastAsia="楷体" w:cs="楷体"/>
        </w:rPr>
        <w:t>风险辨识分析</w:t>
      </w:r>
      <w:r>
        <w:tab/>
      </w:r>
      <w:r>
        <w:fldChar w:fldCharType="begin"/>
      </w:r>
      <w:r>
        <w:instrText xml:space="preserve"> PAGEREF _Toc7973 \h </w:instrText>
      </w:r>
      <w:r>
        <w:fldChar w:fldCharType="separate"/>
      </w:r>
      <w:r>
        <w:t>11</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_Toc20209 </w:instrText>
      </w:r>
      <w:r>
        <w:rPr>
          <w:rFonts w:hint="eastAsia" w:ascii="方正仿宋_GBK" w:hAnsi="方正仿宋_GBK" w:eastAsia="方正仿宋_GBK" w:cs="方正仿宋_GBK"/>
          <w:szCs w:val="28"/>
        </w:rPr>
        <w:fldChar w:fldCharType="separate"/>
      </w:r>
      <w:r>
        <w:rPr>
          <w:rFonts w:hint="eastAsia" w:ascii="楷体" w:hAnsi="楷体" w:eastAsia="楷体" w:cs="楷体"/>
        </w:rPr>
        <w:t>3.4</w:t>
      </w:r>
      <w:r>
        <w:rPr>
          <w:rFonts w:hint="eastAsia" w:ascii="楷体" w:hAnsi="楷体" w:eastAsia="楷体" w:cs="楷体"/>
          <w:lang w:val="en-US" w:eastAsia="zh-CN"/>
        </w:rPr>
        <w:t xml:space="preserve">  </w:t>
      </w:r>
      <w:r>
        <w:rPr>
          <w:rFonts w:hint="eastAsia" w:ascii="楷体" w:hAnsi="楷体" w:eastAsia="楷体" w:cs="楷体"/>
        </w:rPr>
        <w:t>风险辨识结果</w:t>
      </w:r>
      <w:r>
        <w:tab/>
      </w:r>
      <w:r>
        <w:fldChar w:fldCharType="begin"/>
      </w:r>
      <w:r>
        <w:instrText xml:space="preserve"> PAGEREF _Toc20209 \h </w:instrText>
      </w:r>
      <w:r>
        <w:fldChar w:fldCharType="separate"/>
      </w:r>
      <w:r>
        <w:t>16</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_Toc32166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4</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风险评估</w:t>
      </w:r>
      <w:r>
        <w:tab/>
      </w:r>
      <w:r>
        <w:fldChar w:fldCharType="begin"/>
      </w:r>
      <w:r>
        <w:instrText xml:space="preserve"> PAGEREF _Toc32166 \h </w:instrText>
      </w:r>
      <w:r>
        <w:fldChar w:fldCharType="separate"/>
      </w:r>
      <w:r>
        <w:t>18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_Toc7978 </w:instrText>
      </w:r>
      <w:r>
        <w:rPr>
          <w:rFonts w:hint="eastAsia" w:ascii="方正仿宋_GBK" w:hAnsi="方正仿宋_GBK" w:eastAsia="方正仿宋_GBK" w:cs="方正仿宋_GBK"/>
          <w:szCs w:val="28"/>
        </w:rPr>
        <w:fldChar w:fldCharType="separate"/>
      </w:r>
      <w:r>
        <w:rPr>
          <w:rFonts w:hint="eastAsia" w:ascii="楷体" w:hAnsi="楷体" w:eastAsia="楷体" w:cs="楷体"/>
        </w:rPr>
        <w:t>4.1</w:t>
      </w:r>
      <w:r>
        <w:rPr>
          <w:rFonts w:hint="eastAsia" w:ascii="楷体" w:hAnsi="楷体" w:eastAsia="楷体" w:cs="楷体"/>
          <w:lang w:val="en-US" w:eastAsia="zh-CN"/>
        </w:rPr>
        <w:t xml:space="preserve">  </w:t>
      </w:r>
      <w:r>
        <w:rPr>
          <w:rFonts w:hint="eastAsia" w:ascii="楷体" w:hAnsi="楷体" w:eastAsia="楷体" w:cs="楷体"/>
        </w:rPr>
        <w:t>风险评估内容</w:t>
      </w:r>
      <w:r>
        <w:tab/>
      </w:r>
      <w:r>
        <w:fldChar w:fldCharType="begin"/>
      </w:r>
      <w:r>
        <w:instrText xml:space="preserve"> PAGEREF _Toc7978 \h </w:instrText>
      </w:r>
      <w:r>
        <w:fldChar w:fldCharType="separate"/>
      </w:r>
      <w:r>
        <w:t>18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_Toc14819 </w:instrText>
      </w:r>
      <w:r>
        <w:rPr>
          <w:rFonts w:hint="eastAsia" w:ascii="方正仿宋_GBK" w:hAnsi="方正仿宋_GBK" w:eastAsia="方正仿宋_GBK" w:cs="方正仿宋_GBK"/>
          <w:szCs w:val="28"/>
        </w:rPr>
        <w:fldChar w:fldCharType="separate"/>
      </w:r>
      <w:r>
        <w:rPr>
          <w:rFonts w:hint="eastAsia" w:ascii="楷体" w:hAnsi="楷体" w:eastAsia="楷体" w:cs="楷体"/>
          <w:bCs/>
        </w:rPr>
        <w:t>4.2 突发事件发生的可能性判断</w:t>
      </w:r>
      <w:r>
        <w:tab/>
      </w:r>
      <w:r>
        <w:fldChar w:fldCharType="begin"/>
      </w:r>
      <w:r>
        <w:instrText xml:space="preserve"> PAGEREF _Toc14819 \h </w:instrText>
      </w:r>
      <w:r>
        <w:fldChar w:fldCharType="separate"/>
      </w:r>
      <w:r>
        <w:t>18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_Toc4958 </w:instrText>
      </w:r>
      <w:r>
        <w:rPr>
          <w:rFonts w:hint="eastAsia" w:ascii="方正仿宋_GBK" w:hAnsi="方正仿宋_GBK" w:eastAsia="方正仿宋_GBK" w:cs="方正仿宋_GBK"/>
          <w:szCs w:val="28"/>
        </w:rPr>
        <w:fldChar w:fldCharType="separate"/>
      </w:r>
      <w:r>
        <w:rPr>
          <w:rFonts w:hint="eastAsia" w:ascii="楷体" w:hAnsi="楷体" w:eastAsia="楷体" w:cs="楷体"/>
          <w:bCs/>
        </w:rPr>
        <w:t>4.3 突发事件的危害后果判断</w:t>
      </w:r>
      <w:r>
        <w:tab/>
      </w:r>
      <w:r>
        <w:fldChar w:fldCharType="begin"/>
      </w:r>
      <w:r>
        <w:instrText xml:space="preserve"> PAGEREF _Toc4958 \h </w:instrText>
      </w:r>
      <w:r>
        <w:fldChar w:fldCharType="separate"/>
      </w:r>
      <w:r>
        <w:t>19</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_Toc21415 </w:instrText>
      </w:r>
      <w:r>
        <w:rPr>
          <w:rFonts w:hint="eastAsia" w:ascii="方正仿宋_GBK" w:hAnsi="方正仿宋_GBK" w:eastAsia="方正仿宋_GBK" w:cs="方正仿宋_GBK"/>
          <w:szCs w:val="28"/>
        </w:rPr>
        <w:fldChar w:fldCharType="separate"/>
      </w:r>
      <w:r>
        <w:rPr>
          <w:rFonts w:hint="eastAsia" w:ascii="楷体" w:hAnsi="楷体" w:eastAsia="楷体" w:cs="楷体"/>
          <w:bCs/>
        </w:rPr>
        <w:t>4.4 风险等级评估结果</w:t>
      </w:r>
      <w:r>
        <w:tab/>
      </w:r>
      <w:r>
        <w:fldChar w:fldCharType="begin"/>
      </w:r>
      <w:r>
        <w:instrText xml:space="preserve"> PAGEREF _Toc21415 \h </w:instrText>
      </w:r>
      <w:r>
        <w:fldChar w:fldCharType="separate"/>
      </w:r>
      <w:r>
        <w:t>21</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_Toc19539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5</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风险控制</w:t>
      </w:r>
      <w:r>
        <w:tab/>
      </w:r>
      <w:r>
        <w:fldChar w:fldCharType="begin"/>
      </w:r>
      <w:r>
        <w:instrText xml:space="preserve"> PAGEREF _Toc19539 \h </w:instrText>
      </w:r>
      <w:r>
        <w:fldChar w:fldCharType="separate"/>
      </w:r>
      <w:r>
        <w:t>22</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_Toc26681 </w:instrText>
      </w:r>
      <w:r>
        <w:rPr>
          <w:rFonts w:hint="eastAsia" w:ascii="方正仿宋_GBK" w:hAnsi="方正仿宋_GBK" w:eastAsia="方正仿宋_GBK" w:cs="方正仿宋_GBK"/>
          <w:szCs w:val="28"/>
        </w:rPr>
        <w:fldChar w:fldCharType="separate"/>
      </w:r>
      <w:r>
        <w:rPr>
          <w:rFonts w:hint="eastAsia" w:ascii="楷体" w:hAnsi="楷体" w:eastAsia="楷体" w:cs="楷体"/>
        </w:rPr>
        <w:t>5.1</w:t>
      </w:r>
      <w:r>
        <w:rPr>
          <w:rFonts w:hint="eastAsia" w:ascii="楷体" w:hAnsi="楷体" w:eastAsia="楷体" w:cs="楷体"/>
          <w:lang w:val="en-US" w:eastAsia="zh-CN"/>
        </w:rPr>
        <w:t xml:space="preserve">  </w:t>
      </w:r>
      <w:r>
        <w:rPr>
          <w:rFonts w:hint="eastAsia" w:ascii="楷体" w:hAnsi="楷体" w:eastAsia="楷体" w:cs="楷体"/>
        </w:rPr>
        <w:t>风险控制内容</w:t>
      </w:r>
      <w:r>
        <w:tab/>
      </w:r>
      <w:r>
        <w:fldChar w:fldCharType="begin"/>
      </w:r>
      <w:r>
        <w:instrText xml:space="preserve"> PAGEREF _Toc26681 \h </w:instrText>
      </w:r>
      <w:r>
        <w:fldChar w:fldCharType="separate"/>
      </w:r>
      <w:r>
        <w:t>22</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_Toc17350 </w:instrText>
      </w:r>
      <w:r>
        <w:rPr>
          <w:rFonts w:hint="eastAsia" w:ascii="方正仿宋_GBK" w:hAnsi="方正仿宋_GBK" w:eastAsia="方正仿宋_GBK" w:cs="方正仿宋_GBK"/>
          <w:szCs w:val="28"/>
        </w:rPr>
        <w:fldChar w:fldCharType="separate"/>
      </w:r>
      <w:r>
        <w:rPr>
          <w:rFonts w:hint="eastAsia" w:ascii="楷体" w:hAnsi="楷体" w:eastAsia="楷体" w:cs="楷体"/>
        </w:rPr>
        <w:t>5.2</w:t>
      </w:r>
      <w:r>
        <w:rPr>
          <w:rFonts w:hint="eastAsia" w:ascii="楷体" w:hAnsi="楷体" w:eastAsia="楷体" w:cs="楷体"/>
          <w:lang w:val="en-US" w:eastAsia="zh-CN"/>
        </w:rPr>
        <w:t xml:space="preserve">  </w:t>
      </w:r>
      <w:r>
        <w:rPr>
          <w:rFonts w:hint="eastAsia" w:ascii="楷体" w:hAnsi="楷体" w:eastAsia="楷体" w:cs="楷体"/>
        </w:rPr>
        <w:t>工作职责</w:t>
      </w:r>
      <w:r>
        <w:tab/>
      </w:r>
      <w:r>
        <w:fldChar w:fldCharType="begin"/>
      </w:r>
      <w:r>
        <w:instrText xml:space="preserve"> PAGEREF _Toc17350 \h </w:instrText>
      </w:r>
      <w:r>
        <w:fldChar w:fldCharType="separate"/>
      </w:r>
      <w:r>
        <w:t>23</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_Toc31120 </w:instrText>
      </w:r>
      <w:r>
        <w:rPr>
          <w:rFonts w:hint="eastAsia" w:ascii="方正仿宋_GBK" w:hAnsi="方正仿宋_GBK" w:eastAsia="方正仿宋_GBK" w:cs="方正仿宋_GBK"/>
          <w:szCs w:val="28"/>
        </w:rPr>
        <w:fldChar w:fldCharType="separate"/>
      </w:r>
      <w:r>
        <w:rPr>
          <w:rFonts w:hint="eastAsia" w:ascii="楷体" w:hAnsi="楷体" w:eastAsia="楷体" w:cs="楷体"/>
        </w:rPr>
        <w:t>5.3</w:t>
      </w:r>
      <w:r>
        <w:rPr>
          <w:rFonts w:hint="eastAsia" w:ascii="楷体" w:hAnsi="楷体" w:eastAsia="楷体" w:cs="楷体"/>
          <w:lang w:val="en-US" w:eastAsia="zh-CN"/>
        </w:rPr>
        <w:t xml:space="preserve">  </w:t>
      </w:r>
      <w:r>
        <w:rPr>
          <w:rFonts w:hint="eastAsia" w:ascii="楷体" w:hAnsi="楷体" w:eastAsia="楷体" w:cs="楷体"/>
        </w:rPr>
        <w:t>风险控制措施</w:t>
      </w:r>
      <w:r>
        <w:tab/>
      </w:r>
      <w:r>
        <w:fldChar w:fldCharType="begin"/>
      </w:r>
      <w:r>
        <w:instrText xml:space="preserve"> PAGEREF _Toc31120 \h </w:instrText>
      </w:r>
      <w:r>
        <w:fldChar w:fldCharType="separate"/>
      </w:r>
      <w:r>
        <w:t>23</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_Toc15440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6</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成果运用</w:t>
      </w:r>
      <w:r>
        <w:tab/>
      </w:r>
      <w:r>
        <w:fldChar w:fldCharType="begin"/>
      </w:r>
      <w:r>
        <w:instrText xml:space="preserve"> PAGEREF _Toc15440 \h </w:instrText>
      </w:r>
      <w:r>
        <w:fldChar w:fldCharType="separate"/>
      </w:r>
      <w:r>
        <w:t>27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_Toc20327 </w:instrText>
      </w:r>
      <w:r>
        <w:rPr>
          <w:rFonts w:hint="eastAsia" w:ascii="方正仿宋_GBK" w:hAnsi="方正仿宋_GBK" w:eastAsia="方正仿宋_GBK" w:cs="方正仿宋_GBK"/>
          <w:szCs w:val="28"/>
        </w:rPr>
        <w:fldChar w:fldCharType="separate"/>
      </w:r>
      <w:r>
        <w:rPr>
          <w:rFonts w:hint="eastAsia" w:ascii="楷体" w:hAnsi="楷体" w:eastAsia="楷体" w:cs="楷体"/>
        </w:rPr>
        <w:t>6.1</w:t>
      </w:r>
      <w:r>
        <w:rPr>
          <w:rFonts w:hint="eastAsia" w:ascii="楷体" w:hAnsi="楷体" w:eastAsia="楷体" w:cs="楷体"/>
          <w:lang w:val="en-US" w:eastAsia="zh-CN"/>
        </w:rPr>
        <w:t xml:space="preserve">  </w:t>
      </w:r>
      <w:r>
        <w:rPr>
          <w:rFonts w:hint="eastAsia" w:ascii="楷体" w:hAnsi="楷体" w:eastAsia="楷体" w:cs="楷体"/>
        </w:rPr>
        <w:t>信息报送</w:t>
      </w:r>
      <w:r>
        <w:tab/>
      </w:r>
      <w:r>
        <w:fldChar w:fldCharType="begin"/>
      </w:r>
      <w:r>
        <w:instrText xml:space="preserve"> PAGEREF _Toc20327 \h </w:instrText>
      </w:r>
      <w:r>
        <w:fldChar w:fldCharType="separate"/>
      </w:r>
      <w:r>
        <w:t>27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_Toc11537 </w:instrText>
      </w:r>
      <w:r>
        <w:rPr>
          <w:rFonts w:hint="eastAsia" w:ascii="方正仿宋_GBK" w:hAnsi="方正仿宋_GBK" w:eastAsia="方正仿宋_GBK" w:cs="方正仿宋_GBK"/>
          <w:szCs w:val="28"/>
        </w:rPr>
        <w:fldChar w:fldCharType="separate"/>
      </w:r>
      <w:r>
        <w:rPr>
          <w:rFonts w:hint="eastAsia" w:ascii="楷体" w:hAnsi="楷体" w:eastAsia="楷体" w:cs="楷体"/>
        </w:rPr>
        <w:t>6.2</w:t>
      </w:r>
      <w:r>
        <w:rPr>
          <w:rFonts w:hint="eastAsia" w:ascii="楷体" w:hAnsi="楷体" w:eastAsia="楷体" w:cs="楷体"/>
          <w:lang w:val="en-US" w:eastAsia="zh-CN"/>
        </w:rPr>
        <w:t xml:space="preserve">  </w:t>
      </w:r>
      <w:r>
        <w:rPr>
          <w:rFonts w:hint="eastAsia" w:ascii="楷体" w:hAnsi="楷体" w:eastAsia="楷体" w:cs="楷体"/>
        </w:rPr>
        <w:t>信息公开</w:t>
      </w:r>
      <w:r>
        <w:tab/>
      </w:r>
      <w:r>
        <w:fldChar w:fldCharType="begin"/>
      </w:r>
      <w:r>
        <w:instrText xml:space="preserve"> PAGEREF _Toc11537 \h </w:instrText>
      </w:r>
      <w:r>
        <w:fldChar w:fldCharType="separate"/>
      </w:r>
      <w:r>
        <w:t>27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_Toc5235 </w:instrText>
      </w:r>
      <w:r>
        <w:rPr>
          <w:rFonts w:hint="eastAsia" w:ascii="方正仿宋_GBK" w:hAnsi="方正仿宋_GBK" w:eastAsia="方正仿宋_GBK" w:cs="方正仿宋_GBK"/>
          <w:szCs w:val="28"/>
        </w:rPr>
        <w:fldChar w:fldCharType="separate"/>
      </w:r>
      <w:r>
        <w:rPr>
          <w:rFonts w:hint="eastAsia" w:ascii="楷体" w:hAnsi="楷体" w:eastAsia="楷体" w:cs="楷体"/>
        </w:rPr>
        <w:t>6.3</w:t>
      </w:r>
      <w:r>
        <w:rPr>
          <w:rFonts w:hint="eastAsia" w:ascii="楷体" w:hAnsi="楷体" w:eastAsia="楷体" w:cs="楷体"/>
          <w:lang w:val="en-US" w:eastAsia="zh-CN"/>
        </w:rPr>
        <w:t xml:space="preserve">  </w:t>
      </w:r>
      <w:r>
        <w:rPr>
          <w:rFonts w:hint="eastAsia" w:ascii="楷体" w:hAnsi="楷体" w:eastAsia="楷体" w:cs="楷体"/>
        </w:rPr>
        <w:t>辅助政府科学决策</w:t>
      </w:r>
      <w:r>
        <w:tab/>
      </w:r>
      <w:r>
        <w:fldChar w:fldCharType="begin"/>
      </w:r>
      <w:r>
        <w:instrText xml:space="preserve"> PAGEREF _Toc5235 \h </w:instrText>
      </w:r>
      <w:r>
        <w:fldChar w:fldCharType="separate"/>
      </w:r>
      <w:r>
        <w:t>27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_Toc19866 </w:instrText>
      </w:r>
      <w:r>
        <w:rPr>
          <w:rFonts w:hint="eastAsia" w:ascii="方正仿宋_GBK" w:hAnsi="方正仿宋_GBK" w:eastAsia="方正仿宋_GBK" w:cs="方正仿宋_GBK"/>
          <w:szCs w:val="28"/>
        </w:rPr>
        <w:fldChar w:fldCharType="separate"/>
      </w:r>
      <w:r>
        <w:rPr>
          <w:rFonts w:hint="eastAsia" w:ascii="楷体" w:hAnsi="楷体" w:eastAsia="楷体" w:cs="楷体"/>
        </w:rPr>
        <w:t>6.4</w:t>
      </w:r>
      <w:r>
        <w:rPr>
          <w:rFonts w:hint="eastAsia" w:ascii="楷体" w:hAnsi="楷体" w:eastAsia="楷体" w:cs="楷体"/>
          <w:lang w:val="en-US" w:eastAsia="zh-CN"/>
        </w:rPr>
        <w:t xml:space="preserve">  </w:t>
      </w:r>
      <w:r>
        <w:rPr>
          <w:rFonts w:hint="eastAsia" w:ascii="楷体" w:hAnsi="楷体" w:eastAsia="楷体" w:cs="楷体"/>
        </w:rPr>
        <w:t>加强监测预防预警</w:t>
      </w:r>
      <w:r>
        <w:tab/>
      </w:r>
      <w:r>
        <w:fldChar w:fldCharType="begin"/>
      </w:r>
      <w:r>
        <w:instrText xml:space="preserve"> PAGEREF _Toc19866 \h </w:instrText>
      </w:r>
      <w:r>
        <w:fldChar w:fldCharType="separate"/>
      </w:r>
      <w:r>
        <w:t>27</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_Toc17137 </w:instrText>
      </w:r>
      <w:r>
        <w:rPr>
          <w:rFonts w:hint="eastAsia" w:ascii="方正仿宋_GBK" w:hAnsi="方正仿宋_GBK" w:eastAsia="方正仿宋_GBK" w:cs="方正仿宋_GBK"/>
          <w:szCs w:val="28"/>
        </w:rPr>
        <w:fldChar w:fldCharType="separate"/>
      </w:r>
      <w:r>
        <w:rPr>
          <w:rFonts w:hint="eastAsia" w:ascii="楷体" w:hAnsi="楷体" w:eastAsia="楷体" w:cs="楷体"/>
        </w:rPr>
        <w:t>6.5</w:t>
      </w:r>
      <w:r>
        <w:rPr>
          <w:rFonts w:hint="eastAsia" w:ascii="楷体" w:hAnsi="楷体" w:eastAsia="楷体" w:cs="楷体"/>
          <w:lang w:val="en-US" w:eastAsia="zh-CN"/>
        </w:rPr>
        <w:t xml:space="preserve">  </w:t>
      </w:r>
      <w:r>
        <w:rPr>
          <w:rFonts w:hint="eastAsia" w:ascii="楷体" w:hAnsi="楷体" w:eastAsia="楷体" w:cs="楷体"/>
        </w:rPr>
        <w:t>强化应急保障准备</w:t>
      </w:r>
      <w:r>
        <w:tab/>
      </w:r>
      <w:r>
        <w:fldChar w:fldCharType="begin"/>
      </w:r>
      <w:r>
        <w:instrText xml:space="preserve"> PAGEREF _Toc17137 \h </w:instrText>
      </w:r>
      <w:r>
        <w:fldChar w:fldCharType="separate"/>
      </w:r>
      <w:r>
        <w:t>28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_Toc29814 </w:instrText>
      </w:r>
      <w:r>
        <w:rPr>
          <w:rFonts w:hint="eastAsia" w:ascii="方正仿宋_GBK" w:hAnsi="方正仿宋_GBK" w:eastAsia="方正仿宋_GBK" w:cs="方正仿宋_GBK"/>
          <w:szCs w:val="28"/>
        </w:rPr>
        <w:fldChar w:fldCharType="separate"/>
      </w:r>
      <w:r>
        <w:rPr>
          <w:rFonts w:hint="eastAsia" w:ascii="楷体" w:hAnsi="楷体" w:eastAsia="楷体" w:cs="楷体"/>
        </w:rPr>
        <w:t>6.6</w:t>
      </w:r>
      <w:r>
        <w:rPr>
          <w:rFonts w:hint="eastAsia" w:ascii="楷体" w:hAnsi="楷体" w:eastAsia="楷体" w:cs="楷体"/>
          <w:lang w:val="en-US" w:eastAsia="zh-CN"/>
        </w:rPr>
        <w:t xml:space="preserve">  </w:t>
      </w:r>
      <w:r>
        <w:rPr>
          <w:rFonts w:hint="eastAsia" w:ascii="楷体" w:hAnsi="楷体" w:eastAsia="楷体" w:cs="楷体"/>
        </w:rPr>
        <w:t>优化应急预案演练</w:t>
      </w:r>
      <w:r>
        <w:tab/>
      </w:r>
      <w:r>
        <w:fldChar w:fldCharType="begin"/>
      </w:r>
      <w:r>
        <w:instrText xml:space="preserve"> PAGEREF _Toc29814 \h </w:instrText>
      </w:r>
      <w:r>
        <w:fldChar w:fldCharType="separate"/>
      </w:r>
      <w:r>
        <w:t>28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_Toc3958 </w:instrText>
      </w:r>
      <w:r>
        <w:rPr>
          <w:rFonts w:hint="eastAsia" w:ascii="方正仿宋_GBK" w:hAnsi="方正仿宋_GBK" w:eastAsia="方正仿宋_GBK" w:cs="方正仿宋_GBK"/>
          <w:szCs w:val="28"/>
        </w:rPr>
        <w:fldChar w:fldCharType="separate"/>
      </w:r>
      <w:r>
        <w:rPr>
          <w:rFonts w:hint="eastAsia" w:ascii="楷体" w:hAnsi="楷体" w:eastAsia="楷体" w:cs="楷体"/>
        </w:rPr>
        <w:t>6.7</w:t>
      </w:r>
      <w:r>
        <w:rPr>
          <w:rFonts w:hint="eastAsia" w:ascii="楷体" w:hAnsi="楷体" w:eastAsia="楷体" w:cs="楷体"/>
          <w:lang w:val="en-US" w:eastAsia="zh-CN"/>
        </w:rPr>
        <w:t xml:space="preserve">  </w:t>
      </w:r>
      <w:r>
        <w:rPr>
          <w:rFonts w:hint="eastAsia" w:ascii="楷体" w:hAnsi="楷体" w:eastAsia="楷体" w:cs="楷体"/>
        </w:rPr>
        <w:t>差别配备应急资源</w:t>
      </w:r>
      <w:r>
        <w:tab/>
      </w:r>
      <w:r>
        <w:fldChar w:fldCharType="begin"/>
      </w:r>
      <w:r>
        <w:instrText xml:space="preserve"> PAGEREF _Toc3958 \h </w:instrText>
      </w:r>
      <w:r>
        <w:fldChar w:fldCharType="separate"/>
      </w:r>
      <w:r>
        <w:t>28</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_Toc17213 </w:instrText>
      </w:r>
      <w:r>
        <w:rPr>
          <w:rFonts w:hint="eastAsia" w:ascii="方正仿宋_GBK" w:hAnsi="方正仿宋_GBK" w:eastAsia="方正仿宋_GBK" w:cs="方正仿宋_GBK"/>
          <w:szCs w:val="28"/>
        </w:rPr>
        <w:fldChar w:fldCharType="separate"/>
      </w:r>
      <w:r>
        <w:rPr>
          <w:rFonts w:hint="eastAsia" w:ascii="楷体" w:hAnsi="楷体" w:eastAsia="楷体" w:cs="楷体"/>
        </w:rPr>
        <w:t>6.8</w:t>
      </w:r>
      <w:r>
        <w:rPr>
          <w:rFonts w:hint="eastAsia" w:ascii="楷体" w:hAnsi="楷体" w:eastAsia="楷体" w:cs="楷体"/>
          <w:lang w:val="en-US" w:eastAsia="zh-CN"/>
        </w:rPr>
        <w:t xml:space="preserve">  </w:t>
      </w:r>
      <w:r>
        <w:rPr>
          <w:rFonts w:hint="eastAsia" w:ascii="楷体" w:hAnsi="楷体" w:eastAsia="楷体" w:cs="楷体"/>
        </w:rPr>
        <w:t>提升防灾减灾意识</w:t>
      </w:r>
      <w:r>
        <w:tab/>
      </w:r>
      <w:r>
        <w:fldChar w:fldCharType="begin"/>
      </w:r>
      <w:r>
        <w:instrText xml:space="preserve"> PAGEREF _Toc17213 \h </w:instrText>
      </w:r>
      <w:r>
        <w:fldChar w:fldCharType="separate"/>
      </w:r>
      <w:r>
        <w:t>28</w:t>
      </w:r>
      <w:r>
        <w:fldChar w:fldCharType="end"/>
      </w:r>
      <w:r>
        <w:rPr>
          <w:rFonts w:hint="eastAsia" w:ascii="方正仿宋_GBK" w:hAnsi="方正仿宋_GBK" w:eastAsia="方正仿宋_GBK" w:cs="方正仿宋_GBK"/>
          <w:color w:val="000000"/>
          <w:szCs w:val="28"/>
        </w:rPr>
        <w:fldChar w:fldCharType="end"/>
      </w:r>
    </w:p>
    <w:p>
      <w:pPr>
        <w:pStyle w:val="20"/>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_Toc8005 </w:instrText>
      </w:r>
      <w:r>
        <w:rPr>
          <w:rFonts w:hint="eastAsia" w:ascii="方正仿宋_GBK" w:hAnsi="方正仿宋_GBK" w:eastAsia="方正仿宋_GBK" w:cs="方正仿宋_GBK"/>
          <w:szCs w:val="28"/>
        </w:rPr>
        <w:fldChar w:fldCharType="separate"/>
      </w:r>
      <w:r>
        <w:rPr>
          <w:rFonts w:hint="eastAsia" w:ascii="黑体" w:hAnsi="黑体" w:eastAsia="黑体" w:cs="黑体"/>
          <w:b/>
          <w:bCs/>
          <w:kern w:val="2"/>
          <w:szCs w:val="32"/>
          <w:lang w:eastAsia="zh-CN"/>
        </w:rPr>
        <w:t>7</w:t>
      </w:r>
      <w:r>
        <w:rPr>
          <w:rFonts w:hint="eastAsia" w:ascii="黑体" w:hAnsi="黑体" w:eastAsia="黑体" w:cs="黑体"/>
          <w:b/>
          <w:bCs/>
          <w:kern w:val="2"/>
          <w:szCs w:val="32"/>
          <w:lang w:val="en-US" w:eastAsia="zh-CN"/>
        </w:rPr>
        <w:t xml:space="preserve">  </w:t>
      </w:r>
      <w:r>
        <w:rPr>
          <w:rFonts w:hint="eastAsia" w:ascii="黑体" w:hAnsi="黑体" w:eastAsia="黑体" w:cs="黑体"/>
          <w:b/>
          <w:bCs/>
          <w:kern w:val="2"/>
          <w:szCs w:val="32"/>
          <w:lang w:eastAsia="zh-CN"/>
        </w:rPr>
        <w:t>附则</w:t>
      </w:r>
      <w:r>
        <w:tab/>
      </w:r>
      <w:r>
        <w:fldChar w:fldCharType="begin"/>
      </w:r>
      <w:r>
        <w:instrText xml:space="preserve"> PAGEREF _Toc8005 \h </w:instrText>
      </w:r>
      <w:r>
        <w:fldChar w:fldCharType="separate"/>
      </w:r>
      <w:r>
        <w:t>29</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_Toc21506 </w:instrText>
      </w:r>
      <w:r>
        <w:rPr>
          <w:rFonts w:hint="eastAsia" w:ascii="方正仿宋_GBK" w:hAnsi="方正仿宋_GBK" w:eastAsia="方正仿宋_GBK" w:cs="方正仿宋_GBK"/>
          <w:szCs w:val="28"/>
        </w:rPr>
        <w:fldChar w:fldCharType="separate"/>
      </w:r>
      <w:r>
        <w:rPr>
          <w:rFonts w:hint="eastAsia" w:ascii="楷体" w:hAnsi="楷体" w:eastAsia="楷体" w:cs="楷体"/>
        </w:rPr>
        <w:t>7.1</w:t>
      </w:r>
      <w:r>
        <w:rPr>
          <w:rFonts w:hint="eastAsia" w:ascii="楷体" w:hAnsi="楷体" w:eastAsia="楷体" w:cs="楷体"/>
          <w:lang w:val="en-US" w:eastAsia="zh-CN"/>
        </w:rPr>
        <w:t xml:space="preserve">  </w:t>
      </w:r>
      <w:r>
        <w:rPr>
          <w:rFonts w:hint="eastAsia" w:ascii="楷体" w:hAnsi="楷体" w:eastAsia="楷体" w:cs="楷体"/>
        </w:rPr>
        <w:t>相关概念解释</w:t>
      </w:r>
      <w:r>
        <w:tab/>
      </w:r>
      <w:r>
        <w:fldChar w:fldCharType="begin"/>
      </w:r>
      <w:r>
        <w:instrText xml:space="preserve"> PAGEREF _Toc21506 \h </w:instrText>
      </w:r>
      <w:r>
        <w:fldChar w:fldCharType="separate"/>
      </w:r>
      <w:r>
        <w:t>29</w:t>
      </w:r>
      <w:r>
        <w:fldChar w:fldCharType="end"/>
      </w:r>
      <w:r>
        <w:rPr>
          <w:rFonts w:hint="eastAsia" w:ascii="方正仿宋_GBK" w:hAnsi="方正仿宋_GBK" w:eastAsia="方正仿宋_GBK" w:cs="方正仿宋_GBK"/>
          <w:color w:val="000000"/>
          <w:szCs w:val="28"/>
        </w:rPr>
        <w:fldChar w:fldCharType="end"/>
      </w:r>
    </w:p>
    <w:p>
      <w:pPr>
        <w:pStyle w:val="24"/>
        <w:keepNext w:val="0"/>
        <w:keepLines w:val="0"/>
        <w:pageBreakBefore w:val="0"/>
        <w:widowControl w:val="0"/>
        <w:tabs>
          <w:tab w:val="right" w:leader="dot" w:pos="8901"/>
        </w:tabs>
        <w:kinsoku/>
        <w:wordWrap/>
        <w:overflowPunct/>
        <w:topLinePunct w:val="0"/>
        <w:autoSpaceDE/>
        <w:autoSpaceDN/>
        <w:bidi w:val="0"/>
        <w:adjustRightInd/>
        <w:spacing w:line="360" w:lineRule="auto"/>
        <w:ind w:firstLine="0" w:firstLineChars="0"/>
        <w:textAlignment w:val="auto"/>
      </w:pPr>
      <w:r>
        <w:rPr>
          <w:rFonts w:hint="eastAsia" w:ascii="方正仿宋_GBK" w:hAnsi="方正仿宋_GBK" w:eastAsia="方正仿宋_GBK" w:cs="方正仿宋_GBK"/>
          <w:color w:val="000000"/>
          <w:szCs w:val="28"/>
        </w:rPr>
        <w:fldChar w:fldCharType="begin"/>
      </w:r>
      <w:r>
        <w:rPr>
          <w:rFonts w:hint="eastAsia" w:ascii="方正仿宋_GBK" w:hAnsi="方正仿宋_GBK" w:eastAsia="方正仿宋_GBK" w:cs="方正仿宋_GBK"/>
          <w:szCs w:val="28"/>
        </w:rPr>
        <w:instrText xml:space="preserve"> HYPERLINK \l _Toc3712 </w:instrText>
      </w:r>
      <w:r>
        <w:rPr>
          <w:rFonts w:hint="eastAsia" w:ascii="方正仿宋_GBK" w:hAnsi="方正仿宋_GBK" w:eastAsia="方正仿宋_GBK" w:cs="方正仿宋_GBK"/>
          <w:szCs w:val="28"/>
        </w:rPr>
        <w:fldChar w:fldCharType="separate"/>
      </w:r>
      <w:r>
        <w:rPr>
          <w:rFonts w:hint="eastAsia" w:ascii="楷体" w:hAnsi="楷体" w:eastAsia="楷体" w:cs="楷体"/>
          <w:kern w:val="2"/>
          <w:szCs w:val="20"/>
          <w:lang w:val="en-US" w:eastAsia="zh-CN" w:bidi="ar-SA"/>
        </w:rPr>
        <w:t>7.2  附录</w:t>
      </w:r>
      <w:r>
        <w:tab/>
      </w:r>
      <w:r>
        <w:fldChar w:fldCharType="begin"/>
      </w:r>
      <w:r>
        <w:instrText xml:space="preserve"> PAGEREF _Toc3712 \h </w:instrText>
      </w:r>
      <w:r>
        <w:fldChar w:fldCharType="separate"/>
      </w:r>
      <w:r>
        <w:t>32</w:t>
      </w:r>
      <w:r>
        <w:fldChar w:fldCharType="end"/>
      </w:r>
      <w:r>
        <w:rPr>
          <w:rFonts w:hint="eastAsia" w:ascii="方正仿宋_GBK" w:hAnsi="方正仿宋_GBK" w:eastAsia="方正仿宋_GBK" w:cs="方正仿宋_GBK"/>
          <w:color w:val="000000"/>
          <w:szCs w:val="28"/>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Cs w:val="28"/>
        </w:rPr>
        <w:fldChar w:fldCharType="end"/>
      </w:r>
    </w:p>
    <w:p>
      <w:pPr>
        <w:pStyle w:val="38"/>
        <w:rPr>
          <w:rFonts w:hint="eastAsia" w:ascii="方正仿宋_GBK" w:hAnsi="方正仿宋_GBK" w:eastAsia="方正仿宋_GBK" w:cs="方正仿宋_GBK"/>
          <w:color w:val="000000"/>
          <w:sz w:val="28"/>
          <w:szCs w:val="28"/>
        </w:rPr>
        <w:sectPr>
          <w:footerReference r:id="rId5" w:type="default"/>
          <w:type w:val="continuous"/>
          <w:pgSz w:w="11906" w:h="16838"/>
          <w:pgMar w:top="1417" w:right="1418" w:bottom="1417" w:left="1587" w:header="851" w:footer="1191" w:gutter="0"/>
          <w:pgBorders>
            <w:top w:val="none" w:sz="0" w:space="0"/>
            <w:left w:val="none" w:sz="0" w:space="0"/>
            <w:bottom w:val="none" w:sz="0" w:space="0"/>
            <w:right w:val="none" w:sz="0" w:space="0"/>
          </w:pgBorders>
          <w:pgNumType w:fmt="decimal" w:start="1"/>
          <w:cols w:space="0" w:num="1"/>
          <w:rtlGutter w:val="0"/>
          <w:docGrid w:linePitch="286" w:charSpace="0"/>
        </w:sectPr>
      </w:pPr>
    </w:p>
    <w:p>
      <w:pPr>
        <w:pStyle w:val="38"/>
        <w:rPr>
          <w:rFonts w:hint="eastAsia" w:ascii="方正仿宋_GBK" w:hAnsi="方正仿宋_GBK" w:eastAsia="方正仿宋_GBK" w:cs="方正仿宋_GBK"/>
          <w:color w:val="000000"/>
          <w:sz w:val="28"/>
          <w:szCs w:val="28"/>
        </w:rPr>
      </w:pPr>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Fonts w:hint="eastAsia" w:ascii="黑体" w:hAnsi="黑体" w:eastAsia="黑体" w:cs="黑体"/>
          <w:b/>
          <w:bCs w:val="0"/>
          <w:color w:val="000000"/>
          <w:kern w:val="2"/>
          <w:sz w:val="32"/>
          <w:szCs w:val="32"/>
          <w:u w:val="none"/>
          <w:lang w:eastAsia="zh-CN"/>
        </w:rPr>
        <w:sectPr>
          <w:footerReference r:id="rId6" w:type="default"/>
          <w:footerReference r:id="rId7" w:type="even"/>
          <w:type w:val="continuous"/>
          <w:pgSz w:w="11906" w:h="16838"/>
          <w:pgMar w:top="1417" w:right="1418" w:bottom="1417" w:left="1587" w:header="851" w:footer="1191" w:gutter="0"/>
          <w:pgBorders>
            <w:top w:val="none" w:sz="0" w:space="0"/>
            <w:left w:val="none" w:sz="0" w:space="0"/>
            <w:bottom w:val="none" w:sz="0" w:space="0"/>
            <w:right w:val="none" w:sz="0" w:space="0"/>
          </w:pgBorders>
          <w:pgNumType w:fmt="decimal"/>
          <w:cols w:space="0" w:num="1"/>
          <w:rtlGutter w:val="0"/>
          <w:docGrid w:linePitch="286" w:charSpace="0"/>
        </w:sectPr>
      </w:pPr>
      <w:bookmarkStart w:id="5" w:name="_Toc496103114"/>
      <w:bookmarkStart w:id="6" w:name="_Toc10058"/>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Fonts w:hint="eastAsia" w:ascii="黑体" w:hAnsi="黑体" w:eastAsia="黑体" w:cs="黑体"/>
          <w:b/>
          <w:bCs w:val="0"/>
          <w:color w:val="000000"/>
          <w:kern w:val="2"/>
          <w:sz w:val="32"/>
          <w:szCs w:val="32"/>
          <w:u w:val="none"/>
          <w:lang w:eastAsia="zh-CN"/>
        </w:rPr>
      </w:pPr>
      <w:bookmarkStart w:id="7" w:name="_Toc15862"/>
      <w:bookmarkStart w:id="8" w:name="_Toc18222"/>
      <w:r>
        <w:rPr>
          <w:rFonts w:hint="eastAsia" w:ascii="黑体" w:hAnsi="黑体" w:eastAsia="黑体" w:cs="黑体"/>
          <w:b/>
          <w:bCs w:val="0"/>
          <w:color w:val="000000"/>
          <w:kern w:val="2"/>
          <w:sz w:val="32"/>
          <w:szCs w:val="32"/>
          <w:u w:val="none"/>
          <w:lang w:eastAsia="zh-CN"/>
        </w:rPr>
        <w:t>1</w:t>
      </w:r>
      <w:bookmarkEnd w:id="5"/>
      <w:r>
        <w:rPr>
          <w:rFonts w:hint="eastAsia" w:ascii="黑体" w:hAnsi="黑体" w:eastAsia="黑体" w:cs="黑体"/>
          <w:b/>
          <w:bCs w:val="0"/>
          <w:color w:val="000000"/>
          <w:kern w:val="2"/>
          <w:sz w:val="32"/>
          <w:szCs w:val="32"/>
          <w:u w:val="none"/>
          <w:lang w:val="en-US" w:eastAsia="zh-CN"/>
        </w:rPr>
        <w:t xml:space="preserve">  </w:t>
      </w:r>
      <w:r>
        <w:rPr>
          <w:rFonts w:hint="eastAsia" w:ascii="黑体" w:hAnsi="黑体" w:eastAsia="黑体" w:cs="黑体"/>
          <w:b/>
          <w:bCs w:val="0"/>
          <w:color w:val="000000"/>
          <w:kern w:val="2"/>
          <w:sz w:val="32"/>
          <w:szCs w:val="32"/>
          <w:u w:val="none"/>
          <w:lang w:eastAsia="zh-CN"/>
        </w:rPr>
        <w:t>前言</w:t>
      </w:r>
      <w:bookmarkEnd w:id="6"/>
      <w:bookmarkEnd w:id="7"/>
      <w:bookmarkEnd w:id="8"/>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9" w:name="_Toc1213"/>
      <w:bookmarkStart w:id="10" w:name="_Toc9863"/>
      <w:bookmarkStart w:id="11" w:name="_Toc22132"/>
      <w:bookmarkStart w:id="12" w:name="_Toc31886"/>
      <w:bookmarkStart w:id="13" w:name="_Toc30811"/>
      <w:bookmarkStart w:id="14" w:name="_Toc10945"/>
      <w:bookmarkStart w:id="15" w:name="_Toc496103115"/>
      <w:bookmarkStart w:id="16" w:name="_Toc8477"/>
      <w:bookmarkStart w:id="17" w:name="_Toc21456"/>
      <w:bookmarkStart w:id="18" w:name="_Toc12100"/>
      <w:r>
        <w:rPr>
          <w:rFonts w:hint="eastAsia" w:ascii="楷体" w:hAnsi="楷体" w:eastAsia="楷体" w:cs="楷体"/>
          <w:color w:val="000000"/>
        </w:rPr>
        <w:t>1.1</w:t>
      </w:r>
      <w:bookmarkEnd w:id="9"/>
      <w:bookmarkEnd w:id="10"/>
      <w:bookmarkEnd w:id="11"/>
      <w:bookmarkEnd w:id="12"/>
      <w:bookmarkEnd w:id="13"/>
      <w:bookmarkEnd w:id="14"/>
      <w:bookmarkEnd w:id="15"/>
      <w:r>
        <w:rPr>
          <w:rFonts w:hint="eastAsia" w:ascii="楷体" w:hAnsi="楷体" w:eastAsia="楷体" w:cs="楷体"/>
          <w:color w:val="000000"/>
          <w:lang w:val="en-US" w:eastAsia="zh-CN"/>
        </w:rPr>
        <w:t xml:space="preserve">  </w:t>
      </w:r>
      <w:r>
        <w:rPr>
          <w:rFonts w:hint="eastAsia" w:ascii="楷体" w:hAnsi="楷体" w:eastAsia="楷体" w:cs="楷体"/>
          <w:color w:val="000000"/>
        </w:rPr>
        <w:t>指导思想</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600" w:lineRule="exact"/>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为深入贯彻习近平总书记关于安全生产系列重要指示批示精神，坚持人民至上、生命至上，树牢安全发展理念</w:t>
      </w: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落实《重庆市人民政府关于加强突发事件风险管理工作的意见》（渝府发〔20</w:t>
      </w:r>
      <w:r>
        <w:rPr>
          <w:rFonts w:hint="eastAsia" w:ascii="方正仿宋_GBK" w:hAnsi="方正仿宋_GBK" w:cs="方正仿宋_GBK"/>
          <w:color w:val="000000"/>
          <w:szCs w:val="32"/>
          <w:lang w:val="en-US" w:eastAsia="zh-CN"/>
        </w:rPr>
        <w:t>15</w:t>
      </w:r>
      <w:r>
        <w:rPr>
          <w:rFonts w:hint="eastAsia" w:ascii="方正仿宋_GBK" w:hAnsi="方正仿宋_GBK" w:eastAsia="方正仿宋_GBK" w:cs="方正仿宋_GBK"/>
          <w:color w:val="000000"/>
          <w:szCs w:val="32"/>
        </w:rPr>
        <w:t>〕15号）和《重庆市安全生产委员会办公室重庆市减灾委员会办公室关于做好重庆市突发事件总体应急预案修编有关工作的通知》（渝安办〔20</w:t>
      </w:r>
      <w:r>
        <w:rPr>
          <w:rFonts w:hint="eastAsia" w:ascii="方正仿宋_GBK" w:hAnsi="方正仿宋_GBK" w:cs="方正仿宋_GBK"/>
          <w:color w:val="000000"/>
          <w:szCs w:val="32"/>
          <w:lang w:val="en-US" w:eastAsia="zh-CN"/>
        </w:rPr>
        <w:t>19</w:t>
      </w:r>
      <w:r>
        <w:rPr>
          <w:rFonts w:hint="eastAsia" w:ascii="方正仿宋_GBK" w:hAnsi="方正仿宋_GBK" w:eastAsia="方正仿宋_GBK" w:cs="方正仿宋_GBK"/>
          <w:color w:val="000000"/>
          <w:szCs w:val="32"/>
        </w:rPr>
        <w:t>〕85号）的精神，根据《中华人民共和国突发事件应对法》（国家主席令〔20</w:t>
      </w:r>
      <w:r>
        <w:rPr>
          <w:rFonts w:hint="eastAsia" w:ascii="方正仿宋_GBK" w:hAnsi="方正仿宋_GBK" w:cs="方正仿宋_GBK"/>
          <w:color w:val="000000"/>
          <w:szCs w:val="32"/>
          <w:lang w:val="en-US" w:eastAsia="zh-CN"/>
        </w:rPr>
        <w:t>07</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六十九</w:t>
      </w:r>
      <w:r>
        <w:rPr>
          <w:rFonts w:hint="eastAsia" w:ascii="方正仿宋_GBK" w:hAnsi="方正仿宋_GBK" w:eastAsia="方正仿宋_GBK" w:cs="方正仿宋_GBK"/>
          <w:color w:val="000000"/>
          <w:szCs w:val="32"/>
        </w:rPr>
        <w:t>号）、《中华人民共和国安全生产法》（国家主席令〔202</w:t>
      </w:r>
      <w:r>
        <w:rPr>
          <w:rFonts w:hint="eastAsia" w:ascii="方正仿宋_GBK" w:hAnsi="方正仿宋_GBK" w:cs="方正仿宋_GBK"/>
          <w:color w:val="000000"/>
          <w:szCs w:val="32"/>
          <w:lang w:val="en-US" w:eastAsia="zh-CN"/>
        </w:rPr>
        <w:t>1</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八十八</w:t>
      </w:r>
      <w:r>
        <w:rPr>
          <w:rFonts w:hint="eastAsia" w:ascii="方正仿宋_GBK" w:hAnsi="方正仿宋_GBK" w:eastAsia="方正仿宋_GBK" w:cs="方正仿宋_GBK"/>
          <w:color w:val="000000"/>
          <w:szCs w:val="32"/>
        </w:rPr>
        <w:t>号修订）</w:t>
      </w: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《重庆市突发事件应对条例》（重庆市人大常委会公告〔20</w:t>
      </w:r>
      <w:r>
        <w:rPr>
          <w:rFonts w:hint="eastAsia" w:ascii="方正仿宋_GBK" w:hAnsi="方正仿宋_GBK" w:cs="方正仿宋_GBK"/>
          <w:color w:val="000000"/>
          <w:szCs w:val="32"/>
          <w:lang w:val="en-US" w:eastAsia="zh-CN"/>
        </w:rPr>
        <w:t>12</w:t>
      </w:r>
      <w:r>
        <w:rPr>
          <w:rFonts w:hint="eastAsia" w:ascii="方正仿宋_GBK" w:hAnsi="方正仿宋_GBK" w:eastAsia="方正仿宋_GBK" w:cs="方正仿宋_GBK"/>
          <w:color w:val="000000"/>
          <w:szCs w:val="32"/>
        </w:rPr>
        <w:t>〕9号）</w:t>
      </w: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重庆市人民政府办公厅关于印发重庆市突发事件应急预案管理实施办法的通知</w:t>
      </w:r>
      <w:r>
        <w:rPr>
          <w:rFonts w:hint="eastAsia" w:ascii="方正仿宋_GBK" w:hAnsi="方正仿宋_GBK" w:cs="方正仿宋_GBK"/>
          <w:color w:val="000000"/>
          <w:szCs w:val="32"/>
          <w:lang w:eastAsia="zh-CN"/>
        </w:rPr>
        <w:t>》（渝府办发〔2022〕37号）</w:t>
      </w:r>
      <w:r>
        <w:rPr>
          <w:rFonts w:hint="eastAsia" w:ascii="方正仿宋_GBK" w:hAnsi="方正仿宋_GBK" w:eastAsia="方正仿宋_GBK" w:cs="方正仿宋_GBK"/>
          <w:color w:val="000000"/>
          <w:szCs w:val="32"/>
        </w:rPr>
        <w:t>和《重庆市突发事件风险管理操作指南（试行）》等法律法规的规定，</w:t>
      </w:r>
      <w:r>
        <w:rPr>
          <w:rFonts w:hint="default" w:ascii="Times New Roman" w:hAnsi="Times New Roman" w:eastAsia="方正仿宋_GBK" w:cs="Times New Roman"/>
          <w:color w:val="000000"/>
          <w:sz w:val="32"/>
          <w:szCs w:val="32"/>
        </w:rPr>
        <w:t>结合石坪桥街道办事处（以下简称</w:t>
      </w:r>
      <w:r>
        <w:rPr>
          <w:rFonts w:hint="eastAsia" w:ascii="Times New Roman" w:hAnsi="Times New Roman" w:cs="Times New Roman"/>
          <w:color w:val="000000"/>
          <w:sz w:val="32"/>
          <w:szCs w:val="32"/>
          <w:lang w:eastAsia="zh-CN"/>
        </w:rPr>
        <w:t>“</w:t>
      </w:r>
      <w:r>
        <w:rPr>
          <w:rFonts w:hint="default" w:ascii="Times New Roman" w:hAnsi="Times New Roman" w:eastAsia="方正仿宋_GBK" w:cs="Times New Roman"/>
          <w:color w:val="000000"/>
          <w:sz w:val="32"/>
          <w:szCs w:val="32"/>
        </w:rPr>
        <w:t>石坪桥街道</w:t>
      </w:r>
      <w:r>
        <w:rPr>
          <w:rFonts w:hint="eastAsia" w:ascii="Times New Roman" w:hAnsi="Times New Roman" w:cs="Times New Roman"/>
          <w:color w:val="000000"/>
          <w:sz w:val="32"/>
          <w:szCs w:val="32"/>
          <w:lang w:eastAsia="zh-CN"/>
        </w:rPr>
        <w:t>”</w:t>
      </w:r>
      <w:r>
        <w:rPr>
          <w:rFonts w:hint="default" w:ascii="Times New Roman" w:hAnsi="Times New Roman" w:eastAsia="方正仿宋_GBK" w:cs="Times New Roman"/>
          <w:color w:val="000000"/>
          <w:sz w:val="32"/>
          <w:szCs w:val="32"/>
        </w:rPr>
        <w:t>）的实际情况</w:t>
      </w:r>
      <w:r>
        <w:rPr>
          <w:rFonts w:hint="eastAsia" w:ascii="方正仿宋_GBK" w:hAnsi="方正仿宋_GBK" w:eastAsia="方正仿宋_GBK" w:cs="方正仿宋_GBK"/>
          <w:color w:val="000000"/>
          <w:szCs w:val="32"/>
        </w:rPr>
        <w:t>，为适应经济发展新常态，构建</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突发事件风险管理体系，保障公众生命财产安全，全面提升</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突发事件风险防控能力，着力构建源头治理、动态管理、应急处置相结合的风险管理机制，有效预防和切实减少突发事件发生，通过针对突发事件特点，识别事件的危害因素，分析事件可能产生的直接后果以及次生、衍生后果，评估各种后果的危害程度，提出控制风险、治理隐患的措施</w:t>
      </w: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形成《重庆市</w:t>
      </w:r>
      <w:r>
        <w:rPr>
          <w:rFonts w:hint="eastAsia" w:ascii="方正仿宋_GBK" w:hAnsi="方正仿宋_GBK" w:cs="方正仿宋_GBK"/>
          <w:color w:val="000000"/>
          <w:szCs w:val="32"/>
          <w:lang w:eastAsia="zh-CN"/>
        </w:rPr>
        <w:t>九龙坡区石坪桥街道办事处</w:t>
      </w:r>
      <w:r>
        <w:rPr>
          <w:rFonts w:hint="eastAsia" w:ascii="方正仿宋_GBK" w:hAnsi="方正仿宋_GBK" w:cs="方正仿宋_GBK"/>
          <w:color w:val="000000"/>
          <w:szCs w:val="32"/>
          <w:lang w:val="en-US" w:eastAsia="zh-CN"/>
        </w:rPr>
        <w:t>突发事件</w:t>
      </w:r>
      <w:r>
        <w:rPr>
          <w:rFonts w:hint="eastAsia" w:ascii="方正仿宋_GBK" w:hAnsi="方正仿宋_GBK" w:eastAsia="方正仿宋_GBK" w:cs="方正仿宋_GBK"/>
          <w:color w:val="000000"/>
          <w:szCs w:val="32"/>
        </w:rPr>
        <w:t>风险辨识评估报告》。</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9" w:name="_Toc26209"/>
      <w:bookmarkStart w:id="20" w:name="_Toc27680"/>
      <w:bookmarkStart w:id="21" w:name="_Toc877"/>
      <w:r>
        <w:rPr>
          <w:rFonts w:hint="eastAsia" w:ascii="楷体" w:hAnsi="楷体" w:eastAsia="楷体" w:cs="楷体"/>
          <w:color w:val="000000"/>
        </w:rPr>
        <w:t>1.2</w:t>
      </w:r>
      <w:r>
        <w:rPr>
          <w:rFonts w:hint="eastAsia" w:ascii="楷体" w:hAnsi="楷体" w:eastAsia="楷体" w:cs="楷体"/>
          <w:color w:val="000000"/>
          <w:lang w:val="en-US" w:eastAsia="zh-CN"/>
        </w:rPr>
        <w:t xml:space="preserve">  </w:t>
      </w:r>
      <w:r>
        <w:rPr>
          <w:rFonts w:hint="eastAsia" w:ascii="楷体" w:hAnsi="楷体" w:eastAsia="楷体" w:cs="楷体"/>
          <w:color w:val="000000"/>
        </w:rPr>
        <w:t>工作范围</w:t>
      </w:r>
      <w:bookmarkEnd w:id="19"/>
      <w:bookmarkEnd w:id="20"/>
      <w:bookmarkEnd w:id="21"/>
    </w:p>
    <w:p>
      <w:pPr>
        <w:keepNext w:val="0"/>
        <w:keepLines w:val="0"/>
        <w:pageBreakBefore w:val="0"/>
        <w:widowControl w:val="0"/>
        <w:kinsoku/>
        <w:wordWrap/>
        <w:overflowPunct/>
        <w:topLinePunct w:val="0"/>
        <w:autoSpaceDE/>
        <w:autoSpaceDN/>
        <w:bidi w:val="0"/>
        <w:adjustRightInd/>
        <w:snapToGrid w:val="0"/>
        <w:ind w:firstLine="640"/>
        <w:textAlignment w:val="auto"/>
        <w:rPr>
          <w:rFonts w:hint="eastAsia" w:ascii="方正仿宋_GBK" w:hAnsi="方正仿宋_GBK" w:eastAsia="方正仿宋_GBK" w:cs="方正仿宋_GBK"/>
          <w:color w:val="000000"/>
          <w:szCs w:val="32"/>
          <w:lang w:val="en-US" w:eastAsia="zh-CN"/>
        </w:rPr>
      </w:pPr>
      <w:r>
        <w:rPr>
          <w:rFonts w:hint="eastAsia" w:ascii="方正仿宋_GBK" w:hAnsi="方正仿宋_GBK" w:eastAsia="方正仿宋_GBK" w:cs="方正仿宋_GBK"/>
          <w:color w:val="000000"/>
          <w:szCs w:val="32"/>
          <w:lang w:val="en-US" w:eastAsia="zh-CN"/>
        </w:rPr>
        <w:t>本次风险辨识评估的范围为</w:t>
      </w:r>
      <w:r>
        <w:rPr>
          <w:rFonts w:hint="eastAsia" w:ascii="方正仿宋_GBK" w:hAnsi="方正仿宋_GBK" w:cs="方正仿宋_GBK"/>
          <w:color w:val="000000"/>
          <w:szCs w:val="32"/>
          <w:lang w:val="en-US" w:eastAsia="zh-CN"/>
        </w:rPr>
        <w:t>重庆市九龙坡区石坪桥街道（以下简称“石坪桥街道”）</w:t>
      </w:r>
      <w:r>
        <w:rPr>
          <w:rFonts w:hint="eastAsia" w:ascii="方正仿宋_GBK" w:hAnsi="方正仿宋_GBK" w:eastAsia="方正仿宋_GBK" w:cs="方正仿宋_GBK"/>
          <w:color w:val="000000"/>
          <w:szCs w:val="32"/>
          <w:lang w:val="en-US" w:eastAsia="zh-CN"/>
        </w:rPr>
        <w:t>区域内可能引发自然灾害、事故灾难</w:t>
      </w:r>
      <w:r>
        <w:rPr>
          <w:rFonts w:hint="eastAsia" w:ascii="方正仿宋_GBK" w:hAnsi="方正仿宋_GBK" w:cs="方正仿宋_GBK"/>
          <w:color w:val="000000"/>
          <w:szCs w:val="32"/>
          <w:lang w:val="en-US" w:eastAsia="zh-CN"/>
        </w:rPr>
        <w:t>等</w:t>
      </w:r>
      <w:r>
        <w:rPr>
          <w:rFonts w:hint="eastAsia" w:ascii="方正仿宋_GBK" w:hAnsi="方正仿宋_GBK" w:eastAsia="方正仿宋_GBK" w:cs="方正仿宋_GBK"/>
          <w:color w:val="000000"/>
          <w:szCs w:val="32"/>
          <w:lang w:val="en-US" w:eastAsia="zh-CN"/>
        </w:rPr>
        <w:t>突发事件的所有风险。</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22" w:name="_Toc23333"/>
      <w:bookmarkStart w:id="23" w:name="_Toc19389"/>
      <w:bookmarkStart w:id="24" w:name="_Toc1501"/>
      <w:r>
        <w:rPr>
          <w:rFonts w:hint="eastAsia" w:ascii="楷体" w:hAnsi="楷体" w:eastAsia="楷体" w:cs="楷体"/>
          <w:color w:val="000000"/>
        </w:rPr>
        <w:t>1.</w:t>
      </w:r>
      <w:bookmarkStart w:id="25" w:name="_Toc180160502"/>
      <w:r>
        <w:rPr>
          <w:rFonts w:hint="eastAsia" w:ascii="楷体" w:hAnsi="楷体" w:eastAsia="楷体" w:cs="楷体"/>
          <w:color w:val="000000"/>
        </w:rPr>
        <w:t>3</w:t>
      </w:r>
      <w:r>
        <w:rPr>
          <w:rFonts w:hint="eastAsia" w:ascii="楷体" w:hAnsi="楷体" w:eastAsia="楷体" w:cs="楷体"/>
          <w:color w:val="000000"/>
          <w:lang w:val="en-US" w:eastAsia="zh-CN"/>
        </w:rPr>
        <w:t xml:space="preserve">  </w:t>
      </w:r>
      <w:r>
        <w:rPr>
          <w:rFonts w:hint="eastAsia" w:ascii="楷体" w:hAnsi="楷体" w:eastAsia="楷体" w:cs="楷体"/>
          <w:color w:val="000000"/>
        </w:rPr>
        <w:t>编制依据</w:t>
      </w:r>
      <w:bookmarkEnd w:id="22"/>
      <w:bookmarkEnd w:id="23"/>
      <w:bookmarkEnd w:id="24"/>
    </w:p>
    <w:bookmarkEnd w:id="25"/>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bookmarkStart w:id="26" w:name="_Toc180321405"/>
      <w:bookmarkStart w:id="27" w:name="_Hlk44095882"/>
      <w:r>
        <w:rPr>
          <w:rFonts w:hint="eastAsia" w:ascii="方正仿宋_GBK" w:hAnsi="方正仿宋_GBK" w:cs="方正仿宋_GBK"/>
          <w:color w:val="000000"/>
          <w:szCs w:val="32"/>
          <w:lang w:eastAsia="zh-CN"/>
        </w:rPr>
        <w:t>（</w:t>
      </w:r>
      <w:r>
        <w:rPr>
          <w:rFonts w:hint="eastAsia" w:ascii="方正仿宋_GBK" w:hAnsi="方正仿宋_GBK" w:cs="方正仿宋_GBK"/>
          <w:color w:val="000000"/>
          <w:szCs w:val="32"/>
          <w:lang w:val="en-US" w:eastAsia="zh-CN"/>
        </w:rPr>
        <w:t>1</w:t>
      </w: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《中华人民共和国突发事件应对法》（国家主席令〔20</w:t>
      </w:r>
      <w:r>
        <w:rPr>
          <w:rFonts w:hint="eastAsia" w:ascii="方正仿宋_GBK" w:hAnsi="方正仿宋_GBK" w:cs="方正仿宋_GBK"/>
          <w:color w:val="000000"/>
          <w:szCs w:val="32"/>
          <w:lang w:val="en-US" w:eastAsia="zh-CN"/>
        </w:rPr>
        <w:t>07</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六十九</w:t>
      </w:r>
      <w:r>
        <w:rPr>
          <w:rFonts w:hint="eastAsia" w:ascii="方正仿宋_GBK" w:hAnsi="方正仿宋_GBK" w:eastAsia="方正仿宋_GBK" w:cs="方正仿宋_GBK"/>
          <w:color w:val="000000"/>
          <w:szCs w:val="32"/>
        </w:rPr>
        <w:t>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2）《中华人民共和国气象法》（第九届全国人大常委会第十二次会议通过，第十二届全国人大常委会第二十四次会议第三次修正）；</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3）《中华人民共和国防洪法》（国家主席令第八十八号公布，第十二届全国人大常委会第二十一次会议修改）；</w:t>
      </w:r>
    </w:p>
    <w:p>
      <w:pPr>
        <w:pStyle w:val="1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4）《中华人民共和国水法》</w:t>
      </w:r>
      <w:r>
        <w:rPr>
          <w:rFonts w:hint="eastAsia" w:ascii="方正仿宋_GBK" w:hAnsi="方正仿宋_GBK" w:eastAsia="方正仿宋_GBK" w:cs="方正仿宋_GBK"/>
          <w:color w:val="000000"/>
          <w:kern w:val="2"/>
          <w:sz w:val="32"/>
          <w:szCs w:val="32"/>
          <w:lang w:val="en-US" w:eastAsia="zh-CN" w:bidi="ar-SA"/>
        </w:rPr>
        <w:t>（国家主席令〔2002〕第七十四号修订，2016年7月2日第十二届全国人民代表大会常务委员会第二十一次会议《关于修改〈中华人民共和国节约能源法〉等六部法律的决定》第二次修正）</w:t>
      </w:r>
      <w:r>
        <w:rPr>
          <w:rFonts w:hint="eastAsia" w:ascii="方正仿宋_GBK" w:hAnsi="方正仿宋_GBK" w:eastAsia="方正仿宋_GBK" w:cs="方正仿宋_GBK"/>
          <w:color w:val="000000"/>
          <w:szCs w:val="32"/>
        </w:rPr>
        <w:t>；</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5）《中华人民共和国防震减灾法》（国家主席令〔20</w:t>
      </w:r>
      <w:r>
        <w:rPr>
          <w:rFonts w:hint="eastAsia" w:ascii="方正仿宋_GBK" w:hAnsi="方正仿宋_GBK" w:cs="方正仿宋_GBK"/>
          <w:color w:val="000000"/>
          <w:szCs w:val="32"/>
          <w:lang w:val="en-US" w:eastAsia="zh-CN"/>
        </w:rPr>
        <w:t>08</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七</w:t>
      </w:r>
      <w:r>
        <w:rPr>
          <w:rFonts w:hint="eastAsia" w:ascii="方正仿宋_GBK" w:hAnsi="方正仿宋_GBK" w:eastAsia="方正仿宋_GBK" w:cs="方正仿宋_GBK"/>
          <w:color w:val="000000"/>
          <w:szCs w:val="32"/>
        </w:rPr>
        <w:t>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6）《中华人民共和国安全生产法》（</w:t>
      </w:r>
      <w:bookmarkStart w:id="28" w:name="_Hlk93396266"/>
      <w:r>
        <w:rPr>
          <w:rFonts w:hint="eastAsia" w:ascii="方正仿宋_GBK" w:hAnsi="方正仿宋_GBK" w:eastAsia="方正仿宋_GBK" w:cs="方正仿宋_GBK"/>
          <w:color w:val="000000"/>
          <w:szCs w:val="32"/>
        </w:rPr>
        <w:t>国家主席令〔20</w:t>
      </w:r>
      <w:r>
        <w:rPr>
          <w:rFonts w:hint="eastAsia" w:ascii="方正仿宋_GBK" w:hAnsi="方正仿宋_GBK" w:cs="方正仿宋_GBK"/>
          <w:color w:val="000000"/>
          <w:szCs w:val="32"/>
          <w:lang w:val="en-US" w:eastAsia="zh-CN"/>
        </w:rPr>
        <w:t>14</w:t>
      </w:r>
      <w:r>
        <w:rPr>
          <w:rFonts w:hint="eastAsia" w:ascii="方正仿宋_GBK" w:hAnsi="方正仿宋_GBK" w:eastAsia="方正仿宋_GBK" w:cs="方正仿宋_GBK"/>
          <w:color w:val="000000"/>
          <w:szCs w:val="32"/>
        </w:rPr>
        <w:t>〕第13号公布，国家主席令〔202</w:t>
      </w:r>
      <w:r>
        <w:rPr>
          <w:rFonts w:hint="eastAsia" w:ascii="方正仿宋_GBK" w:hAnsi="方正仿宋_GBK" w:cs="方正仿宋_GBK"/>
          <w:color w:val="000000"/>
          <w:szCs w:val="32"/>
          <w:lang w:val="en-US" w:eastAsia="zh-CN"/>
        </w:rPr>
        <w:t>1</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八十八</w:t>
      </w:r>
      <w:r>
        <w:rPr>
          <w:rFonts w:hint="eastAsia" w:ascii="方正仿宋_GBK" w:hAnsi="方正仿宋_GBK" w:eastAsia="方正仿宋_GBK" w:cs="方正仿宋_GBK"/>
          <w:color w:val="000000"/>
          <w:szCs w:val="32"/>
        </w:rPr>
        <w:t>号修订</w:t>
      </w:r>
      <w:bookmarkEnd w:id="28"/>
      <w:r>
        <w:rPr>
          <w:rFonts w:hint="eastAsia" w:ascii="方正仿宋_GBK" w:hAnsi="方正仿宋_GBK" w:eastAsia="方正仿宋_GBK" w:cs="方正仿宋_GBK"/>
          <w:color w:val="000000"/>
          <w:szCs w:val="32"/>
        </w:rPr>
        <w:t>）；</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7）《中华人民共和国消防法》（</w:t>
      </w:r>
      <w:bookmarkStart w:id="29" w:name="_Hlk93396349"/>
      <w:r>
        <w:rPr>
          <w:rFonts w:hint="eastAsia" w:ascii="方正仿宋_GBK" w:hAnsi="方正仿宋_GBK" w:eastAsia="方正仿宋_GBK" w:cs="方正仿宋_GBK"/>
          <w:color w:val="000000"/>
          <w:szCs w:val="32"/>
        </w:rPr>
        <w:t>国家主席令〔</w:t>
      </w:r>
      <w:r>
        <w:rPr>
          <w:rFonts w:hint="eastAsia" w:ascii="方正仿宋_GBK" w:hAnsi="方正仿宋_GBK" w:cs="方正仿宋_GBK"/>
          <w:color w:val="000000"/>
          <w:szCs w:val="32"/>
          <w:lang w:val="en-US" w:eastAsia="zh-CN"/>
        </w:rPr>
        <w:t>1998</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六</w:t>
      </w:r>
      <w:r>
        <w:rPr>
          <w:rFonts w:hint="eastAsia" w:ascii="方正仿宋_GBK" w:hAnsi="方正仿宋_GBK" w:eastAsia="方正仿宋_GBK" w:cs="方正仿宋_GBK"/>
          <w:color w:val="000000"/>
          <w:szCs w:val="32"/>
        </w:rPr>
        <w:t>号公布，国家主席令第</w:t>
      </w:r>
      <w:r>
        <w:rPr>
          <w:rFonts w:hint="eastAsia" w:ascii="方正仿宋_GBK" w:hAnsi="方正仿宋_GBK" w:cs="方正仿宋_GBK"/>
          <w:color w:val="000000"/>
          <w:szCs w:val="32"/>
          <w:lang w:val="en-US" w:eastAsia="zh-CN"/>
        </w:rPr>
        <w:t>八十一</w:t>
      </w:r>
      <w:r>
        <w:rPr>
          <w:rFonts w:hint="eastAsia" w:ascii="方正仿宋_GBK" w:hAnsi="方正仿宋_GBK" w:eastAsia="方正仿宋_GBK" w:cs="方正仿宋_GBK"/>
          <w:color w:val="000000"/>
          <w:szCs w:val="32"/>
        </w:rPr>
        <w:t>号修订</w:t>
      </w:r>
      <w:bookmarkEnd w:id="29"/>
      <w:r>
        <w:rPr>
          <w:rFonts w:hint="eastAsia" w:ascii="方正仿宋_GBK" w:hAnsi="方正仿宋_GBK" w:eastAsia="方正仿宋_GBK" w:cs="方正仿宋_GBK"/>
          <w:color w:val="000000"/>
          <w:szCs w:val="32"/>
        </w:rPr>
        <w:t>）；</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8）《中华人民共和国特种设备安全法》（国家主席令第</w:t>
      </w:r>
      <w:r>
        <w:rPr>
          <w:rFonts w:hint="eastAsia" w:ascii="方正仿宋_GBK" w:hAnsi="方正仿宋_GBK" w:cs="方正仿宋_GBK"/>
          <w:color w:val="000000"/>
          <w:szCs w:val="32"/>
          <w:lang w:val="en-US" w:eastAsia="zh-CN"/>
        </w:rPr>
        <w:t>四</w:t>
      </w:r>
      <w:r>
        <w:rPr>
          <w:rFonts w:hint="eastAsia" w:ascii="方正仿宋_GBK" w:hAnsi="方正仿宋_GBK" w:eastAsia="方正仿宋_GBK" w:cs="方正仿宋_GBK"/>
          <w:color w:val="000000"/>
          <w:szCs w:val="32"/>
        </w:rPr>
        <w:t>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9）《中华人民共和国道路交通安全法》（国家主席令〔20</w:t>
      </w:r>
      <w:r>
        <w:rPr>
          <w:rFonts w:hint="eastAsia" w:ascii="方正仿宋_GBK" w:hAnsi="方正仿宋_GBK" w:cs="方正仿宋_GBK"/>
          <w:color w:val="000000"/>
          <w:szCs w:val="32"/>
          <w:lang w:val="en-US" w:eastAsia="zh-CN"/>
        </w:rPr>
        <w:t>11</w:t>
      </w:r>
      <w:r>
        <w:rPr>
          <w:rFonts w:hint="eastAsia" w:ascii="方正仿宋_GBK" w:hAnsi="方正仿宋_GBK" w:eastAsia="方正仿宋_GBK" w:cs="方正仿宋_GBK"/>
          <w:color w:val="000000"/>
          <w:szCs w:val="32"/>
        </w:rPr>
        <w:t>〕第47号，国家主席令〔202</w:t>
      </w:r>
      <w:r>
        <w:rPr>
          <w:rFonts w:hint="eastAsia" w:ascii="方正仿宋_GBK" w:hAnsi="方正仿宋_GBK" w:cs="方正仿宋_GBK"/>
          <w:color w:val="000000"/>
          <w:szCs w:val="32"/>
          <w:lang w:val="en-US" w:eastAsia="zh-CN"/>
        </w:rPr>
        <w:t>0</w:t>
      </w:r>
      <w:r>
        <w:rPr>
          <w:rFonts w:hint="eastAsia" w:ascii="方正仿宋_GBK" w:hAnsi="方正仿宋_GBK" w:eastAsia="方正仿宋_GBK" w:cs="方正仿宋_GBK"/>
          <w:color w:val="000000"/>
          <w:szCs w:val="32"/>
        </w:rPr>
        <w:t>〕第</w:t>
      </w:r>
      <w:r>
        <w:rPr>
          <w:rFonts w:hint="eastAsia" w:ascii="方正仿宋_GBK" w:hAnsi="方正仿宋_GBK" w:cs="方正仿宋_GBK"/>
          <w:color w:val="000000"/>
          <w:szCs w:val="32"/>
          <w:lang w:val="en-US" w:eastAsia="zh-CN"/>
        </w:rPr>
        <w:t>八十一</w:t>
      </w:r>
      <w:r>
        <w:rPr>
          <w:rFonts w:hint="eastAsia" w:ascii="方正仿宋_GBK" w:hAnsi="方正仿宋_GBK" w:eastAsia="方正仿宋_GBK" w:cs="方正仿宋_GBK"/>
          <w:color w:val="000000"/>
          <w:szCs w:val="32"/>
        </w:rPr>
        <w:t>号修订）；</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10）《中华人民共和国农业法》（国家主席令第</w:t>
      </w:r>
      <w:r>
        <w:rPr>
          <w:rFonts w:hint="eastAsia" w:ascii="方正仿宋_GBK" w:hAnsi="方正仿宋_GBK" w:cs="方正仿宋_GBK"/>
          <w:color w:val="000000"/>
          <w:szCs w:val="32"/>
          <w:lang w:val="en-US" w:eastAsia="zh-CN"/>
        </w:rPr>
        <w:t>六</w:t>
      </w:r>
      <w:r>
        <w:rPr>
          <w:rFonts w:hint="eastAsia" w:ascii="方正仿宋_GBK" w:hAnsi="方正仿宋_GBK" w:eastAsia="方正仿宋_GBK" w:cs="方正仿宋_GBK"/>
          <w:color w:val="000000"/>
          <w:szCs w:val="32"/>
        </w:rPr>
        <w:t>号公布，第十一届全国人大常委会第三十次会议第二次修正）；</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11）《气象灾害防御条例》（国务院令第570号）；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12）《地质灾害防治条例》（国务院令〔20</w:t>
      </w:r>
      <w:r>
        <w:rPr>
          <w:rFonts w:hint="eastAsia" w:ascii="方正仿宋_GBK" w:hAnsi="方正仿宋_GBK" w:cs="方正仿宋_GBK"/>
          <w:color w:val="000000"/>
          <w:szCs w:val="32"/>
          <w:lang w:val="en-US" w:eastAsia="zh-CN"/>
        </w:rPr>
        <w:t>03</w:t>
      </w:r>
      <w:r>
        <w:rPr>
          <w:rFonts w:hint="eastAsia" w:ascii="方正仿宋_GBK" w:hAnsi="方正仿宋_GBK" w:eastAsia="方正仿宋_GBK" w:cs="方正仿宋_GBK"/>
          <w:color w:val="000000"/>
          <w:szCs w:val="32"/>
        </w:rPr>
        <w:t>〕第394号）；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lang w:eastAsia="zh-CN"/>
        </w:rPr>
      </w:pPr>
      <w:r>
        <w:rPr>
          <w:rFonts w:hint="eastAsia" w:ascii="方正仿宋_GBK" w:hAnsi="方正仿宋_GBK" w:cs="方正仿宋_GBK"/>
          <w:color w:val="000000"/>
          <w:szCs w:val="32"/>
          <w:lang w:eastAsia="zh-CN"/>
        </w:rPr>
        <w:t>（</w:t>
      </w:r>
      <w:r>
        <w:rPr>
          <w:rFonts w:hint="eastAsia" w:ascii="方正仿宋_GBK" w:hAnsi="方正仿宋_GBK" w:cs="方正仿宋_GBK"/>
          <w:color w:val="000000"/>
          <w:szCs w:val="32"/>
          <w:lang w:val="en-US" w:eastAsia="zh-CN"/>
        </w:rPr>
        <w:t>13）</w:t>
      </w:r>
      <w:r>
        <w:rPr>
          <w:rFonts w:hint="eastAsia" w:ascii="方正仿宋_GBK" w:hAnsi="方正仿宋_GBK" w:cs="方正仿宋_GBK"/>
          <w:color w:val="000000"/>
          <w:szCs w:val="32"/>
          <w:lang w:eastAsia="zh-CN"/>
        </w:rPr>
        <w:t>《森林防火条例》（国务院令</w:t>
      </w:r>
      <w:r>
        <w:rPr>
          <w:rFonts w:hint="eastAsia" w:ascii="方正仿宋_GBK" w:hAnsi="方正仿宋_GBK" w:eastAsia="方正仿宋_GBK" w:cs="方正仿宋_GBK"/>
          <w:color w:val="000000"/>
          <w:szCs w:val="32"/>
        </w:rPr>
        <w:t>〔20</w:t>
      </w:r>
      <w:r>
        <w:rPr>
          <w:rFonts w:hint="eastAsia" w:ascii="方正仿宋_GBK" w:hAnsi="方正仿宋_GBK" w:cs="方正仿宋_GBK"/>
          <w:color w:val="000000"/>
          <w:szCs w:val="32"/>
          <w:lang w:val="en-US" w:eastAsia="zh-CN"/>
        </w:rPr>
        <w:t>08</w:t>
      </w:r>
      <w:r>
        <w:rPr>
          <w:rFonts w:hint="eastAsia" w:ascii="方正仿宋_GBK" w:hAnsi="方正仿宋_GBK" w:eastAsia="方正仿宋_GBK" w:cs="方正仿宋_GBK"/>
          <w:color w:val="000000"/>
          <w:szCs w:val="32"/>
        </w:rPr>
        <w:t>〕</w:t>
      </w:r>
      <w:r>
        <w:rPr>
          <w:rFonts w:hint="eastAsia" w:ascii="方正仿宋_GBK" w:hAnsi="方正仿宋_GBK" w:cs="方正仿宋_GBK"/>
          <w:color w:val="000000"/>
          <w:szCs w:val="32"/>
          <w:lang w:eastAsia="zh-CN"/>
        </w:rPr>
        <w:t>第541号）；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w:t>
      </w:r>
      <w:r>
        <w:rPr>
          <w:rFonts w:hint="eastAsia" w:ascii="方正仿宋_GBK" w:hAnsi="方正仿宋_GBK" w:cs="方正仿宋_GBK"/>
          <w:color w:val="000000"/>
          <w:szCs w:val="32"/>
          <w:lang w:val="en-US" w:eastAsia="zh-CN"/>
        </w:rPr>
        <w:t>4</w:t>
      </w:r>
      <w:r>
        <w:rPr>
          <w:rFonts w:hint="eastAsia" w:ascii="方正仿宋_GBK" w:hAnsi="方正仿宋_GBK" w:eastAsia="方正仿宋_GBK" w:cs="方正仿宋_GBK"/>
          <w:color w:val="000000"/>
          <w:szCs w:val="32"/>
        </w:rPr>
        <w:t>）《建设工程安全生产管理条例》（国务院令〔20</w:t>
      </w:r>
      <w:r>
        <w:rPr>
          <w:rFonts w:hint="eastAsia" w:ascii="方正仿宋_GBK" w:hAnsi="方正仿宋_GBK" w:cs="方正仿宋_GBK"/>
          <w:color w:val="000000"/>
          <w:szCs w:val="32"/>
          <w:lang w:val="en-US" w:eastAsia="zh-CN"/>
        </w:rPr>
        <w:t>03</w:t>
      </w:r>
      <w:r>
        <w:rPr>
          <w:rFonts w:hint="eastAsia" w:ascii="方正仿宋_GBK" w:hAnsi="方正仿宋_GBK" w:eastAsia="方正仿宋_GBK" w:cs="方正仿宋_GBK"/>
          <w:color w:val="000000"/>
          <w:szCs w:val="32"/>
        </w:rPr>
        <w:t>〕第393号）；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w:t>
      </w:r>
      <w:r>
        <w:rPr>
          <w:rFonts w:hint="eastAsia" w:ascii="方正仿宋_GBK" w:hAnsi="方正仿宋_GBK" w:cs="方正仿宋_GBK"/>
          <w:color w:val="000000"/>
          <w:szCs w:val="32"/>
          <w:lang w:val="en-US" w:eastAsia="zh-CN"/>
        </w:rPr>
        <w:t>5</w:t>
      </w:r>
      <w:r>
        <w:rPr>
          <w:rFonts w:hint="eastAsia" w:ascii="方正仿宋_GBK" w:hAnsi="方正仿宋_GBK" w:eastAsia="方正仿宋_GBK" w:cs="方正仿宋_GBK"/>
          <w:color w:val="000000"/>
          <w:szCs w:val="32"/>
        </w:rPr>
        <w:t>）《生产安全事故应急条例》（国务院令〔20</w:t>
      </w:r>
      <w:r>
        <w:rPr>
          <w:rFonts w:hint="eastAsia" w:ascii="方正仿宋_GBK" w:hAnsi="方正仿宋_GBK" w:cs="方正仿宋_GBK"/>
          <w:color w:val="000000"/>
          <w:szCs w:val="32"/>
          <w:lang w:val="en-US" w:eastAsia="zh-CN"/>
        </w:rPr>
        <w:t>19</w:t>
      </w:r>
      <w:r>
        <w:rPr>
          <w:rFonts w:hint="eastAsia" w:ascii="方正仿宋_GBK" w:hAnsi="方正仿宋_GBK" w:eastAsia="方正仿宋_GBK" w:cs="方正仿宋_GBK"/>
          <w:color w:val="000000"/>
          <w:szCs w:val="32"/>
        </w:rPr>
        <w:t>〕第708号）；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w:t>
      </w:r>
      <w:r>
        <w:rPr>
          <w:rFonts w:hint="eastAsia" w:ascii="方正仿宋_GBK" w:hAnsi="方正仿宋_GBK" w:cs="方正仿宋_GBK"/>
          <w:color w:val="000000"/>
          <w:szCs w:val="32"/>
          <w:lang w:val="en-US" w:eastAsia="zh-CN"/>
        </w:rPr>
        <w:t>6</w:t>
      </w:r>
      <w:r>
        <w:rPr>
          <w:rFonts w:hint="eastAsia" w:ascii="方正仿宋_GBK" w:hAnsi="方正仿宋_GBK" w:eastAsia="方正仿宋_GBK" w:cs="方正仿宋_GBK"/>
          <w:color w:val="000000"/>
          <w:szCs w:val="32"/>
        </w:rPr>
        <w:t>）《国务院办公厅关于印发突发事件应急预案管理办法的通知》（国办发〔20</w:t>
      </w:r>
      <w:r>
        <w:rPr>
          <w:rFonts w:hint="eastAsia" w:ascii="方正仿宋_GBK" w:hAnsi="方正仿宋_GBK" w:cs="方正仿宋_GBK"/>
          <w:color w:val="000000"/>
          <w:szCs w:val="32"/>
          <w:lang w:val="en-US" w:eastAsia="zh-CN"/>
        </w:rPr>
        <w:t>13</w:t>
      </w:r>
      <w:r>
        <w:rPr>
          <w:rFonts w:hint="eastAsia" w:ascii="方正仿宋_GBK" w:hAnsi="方正仿宋_GBK" w:eastAsia="方正仿宋_GBK" w:cs="方正仿宋_GBK"/>
          <w:color w:val="000000"/>
          <w:szCs w:val="32"/>
        </w:rPr>
        <w:t>〕101号）；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w:t>
      </w:r>
      <w:r>
        <w:rPr>
          <w:rFonts w:hint="eastAsia" w:ascii="方正仿宋_GBK" w:hAnsi="方正仿宋_GBK" w:cs="方正仿宋_GBK"/>
          <w:color w:val="000000"/>
          <w:szCs w:val="32"/>
          <w:lang w:val="en-US" w:eastAsia="zh-CN"/>
        </w:rPr>
        <w:t>7</w:t>
      </w:r>
      <w:r>
        <w:rPr>
          <w:rFonts w:hint="eastAsia" w:ascii="方正仿宋_GBK" w:hAnsi="方正仿宋_GBK" w:eastAsia="方正仿宋_GBK" w:cs="方正仿宋_GBK"/>
          <w:color w:val="000000"/>
          <w:szCs w:val="32"/>
        </w:rPr>
        <w:t>）《国务院办公厅关于开展第一次全国自然灾害综合风险普查的通知》（国办发〔202</w:t>
      </w:r>
      <w:r>
        <w:rPr>
          <w:rFonts w:hint="eastAsia" w:ascii="方正仿宋_GBK" w:hAnsi="方正仿宋_GBK" w:cs="方正仿宋_GBK"/>
          <w:color w:val="000000"/>
          <w:szCs w:val="32"/>
          <w:lang w:val="en-US" w:eastAsia="zh-CN"/>
        </w:rPr>
        <w:t>0</w:t>
      </w:r>
      <w:r>
        <w:rPr>
          <w:rFonts w:hint="eastAsia" w:ascii="方正仿宋_GBK" w:hAnsi="方正仿宋_GBK" w:eastAsia="方正仿宋_GBK" w:cs="方正仿宋_GBK"/>
          <w:color w:val="000000"/>
          <w:szCs w:val="32"/>
        </w:rPr>
        <w:t>〕12号）；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18）《生产安全事故应急预案管理办法》（应急管理部令第2号）；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19）《重庆市突发事件应对条例》（重庆市人大常委会公告〔20</w:t>
      </w:r>
      <w:r>
        <w:rPr>
          <w:rFonts w:hint="eastAsia" w:ascii="方正仿宋_GBK" w:hAnsi="方正仿宋_GBK" w:cs="方正仿宋_GBK"/>
          <w:color w:val="000000"/>
          <w:szCs w:val="32"/>
          <w:lang w:val="en-US" w:eastAsia="zh-CN"/>
        </w:rPr>
        <w:t>1</w:t>
      </w:r>
      <w:r>
        <w:rPr>
          <w:rFonts w:hint="eastAsia" w:ascii="方正仿宋_GBK" w:hAnsi="方正仿宋_GBK" w:eastAsia="方正仿宋_GBK" w:cs="方正仿宋_GBK"/>
          <w:color w:val="000000"/>
          <w:szCs w:val="32"/>
        </w:rPr>
        <w:t>2〕9号）；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20）《重庆市气象条例》（重庆市第二届人大常委会第十七次会议修正）；</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21）《重庆市防震减灾条例》（重庆市第一届人大常委会第四十次会议通过，重庆市第三届人大常委会第十九次会议修订）；</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 w:val="28"/>
          <w:szCs w:val="28"/>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22）《重庆市安全生产条例》（重庆市人大常委会公告[2015]第37号）；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lang w:eastAsia="zh-CN"/>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23）《重庆市地质灾害防治条例》（重庆市第五届人民代表大会常务委员会第十八次会议修订）</w:t>
      </w:r>
      <w:r>
        <w:rPr>
          <w:rFonts w:hint="eastAsia" w:ascii="方正仿宋_GBK" w:hAnsi="方正仿宋_GBK" w:cs="方正仿宋_GBK"/>
          <w:color w:val="000000"/>
          <w:szCs w:val="32"/>
          <w:lang w:eastAsia="zh-CN"/>
        </w:rPr>
        <w:t>；</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cs="方正仿宋_GBK"/>
          <w:color w:val="000000"/>
          <w:szCs w:val="32"/>
          <w:lang w:val="en-US" w:eastAsia="zh-CN"/>
        </w:rPr>
        <w:t>24）</w:t>
      </w:r>
      <w:r>
        <w:rPr>
          <w:rFonts w:hint="eastAsia" w:ascii="方正仿宋_GBK" w:hAnsi="方正仿宋_GBK" w:eastAsia="方正仿宋_GBK" w:cs="方正仿宋_GBK"/>
          <w:color w:val="000000"/>
          <w:szCs w:val="32"/>
        </w:rPr>
        <w:t>《重庆市消防条例》（重庆市人大常委会公告[2013]第31号）；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w:t>
      </w:r>
      <w:r>
        <w:rPr>
          <w:rFonts w:hint="eastAsia" w:ascii="方正仿宋_GBK" w:hAnsi="方正仿宋_GBK" w:cs="方正仿宋_GBK"/>
          <w:color w:val="000000"/>
          <w:szCs w:val="32"/>
          <w:lang w:val="en-US" w:eastAsia="zh-CN"/>
        </w:rPr>
        <w:t>5</w:t>
      </w:r>
      <w:r>
        <w:rPr>
          <w:rFonts w:hint="eastAsia" w:ascii="方正仿宋_GBK" w:hAnsi="方正仿宋_GBK" w:eastAsia="方正仿宋_GBK" w:cs="方正仿宋_GBK"/>
          <w:color w:val="000000"/>
          <w:szCs w:val="32"/>
        </w:rPr>
        <w:t>）《重庆市人民政府关于加强突发事件风险管理工作的意见》（渝府发〔20</w:t>
      </w:r>
      <w:r>
        <w:rPr>
          <w:rFonts w:hint="eastAsia" w:ascii="方正仿宋_GBK" w:hAnsi="方正仿宋_GBK" w:cs="方正仿宋_GBK"/>
          <w:color w:val="000000"/>
          <w:szCs w:val="32"/>
          <w:lang w:val="en-US" w:eastAsia="zh-CN"/>
        </w:rPr>
        <w:t>15</w:t>
      </w:r>
      <w:r>
        <w:rPr>
          <w:rFonts w:hint="eastAsia" w:ascii="方正仿宋_GBK" w:hAnsi="方正仿宋_GBK" w:eastAsia="方正仿宋_GBK" w:cs="方正仿宋_GBK"/>
          <w:color w:val="000000"/>
          <w:szCs w:val="32"/>
        </w:rPr>
        <w:t>〕15号）；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w:t>
      </w:r>
      <w:r>
        <w:rPr>
          <w:rFonts w:hint="eastAsia" w:ascii="方正仿宋_GBK" w:hAnsi="方正仿宋_GBK" w:cs="方正仿宋_GBK"/>
          <w:color w:val="000000"/>
          <w:szCs w:val="32"/>
          <w:lang w:val="en-US" w:eastAsia="zh-CN"/>
        </w:rPr>
        <w:t>6</w:t>
      </w:r>
      <w:r>
        <w:rPr>
          <w:rFonts w:hint="eastAsia" w:ascii="方正仿宋_GBK" w:hAnsi="方正仿宋_GBK" w:eastAsia="方正仿宋_GBK" w:cs="方正仿宋_GBK"/>
          <w:color w:val="000000"/>
          <w:szCs w:val="32"/>
        </w:rPr>
        <w:t>）《重庆市人民政府办公厅关于印发重庆市突发事件应急预案管理实施办法的通知》（渝府办发〔2022〕37号）；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w:t>
      </w:r>
      <w:r>
        <w:rPr>
          <w:rFonts w:hint="eastAsia" w:ascii="方正仿宋_GBK" w:hAnsi="方正仿宋_GBK" w:cs="方正仿宋_GBK"/>
          <w:color w:val="000000"/>
          <w:szCs w:val="32"/>
          <w:lang w:val="en-US" w:eastAsia="zh-CN"/>
        </w:rPr>
        <w:t>7</w:t>
      </w:r>
      <w:r>
        <w:rPr>
          <w:rFonts w:hint="eastAsia" w:ascii="方正仿宋_GBK" w:hAnsi="方正仿宋_GBK" w:eastAsia="方正仿宋_GBK" w:cs="方正仿宋_GBK"/>
          <w:color w:val="000000"/>
          <w:szCs w:val="32"/>
        </w:rPr>
        <w:t>）《重庆市安全生产委员会办公室重庆市减灾委员会办公室关于做好重庆市突发事件总体应急预案修编有关工作的通知》（渝安办〔20</w:t>
      </w:r>
      <w:r>
        <w:rPr>
          <w:rFonts w:hint="eastAsia" w:ascii="方正仿宋_GBK" w:hAnsi="方正仿宋_GBK" w:cs="方正仿宋_GBK"/>
          <w:color w:val="000000"/>
          <w:szCs w:val="32"/>
          <w:lang w:val="en-US" w:eastAsia="zh-CN"/>
        </w:rPr>
        <w:t>19</w:t>
      </w:r>
      <w:r>
        <w:rPr>
          <w:rFonts w:hint="eastAsia" w:ascii="方正仿宋_GBK" w:hAnsi="方正仿宋_GBK" w:eastAsia="方正仿宋_GBK" w:cs="方正仿宋_GBK"/>
          <w:color w:val="000000"/>
          <w:szCs w:val="32"/>
        </w:rPr>
        <w:t>〕85号）；</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w:t>
      </w:r>
      <w:r>
        <w:rPr>
          <w:rFonts w:hint="eastAsia" w:ascii="方正仿宋_GBK" w:hAnsi="方正仿宋_GBK" w:cs="方正仿宋_GBK"/>
          <w:color w:val="000000"/>
          <w:szCs w:val="32"/>
          <w:lang w:val="en-US" w:eastAsia="zh-CN"/>
        </w:rPr>
        <w:t>8</w:t>
      </w:r>
      <w:r>
        <w:rPr>
          <w:rFonts w:hint="eastAsia" w:ascii="方正仿宋_GBK" w:hAnsi="方正仿宋_GBK" w:eastAsia="方正仿宋_GBK" w:cs="方正仿宋_GBK"/>
          <w:color w:val="000000"/>
          <w:szCs w:val="32"/>
        </w:rPr>
        <w:t>）《突发事件分类与编码》（GB/T35561-2017）；</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cs="方正仿宋_GBK"/>
          <w:color w:val="000000"/>
          <w:szCs w:val="32"/>
          <w:lang w:val="en-US" w:eastAsia="zh-CN"/>
        </w:rPr>
        <w:t>29</w:t>
      </w:r>
      <w:r>
        <w:rPr>
          <w:rFonts w:hint="eastAsia" w:ascii="方正仿宋_GBK" w:hAnsi="方正仿宋_GBK" w:eastAsia="方正仿宋_GBK" w:cs="方正仿宋_GBK"/>
          <w:color w:val="000000"/>
          <w:szCs w:val="32"/>
        </w:rPr>
        <w:t xml:space="preserve">）《企业职工伤亡事故分类标准》（GB 6441-86）； </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w:t>
      </w:r>
      <w:r>
        <w:rPr>
          <w:rFonts w:hint="eastAsia" w:ascii="方正仿宋_GBK" w:hAnsi="方正仿宋_GBK" w:cs="方正仿宋_GBK"/>
          <w:color w:val="000000"/>
          <w:szCs w:val="32"/>
          <w:lang w:val="en-US" w:eastAsia="zh-CN"/>
        </w:rPr>
        <w:t>0</w:t>
      </w:r>
      <w:r>
        <w:rPr>
          <w:rFonts w:hint="eastAsia" w:ascii="方正仿宋_GBK" w:hAnsi="方正仿宋_GBK" w:eastAsia="方正仿宋_GBK" w:cs="方正仿宋_GBK"/>
          <w:color w:val="000000"/>
          <w:szCs w:val="32"/>
        </w:rPr>
        <w:t>）《生产过程危险和有害因素分类与代码》（GB/T 13861-20</w:t>
      </w:r>
      <w:r>
        <w:rPr>
          <w:rFonts w:hint="eastAsia" w:ascii="方正仿宋_GBK" w:hAnsi="方正仿宋_GBK" w:cs="方正仿宋_GBK"/>
          <w:color w:val="000000"/>
          <w:szCs w:val="32"/>
          <w:lang w:val="en-US" w:eastAsia="zh-CN"/>
        </w:rPr>
        <w:t>22</w:t>
      </w:r>
      <w:r>
        <w:rPr>
          <w:rFonts w:hint="eastAsia" w:ascii="方正仿宋_GBK" w:hAnsi="方正仿宋_GBK" w:eastAsia="方正仿宋_GBK" w:cs="方正仿宋_GBK"/>
          <w:color w:val="000000"/>
          <w:szCs w:val="32"/>
        </w:rPr>
        <w:t>）；</w:t>
      </w:r>
    </w:p>
    <w:p>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w:t>
      </w:r>
      <w:r>
        <w:rPr>
          <w:rFonts w:hint="eastAsia" w:ascii="方正仿宋_GBK" w:hAnsi="方正仿宋_GBK" w:cs="方正仿宋_GBK"/>
          <w:color w:val="000000"/>
          <w:szCs w:val="32"/>
          <w:lang w:val="en-US" w:eastAsia="zh-CN"/>
        </w:rPr>
        <w:t>1</w:t>
      </w:r>
      <w:r>
        <w:rPr>
          <w:rFonts w:hint="eastAsia" w:ascii="方正仿宋_GBK" w:hAnsi="方正仿宋_GBK" w:eastAsia="方正仿宋_GBK" w:cs="方正仿宋_GBK"/>
          <w:color w:val="000000"/>
          <w:szCs w:val="32"/>
        </w:rPr>
        <w:t>）《危险化学品重大危险源辨识》（GB 18218-2018）。</w:t>
      </w:r>
    </w:p>
    <w:p>
      <w:pPr>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outlineLvl w:val="9"/>
        <w:rPr>
          <w:rFonts w:hint="eastAsia" w:ascii="楷体" w:hAnsi="楷体" w:eastAsia="楷体" w:cs="楷体"/>
          <w:color w:val="000000"/>
        </w:rPr>
      </w:pPr>
      <w:bookmarkStart w:id="30" w:name="_Toc18762"/>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31" w:name="_Toc26434"/>
      <w:bookmarkStart w:id="32" w:name="_Toc20088"/>
      <w:r>
        <w:rPr>
          <w:rFonts w:hint="eastAsia" w:ascii="楷体" w:hAnsi="楷体" w:eastAsia="楷体" w:cs="楷体"/>
          <w:color w:val="000000"/>
        </w:rPr>
        <w:t>1.4</w:t>
      </w:r>
      <w:r>
        <w:rPr>
          <w:rFonts w:hint="eastAsia" w:ascii="楷体" w:hAnsi="楷体" w:eastAsia="楷体" w:cs="楷体"/>
          <w:color w:val="000000"/>
          <w:lang w:val="en-US" w:eastAsia="zh-CN"/>
        </w:rPr>
        <w:t xml:space="preserve">  </w:t>
      </w:r>
      <w:r>
        <w:rPr>
          <w:rFonts w:hint="eastAsia" w:ascii="楷体" w:hAnsi="楷体" w:eastAsia="楷体" w:cs="楷体"/>
          <w:color w:val="000000"/>
        </w:rPr>
        <w:t>工作原则</w:t>
      </w:r>
      <w:bookmarkEnd w:id="30"/>
      <w:bookmarkEnd w:id="31"/>
      <w:bookmarkEnd w:id="32"/>
    </w:p>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1.4.1 实效性</w:t>
      </w:r>
    </w:p>
    <w:p>
      <w:pPr>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结合工作实际，突出工作重点，做到工作责任落实到位、信息采集真实准确、分析评价客观科学、应对措施切实可行，确保及时发现并消除、降低各类风险。</w:t>
      </w:r>
    </w:p>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1.4.2 专业性</w:t>
      </w:r>
    </w:p>
    <w:p>
      <w:pPr>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广泛运用现代科学技术与方法，借鉴国内行业成熟做法，充分发挥专家和专业机构作用，建立健全专业标准体系，提升风险管理科学化、专业化、规范化水平。</w:t>
      </w:r>
    </w:p>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1.4.3 统筹性</w:t>
      </w:r>
    </w:p>
    <w:p>
      <w:pPr>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按照“统筹组织、条块结合、分工负责、层层落实”的要求，建立政府主导、社会参与、协调联动的风险评估格局，构建横向到边、纵向到底的风险管理体系。</w:t>
      </w:r>
    </w:p>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1.4.4 动态性</w:t>
      </w:r>
    </w:p>
    <w:p>
      <w:pPr>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根据自然环境、人文条件、管理水平、周边环境等外部条件，把握风险变化规律，及时更新风险数据，调整防控措施，开展科学分析，从源头防范突发事件的发生。</w:t>
      </w:r>
    </w:p>
    <w:bookmarkEnd w:id="26"/>
    <w:bookmarkEnd w:id="27"/>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1.4.5 系统性</w:t>
      </w:r>
    </w:p>
    <w:p>
      <w:pPr>
        <w:pStyle w:val="38"/>
        <w:keepNext w:val="0"/>
        <w:keepLines w:val="0"/>
        <w:pageBreakBefore w:val="0"/>
        <w:widowControl w:val="0"/>
        <w:kinsoku/>
        <w:wordWrap/>
        <w:overflowPunct/>
        <w:topLinePunct w:val="0"/>
        <w:autoSpaceDE w:val="0"/>
        <w:autoSpaceDN w:val="0"/>
        <w:bidi w:val="0"/>
        <w:adjustRightInd/>
        <w:snapToGrid w:val="0"/>
        <w:spacing w:line="60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统筹考虑各个流程、各个环节、各种类型和不同时期的风险，充分考虑多方面影响和各种次生、衍生灾害后果，运用现代科学技术和方法进行综合分析。</w:t>
      </w:r>
    </w:p>
    <w:p>
      <w:pPr>
        <w:pStyle w:val="38"/>
        <w:rPr>
          <w:rFonts w:hint="eastAsia" w:ascii="方正仿宋_GBK" w:hAnsi="方正仿宋_GBK" w:eastAsia="方正仿宋_GBK" w:cs="方正仿宋_GBK"/>
          <w:color w:val="000000"/>
          <w:sz w:val="28"/>
          <w:szCs w:val="28"/>
        </w:rPr>
      </w:pPr>
    </w:p>
    <w:p>
      <w:pPr>
        <w:pStyle w:val="38"/>
        <w:rPr>
          <w:rFonts w:hint="eastAsia" w:ascii="方正仿宋_GBK" w:hAnsi="方正仿宋_GBK" w:eastAsia="方正仿宋_GBK" w:cs="方正仿宋_GBK"/>
          <w:color w:val="000000"/>
          <w:sz w:val="28"/>
          <w:szCs w:val="28"/>
        </w:rPr>
        <w:sectPr>
          <w:footerReference r:id="rId8" w:type="default"/>
          <w:footerReference r:id="rId9" w:type="even"/>
          <w:pgSz w:w="11906" w:h="16838"/>
          <w:pgMar w:top="1417" w:right="1418" w:bottom="1417" w:left="1587" w:header="851" w:footer="1191" w:gutter="0"/>
          <w:pgBorders>
            <w:top w:val="none" w:sz="0" w:space="0"/>
            <w:left w:val="none" w:sz="0" w:space="0"/>
            <w:bottom w:val="none" w:sz="0" w:space="0"/>
            <w:right w:val="none" w:sz="0" w:space="0"/>
          </w:pgBorders>
          <w:pgNumType w:fmt="decimal" w:start="1"/>
          <w:cols w:space="0" w:num="1"/>
          <w:rtlGutter w:val="0"/>
          <w:docGrid w:linePitch="286" w:charSpace="0"/>
        </w:sectPr>
      </w:pPr>
    </w:p>
    <w:p>
      <w:pPr>
        <w:keepNext w:val="0"/>
        <w:keepLines w:val="0"/>
        <w:pageBreakBefore w:val="0"/>
        <w:widowControl w:val="0"/>
        <w:kinsoku/>
        <w:wordWrap/>
        <w:overflowPunct/>
        <w:topLinePunct w:val="0"/>
        <w:autoSpaceDE/>
        <w:autoSpaceDN/>
        <w:bidi w:val="0"/>
        <w:adjustRightInd/>
        <w:snapToGrid w:val="0"/>
        <w:spacing w:before="287" w:beforeLines="100" w:after="287" w:afterLines="100" w:line="360" w:lineRule="auto"/>
        <w:ind w:left="0" w:leftChars="0" w:firstLine="0" w:firstLineChars="0"/>
        <w:jc w:val="center"/>
        <w:textAlignment w:val="auto"/>
        <w:outlineLvl w:val="0"/>
        <w:rPr>
          <w:rStyle w:val="36"/>
          <w:rFonts w:hint="eastAsia" w:ascii="黑体" w:hAnsi="黑体" w:eastAsia="黑体" w:cs="黑体"/>
          <w:b/>
          <w:bCs w:val="0"/>
          <w:color w:val="000000"/>
          <w:kern w:val="2"/>
          <w:sz w:val="32"/>
          <w:szCs w:val="32"/>
          <w:u w:val="none"/>
          <w:lang w:eastAsia="zh-CN"/>
        </w:rPr>
      </w:pPr>
      <w:bookmarkStart w:id="33" w:name="_Toc4246"/>
      <w:bookmarkStart w:id="34" w:name="_Toc6775"/>
      <w:bookmarkStart w:id="35" w:name="_Toc24526"/>
      <w:bookmarkStart w:id="36" w:name="_Toc21397"/>
      <w:bookmarkStart w:id="37" w:name="_Toc19674"/>
      <w:bookmarkStart w:id="38" w:name="_Toc27069"/>
      <w:bookmarkStart w:id="39" w:name="_Toc181066620"/>
      <w:r>
        <w:rPr>
          <w:rStyle w:val="36"/>
          <w:rFonts w:hint="eastAsia" w:ascii="黑体" w:hAnsi="黑体" w:eastAsia="黑体" w:cs="黑体"/>
          <w:b/>
          <w:bCs w:val="0"/>
          <w:color w:val="000000"/>
          <w:kern w:val="2"/>
          <w:sz w:val="32"/>
          <w:szCs w:val="32"/>
          <w:u w:val="none"/>
          <w:lang w:eastAsia="zh-CN"/>
        </w:rPr>
        <w:t>2</w:t>
      </w:r>
      <w:bookmarkEnd w:id="33"/>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石坪桥街道基本情况</w:t>
      </w:r>
      <w:bookmarkEnd w:id="34"/>
      <w:bookmarkEnd w:id="35"/>
    </w:p>
    <w:p>
      <w:pPr>
        <w:pStyle w:val="5"/>
        <w:keepNext w:val="0"/>
        <w:keepLines w:val="0"/>
        <w:pageBreakBefore w:val="0"/>
        <w:widowControl w:val="0"/>
        <w:kinsoku/>
        <w:wordWrap/>
        <w:overflowPunct w:val="0"/>
        <w:topLinePunct w:val="0"/>
        <w:autoSpaceDE/>
        <w:autoSpaceDN/>
        <w:bidi w:val="0"/>
        <w:adjustRightInd/>
        <w:snapToGrid w:val="0"/>
        <w:spacing w:before="287" w:beforeLines="100" w:after="287" w:afterLines="100" w:line="240" w:lineRule="auto"/>
        <w:ind w:left="0" w:leftChars="0" w:firstLine="0" w:firstLineChars="0"/>
        <w:jc w:val="center"/>
        <w:textAlignment w:val="auto"/>
        <w:outlineLvl w:val="1"/>
        <w:rPr>
          <w:rFonts w:hint="eastAsia" w:ascii="楷体" w:hAnsi="楷体" w:eastAsia="楷体" w:cs="楷体"/>
          <w:color w:val="000000"/>
        </w:rPr>
      </w:pPr>
      <w:bookmarkStart w:id="40" w:name="_Toc31066"/>
      <w:bookmarkStart w:id="41" w:name="_Toc9358"/>
      <w:bookmarkStart w:id="42" w:name="_Toc30171"/>
      <w:r>
        <w:rPr>
          <w:rFonts w:hint="eastAsia" w:ascii="楷体" w:hAnsi="楷体" w:eastAsia="楷体" w:cs="楷体"/>
          <w:color w:val="000000"/>
        </w:rPr>
        <w:t>2.1</w:t>
      </w:r>
      <w:r>
        <w:rPr>
          <w:rFonts w:hint="eastAsia" w:ascii="楷体" w:hAnsi="楷体" w:eastAsia="楷体" w:cs="楷体"/>
          <w:color w:val="000000"/>
          <w:lang w:val="en-US" w:eastAsia="zh-CN"/>
        </w:rPr>
        <w:t xml:space="preserve">  基本</w:t>
      </w:r>
      <w:r>
        <w:rPr>
          <w:rFonts w:hint="eastAsia" w:ascii="楷体" w:hAnsi="楷体" w:eastAsia="楷体" w:cs="楷体"/>
          <w:color w:val="000000"/>
        </w:rPr>
        <w:t>概况</w:t>
      </w:r>
      <w:bookmarkEnd w:id="40"/>
      <w:bookmarkEnd w:id="41"/>
      <w:bookmarkEnd w:id="42"/>
    </w:p>
    <w:p>
      <w:pPr>
        <w:ind w:firstLine="640"/>
        <w:rPr>
          <w:rFonts w:hint="eastAsia" w:ascii="方正仿宋_GBK" w:hAnsi="方正仿宋_GBK" w:cs="方正仿宋_GBK"/>
          <w:color w:val="000000"/>
          <w:lang w:val="en-US" w:eastAsia="zh-CN"/>
        </w:rPr>
      </w:pPr>
      <w:bookmarkStart w:id="43" w:name="_Toc50479395"/>
      <w:bookmarkStart w:id="44" w:name="_Toc3158"/>
      <w:r>
        <w:rPr>
          <w:rFonts w:hint="eastAsia" w:ascii="方正仿宋_GBK" w:hAnsi="方正仿宋_GBK" w:cs="方正仿宋_GBK"/>
          <w:color w:val="000000"/>
          <w:lang w:val="en-US" w:eastAsia="zh-CN"/>
        </w:rPr>
        <w:t>重庆市九龙坡区石坪桥街道办事处（</w:t>
      </w:r>
      <w:r>
        <w:rPr>
          <w:rFonts w:hint="eastAsia" w:ascii="方正仿宋_GBK" w:hAnsi="方正仿宋_GBK" w:eastAsia="方正仿宋_GBK" w:cs="方正仿宋_GBK"/>
          <w:color w:val="000000"/>
          <w:sz w:val="32"/>
          <w:szCs w:val="32"/>
        </w:rPr>
        <w:t>以下简称“</w:t>
      </w:r>
      <w:r>
        <w:rPr>
          <w:rFonts w:hint="eastAsia" w:ascii="方正仿宋_GBK" w:hAnsi="方正仿宋_GBK" w:cs="方正仿宋_GBK"/>
          <w:color w:val="000000"/>
          <w:sz w:val="32"/>
          <w:szCs w:val="32"/>
          <w:lang w:val="en-US" w:eastAsia="zh-CN"/>
        </w:rPr>
        <w:t>石坪桥街道</w:t>
      </w:r>
      <w:r>
        <w:rPr>
          <w:rFonts w:hint="eastAsia" w:ascii="方正仿宋_GBK" w:hAnsi="方正仿宋_GBK" w:eastAsia="方正仿宋_GBK" w:cs="方正仿宋_GBK"/>
          <w:color w:val="000000"/>
          <w:sz w:val="32"/>
          <w:szCs w:val="32"/>
        </w:rPr>
        <w:t>”</w:t>
      </w:r>
      <w:r>
        <w:rPr>
          <w:rFonts w:hint="eastAsia" w:ascii="方正仿宋_GBK" w:hAnsi="方正仿宋_GBK" w:cs="方正仿宋_GBK"/>
          <w:color w:val="000000"/>
          <w:lang w:val="en-US" w:eastAsia="zh-CN"/>
        </w:rPr>
        <w:t>），为区委、区政府的派出机构。街道工作定位是以社区建设为中心，以城市管理和社会保障为重点。以服务发展、构建和谐为目标，统筹辖区社会事务，监督专业管理，组织公共服务，指导社区工作，全面负责辖区公益性、社会性和群众性工作。其主要职责是：</w:t>
      </w:r>
    </w:p>
    <w:p>
      <w:r>
        <w:rPr>
          <w:rFonts w:hint="eastAsia"/>
        </w:rPr>
        <w:t>（一）宣传贯彻执行党的路线、方针、政策，国家的法律、法规和区委、区政府的有关决定、命令、指示；负责辖区基层党组织和群团组织建设和精神文明建设以及纪检、监察工作。</w:t>
      </w:r>
    </w:p>
    <w:p>
      <w:pPr>
        <w:rPr>
          <w:rFonts w:hint="eastAsia"/>
        </w:rPr>
      </w:pPr>
      <w:r>
        <w:rPr>
          <w:rFonts w:hint="eastAsia"/>
        </w:rPr>
        <w:t>（二）负责制定和实施辖区的社区建设发展规划，努力发展社区服务，开展社区教育。</w:t>
      </w:r>
    </w:p>
    <w:p>
      <w:pPr>
        <w:rPr>
          <w:rFonts w:hint="eastAsia"/>
        </w:rPr>
      </w:pPr>
      <w:r>
        <w:rPr>
          <w:rFonts w:hint="eastAsia"/>
        </w:rPr>
        <w:t>（三）负责指导辖区居委会的组织建设及各项工作，帮助解决居委会的困难、问题，向上级政府反映居委会的意见和要求。</w:t>
      </w:r>
    </w:p>
    <w:p>
      <w:pPr>
        <w:rPr>
          <w:rFonts w:hint="eastAsia"/>
        </w:rPr>
      </w:pPr>
      <w:r>
        <w:rPr>
          <w:rFonts w:hint="eastAsia"/>
        </w:rPr>
        <w:t>（四）负责城市管理工作，努力宣传普及全民健康教育，组织社会单位和居民开展爱国卫生运动。</w:t>
      </w:r>
    </w:p>
    <w:p>
      <w:pPr>
        <w:rPr>
          <w:rFonts w:hint="eastAsia"/>
        </w:rPr>
      </w:pPr>
      <w:r>
        <w:rPr>
          <w:rFonts w:hint="eastAsia"/>
        </w:rPr>
        <w:t>（五）负责常住人口与流动人口的计划生育宣传、教育、管理和服务工作。</w:t>
      </w:r>
    </w:p>
    <w:p>
      <w:pPr>
        <w:rPr>
          <w:rFonts w:hint="eastAsia"/>
        </w:rPr>
      </w:pPr>
      <w:r>
        <w:rPr>
          <w:rFonts w:hint="eastAsia"/>
        </w:rPr>
        <w:t>（六）负责辖区的社会治安综合治理工作；指导、协调辖区内的物业管理工作。</w:t>
      </w:r>
    </w:p>
    <w:p>
      <w:pPr>
        <w:rPr>
          <w:rFonts w:hint="eastAsia"/>
        </w:rPr>
      </w:pPr>
      <w:r>
        <w:rPr>
          <w:rFonts w:hint="eastAsia"/>
        </w:rPr>
        <w:t>（七）负责做好拥军优属、优待抚恤、社会救济、社会保障及社区文化、科普等工作。</w:t>
      </w:r>
    </w:p>
    <w:p>
      <w:pPr>
        <w:rPr>
          <w:rFonts w:hint="eastAsia"/>
        </w:rPr>
      </w:pPr>
      <w:r>
        <w:rPr>
          <w:rFonts w:hint="eastAsia"/>
        </w:rPr>
        <w:t>（八）负责辖区失业、下岗人员的管理、培训和指导就业。</w:t>
      </w:r>
    </w:p>
    <w:p>
      <w:pPr>
        <w:rPr>
          <w:rFonts w:hint="eastAsia"/>
        </w:rPr>
      </w:pPr>
      <w:r>
        <w:rPr>
          <w:rFonts w:hint="eastAsia"/>
        </w:rPr>
        <w:t>（九）承办民兵预备役、征兵、人民防空等工作。</w:t>
      </w:r>
    </w:p>
    <w:p>
      <w:pPr>
        <w:rPr>
          <w:rFonts w:hint="eastAsia"/>
        </w:rPr>
      </w:pPr>
      <w:r>
        <w:rPr>
          <w:rFonts w:hint="eastAsia"/>
        </w:rPr>
        <w:t>（十）与司法行政部门共同做好司法行政、人民调解工作，实施普法教育；办理人民群众的来信、来访，及时向市、区人民政府反映群众的意见和要求。</w:t>
      </w:r>
    </w:p>
    <w:p>
      <w:pPr>
        <w:rPr>
          <w:rFonts w:hint="eastAsia"/>
        </w:rPr>
      </w:pPr>
      <w:r>
        <w:rPr>
          <w:rFonts w:hint="eastAsia"/>
        </w:rPr>
        <w:t>（十一）配合有关部门做好国土、防火、防震、抢险救灾、安全生产等工作。</w:t>
      </w:r>
    </w:p>
    <w:p>
      <w:pPr>
        <w:rPr>
          <w:rFonts w:hint="eastAsia"/>
        </w:rPr>
      </w:pPr>
      <w:r>
        <w:rPr>
          <w:rFonts w:hint="eastAsia"/>
        </w:rPr>
        <w:t>（十二）负责人大、政协地区联络组工作，协助办理人大代表和政协委员的意见、建议，组织开展地区人大代表、政协委员的各项活动。</w:t>
      </w:r>
    </w:p>
    <w:p>
      <w:pPr>
        <w:rPr>
          <w:rFonts w:hint="eastAsia"/>
        </w:rPr>
      </w:pPr>
      <w:r>
        <w:rPr>
          <w:rFonts w:hint="eastAsia"/>
        </w:rPr>
        <w:t>（十三）维护老年人、妇女、未成年人和残疾人的合法权益，尊重少数民族的风俗习惯，保障少数民族的权益。</w:t>
      </w:r>
    </w:p>
    <w:p>
      <w:pPr>
        <w:rPr>
          <w:rFonts w:hint="default"/>
          <w:lang w:val="en-US" w:eastAsia="zh-CN"/>
        </w:rPr>
      </w:pPr>
      <w:r>
        <w:rPr>
          <w:rFonts w:hint="eastAsia"/>
        </w:rPr>
        <w:t>（十四）承办区委、区政府交办的其他事项。</w:t>
      </w:r>
    </w:p>
    <w:p>
      <w:pPr>
        <w:pStyle w:val="5"/>
        <w:pageBreakBefore w:val="0"/>
        <w:widowControl w:val="0"/>
        <w:kinsoku/>
        <w:wordWrap/>
        <w:topLinePunct w:val="0"/>
        <w:autoSpaceDE/>
        <w:autoSpaceDN/>
        <w:bidi w:val="0"/>
        <w:spacing w:before="287" w:beforeLines="100" w:after="287" w:afterLines="100" w:line="240" w:lineRule="auto"/>
        <w:ind w:firstLine="0" w:firstLineChars="0"/>
        <w:jc w:val="center"/>
        <w:textAlignment w:val="auto"/>
        <w:outlineLvl w:val="1"/>
        <w:rPr>
          <w:rFonts w:hint="default" w:ascii="楷体" w:hAnsi="楷体" w:eastAsia="楷体" w:cs="楷体"/>
          <w:b/>
          <w:bCs w:val="0"/>
          <w:color w:val="000000"/>
          <w:kern w:val="2"/>
          <w:sz w:val="32"/>
          <w:szCs w:val="20"/>
          <w:lang w:val="en-US" w:eastAsia="zh-CN" w:bidi="ar-SA"/>
        </w:rPr>
      </w:pPr>
      <w:bookmarkStart w:id="45" w:name="_Toc21275"/>
      <w:bookmarkStart w:id="46" w:name="_Toc31733"/>
      <w:r>
        <w:rPr>
          <w:rFonts w:hint="eastAsia" w:ascii="楷体" w:hAnsi="楷体" w:eastAsia="楷体" w:cs="楷体"/>
          <w:b/>
          <w:bCs w:val="0"/>
          <w:color w:val="000000"/>
          <w:kern w:val="2"/>
          <w:sz w:val="32"/>
          <w:szCs w:val="20"/>
          <w:lang w:val="en-US" w:eastAsia="zh-CN" w:bidi="ar-SA"/>
        </w:rPr>
        <w:t>2.2  地理位置</w:t>
      </w:r>
      <w:bookmarkEnd w:id="45"/>
      <w:bookmarkEnd w:id="46"/>
    </w:p>
    <w:p>
      <w:pPr>
        <w:ind w:firstLine="640"/>
        <w:rPr>
          <w:rFonts w:hint="default" w:ascii="方正仿宋_GBK" w:hAnsi="方正仿宋_GBK" w:cs="方正仿宋_GBK"/>
          <w:color w:val="000000"/>
          <w:lang w:val="en-US" w:eastAsia="zh-CN"/>
        </w:rPr>
      </w:pPr>
      <w:r>
        <w:rPr>
          <w:rFonts w:hint="eastAsia" w:ascii="方正仿宋_GBK" w:hAnsi="方正仿宋_GBK" w:cs="方正仿宋_GBK"/>
          <w:color w:val="000000"/>
          <w:lang w:eastAsia="zh-CN"/>
        </w:rPr>
        <w:t>石坪桥街道隶属于重庆市九龙坡区，</w:t>
      </w:r>
      <w:r>
        <w:rPr>
          <w:rFonts w:hint="default" w:ascii="Times New Roman" w:hAnsi="Times New Roman" w:eastAsia="方正仿宋_GBK" w:cs="Times New Roman"/>
          <w:color w:val="000000"/>
          <w:sz w:val="32"/>
          <w:szCs w:val="32"/>
        </w:rPr>
        <w:t>位于九龙坡区东北面，东临杨家坪、谢家湾街道，南连九龙街道，西北靠二郎、渝州路街道，处于成渝高速公路进出口地段，袁茄路、杨石路主干道公路穿境而过，在街道辖区内呈十字型交汇，与市区内主干道相互连通</w:t>
      </w:r>
      <w:r>
        <w:rPr>
          <w:rFonts w:hint="eastAsia" w:ascii="方正仿宋_GBK" w:hAnsi="方正仿宋_GBK" w:cs="方正仿宋_GBK"/>
          <w:color w:val="000000"/>
          <w:lang w:eastAsia="zh-CN"/>
        </w:rPr>
        <w:t>，</w:t>
      </w:r>
      <w:r>
        <w:rPr>
          <w:rFonts w:hint="default" w:ascii="Times New Roman" w:hAnsi="Times New Roman" w:eastAsia="方正仿宋_GBK" w:cs="Times New Roman"/>
          <w:color w:val="000000"/>
          <w:sz w:val="32"/>
          <w:szCs w:val="32"/>
        </w:rPr>
        <w:t>交通畅通便捷</w:t>
      </w:r>
      <w:r>
        <w:rPr>
          <w:rFonts w:hint="eastAsia" w:ascii="Times New Roman" w:hAnsi="Times New Roman" w:cs="Times New Roman"/>
          <w:color w:val="000000"/>
          <w:sz w:val="32"/>
          <w:szCs w:val="32"/>
          <w:lang w:eastAsia="zh-CN"/>
        </w:rPr>
        <w:t>，</w:t>
      </w:r>
      <w:r>
        <w:rPr>
          <w:rFonts w:hint="eastAsia" w:ascii="方正仿宋_GBK" w:hAnsi="方正仿宋_GBK" w:cs="方正仿宋_GBK"/>
          <w:color w:val="000000"/>
          <w:lang w:eastAsia="zh-CN"/>
        </w:rPr>
        <w:t>距九龙坡区人民政府驻地</w:t>
      </w:r>
      <w:r>
        <w:rPr>
          <w:rFonts w:hint="eastAsia" w:ascii="方正仿宋_GBK" w:hAnsi="方正仿宋_GBK" w:cs="方正仿宋_GBK"/>
          <w:color w:val="000000"/>
          <w:lang w:val="en-US" w:eastAsia="zh-CN"/>
        </w:rPr>
        <w:t>4km。</w:t>
      </w:r>
      <w:r>
        <w:rPr>
          <w:rFonts w:hint="eastAsia" w:ascii="方正仿宋_GBK" w:hAnsi="方正仿宋_GBK" w:cs="方正仿宋_GBK"/>
          <w:b w:val="0"/>
          <w:bCs w:val="0"/>
          <w:color w:val="000000"/>
          <w:sz w:val="32"/>
          <w:szCs w:val="32"/>
          <w:lang w:val="en-US" w:eastAsia="zh-CN"/>
        </w:rPr>
        <w:t>石坪桥街道交通位置详</w:t>
      </w:r>
      <w:r>
        <w:rPr>
          <w:rFonts w:hint="eastAsia" w:ascii="方正仿宋_GBK" w:hAnsi="方正仿宋_GBK" w:cs="方正仿宋_GBK"/>
          <w:b w:val="0"/>
          <w:bCs w:val="0"/>
          <w:color w:val="000000"/>
          <w:lang w:val="en-US" w:eastAsia="zh-CN"/>
        </w:rPr>
        <w:t>见图</w:t>
      </w:r>
      <w:r>
        <w:rPr>
          <w:rFonts w:hint="eastAsia" w:ascii="方正仿宋_GBK" w:hAnsi="方正仿宋_GBK" w:cs="方正仿宋_GBK"/>
          <w:b w:val="0"/>
          <w:bCs w:val="0"/>
          <w:color w:val="000000"/>
          <w:sz w:val="32"/>
          <w:szCs w:val="32"/>
          <w:lang w:val="en-US" w:eastAsia="zh-CN"/>
        </w:rPr>
        <w:t>2.2-1</w:t>
      </w:r>
      <w:r>
        <w:rPr>
          <w:rFonts w:hint="eastAsia" w:ascii="方正仿宋_GBK" w:hAnsi="方正仿宋_GBK" w:cs="方正仿宋_GBK"/>
          <w:b w:val="0"/>
          <w:bCs w:val="0"/>
          <w:color w:val="000000"/>
          <w:lang w:eastAsia="zh-CN"/>
        </w:rPr>
        <w:t>。</w:t>
      </w:r>
    </w:p>
    <w:p>
      <w:pPr>
        <w:pStyle w:val="38"/>
        <w:jc w:val="center"/>
        <w:rPr>
          <w:rFonts w:hint="eastAsia"/>
          <w:lang w:eastAsia="zh-CN"/>
        </w:rPr>
      </w:pPr>
      <w:r>
        <w:drawing>
          <wp:inline distT="0" distB="0" distL="114300" distR="114300">
            <wp:extent cx="5648325" cy="4110355"/>
            <wp:effectExtent l="0" t="0" r="952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648325" cy="4110355"/>
                    </a:xfrm>
                    <a:prstGeom prst="rect">
                      <a:avLst/>
                    </a:prstGeom>
                    <a:noFill/>
                    <a:ln>
                      <a:noFill/>
                    </a:ln>
                  </pic:spPr>
                </pic:pic>
              </a:graphicData>
            </a:graphic>
          </wp:inline>
        </w:drawing>
      </w:r>
    </w:p>
    <w:p>
      <w:pPr>
        <w:pStyle w:val="38"/>
        <w:jc w:val="center"/>
        <w:rPr>
          <w:rFonts w:hint="eastAsia" w:ascii="方正仿宋_GBK" w:hAnsi="方正仿宋_GBK" w:cs="方正仿宋_GBK"/>
          <w:b/>
          <w:bCs/>
          <w:color w:val="000000"/>
          <w:sz w:val="32"/>
          <w:szCs w:val="32"/>
          <w:lang w:val="en-US" w:eastAsia="zh-CN"/>
        </w:rPr>
      </w:pPr>
      <w:r>
        <w:rPr>
          <w:rFonts w:hint="eastAsia" w:ascii="方正仿宋_GBK" w:hAnsi="方正仿宋_GBK" w:cs="方正仿宋_GBK"/>
          <w:b/>
          <w:bCs/>
          <w:color w:val="000000"/>
          <w:sz w:val="32"/>
          <w:szCs w:val="32"/>
          <w:lang w:val="en-US" w:eastAsia="zh-CN"/>
        </w:rPr>
        <w:t>图2.2-1  石坪桥街道交通位置图</w:t>
      </w:r>
    </w:p>
    <w:p>
      <w:pPr>
        <w:pStyle w:val="5"/>
        <w:pageBreakBefore w:val="0"/>
        <w:widowControl w:val="0"/>
        <w:kinsoku/>
        <w:wordWrap/>
        <w:topLinePunct w:val="0"/>
        <w:autoSpaceDE/>
        <w:autoSpaceDN/>
        <w:bidi w:val="0"/>
        <w:spacing w:before="287" w:beforeLines="100" w:after="287" w:afterLines="100" w:line="240" w:lineRule="auto"/>
        <w:ind w:firstLine="0" w:firstLineChars="0"/>
        <w:jc w:val="center"/>
        <w:textAlignment w:val="auto"/>
        <w:outlineLvl w:val="1"/>
        <w:rPr>
          <w:rFonts w:hint="eastAsia" w:ascii="楷体" w:hAnsi="楷体" w:eastAsia="楷体" w:cs="楷体"/>
          <w:b/>
          <w:bCs/>
          <w:kern w:val="2"/>
          <w:sz w:val="32"/>
          <w:szCs w:val="32"/>
          <w:lang w:val="en-US" w:eastAsia="zh-CN" w:bidi="ar-SA"/>
        </w:rPr>
      </w:pPr>
      <w:bookmarkStart w:id="47" w:name="_Toc5373"/>
      <w:bookmarkStart w:id="48" w:name="_Toc16833"/>
      <w:r>
        <w:rPr>
          <w:rFonts w:hint="eastAsia" w:ascii="楷体" w:hAnsi="楷体" w:eastAsia="楷体" w:cs="楷体"/>
          <w:b/>
          <w:bCs/>
          <w:kern w:val="2"/>
          <w:sz w:val="32"/>
          <w:szCs w:val="32"/>
          <w:lang w:val="en-US" w:eastAsia="zh-CN" w:bidi="ar-SA"/>
        </w:rPr>
        <w:t>2.3  管辖范围</w:t>
      </w:r>
      <w:bookmarkEnd w:id="47"/>
      <w:bookmarkEnd w:id="48"/>
    </w:p>
    <w:p>
      <w:pPr>
        <w:ind w:firstLine="640"/>
        <w:rPr>
          <w:rFonts w:hint="default" w:ascii="Times New Roman" w:hAnsi="Times New Roman" w:eastAsia="方正仿宋_GBK" w:cs="Times New Roman"/>
          <w:color w:val="auto"/>
          <w:sz w:val="32"/>
          <w:szCs w:val="32"/>
        </w:rPr>
      </w:pPr>
      <w:r>
        <w:rPr>
          <w:rFonts w:hint="eastAsia" w:ascii="方正仿宋_GBK" w:hAnsi="方正仿宋_GBK" w:cs="方正仿宋_GBK"/>
          <w:color w:val="auto"/>
          <w:lang w:val="en-US" w:eastAsia="zh-CN"/>
        </w:rPr>
        <w:t>石坪桥街道</w:t>
      </w:r>
      <w:r>
        <w:rPr>
          <w:rFonts w:hint="default" w:ascii="Times New Roman" w:hAnsi="Times New Roman" w:eastAsia="方正仿宋_GBK" w:cs="Times New Roman"/>
          <w:color w:val="auto"/>
          <w:sz w:val="32"/>
          <w:szCs w:val="32"/>
        </w:rPr>
        <w:t>街道辖区面积3.06平方公里，辖区户籍人口6万余人，</w:t>
      </w:r>
      <w:r>
        <w:rPr>
          <w:rFonts w:hint="eastAsia" w:ascii="Times New Roman" w:hAnsi="Times New Roman" w:cs="Times New Roman"/>
          <w:color w:val="auto"/>
          <w:sz w:val="32"/>
          <w:szCs w:val="32"/>
          <w:lang w:eastAsia="zh-CN"/>
        </w:rPr>
        <w:t>常住人口</w:t>
      </w:r>
      <w:r>
        <w:rPr>
          <w:rFonts w:hint="default" w:ascii="Times New Roman" w:hAnsi="Times New Roman" w:eastAsia="方正仿宋_GBK" w:cs="Times New Roman"/>
          <w:color w:val="auto"/>
          <w:sz w:val="32"/>
          <w:szCs w:val="32"/>
        </w:rPr>
        <w:t>14万余人。辖区内有一处天然水源（桃花溪），市政消火栓43个，4</w:t>
      </w:r>
      <w:r>
        <w:rPr>
          <w:rFonts w:hint="eastAsia" w:ascii="Times New Roman" w:hAnsi="Times New Roman" w:cs="Times New Roman"/>
          <w:color w:val="auto"/>
          <w:sz w:val="32"/>
          <w:szCs w:val="32"/>
          <w:lang w:val="en-US" w:eastAsia="zh-CN"/>
        </w:rPr>
        <w:t>5</w:t>
      </w:r>
      <w:r>
        <w:rPr>
          <w:rFonts w:hint="default" w:ascii="Times New Roman" w:hAnsi="Times New Roman" w:eastAsia="方正仿宋_GBK" w:cs="Times New Roman"/>
          <w:color w:val="auto"/>
          <w:sz w:val="32"/>
          <w:szCs w:val="32"/>
        </w:rPr>
        <w:t>个住宅小区（36家物业公司），2</w:t>
      </w:r>
      <w:r>
        <w:rPr>
          <w:rFonts w:hint="eastAsia" w:ascii="Times New Roman" w:hAnsi="Times New Roman" w:cs="Times New Roman"/>
          <w:color w:val="auto"/>
          <w:sz w:val="32"/>
          <w:szCs w:val="32"/>
          <w:lang w:val="en-US" w:eastAsia="zh-CN"/>
        </w:rPr>
        <w:t>个城市</w:t>
      </w:r>
      <w:r>
        <w:rPr>
          <w:rFonts w:hint="default" w:ascii="Times New Roman" w:hAnsi="Times New Roman" w:eastAsia="方正仿宋_GBK" w:cs="Times New Roman"/>
          <w:color w:val="auto"/>
          <w:sz w:val="32"/>
          <w:szCs w:val="32"/>
        </w:rPr>
        <w:t>公园（彩云谷国际社区公园、七彩爱情谷公园），4个社区小游园（青龙村游园、石坪桥建筑村游园、桃花溪体育文化公园、石坪桥广场）</w:t>
      </w:r>
      <w:r>
        <w:rPr>
          <w:rFonts w:hint="eastAsia" w:ascii="Times New Roman" w:hAnsi="Times New Roman" w:cs="Times New Roman"/>
          <w:color w:val="auto"/>
          <w:sz w:val="32"/>
          <w:szCs w:val="32"/>
          <w:lang w:eastAsia="zh-CN"/>
        </w:rPr>
        <w:t>，</w:t>
      </w:r>
      <w:r>
        <w:rPr>
          <w:rFonts w:hint="eastAsia" w:ascii="Times New Roman" w:hAnsi="Times New Roman" w:cs="Times New Roman"/>
          <w:color w:val="auto"/>
          <w:sz w:val="32"/>
          <w:szCs w:val="32"/>
          <w:lang w:val="en-US" w:eastAsia="zh-CN"/>
        </w:rPr>
        <w:t>4</w:t>
      </w:r>
      <w:r>
        <w:rPr>
          <w:rFonts w:hint="default" w:ascii="Times New Roman" w:hAnsi="Times New Roman" w:eastAsia="方正仿宋_GBK" w:cs="Times New Roman"/>
          <w:color w:val="auto"/>
          <w:sz w:val="32"/>
          <w:szCs w:val="32"/>
        </w:rPr>
        <w:t>个超市，</w:t>
      </w:r>
      <w:r>
        <w:rPr>
          <w:rFonts w:hint="eastAsia" w:ascii="Times New Roman" w:hAnsi="Times New Roman" w:cs="Times New Roman"/>
          <w:color w:val="auto"/>
          <w:sz w:val="32"/>
          <w:szCs w:val="32"/>
          <w:lang w:val="en-US" w:eastAsia="zh-CN"/>
        </w:rPr>
        <w:t>6</w:t>
      </w:r>
      <w:r>
        <w:rPr>
          <w:rFonts w:hint="default" w:ascii="Times New Roman" w:hAnsi="Times New Roman" w:eastAsia="方正仿宋_GBK" w:cs="Times New Roman"/>
          <w:color w:val="auto"/>
          <w:sz w:val="32"/>
          <w:szCs w:val="32"/>
        </w:rPr>
        <w:t>个农贸市场，2所中学，3所小学，13所幼儿园，</w:t>
      </w:r>
      <w:r>
        <w:rPr>
          <w:rFonts w:hint="eastAsia" w:ascii="Times New Roman" w:hAnsi="Times New Roman" w:cs="Times New Roman"/>
          <w:color w:val="auto"/>
          <w:sz w:val="32"/>
          <w:szCs w:val="32"/>
          <w:lang w:val="en-US" w:eastAsia="zh-CN"/>
        </w:rPr>
        <w:t>8</w:t>
      </w:r>
      <w:r>
        <w:rPr>
          <w:rFonts w:hint="default" w:ascii="Times New Roman" w:hAnsi="Times New Roman" w:eastAsia="方正仿宋_GBK" w:cs="Times New Roman"/>
          <w:color w:val="auto"/>
          <w:sz w:val="32"/>
          <w:szCs w:val="32"/>
        </w:rPr>
        <w:t>所养老院；有九龙坡区人民医院（B区）、区妇幼保健院</w:t>
      </w:r>
      <w:r>
        <w:rPr>
          <w:rFonts w:hint="eastAsia" w:ascii="Times New Roman" w:hAnsi="Times New Roman" w:cs="Times New Roman"/>
          <w:color w:val="auto"/>
          <w:sz w:val="32"/>
          <w:szCs w:val="32"/>
          <w:lang w:eastAsia="zh-CN"/>
        </w:rPr>
        <w:t>、恒生手外科医院</w:t>
      </w:r>
      <w:r>
        <w:rPr>
          <w:rFonts w:hint="default" w:ascii="Times New Roman" w:hAnsi="Times New Roman" w:eastAsia="方正仿宋_GBK" w:cs="Times New Roman"/>
          <w:color w:val="auto"/>
          <w:sz w:val="32"/>
          <w:szCs w:val="32"/>
        </w:rPr>
        <w:t>等</w:t>
      </w:r>
      <w:r>
        <w:rPr>
          <w:rFonts w:hint="eastAsia" w:ascii="Times New Roman" w:hAnsi="Times New Roman" w:cs="Times New Roman"/>
          <w:color w:val="auto"/>
          <w:sz w:val="32"/>
          <w:szCs w:val="32"/>
          <w:lang w:val="en-US" w:eastAsia="zh-CN"/>
        </w:rPr>
        <w:t>8</w:t>
      </w:r>
      <w:r>
        <w:rPr>
          <w:rFonts w:hint="default" w:ascii="Times New Roman" w:hAnsi="Times New Roman" w:eastAsia="方正仿宋_GBK" w:cs="Times New Roman"/>
          <w:color w:val="auto"/>
          <w:sz w:val="32"/>
          <w:szCs w:val="32"/>
        </w:rPr>
        <w:t>家医疗机构。</w:t>
      </w:r>
    </w:p>
    <w:p>
      <w:pPr>
        <w:pStyle w:val="3"/>
        <w:rPr>
          <w:rFonts w:hint="eastAsia"/>
          <w:color w:val="auto"/>
          <w:lang w:val="en-US" w:eastAsia="zh-CN"/>
        </w:rPr>
      </w:pPr>
      <w:r>
        <w:rPr>
          <w:rFonts w:hint="default" w:ascii="Times New Roman" w:hAnsi="Times New Roman" w:eastAsia="方正仿宋_GBK" w:cs="Times New Roman"/>
          <w:color w:val="auto"/>
          <w:sz w:val="32"/>
          <w:szCs w:val="32"/>
        </w:rPr>
        <w:t>辖区内有区级机关及事业单位27家，市场主体8394家，其中规（限）上企业52家，规（限）下企业2608家，个体工商户5734家。辖区现在开展安全（消防）监管对象：在建工地4家、化工品经营单位122家（其中有危化品经营许可证19家（票据式经营），从事普通化工品经营商户93家）、加油站2家、天然气储罐区1处、液化石油气销售点2家，娱乐场所（KTV、网吧）19家，小诊所29家，酒店宾馆25家，生产加工企业7家，汽修（4S店）7家，汽车维修美容13家，广告印刷单位17家，仓库6家，再生资源回收站19家，</w:t>
      </w:r>
      <w:r>
        <w:rPr>
          <w:rFonts w:hint="eastAsia"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九小</w:t>
      </w:r>
      <w:r>
        <w:rPr>
          <w:rFonts w:hint="eastAsia"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场所800余家；辖区现有高层建筑163栋、地下建筑28处。</w:t>
      </w:r>
    </w:p>
    <w:p>
      <w:pPr>
        <w:pStyle w:val="5"/>
        <w:pageBreakBefore w:val="0"/>
        <w:widowControl w:val="0"/>
        <w:kinsoku/>
        <w:wordWrap/>
        <w:topLinePunct w:val="0"/>
        <w:autoSpaceDE/>
        <w:autoSpaceDN/>
        <w:bidi w:val="0"/>
        <w:spacing w:before="287" w:beforeLines="100" w:after="287" w:afterLines="100" w:line="240" w:lineRule="auto"/>
        <w:ind w:firstLine="0" w:firstLineChars="0"/>
        <w:jc w:val="center"/>
        <w:textAlignment w:val="auto"/>
        <w:outlineLvl w:val="1"/>
        <w:rPr>
          <w:rFonts w:hint="eastAsia" w:ascii="楷体" w:hAnsi="楷体" w:eastAsia="楷体" w:cs="楷体"/>
          <w:b/>
          <w:bCs/>
          <w:kern w:val="2"/>
          <w:sz w:val="32"/>
          <w:szCs w:val="32"/>
          <w:lang w:val="en-US" w:eastAsia="zh-CN" w:bidi="ar-SA"/>
        </w:rPr>
      </w:pPr>
      <w:bookmarkStart w:id="49" w:name="_Toc9352"/>
      <w:bookmarkStart w:id="50" w:name="_Toc31646"/>
      <w:r>
        <w:rPr>
          <w:rFonts w:hint="eastAsia" w:ascii="楷体" w:hAnsi="楷体" w:eastAsia="楷体" w:cs="楷体"/>
          <w:b/>
          <w:bCs/>
          <w:kern w:val="2"/>
          <w:sz w:val="32"/>
          <w:szCs w:val="32"/>
          <w:lang w:val="en-US" w:eastAsia="zh-CN" w:bidi="ar-SA"/>
        </w:rPr>
        <w:t>2.4  管理机构</w:t>
      </w:r>
      <w:bookmarkEnd w:id="49"/>
      <w:bookmarkEnd w:id="50"/>
    </w:p>
    <w:p>
      <w:pPr>
        <w:rPr>
          <w:rFonts w:hint="default" w:ascii="Times New Roman" w:hAnsi="Times New Roman" w:eastAsia="方正仿宋_GBK" w:cs="Times New Roman"/>
          <w:color w:val="000000"/>
          <w:sz w:val="32"/>
          <w:szCs w:val="32"/>
        </w:rPr>
      </w:pPr>
      <w:r>
        <w:rPr>
          <w:rFonts w:hint="eastAsia"/>
          <w:lang w:val="en-US" w:eastAsia="zh-CN"/>
        </w:rPr>
        <w:t>石坪桥</w:t>
      </w:r>
      <w:r>
        <w:rPr>
          <w:rFonts w:hint="default"/>
        </w:rPr>
        <w:t>街道</w:t>
      </w:r>
      <w:r>
        <w:rPr>
          <w:rFonts w:hint="eastAsia"/>
          <w:lang w:val="en-US" w:eastAsia="zh-CN"/>
        </w:rPr>
        <w:t>内设有</w:t>
      </w:r>
      <w:r>
        <w:rPr>
          <w:rFonts w:hint="default"/>
        </w:rPr>
        <w:t>综合办事机构</w:t>
      </w:r>
      <w:r>
        <w:rPr>
          <w:rFonts w:hint="eastAsia"/>
          <w:lang w:val="en-US" w:eastAsia="zh-CN"/>
        </w:rPr>
        <w:t>13</w:t>
      </w:r>
      <w:r>
        <w:rPr>
          <w:rFonts w:hint="default"/>
        </w:rPr>
        <w:t>个</w:t>
      </w:r>
      <w:r>
        <w:rPr>
          <w:rFonts w:hint="eastAsia"/>
          <w:lang w:eastAsia="zh-CN"/>
        </w:rPr>
        <w:t>：党政办公室、党建工作办公室、人大工委办公室（挂政协委员工作站牌子）、经济发展办公室（挂统计办公室牌子）、民政和社区事务办公室（挂卫生健康办公室、社区事务服务中心牌子）、平安建设办公室（挂社会管理信息服务中心牌子）、规划建设管理环保办公室（挂城管综合行政执法大队、综合行政执法办公室、综合行政执法大队牌子）、财政办公室、</w:t>
      </w:r>
      <w:r>
        <w:rPr>
          <w:rFonts w:hint="eastAsia"/>
          <w:lang w:val="en-US" w:eastAsia="zh-CN"/>
        </w:rPr>
        <w:t>应急管理办公室（挂安全生产委员会办公室牌子）</w:t>
      </w:r>
      <w:r>
        <w:rPr>
          <w:rFonts w:hint="eastAsia"/>
          <w:lang w:eastAsia="zh-CN"/>
        </w:rPr>
        <w:t>、社区文化服务中心、劳动就业和社会保障服务所、退役军人服务站、物业管理服务中心（挂物业管理办公室牌子）、</w:t>
      </w:r>
      <w:r>
        <w:rPr>
          <w:rFonts w:hint="eastAsia"/>
          <w:lang w:val="en-US" w:eastAsia="zh-CN"/>
        </w:rPr>
        <w:t>等；</w:t>
      </w:r>
      <w:r>
        <w:rPr>
          <w:rFonts w:hint="default" w:ascii="Times New Roman" w:hAnsi="Times New Roman" w:eastAsia="方正仿宋_GBK" w:cs="Times New Roman"/>
          <w:color w:val="000000"/>
          <w:sz w:val="32"/>
          <w:szCs w:val="32"/>
        </w:rPr>
        <w:t>街道所属事业单位7个，区级部门派驻街道单位2个，下辖冶金村社区、横街社区、新视界社区、建筑村社区、石坪村社区、后街社区、造漆社区7个社区居委会。</w:t>
      </w:r>
    </w:p>
    <w:p>
      <w:pPr>
        <w:bidi w:val="0"/>
        <w:rPr>
          <w:rFonts w:hint="default"/>
        </w:rPr>
      </w:pPr>
      <w:r>
        <w:rPr>
          <w:rFonts w:hint="eastAsia" w:ascii="方正仿宋_GBK" w:hAnsi="方正仿宋_GBK" w:cs="方正仿宋_GBK"/>
          <w:color w:val="000000"/>
          <w:lang w:val="en-US" w:eastAsia="zh-CN"/>
        </w:rPr>
        <w:t>根据</w:t>
      </w:r>
      <w:r>
        <w:rPr>
          <w:rFonts w:hint="eastAsia" w:ascii="方正仿宋_GBK" w:hAnsi="方正仿宋_GBK" w:cs="方正仿宋_GBK"/>
          <w:color w:val="000000"/>
          <w:lang w:eastAsia="zh-CN"/>
        </w:rPr>
        <w:t>工作需要，石坪桥街道</w:t>
      </w:r>
      <w:r>
        <w:rPr>
          <w:rFonts w:hint="eastAsia" w:ascii="方正仿宋_GBK" w:hAnsi="方正仿宋_GBK" w:eastAsia="方正仿宋_GBK" w:cs="方正仿宋_GBK"/>
          <w:color w:val="000000"/>
        </w:rPr>
        <w:t>成立了安全生产委员会</w:t>
      </w:r>
      <w:r>
        <w:rPr>
          <w:rFonts w:hint="default"/>
        </w:rPr>
        <w:t>（以下简称</w:t>
      </w:r>
      <w:r>
        <w:rPr>
          <w:rFonts w:hint="eastAsia"/>
          <w:lang w:eastAsia="zh-CN"/>
        </w:rPr>
        <w:t>：</w:t>
      </w:r>
      <w:r>
        <w:rPr>
          <w:rFonts w:hint="eastAsia"/>
          <w:lang w:val="en-US" w:eastAsia="zh-CN"/>
        </w:rPr>
        <w:t>街道</w:t>
      </w:r>
      <w:r>
        <w:rPr>
          <w:rFonts w:hint="default"/>
        </w:rPr>
        <w:t>安委会），作为石坪桥街道事故灾难、自然灾害等突发事件的领导机构，明确了</w:t>
      </w:r>
      <w:r>
        <w:rPr>
          <w:rFonts w:hint="eastAsia"/>
          <w:lang w:val="en-US" w:eastAsia="zh-CN"/>
        </w:rPr>
        <w:t>街道</w:t>
      </w:r>
      <w:r>
        <w:rPr>
          <w:rFonts w:hint="default"/>
        </w:rPr>
        <w:t>安委会的主要职责；设置了街道安全生产委员会办公室（</w:t>
      </w:r>
      <w:r>
        <w:rPr>
          <w:rFonts w:hint="eastAsia"/>
          <w:lang w:val="en-US" w:eastAsia="zh-CN"/>
        </w:rPr>
        <w:t>以下</w:t>
      </w:r>
      <w:r>
        <w:rPr>
          <w:rFonts w:hint="default"/>
        </w:rPr>
        <w:t>简称：街道安委办）作为街道安委会的办事机构，与街道应急办合署办公，街道安委办主任由街道应急办主任担任，街道安委办负责</w:t>
      </w:r>
      <w:r>
        <w:rPr>
          <w:rFonts w:hint="eastAsia"/>
          <w:lang w:val="en-US" w:eastAsia="zh-CN"/>
        </w:rPr>
        <w:t>街道</w:t>
      </w:r>
      <w:r>
        <w:rPr>
          <w:rFonts w:hint="default"/>
        </w:rPr>
        <w:t>安委会的协调和日常工作。</w:t>
      </w:r>
    </w:p>
    <w:bookmarkEnd w:id="43"/>
    <w:bookmarkEnd w:id="44"/>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仿宋_GBK" w:hAnsi="方正仿宋_GBK" w:eastAsia="方正仿宋_GBK" w:cs="方正仿宋_GBK"/>
          <w:b/>
          <w:bCs/>
          <w:sz w:val="32"/>
          <w:szCs w:val="32"/>
        </w:rPr>
      </w:pPr>
      <w:bookmarkStart w:id="51" w:name="_Toc30377"/>
    </w:p>
    <w:p>
      <w:pPr>
        <w:pStyle w:val="38"/>
        <w:rPr>
          <w:rStyle w:val="36"/>
          <w:rFonts w:hint="eastAsia" w:ascii="黑体" w:hAnsi="黑体" w:eastAsia="黑体" w:cs="黑体"/>
          <w:b/>
          <w:bCs w:val="0"/>
          <w:color w:val="000000"/>
          <w:kern w:val="2"/>
          <w:sz w:val="32"/>
          <w:szCs w:val="32"/>
          <w:u w:val="none"/>
          <w:lang w:eastAsia="zh-CN"/>
        </w:rPr>
        <w:sectPr>
          <w:pgSz w:w="11906" w:h="16838"/>
          <w:pgMar w:top="1417" w:right="1418" w:bottom="1417" w:left="1587" w:header="851" w:footer="1191" w:gutter="0"/>
          <w:pgBorders>
            <w:top w:val="none" w:sz="0" w:space="0"/>
            <w:left w:val="none" w:sz="0" w:space="0"/>
            <w:bottom w:val="none" w:sz="0" w:space="0"/>
            <w:right w:val="none" w:sz="0" w:space="0"/>
          </w:pgBorders>
          <w:pgNumType w:fmt="decimal"/>
          <w:cols w:space="0" w:num="1"/>
          <w:rtlGutter w:val="0"/>
          <w:docGrid w:linePitch="286" w:charSpace="0"/>
        </w:sectPr>
      </w:pPr>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pPr>
      <w:bookmarkStart w:id="52" w:name="_Toc8327"/>
      <w:bookmarkStart w:id="53" w:name="_Toc32694"/>
      <w:r>
        <w:rPr>
          <w:rStyle w:val="36"/>
          <w:rFonts w:hint="eastAsia" w:ascii="黑体" w:hAnsi="黑体" w:eastAsia="黑体" w:cs="黑体"/>
          <w:b/>
          <w:bCs w:val="0"/>
          <w:color w:val="000000"/>
          <w:kern w:val="2"/>
          <w:sz w:val="32"/>
          <w:szCs w:val="32"/>
          <w:u w:val="none"/>
          <w:lang w:eastAsia="zh-CN"/>
        </w:rPr>
        <w:t>3</w:t>
      </w:r>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风险辨识</w:t>
      </w:r>
      <w:bookmarkEnd w:id="51"/>
      <w:bookmarkEnd w:id="52"/>
      <w:bookmarkEnd w:id="53"/>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54" w:name="_Toc13101"/>
      <w:bookmarkStart w:id="55" w:name="_Toc11371"/>
      <w:bookmarkStart w:id="56" w:name="_Toc1218"/>
      <w:r>
        <w:rPr>
          <w:rFonts w:hint="eastAsia" w:ascii="楷体" w:hAnsi="楷体" w:eastAsia="楷体" w:cs="楷体"/>
          <w:color w:val="000000"/>
        </w:rPr>
        <w:t>3.1</w:t>
      </w:r>
      <w:r>
        <w:rPr>
          <w:rFonts w:hint="eastAsia" w:ascii="楷体" w:hAnsi="楷体" w:eastAsia="楷体" w:cs="楷体"/>
          <w:color w:val="000000"/>
          <w:lang w:val="en-US" w:eastAsia="zh-CN"/>
        </w:rPr>
        <w:t xml:space="preserve">  </w:t>
      </w:r>
      <w:r>
        <w:rPr>
          <w:rFonts w:hint="eastAsia" w:ascii="楷体" w:hAnsi="楷体" w:eastAsia="楷体" w:cs="楷体"/>
          <w:color w:val="000000"/>
        </w:rPr>
        <w:t>风险辨识内容</w:t>
      </w:r>
      <w:bookmarkEnd w:id="54"/>
      <w:bookmarkEnd w:id="55"/>
      <w:bookmarkEnd w:id="56"/>
    </w:p>
    <w:p>
      <w:pPr>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辨识和确定</w:t>
      </w:r>
      <w:r>
        <w:rPr>
          <w:rFonts w:hint="eastAsia" w:ascii="方正仿宋_GBK" w:hAnsi="方正仿宋_GBK" w:cs="方正仿宋_GBK"/>
          <w:color w:val="000000"/>
          <w:lang w:eastAsia="zh-CN"/>
        </w:rPr>
        <w:t>石坪桥街道</w:t>
      </w:r>
      <w:r>
        <w:rPr>
          <w:rFonts w:hint="eastAsia" w:ascii="方正仿宋_GBK" w:hAnsi="方正仿宋_GBK" w:eastAsia="方正仿宋_GBK" w:cs="方正仿宋_GBK"/>
          <w:color w:val="000000"/>
        </w:rPr>
        <w:t>范围内可能引发自然灾害、事故灾难突发事件的所有风险，通过会商研判、实地踏勘、现场测量、专家鉴定和查阅历史资料等方式，从不同层面和角度分析、罗列、细化某区域或某事件可能发生的各种不利情况，判断其可控程度、预判其可能性等，对辨识出的各类风险进行系统归类。</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57" w:name="_Toc14197"/>
      <w:bookmarkStart w:id="58" w:name="_Toc15333"/>
      <w:bookmarkStart w:id="59" w:name="_Toc27515"/>
      <w:r>
        <w:rPr>
          <w:rFonts w:hint="eastAsia" w:ascii="楷体" w:hAnsi="楷体" w:eastAsia="楷体" w:cs="楷体"/>
          <w:color w:val="000000"/>
        </w:rPr>
        <w:t>3.2</w:t>
      </w:r>
      <w:r>
        <w:rPr>
          <w:rFonts w:hint="eastAsia" w:ascii="楷体" w:hAnsi="楷体" w:eastAsia="楷体" w:cs="楷体"/>
          <w:color w:val="000000"/>
          <w:lang w:val="en-US" w:eastAsia="zh-CN"/>
        </w:rPr>
        <w:t xml:space="preserve">  </w:t>
      </w:r>
      <w:r>
        <w:rPr>
          <w:rFonts w:hint="eastAsia" w:ascii="楷体" w:hAnsi="楷体" w:eastAsia="楷体" w:cs="楷体"/>
          <w:color w:val="000000"/>
        </w:rPr>
        <w:t>风险辨识单元</w:t>
      </w:r>
      <w:bookmarkEnd w:id="57"/>
      <w:bookmarkEnd w:id="58"/>
      <w:bookmarkEnd w:id="59"/>
    </w:p>
    <w:p>
      <w:pPr>
        <w:bidi w:val="0"/>
        <w:rPr>
          <w:rFonts w:hint="default" w:ascii="Times New Roman" w:hAnsi="Times New Roman" w:cs="Times New Roman"/>
        </w:rPr>
      </w:pPr>
      <w:r>
        <w:rPr>
          <w:rFonts w:hint="default" w:ascii="Times New Roman" w:hAnsi="Times New Roman" w:cs="Times New Roman"/>
        </w:rPr>
        <w:t>结合石坪桥街道的实际情况，对石坪桥街道范围内可能引发自然灾害、事故灾难突发事件的所有风险划分为自然灾害和事故灾难两个主单元；对自然灾害划分为水旱灾害、城市内涝、气象灾害、地震灾害、地质灾害</w:t>
      </w:r>
      <w:r>
        <w:rPr>
          <w:rFonts w:hint="default" w:ascii="Times New Roman" w:hAnsi="Times New Roman" w:cs="Times New Roman"/>
          <w:lang w:val="en-US" w:eastAsia="zh-CN"/>
        </w:rPr>
        <w:t>等</w:t>
      </w:r>
      <w:r>
        <w:rPr>
          <w:rFonts w:hint="default" w:ascii="Times New Roman" w:hAnsi="Times New Roman" w:cs="Times New Roman"/>
        </w:rPr>
        <w:t>五个分单元，对事故灾难划分为建设工程、危房、危险化学品、工商贸、火灾</w:t>
      </w:r>
      <w:r>
        <w:rPr>
          <w:rFonts w:hint="default" w:ascii="Times New Roman" w:hAnsi="Times New Roman" w:cs="Times New Roman"/>
          <w:lang w:val="en-US" w:eastAsia="zh-CN"/>
        </w:rPr>
        <w:t>等</w:t>
      </w:r>
      <w:r>
        <w:rPr>
          <w:rFonts w:hint="default" w:ascii="Times New Roman" w:hAnsi="Times New Roman" w:cs="Times New Roman"/>
        </w:rPr>
        <w:t>五个分单元。</w:t>
      </w:r>
    </w:p>
    <w:bookmarkEnd w:id="36"/>
    <w:bookmarkEnd w:id="37"/>
    <w:bookmarkEnd w:id="38"/>
    <w:bookmarkEnd w:id="39"/>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60" w:name="_Toc7973"/>
      <w:bookmarkStart w:id="61" w:name="_Toc50479400"/>
      <w:bookmarkStart w:id="62" w:name="_Toc18148"/>
      <w:bookmarkStart w:id="63" w:name="_Toc30576"/>
      <w:bookmarkStart w:id="64" w:name="_Toc30245"/>
      <w:r>
        <w:rPr>
          <w:rFonts w:hint="eastAsia" w:ascii="楷体" w:hAnsi="楷体" w:eastAsia="楷体" w:cs="楷体"/>
          <w:color w:val="000000"/>
        </w:rPr>
        <w:t>3.3</w:t>
      </w:r>
      <w:r>
        <w:rPr>
          <w:rFonts w:hint="eastAsia" w:ascii="楷体" w:hAnsi="楷体" w:eastAsia="楷体" w:cs="楷体"/>
          <w:color w:val="000000"/>
          <w:lang w:val="en-US" w:eastAsia="zh-CN"/>
        </w:rPr>
        <w:t xml:space="preserve">  </w:t>
      </w:r>
      <w:r>
        <w:rPr>
          <w:rFonts w:hint="eastAsia" w:ascii="楷体" w:hAnsi="楷体" w:eastAsia="楷体" w:cs="楷体"/>
          <w:color w:val="000000"/>
        </w:rPr>
        <w:t>风险辨识分析</w:t>
      </w:r>
      <w:bookmarkEnd w:id="60"/>
      <w:bookmarkEnd w:id="61"/>
      <w:bookmarkEnd w:id="62"/>
      <w:bookmarkEnd w:id="63"/>
      <w:bookmarkEnd w:id="64"/>
    </w:p>
    <w:p>
      <w:pPr>
        <w:pStyle w:val="6"/>
        <w:bidi w:val="0"/>
        <w:rPr>
          <w:rFonts w:hint="default"/>
          <w:b/>
          <w:bCs w:val="0"/>
        </w:rPr>
      </w:pPr>
      <w:r>
        <w:rPr>
          <w:rFonts w:hint="default"/>
          <w:b/>
          <w:bCs w:val="0"/>
        </w:rPr>
        <w:t>3.3.1 自然灾害</w:t>
      </w:r>
    </w:p>
    <w:p>
      <w:pPr>
        <w:bidi w:val="0"/>
        <w:rPr>
          <w:rFonts w:hint="default" w:ascii="Times New Roman" w:hAnsi="Times New Roman" w:cs="Times New Roman"/>
        </w:rPr>
      </w:pPr>
      <w:r>
        <w:rPr>
          <w:rFonts w:hint="default" w:ascii="Times New Roman" w:hAnsi="Times New Roman" w:cs="Times New Roman"/>
        </w:rPr>
        <w:t>（1）水旱灾害</w:t>
      </w:r>
    </w:p>
    <w:p>
      <w:pPr>
        <w:bidi w:val="0"/>
        <w:rPr>
          <w:rFonts w:hint="default" w:ascii="Times New Roman" w:hAnsi="Times New Roman" w:cs="Times New Roman"/>
        </w:rPr>
      </w:pPr>
      <w:r>
        <w:rPr>
          <w:rFonts w:hint="default" w:ascii="Times New Roman" w:hAnsi="Times New Roman" w:cs="Times New Roman"/>
        </w:rPr>
        <w:t>1）水灾</w:t>
      </w:r>
    </w:p>
    <w:p>
      <w:pPr>
        <w:bidi w:val="0"/>
        <w:rPr>
          <w:rFonts w:hint="default" w:ascii="Times New Roman" w:hAnsi="Times New Roman" w:cs="Times New Roman"/>
        </w:rPr>
      </w:pPr>
      <w:r>
        <w:rPr>
          <w:rFonts w:hint="default" w:ascii="Times New Roman" w:hAnsi="Times New Roman" w:cs="Times New Roman"/>
        </w:rPr>
        <w:t>石坪桥街道所属的九龙坡区地处四川盆地，属亚热带季风性湿润气候，水热丰富，雨热同季，日照少，无霜期长。春早多倒春寒，夏热多伏旱，秋多绵雨，冬多雾。年平均气温18.4℃</w:t>
      </w:r>
      <w:r>
        <w:rPr>
          <w:rFonts w:hint="eastAsia" w:ascii="Times New Roman" w:hAnsi="Times New Roman" w:cs="Times New Roman"/>
          <w:lang w:eastAsia="zh-CN"/>
        </w:rPr>
        <w:t>，</w:t>
      </w:r>
      <w:r>
        <w:rPr>
          <w:rFonts w:hint="default" w:ascii="Times New Roman" w:hAnsi="Times New Roman" w:cs="Times New Roman"/>
        </w:rPr>
        <w:t>气温42.2℃，气温-2.4℃，年平均降雨1151.5mm，年平均相对湿度80%，全年无霜期340天左右。街道所处区域降雨时空分配不均，降水多集中在5~9月。夏季多雷阵雨，且多为大雨或暴雨，雨量最多，雨量充沛、季节性强。</w:t>
      </w:r>
    </w:p>
    <w:p>
      <w:pPr>
        <w:bidi w:val="0"/>
        <w:rPr>
          <w:rFonts w:hint="default" w:ascii="Times New Roman" w:hAnsi="Times New Roman" w:cs="Times New Roman"/>
        </w:rPr>
      </w:pPr>
      <w:r>
        <w:rPr>
          <w:rFonts w:hint="default" w:ascii="Times New Roman" w:hAnsi="Times New Roman" w:cs="Times New Roman"/>
        </w:rPr>
        <w:t>石坪桥街道辖区内有2条河流，桃花溪发源于彩云湖，流经横街社区、后街社区、冶金村社区，桃花溪主河道流经石坪桥辖区长度3.3km；桃花溪石坪桥支流流经建筑村社区、新视界社区、石坪村社区、后街社区，桃花溪石坪桥支流流经石坪桥辖区长度1.7km，在后街汇入桃花溪，该支流全程为地下河。</w:t>
      </w:r>
    </w:p>
    <w:p>
      <w:pPr>
        <w:bidi w:val="0"/>
        <w:rPr>
          <w:rFonts w:hint="default" w:ascii="Times New Roman" w:hAnsi="Times New Roman" w:cs="Times New Roman"/>
        </w:rPr>
      </w:pPr>
      <w:r>
        <w:rPr>
          <w:rFonts w:hint="default" w:ascii="Times New Roman" w:hAnsi="Times New Roman" w:cs="Times New Roman"/>
        </w:rPr>
        <w:t>石坪桥街道范围内雨季时易发洪水险情和灾情，水灾发生机率较大。水灾主要包括以下两种情形：</w:t>
      </w:r>
    </w:p>
    <w:p>
      <w:pPr>
        <w:bidi w:val="0"/>
        <w:rPr>
          <w:rFonts w:hint="default" w:ascii="Times New Roman" w:hAnsi="Times New Roman" w:cs="Times New Roman"/>
        </w:rPr>
      </w:pPr>
      <w:r>
        <w:rPr>
          <w:rFonts w:hint="default" w:ascii="Times New Roman" w:hAnsi="Times New Roman" w:cs="Times New Roman"/>
        </w:rPr>
        <w:t>①降暴雨导致</w:t>
      </w:r>
      <w:r>
        <w:rPr>
          <w:rFonts w:hint="default" w:ascii="Times New Roman" w:hAnsi="Times New Roman" w:cs="Times New Roman"/>
          <w:lang w:val="en-US" w:eastAsia="zh-CN"/>
        </w:rPr>
        <w:t>桃花溪</w:t>
      </w:r>
      <w:r>
        <w:rPr>
          <w:rFonts w:hint="default" w:ascii="Times New Roman" w:hAnsi="Times New Roman" w:cs="Times New Roman"/>
        </w:rPr>
        <w:t>水位</w:t>
      </w:r>
      <w:r>
        <w:rPr>
          <w:rFonts w:hint="default" w:ascii="Times New Roman" w:hAnsi="Times New Roman" w:cs="Times New Roman"/>
          <w:lang w:val="en-US" w:eastAsia="zh-CN"/>
        </w:rPr>
        <w:t>猛涨</w:t>
      </w:r>
      <w:r>
        <w:rPr>
          <w:rFonts w:hint="default" w:ascii="Times New Roman" w:hAnsi="Times New Roman" w:cs="Times New Roman"/>
        </w:rPr>
        <w:t>，发生洪水灾害。</w:t>
      </w:r>
    </w:p>
    <w:p>
      <w:pPr>
        <w:bidi w:val="0"/>
        <w:rPr>
          <w:rFonts w:hint="default" w:ascii="Times New Roman" w:hAnsi="Times New Roman" w:cs="Times New Roman"/>
        </w:rPr>
      </w:pPr>
      <w:r>
        <w:rPr>
          <w:rFonts w:hint="default" w:ascii="Times New Roman" w:hAnsi="Times New Roman" w:cs="Times New Roman"/>
        </w:rPr>
        <w:t>②区域内个别低洼地带因排水管沟堵塞未及时清理，暴雨时容易发生内涝灾害。</w:t>
      </w:r>
    </w:p>
    <w:p>
      <w:pPr>
        <w:bidi w:val="0"/>
        <w:rPr>
          <w:rFonts w:hint="default" w:ascii="Times New Roman" w:hAnsi="Times New Roman" w:cs="Times New Roman"/>
        </w:rPr>
      </w:pPr>
      <w:r>
        <w:rPr>
          <w:rFonts w:hint="default" w:ascii="Times New Roman" w:hAnsi="Times New Roman" w:cs="Times New Roman"/>
        </w:rPr>
        <w:t>2）旱灾</w:t>
      </w:r>
    </w:p>
    <w:p>
      <w:pPr>
        <w:bidi w:val="0"/>
        <w:rPr>
          <w:rFonts w:hint="default" w:ascii="Times New Roman" w:hAnsi="Times New Roman" w:cs="Times New Roman"/>
        </w:rPr>
      </w:pPr>
      <w:r>
        <w:rPr>
          <w:rFonts w:hint="default" w:ascii="Times New Roman" w:hAnsi="Times New Roman" w:cs="Times New Roman"/>
        </w:rPr>
        <w:t>石坪桥街道位于九龙坡区，行政辖区内的7个社区均处于城市区域，无耕地、农田等。范围内季节差异较大，一年四季都有旱情发生，尤其以夏旱和伏旱为重，具有持续时间长的特点，可能引发城市缺水等事件。</w:t>
      </w:r>
    </w:p>
    <w:p>
      <w:pPr>
        <w:bidi w:val="0"/>
        <w:rPr>
          <w:rFonts w:hint="default" w:ascii="Times New Roman" w:hAnsi="Times New Roman" w:cs="Times New Roman"/>
        </w:rPr>
      </w:pPr>
      <w:r>
        <w:rPr>
          <w:rFonts w:hint="default" w:ascii="Times New Roman" w:hAnsi="Times New Roman" w:cs="Times New Roman"/>
        </w:rPr>
        <w:t>（2）城市内涝</w:t>
      </w:r>
    </w:p>
    <w:p>
      <w:pPr>
        <w:bidi w:val="0"/>
        <w:rPr>
          <w:rFonts w:hint="default" w:ascii="Times New Roman" w:hAnsi="Times New Roman" w:cs="Times New Roman"/>
          <w:lang w:eastAsia="zh-CN"/>
        </w:rPr>
      </w:pPr>
      <w:r>
        <w:rPr>
          <w:rFonts w:hint="default" w:ascii="Times New Roman" w:hAnsi="Times New Roman" w:cs="Times New Roman"/>
        </w:rPr>
        <w:t>石坪桥街道辖区内</w:t>
      </w:r>
      <w:r>
        <w:rPr>
          <w:rFonts w:hint="default" w:ascii="Times New Roman" w:hAnsi="Times New Roman" w:cs="Times New Roman"/>
          <w:lang w:val="en-US" w:eastAsia="zh-CN"/>
        </w:rPr>
        <w:t>目前有7处</w:t>
      </w:r>
      <w:r>
        <w:rPr>
          <w:rFonts w:hint="default" w:ascii="Times New Roman" w:hAnsi="Times New Roman" w:cs="Times New Roman"/>
        </w:rPr>
        <w:t>地势相对较低，</w:t>
      </w:r>
      <w:r>
        <w:rPr>
          <w:rFonts w:hint="default" w:ascii="Times New Roman" w:hAnsi="Times New Roman" w:cs="Times New Roman"/>
          <w:lang w:val="en-US" w:eastAsia="zh-CN"/>
        </w:rPr>
        <w:t>分别位于青龙村6号（黄花园酱油厂）、五一新村一号门口（原机电校门口）、怡然大厦、九杨兴村1栋、横街特6号停车库外、冶金三村41栋后边坡、桃花溪旁锦尚路，</w:t>
      </w:r>
      <w:r>
        <w:rPr>
          <w:rFonts w:hint="default" w:ascii="Times New Roman" w:hAnsi="Times New Roman" w:cs="Times New Roman"/>
        </w:rPr>
        <w:t>在汛期暴雨来临时，</w:t>
      </w:r>
      <w:r>
        <w:rPr>
          <w:rFonts w:hint="default" w:ascii="Times New Roman" w:hAnsi="Times New Roman" w:cs="Times New Roman"/>
          <w:lang w:val="en-US" w:eastAsia="zh-CN"/>
        </w:rPr>
        <w:t>若</w:t>
      </w:r>
      <w:r>
        <w:rPr>
          <w:rFonts w:hint="default" w:ascii="Times New Roman" w:hAnsi="Times New Roman" w:cs="Times New Roman"/>
        </w:rPr>
        <w:t>排水不畅，</w:t>
      </w:r>
      <w:r>
        <w:rPr>
          <w:rFonts w:hint="default" w:ascii="Times New Roman" w:hAnsi="Times New Roman" w:cs="Times New Roman"/>
          <w:lang w:val="en-US" w:eastAsia="zh-CN"/>
        </w:rPr>
        <w:t>该区域</w:t>
      </w:r>
      <w:r>
        <w:rPr>
          <w:rFonts w:hint="default" w:ascii="Times New Roman" w:hAnsi="Times New Roman" w:cs="Times New Roman"/>
        </w:rPr>
        <w:t>可能发生积水、内涝</w:t>
      </w:r>
      <w:r>
        <w:rPr>
          <w:rFonts w:hint="default" w:ascii="Times New Roman" w:hAnsi="Times New Roman" w:cs="Times New Roman"/>
          <w:lang w:eastAsia="zh-CN"/>
        </w:rPr>
        <w:t>。</w:t>
      </w:r>
    </w:p>
    <w:p>
      <w:pPr>
        <w:bidi w:val="0"/>
        <w:rPr>
          <w:rFonts w:hint="default" w:ascii="Times New Roman" w:hAnsi="Times New Roman" w:cs="Times New Roman"/>
        </w:rPr>
      </w:pPr>
      <w:r>
        <w:rPr>
          <w:rFonts w:hint="default" w:ascii="Times New Roman" w:hAnsi="Times New Roman" w:cs="Times New Roman"/>
        </w:rPr>
        <w:t>（3）气象灾害</w:t>
      </w:r>
    </w:p>
    <w:p>
      <w:pPr>
        <w:bidi w:val="0"/>
        <w:rPr>
          <w:rFonts w:hint="default" w:ascii="Times New Roman" w:hAnsi="Times New Roman" w:cs="Times New Roman"/>
        </w:rPr>
      </w:pPr>
      <w:r>
        <w:rPr>
          <w:rFonts w:hint="default" w:ascii="Times New Roman" w:hAnsi="Times New Roman" w:cs="Times New Roman"/>
        </w:rPr>
        <w:t>石坪桥街道范围内属亚热带季风气候区，气象灾害具有种类多、频率高、分布广、危害大、损失重的特点；可能发生的自然灾害有暴雨、暴雪、寒潮、大风、高温、雷电、冰雹、大雾等。</w:t>
      </w:r>
    </w:p>
    <w:p>
      <w:pPr>
        <w:bidi w:val="0"/>
        <w:rPr>
          <w:rFonts w:hint="default" w:ascii="Times New Roman" w:hAnsi="Times New Roman" w:cs="Times New Roman"/>
        </w:rPr>
      </w:pPr>
      <w:r>
        <w:rPr>
          <w:rFonts w:hint="default" w:ascii="Times New Roman" w:hAnsi="Times New Roman" w:cs="Times New Roman"/>
        </w:rPr>
        <w:t>石坪桥街道地处重庆西部槽谷地带，受四川盆地西南涡的影响，发生最为频繁的气象灾害为暴雨和大暴雨。</w:t>
      </w:r>
    </w:p>
    <w:p>
      <w:pPr>
        <w:bidi w:val="0"/>
        <w:rPr>
          <w:rFonts w:hint="default" w:ascii="Times New Roman" w:hAnsi="Times New Roman" w:cs="Times New Roman"/>
        </w:rPr>
      </w:pPr>
      <w:r>
        <w:rPr>
          <w:rFonts w:hint="default" w:ascii="Times New Roman" w:hAnsi="Times New Roman" w:cs="Times New Roman"/>
        </w:rPr>
        <w:t>春末夏初大风和冰雹灾害频繁，威胁群众住房、工商业用房和人身安全、车辆等财产的安全。</w:t>
      </w:r>
    </w:p>
    <w:p>
      <w:pPr>
        <w:bidi w:val="0"/>
        <w:rPr>
          <w:rFonts w:hint="default" w:ascii="Times New Roman" w:hAnsi="Times New Roman" w:cs="Times New Roman"/>
        </w:rPr>
      </w:pPr>
      <w:r>
        <w:rPr>
          <w:rFonts w:hint="default" w:ascii="Times New Roman" w:hAnsi="Times New Roman" w:cs="Times New Roman"/>
        </w:rPr>
        <w:t>（4）地震灾害</w:t>
      </w:r>
    </w:p>
    <w:p>
      <w:pPr>
        <w:bidi w:val="0"/>
        <w:rPr>
          <w:rFonts w:hint="default" w:ascii="Times New Roman" w:hAnsi="Times New Roman" w:cs="Times New Roman"/>
        </w:rPr>
      </w:pPr>
      <w:r>
        <w:rPr>
          <w:rFonts w:hint="default" w:ascii="Times New Roman" w:hAnsi="Times New Roman" w:cs="Times New Roman"/>
        </w:rPr>
        <w:t>根据《中国地震动参数区划图》（GB18306-2001），石坪桥街道地震峰值加速度0.05g，地震动反应谱特征周期0.35s，地震基本烈度为VI度。</w:t>
      </w:r>
    </w:p>
    <w:p>
      <w:pPr>
        <w:bidi w:val="0"/>
        <w:rPr>
          <w:rFonts w:hint="default" w:ascii="Times New Roman" w:hAnsi="Times New Roman" w:cs="Times New Roman"/>
        </w:rPr>
      </w:pPr>
      <w:r>
        <w:rPr>
          <w:rFonts w:hint="default" w:ascii="Times New Roman" w:hAnsi="Times New Roman" w:cs="Times New Roman"/>
        </w:rPr>
        <w:t>石坪桥街道未处于地震带上，地震活动以中小地震为主，不存在7级及以上地震的构造背景，地震烈度影响不会超过VI度，地震时可能造成个别砖混房屋轻微破坏。</w:t>
      </w:r>
    </w:p>
    <w:p>
      <w:pPr>
        <w:bidi w:val="0"/>
        <w:rPr>
          <w:rFonts w:hint="default" w:ascii="Times New Roman" w:hAnsi="Times New Roman" w:cs="Times New Roman"/>
        </w:rPr>
      </w:pPr>
      <w:r>
        <w:rPr>
          <w:rFonts w:hint="default" w:ascii="Times New Roman" w:hAnsi="Times New Roman" w:cs="Times New Roman"/>
        </w:rPr>
        <w:t>（5）地质灾害</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石坪桥街道辖区内目前没有区级挂牌的地质灾害点，但存在个别安全隐患，存在安全隐患的点为：</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①</w:t>
      </w:r>
      <w:r>
        <w:rPr>
          <w:rFonts w:hint="default" w:ascii="Times New Roman" w:hAnsi="Times New Roman" w:cs="Times New Roman"/>
          <w:lang w:val="en-US" w:eastAsia="zh-CN"/>
        </w:rPr>
        <w:t>建筑村社区横街7号2栋前有一堡坎上部因年久失修，每逢下雨，都有泥土掉落，雨季时节这种情况更为突出。</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②</w:t>
      </w:r>
      <w:r>
        <w:rPr>
          <w:rFonts w:hint="default" w:ascii="Times New Roman" w:hAnsi="Times New Roman" w:cs="Times New Roman"/>
          <w:lang w:val="en-US" w:eastAsia="zh-CN"/>
        </w:rPr>
        <w:t>造漆村3栋旁边有一处护栏倾斜，存在垮塌风险。</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③</w:t>
      </w:r>
      <w:r>
        <w:rPr>
          <w:rFonts w:hint="default" w:ascii="Times New Roman" w:hAnsi="Times New Roman" w:cs="Times New Roman"/>
          <w:lang w:val="en-US" w:eastAsia="zh-CN"/>
        </w:rPr>
        <w:t>建筑村社区融信工地和九杨兴村8栋之间的边坡存在土石掉落，当前影响范围在施工区域中，未来就在市政道路边上。</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④</w:t>
      </w:r>
      <w:r>
        <w:rPr>
          <w:rFonts w:hint="default" w:ascii="Times New Roman" w:hAnsi="Times New Roman" w:cs="Times New Roman"/>
          <w:lang w:val="en-US" w:eastAsia="zh-CN"/>
        </w:rPr>
        <w:t>冶金村社区冶金三村便民市场梯坎（治安亭方向）围墙出现大裂缝，有倾倒风险。</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⑤</w:t>
      </w:r>
      <w:r>
        <w:rPr>
          <w:rFonts w:hint="default" w:ascii="Times New Roman" w:hAnsi="Times New Roman" w:cs="Times New Roman"/>
          <w:lang w:val="en-US" w:eastAsia="zh-CN"/>
        </w:rPr>
        <w:t>冶金村社区冶金三村40栋背后边坡在汛期存在土石滑落情况。</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石坪桥街道</w:t>
      </w:r>
      <w:r>
        <w:rPr>
          <w:rFonts w:hint="default" w:ascii="Times New Roman" w:hAnsi="Times New Roman" w:cs="Times New Roman"/>
        </w:rPr>
        <w:t>地质灾害主要有地面崩塌、地面沉降和地裂缝等类型，每年汛期暴雨和洪水是地质灾害发生的主要诱因。</w:t>
      </w:r>
    </w:p>
    <w:p>
      <w:pPr>
        <w:pStyle w:val="6"/>
        <w:bidi w:val="0"/>
        <w:rPr>
          <w:rFonts w:hint="default"/>
        </w:rPr>
      </w:pPr>
      <w:r>
        <w:rPr>
          <w:rFonts w:hint="default"/>
          <w:b/>
          <w:bCs w:val="0"/>
        </w:rPr>
        <w:t>3.3.2 事故灾难</w:t>
      </w:r>
    </w:p>
    <w:p>
      <w:pPr>
        <w:bidi w:val="0"/>
        <w:rPr>
          <w:rFonts w:hint="eastAsia" w:ascii="Times New Roman" w:hAnsi="Times New Roman" w:eastAsia="方正仿宋_GBK" w:cs="Times New Roman"/>
          <w:lang w:eastAsia="zh-CN"/>
        </w:rPr>
      </w:pPr>
      <w:r>
        <w:rPr>
          <w:rFonts w:hint="default" w:ascii="Times New Roman" w:hAnsi="Times New Roman" w:cs="Times New Roman"/>
        </w:rPr>
        <w:t>（1）建设</w:t>
      </w:r>
      <w:r>
        <w:rPr>
          <w:rFonts w:hint="eastAsia" w:ascii="Times New Roman" w:hAnsi="Times New Roman" w:cs="Times New Roman"/>
          <w:lang w:val="en-US" w:eastAsia="zh-CN"/>
        </w:rPr>
        <w:t>工程</w:t>
      </w:r>
    </w:p>
    <w:p>
      <w:pPr>
        <w:bidi w:val="0"/>
        <w:rPr>
          <w:rFonts w:hint="default" w:ascii="Times New Roman" w:hAnsi="Times New Roman" w:cs="Times New Roman"/>
        </w:rPr>
      </w:pPr>
      <w:r>
        <w:rPr>
          <w:rFonts w:hint="default" w:ascii="Times New Roman" w:hAnsi="Times New Roman" w:cs="Times New Roman"/>
        </w:rPr>
        <w:t>据不完全统计，石坪桥街道范围内现有建筑施工单位4家，随着城市建设的快速发展，范围内基础设施建设、建筑施工等项目逐渐增多，作业活动过程中可能发生物体打击、车辆伤害、机械伤害、起重伤害、触电、火灾、高处坠落、坍塌、中毒和窒息等房屋建筑与市政工程设施安全事故。</w:t>
      </w:r>
    </w:p>
    <w:p>
      <w:pPr>
        <w:bidi w:val="0"/>
        <w:rPr>
          <w:rFonts w:hint="default" w:ascii="Times New Roman" w:hAnsi="Times New Roman" w:cs="Times New Roman"/>
        </w:rPr>
      </w:pPr>
      <w:r>
        <w:rPr>
          <w:rFonts w:hint="default" w:ascii="Times New Roman" w:hAnsi="Times New Roman" w:cs="Times New Roman"/>
        </w:rPr>
        <w:t>（2）危房</w:t>
      </w:r>
    </w:p>
    <w:p>
      <w:pPr>
        <w:bidi w:val="0"/>
        <w:rPr>
          <w:rFonts w:hint="default" w:ascii="Times New Roman" w:hAnsi="Times New Roman" w:cs="Times New Roman"/>
        </w:rPr>
      </w:pPr>
      <w:r>
        <w:rPr>
          <w:rFonts w:hint="default" w:ascii="Times New Roman" w:hAnsi="Times New Roman" w:cs="Times New Roman"/>
        </w:rPr>
        <w:t>据不完全统计，石坪桥街道范围内目前有D级危房（自建房5栋、约1325平方米）</w:t>
      </w:r>
      <w:r>
        <w:rPr>
          <w:rFonts w:hint="eastAsia" w:ascii="Times New Roman" w:hAnsi="Times New Roman" w:cs="Times New Roman"/>
          <w:lang w:eastAsia="zh-CN"/>
        </w:rPr>
        <w:t>；</w:t>
      </w:r>
      <w:r>
        <w:rPr>
          <w:rFonts w:hint="default" w:ascii="Times New Roman" w:hAnsi="Times New Roman" w:cs="Times New Roman"/>
        </w:rPr>
        <w:t>C级危房</w:t>
      </w:r>
      <w:r>
        <w:rPr>
          <w:rFonts w:hint="eastAsia" w:ascii="Times New Roman" w:hAnsi="Times New Roman" w:cs="Times New Roman"/>
          <w:lang w:val="en-US" w:eastAsia="zh-CN"/>
        </w:rPr>
        <w:t>6栋，约2853平方米，其中自建房、C级危房5栋，约1145平方米。</w:t>
      </w:r>
      <w:r>
        <w:rPr>
          <w:rFonts w:hint="default" w:ascii="Times New Roman" w:hAnsi="Times New Roman" w:cs="Times New Roman"/>
        </w:rPr>
        <w:t>街道辖区城镇规划区域内国有土地上已建成交付正常使用并具有合法产权的房屋结构严重损坏（鉴定为属C、D级的危旧房屋为重点），可能发生倒塌、坍塌事故，威胁人民群众生命财产安全和公共安全。</w:t>
      </w:r>
    </w:p>
    <w:p>
      <w:pPr>
        <w:bidi w:val="0"/>
        <w:rPr>
          <w:rFonts w:hint="default" w:ascii="Times New Roman" w:hAnsi="Times New Roman" w:cs="Times New Roman"/>
        </w:rPr>
      </w:pPr>
      <w:r>
        <w:rPr>
          <w:rFonts w:hint="default" w:ascii="Times New Roman" w:hAnsi="Times New Roman" w:cs="Times New Roman"/>
        </w:rPr>
        <w:t>（3）危险化学品</w:t>
      </w:r>
    </w:p>
    <w:p>
      <w:pPr>
        <w:bidi w:val="0"/>
        <w:rPr>
          <w:rFonts w:hint="default" w:ascii="Times New Roman" w:hAnsi="Times New Roman" w:cs="Times New Roman"/>
        </w:rPr>
      </w:pPr>
      <w:r>
        <w:rPr>
          <w:rFonts w:hint="default" w:ascii="Times New Roman" w:hAnsi="Times New Roman" w:cs="Times New Roman"/>
        </w:rPr>
        <w:t>据不完全统计，石坪桥街道范围内现有化工品经营单位1</w:t>
      </w:r>
      <w:r>
        <w:rPr>
          <w:rFonts w:hint="eastAsia" w:ascii="Times New Roman" w:hAnsi="Times New Roman" w:cs="Times New Roman"/>
          <w:lang w:val="en-US" w:eastAsia="zh-CN"/>
        </w:rPr>
        <w:t>2</w:t>
      </w:r>
      <w:r>
        <w:rPr>
          <w:rFonts w:hint="default" w:ascii="Times New Roman" w:hAnsi="Times New Roman" w:cs="Times New Roman"/>
        </w:rPr>
        <w:t>2家</w:t>
      </w:r>
      <w:r>
        <w:rPr>
          <w:rFonts w:hint="default" w:ascii="Times New Roman" w:hAnsi="Times New Roman" w:cs="Times New Roman"/>
          <w:lang w:eastAsia="zh-CN"/>
        </w:rPr>
        <w:t>，</w:t>
      </w:r>
      <w:r>
        <w:rPr>
          <w:rFonts w:hint="default" w:ascii="Times New Roman" w:hAnsi="Times New Roman" w:cs="Times New Roman"/>
        </w:rPr>
        <w:t>其中有危化品经营许可证1</w:t>
      </w:r>
      <w:r>
        <w:rPr>
          <w:rFonts w:hint="eastAsia" w:ascii="Times New Roman" w:hAnsi="Times New Roman" w:cs="Times New Roman"/>
          <w:lang w:val="en-US" w:eastAsia="zh-CN"/>
        </w:rPr>
        <w:t>9</w:t>
      </w:r>
      <w:r>
        <w:rPr>
          <w:rFonts w:hint="default" w:ascii="Times New Roman" w:hAnsi="Times New Roman" w:cs="Times New Roman"/>
        </w:rPr>
        <w:t>家（票据式经营），从事普通化工品经营商户</w:t>
      </w:r>
      <w:r>
        <w:rPr>
          <w:rFonts w:hint="eastAsia" w:ascii="Times New Roman" w:hAnsi="Times New Roman" w:cs="Times New Roman"/>
          <w:lang w:val="en-US" w:eastAsia="zh-CN"/>
        </w:rPr>
        <w:t>93</w:t>
      </w:r>
      <w:r>
        <w:rPr>
          <w:rFonts w:hint="default" w:ascii="Times New Roman" w:hAnsi="Times New Roman" w:cs="Times New Roman"/>
        </w:rPr>
        <w:t>家</w:t>
      </w:r>
      <w:r>
        <w:rPr>
          <w:rFonts w:hint="default" w:ascii="Times New Roman" w:hAnsi="Times New Roman" w:cs="Times New Roman"/>
          <w:lang w:eastAsia="zh-CN"/>
        </w:rPr>
        <w:t>（</w:t>
      </w:r>
      <w:r>
        <w:rPr>
          <w:rFonts w:hint="default" w:ascii="Times New Roman" w:hAnsi="Times New Roman" w:cs="Times New Roman"/>
          <w:lang w:val="en-US" w:eastAsia="zh-CN"/>
        </w:rPr>
        <w:t>未取得危险化学品经营许可证</w:t>
      </w:r>
      <w:r>
        <w:rPr>
          <w:rFonts w:hint="default" w:ascii="Times New Roman" w:hAnsi="Times New Roman" w:cs="Times New Roman"/>
          <w:lang w:eastAsia="zh-CN"/>
        </w:rPr>
        <w:t>）</w:t>
      </w:r>
      <w:r>
        <w:rPr>
          <w:rFonts w:hint="default" w:ascii="Times New Roman" w:hAnsi="Times New Roman" w:cs="Times New Roman"/>
        </w:rPr>
        <w:t>、加油站</w:t>
      </w:r>
      <w:r>
        <w:rPr>
          <w:rFonts w:hint="eastAsia" w:ascii="Times New Roman" w:hAnsi="Times New Roman" w:cs="Times New Roman"/>
          <w:lang w:val="en-US" w:eastAsia="zh-CN"/>
        </w:rPr>
        <w:t>2</w:t>
      </w:r>
      <w:r>
        <w:rPr>
          <w:rFonts w:hint="default" w:ascii="Times New Roman" w:hAnsi="Times New Roman" w:cs="Times New Roman"/>
        </w:rPr>
        <w:t>家、液化石油气销售点2家</w:t>
      </w:r>
      <w:r>
        <w:rPr>
          <w:rFonts w:hint="eastAsia" w:ascii="Times New Roman" w:hAnsi="Times New Roman" w:cs="Times New Roman"/>
          <w:lang w:eastAsia="zh-CN"/>
        </w:rPr>
        <w:t>、</w:t>
      </w:r>
      <w:r>
        <w:rPr>
          <w:rFonts w:hint="default" w:ascii="Times New Roman" w:hAnsi="Times New Roman" w:cs="Times New Roman"/>
        </w:rPr>
        <w:t>天然气储罐区1处。</w:t>
      </w:r>
    </w:p>
    <w:p>
      <w:pPr>
        <w:bidi w:val="0"/>
        <w:rPr>
          <w:rFonts w:hint="default" w:ascii="Times New Roman" w:hAnsi="Times New Roman" w:cs="Times New Roman"/>
        </w:rPr>
      </w:pPr>
      <w:r>
        <w:rPr>
          <w:rFonts w:hint="default" w:ascii="Times New Roman" w:hAnsi="Times New Roman" w:cs="Times New Roman"/>
        </w:rPr>
        <w:t>根据《危险化学品重大危险源辨识》（GB 18218-2018）的相关规定，对石坪桥街道范围内现有危险化学品储存、经营企业进行危险化学品重大危险源辨识。经辨识，发现石坪桥街道范围内不存在危险化学品重大危险源。</w:t>
      </w:r>
    </w:p>
    <w:p>
      <w:pPr>
        <w:bidi w:val="0"/>
        <w:rPr>
          <w:rFonts w:hint="default" w:ascii="Times New Roman" w:hAnsi="Times New Roman" w:cs="Times New Roman"/>
        </w:rPr>
      </w:pPr>
      <w:r>
        <w:rPr>
          <w:rFonts w:hint="default" w:ascii="Times New Roman" w:hAnsi="Times New Roman" w:cs="Times New Roman"/>
        </w:rPr>
        <w:t>危险化学品领域从业人员不稳定、安全意识差，管理人员素质较差，个别设备老化，安全装备和设施配备不足，可能发生危险化学品爆炸、泄漏、火灾、容器爆炸、中毒和窒息、灼烫等事故。</w:t>
      </w:r>
    </w:p>
    <w:p>
      <w:pPr>
        <w:adjustRightInd w:val="0"/>
        <w:snapToGrid w:val="0"/>
        <w:spacing w:line="60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（4）工商贸</w:t>
      </w:r>
    </w:p>
    <w:p>
      <w:pPr>
        <w:adjustRightInd w:val="0"/>
        <w:snapToGrid w:val="0"/>
        <w:spacing w:line="600" w:lineRule="exact"/>
        <w:ind w:firstLine="640" w:firstLineChars="200"/>
        <w:rPr>
          <w:rFonts w:hint="eastAsia"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auto"/>
          <w:sz w:val="32"/>
          <w:szCs w:val="32"/>
        </w:rPr>
        <w:t>据不完全统计，石坪桥街道辖区市场主体8394家，其中规（限）上企业52家，规（限）下企业2608家，个体工商户5734家。辖区现在开展安全（消防）监管对象：在建工地4家、化工品经营单位122家（其中有危化品经营许可证19家（票据式经营），从事普通化工品经营商户93家）、加油站2家、天然气储罐区1处、液化石油气销售点2家，娱乐场所（KTV、网吧）19家，小诊所29家，酒店宾馆25家，生产加工企业7家，汽修（4S店）7家，汽车维修美容13家，广告印刷单位17家，仓库6家，再生资源回收站19家，</w:t>
      </w:r>
      <w:r>
        <w:rPr>
          <w:rFonts w:hint="eastAsia"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九小</w:t>
      </w:r>
      <w:r>
        <w:rPr>
          <w:rFonts w:hint="eastAsia"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场所800余家</w:t>
      </w:r>
      <w:r>
        <w:rPr>
          <w:rFonts w:hint="eastAsia" w:ascii="Times New Roman" w:hAnsi="Times New Roman" w:cs="Times New Roman"/>
          <w:color w:val="auto"/>
          <w:sz w:val="32"/>
          <w:szCs w:val="32"/>
          <w:lang w:eastAsia="zh-CN"/>
        </w:rPr>
        <w:t>。</w:t>
      </w:r>
    </w:p>
    <w:p>
      <w:pPr>
        <w:adjustRightInd w:val="0"/>
        <w:snapToGrid w:val="0"/>
        <w:spacing w:line="60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工商贸领域涉及的行业多、范围广，具有人员产业和企业集聚、人员密集的特点，存在从业人员素质参差不齐、管理人员安全意识不到位、安全设施不完善、总体布局规划不尽合理等现象，可能发生物体打击、车辆伤害、机械伤害、触电、淹溺、灼烫、火灾、高处坠落、坍塌、中毒和窒息、拥挤踩踏等事故和事件。</w:t>
      </w:r>
    </w:p>
    <w:p>
      <w:pPr>
        <w:adjustRightInd w:val="0"/>
        <w:snapToGrid w:val="0"/>
        <w:spacing w:line="60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（5）火灾</w:t>
      </w:r>
    </w:p>
    <w:p>
      <w:pPr>
        <w:adjustRightInd w:val="0"/>
        <w:snapToGrid w:val="0"/>
        <w:spacing w:line="600" w:lineRule="exact"/>
        <w:ind w:firstLine="640" w:firstLineChars="200"/>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auto"/>
          <w:sz w:val="32"/>
          <w:szCs w:val="32"/>
        </w:rPr>
        <w:t>据不完全统计，石坪桥街道辖区面积3.06km</w:t>
      </w:r>
      <w:r>
        <w:rPr>
          <w:rFonts w:hint="default" w:ascii="Times New Roman" w:hAnsi="Times New Roman" w:eastAsia="方正仿宋_GBK" w:cs="Times New Roman"/>
          <w:color w:val="auto"/>
          <w:sz w:val="32"/>
          <w:szCs w:val="32"/>
          <w:vertAlign w:val="superscript"/>
        </w:rPr>
        <w:t>2</w:t>
      </w:r>
      <w:r>
        <w:rPr>
          <w:rFonts w:hint="default" w:ascii="Times New Roman" w:hAnsi="Times New Roman" w:eastAsia="方正仿宋_GBK" w:cs="Times New Roman"/>
          <w:color w:val="auto"/>
          <w:sz w:val="32"/>
          <w:szCs w:val="32"/>
        </w:rPr>
        <w:t>，辖区户籍人口6万余人，</w:t>
      </w:r>
      <w:r>
        <w:rPr>
          <w:rFonts w:hint="eastAsia" w:ascii="Times New Roman" w:hAnsi="Times New Roman" w:cs="Times New Roman"/>
          <w:color w:val="auto"/>
          <w:sz w:val="32"/>
          <w:szCs w:val="32"/>
          <w:lang w:eastAsia="zh-CN"/>
        </w:rPr>
        <w:t>常住人口</w:t>
      </w:r>
      <w:r>
        <w:rPr>
          <w:rFonts w:hint="default" w:ascii="Times New Roman" w:hAnsi="Times New Roman" w:eastAsia="方正仿宋_GBK" w:cs="Times New Roman"/>
          <w:color w:val="auto"/>
          <w:sz w:val="32"/>
          <w:szCs w:val="32"/>
        </w:rPr>
        <w:t>14万余人，普通商品房住宅小区44个，高层建筑163栋、地下建筑28处，农贸市场6个。</w:t>
      </w:r>
    </w:p>
    <w:p>
      <w:pPr>
        <w:adjustRightInd w:val="0"/>
        <w:snapToGrid w:val="0"/>
        <w:spacing w:line="60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随着城市化进程的加速，范围内各类民用和工业用建筑物逐渐增多，各类商贸、文化、旅游等行业产业进一步繁荣，导致大量的人流、物流涌入城市，从而增大了城市的人口密度和公众聚集的可能性，城市火灾发生的几率随之增大，可能发生一般工业建筑火灾事故、一般民用建筑火灾事故、高层民用建筑火灾事故、地下建筑火灾事故、公用建筑火灾事故等。</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65" w:name="_Toc26070"/>
      <w:bookmarkStart w:id="66" w:name="_Toc22177"/>
      <w:bookmarkStart w:id="67" w:name="_Toc28181"/>
      <w:bookmarkStart w:id="68" w:name="_Toc20209"/>
      <w:bookmarkStart w:id="69" w:name="_Toc50479401"/>
      <w:r>
        <w:rPr>
          <w:rFonts w:hint="eastAsia" w:ascii="楷体" w:hAnsi="楷体" w:eastAsia="楷体" w:cs="楷体"/>
          <w:color w:val="000000"/>
        </w:rPr>
        <w:t>3.4</w:t>
      </w:r>
      <w:r>
        <w:rPr>
          <w:rFonts w:hint="eastAsia" w:ascii="楷体" w:hAnsi="楷体" w:eastAsia="楷体" w:cs="楷体"/>
          <w:color w:val="000000"/>
          <w:lang w:val="en-US" w:eastAsia="zh-CN"/>
        </w:rPr>
        <w:t xml:space="preserve">  </w:t>
      </w:r>
      <w:r>
        <w:rPr>
          <w:rFonts w:hint="eastAsia" w:ascii="楷体" w:hAnsi="楷体" w:eastAsia="楷体" w:cs="楷体"/>
          <w:color w:val="000000"/>
        </w:rPr>
        <w:t>风险辨识结果</w:t>
      </w:r>
      <w:bookmarkEnd w:id="65"/>
      <w:bookmarkEnd w:id="66"/>
      <w:bookmarkEnd w:id="67"/>
      <w:bookmarkEnd w:id="68"/>
      <w:bookmarkEnd w:id="69"/>
    </w:p>
    <w:p>
      <w:pPr>
        <w:adjustRightInd w:val="0"/>
        <w:snapToGrid w:val="0"/>
        <w:spacing w:line="600" w:lineRule="exact"/>
        <w:ind w:firstLine="640" w:firstLineChars="200"/>
        <w:rPr>
          <w:rFonts w:hint="default" w:ascii="Times New Roman" w:hAnsi="Times New Roman" w:eastAsia="方正仿宋_GBK" w:cs="Times New Roman"/>
          <w:color w:val="000000"/>
          <w:sz w:val="32"/>
          <w:szCs w:val="32"/>
        </w:rPr>
      </w:pP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范围内可能引发自然灾害、事故灾难的风险辨识结果详见</w:t>
      </w:r>
      <w:r>
        <w:rPr>
          <w:rFonts w:hint="default" w:ascii="Times New Roman" w:hAnsi="Times New Roman" w:eastAsia="方正仿宋_GBK" w:cs="Times New Roman"/>
          <w:color w:val="000000"/>
          <w:sz w:val="32"/>
          <w:szCs w:val="32"/>
        </w:rPr>
        <w:t>表3.4-1：石坪桥街道风险辨识结果表。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表3.4-1 石坪桥街道风险辨识结果表</w:t>
      </w:r>
    </w:p>
    <w:tbl>
      <w:tblPr>
        <w:tblStyle w:val="2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66"/>
        <w:gridCol w:w="848"/>
        <w:gridCol w:w="765"/>
        <w:gridCol w:w="68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4" w:hRule="atLeast"/>
        </w:trPr>
        <w:tc>
          <w:tcPr>
            <w:tcW w:w="2179" w:type="dxa"/>
            <w:gridSpan w:val="3"/>
            <w:tcBorders>
              <w:top w:val="single" w:color="000000" w:sz="12" w:space="0"/>
            </w:tcBorders>
            <w:vAlign w:val="center"/>
          </w:tcPr>
          <w:p>
            <w:pPr>
              <w:snapToGrid w:val="0"/>
              <w:spacing w:line="240" w:lineRule="auto"/>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风险类别</w:t>
            </w:r>
          </w:p>
        </w:tc>
        <w:tc>
          <w:tcPr>
            <w:tcW w:w="6881" w:type="dxa"/>
            <w:tcBorders>
              <w:top w:val="single" w:color="000000" w:sz="12" w:space="0"/>
            </w:tcBorders>
            <w:vAlign w:val="center"/>
          </w:tcPr>
          <w:p>
            <w:pPr>
              <w:snapToGrid w:val="0"/>
              <w:spacing w:line="240" w:lineRule="auto"/>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可能引发的事故和事件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restart"/>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自然灾害</w:t>
            </w:r>
          </w:p>
        </w:tc>
        <w:tc>
          <w:tcPr>
            <w:tcW w:w="848" w:type="dxa"/>
            <w:vMerge w:val="restart"/>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水旱灾害</w:t>
            </w:r>
          </w:p>
        </w:tc>
        <w:tc>
          <w:tcPr>
            <w:tcW w:w="765" w:type="dxa"/>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水灾</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洪水、</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内涝</w:t>
            </w:r>
            <w:r>
              <w:rPr>
                <w:rFonts w:hint="default" w:ascii="Times New Roman" w:hAnsi="Times New Roman" w:eastAsia="方正仿宋_GBK" w:cs="Times New Roman"/>
                <w:color w:val="000000" w:themeColor="text1"/>
                <w:sz w:val="24"/>
                <w:szCs w:val="24"/>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848" w:type="dxa"/>
            <w:vMerge w:val="continue"/>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765" w:type="dxa"/>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旱灾</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城市缺水。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城市内涝</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暴雨、市政下排管网排水不畅。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气象灾害</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暴雨、暴雪、寒潮、大风、高温、雷电、冰雹、大雾等威胁群众住房、工商业用房和人身安全、车辆等财产的安全。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地震灾害</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个别砖混房屋轻微破坏。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3"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地质灾害</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地面崩塌、地面沉降和地裂缝。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restart"/>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事故灾难</w:t>
            </w:r>
          </w:p>
        </w:tc>
        <w:tc>
          <w:tcPr>
            <w:tcW w:w="1613" w:type="dxa"/>
            <w:gridSpan w:val="2"/>
            <w:vAlign w:val="center"/>
          </w:tcPr>
          <w:p>
            <w:pPr>
              <w:adjustRightInd w:val="0"/>
              <w:snapToGrid w:val="0"/>
              <w:spacing w:line="240" w:lineRule="auto"/>
              <w:ind w:left="0" w:leftChars="0" w:firstLine="0" w:firstLineChars="0"/>
              <w:jc w:val="cente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建设</w:t>
            </w:r>
            <w:r>
              <w:rPr>
                <w:rFonts w:hint="eastAsia" w:ascii="Times New Roman" w:hAnsi="Times New Roman" w:cs="Times New Roman"/>
                <w:color w:val="000000" w:themeColor="text1"/>
                <w:sz w:val="24"/>
                <w:szCs w:val="24"/>
                <w:lang w:val="en-US" w:eastAsia="zh-CN"/>
                <w14:textFill>
                  <w14:solidFill>
                    <w14:schemeClr w14:val="tx1"/>
                  </w14:solidFill>
                </w14:textFill>
              </w:rPr>
              <w:t>工程</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物体打击、车辆伤害、机械伤害、起重伤害、触电、火灾、高处坠落、坍塌、中毒和窒息等事故。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危房</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房屋结构严重损坏，发生倒塌、坍塌事故。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3"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危险化学品</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危险化学品爆炸、泄漏、火灾、中毒和窒息、灼烫等事故。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15" w:hRule="atLeast"/>
        </w:trPr>
        <w:tc>
          <w:tcPr>
            <w:tcW w:w="566" w:type="dxa"/>
            <w:vMerge w:val="continue"/>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工商贸</w:t>
            </w:r>
          </w:p>
        </w:tc>
        <w:tc>
          <w:tcPr>
            <w:tcW w:w="6881" w:type="dxa"/>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物体打击、车辆伤害、机械伤害、起重伤害、触电、淹溺、灼烫、火灾、高处坠落、坍塌、容器爆炸、中毒和窒息、拥挤踩踏等事故和事件。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tcBorders>
              <w:bottom w:val="single" w:color="000000" w:sz="12" w:space="0"/>
            </w:tcBorders>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613" w:type="dxa"/>
            <w:gridSpan w:val="2"/>
            <w:tcBorders>
              <w:bottom w:val="single" w:color="000000" w:sz="12" w:space="0"/>
            </w:tcBorders>
            <w:vAlign w:val="center"/>
          </w:tcPr>
          <w:p>
            <w:pPr>
              <w:adjustRightInd w:val="0"/>
              <w:snapToGrid w:val="0"/>
              <w:spacing w:line="240" w:lineRule="auto"/>
              <w:ind w:left="0" w:leftChars="0" w:firstLine="0" w:firstLineChars="0"/>
              <w:jc w:val="center"/>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火灾</w:t>
            </w:r>
          </w:p>
        </w:tc>
        <w:tc>
          <w:tcPr>
            <w:tcW w:w="6881" w:type="dxa"/>
            <w:tcBorders>
              <w:bottom w:val="single" w:color="000000" w:sz="12" w:space="0"/>
            </w:tcBorders>
            <w:vAlign w:val="center"/>
          </w:tcPr>
          <w:p>
            <w:pPr>
              <w:adjustRightInd w:val="0"/>
              <w:snapToGrid w:val="0"/>
              <w:spacing w:line="240" w:lineRule="auto"/>
              <w:ind w:left="0" w:leftChars="0" w:firstLine="0" w:firstLineChars="0"/>
              <w:jc w:val="left"/>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一般工业建筑、一般民用建筑、高层民用建筑、地下建筑及公用建筑火灾事故等。</w:t>
            </w:r>
          </w:p>
        </w:tc>
      </w:tr>
    </w:tbl>
    <w:p>
      <w:pPr>
        <w:adjustRightInd w:val="0"/>
        <w:snapToGrid w:val="0"/>
        <w:spacing w:line="240" w:lineRule="auto"/>
        <w:ind w:firstLine="562"/>
        <w:jc w:val="center"/>
        <w:rPr>
          <w:rFonts w:hint="eastAsia" w:ascii="方正仿宋_GBK" w:hAnsi="方正仿宋_GBK" w:eastAsia="方正仿宋_GBK" w:cs="方正仿宋_GBK"/>
          <w:b/>
          <w:bCs/>
          <w:color w:val="000000"/>
          <w:sz w:val="28"/>
          <w:szCs w:val="28"/>
        </w:rPr>
      </w:pPr>
    </w:p>
    <w:p>
      <w:pPr>
        <w:pStyle w:val="38"/>
        <w:rPr>
          <w:rFonts w:hint="eastAsia" w:ascii="方正仿宋_GBK" w:hAnsi="方正仿宋_GBK" w:eastAsia="方正仿宋_GBK" w:cs="方正仿宋_GBK"/>
        </w:rPr>
        <w:sectPr>
          <w:pgSz w:w="11906" w:h="16838"/>
          <w:pgMar w:top="1417" w:right="1418" w:bottom="1417" w:left="1587" w:header="851" w:footer="1191" w:gutter="0"/>
          <w:pgBorders>
            <w:top w:val="none" w:sz="0" w:space="0"/>
            <w:left w:val="none" w:sz="0" w:space="0"/>
            <w:bottom w:val="none" w:sz="0" w:space="0"/>
            <w:right w:val="none" w:sz="0" w:space="0"/>
          </w:pgBorders>
          <w:pgNumType w:fmt="decimal"/>
          <w:cols w:space="0" w:num="1"/>
          <w:rtlGutter w:val="0"/>
          <w:docGrid w:linePitch="286" w:charSpace="0"/>
        </w:sectPr>
      </w:pPr>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pPr>
      <w:bookmarkStart w:id="70" w:name="_Toc3950"/>
      <w:bookmarkStart w:id="71" w:name="_Toc32166"/>
      <w:bookmarkStart w:id="72" w:name="_Toc6352"/>
      <w:r>
        <w:rPr>
          <w:rStyle w:val="36"/>
          <w:rFonts w:hint="eastAsia" w:ascii="黑体" w:hAnsi="黑体" w:eastAsia="黑体" w:cs="黑体"/>
          <w:b/>
          <w:bCs w:val="0"/>
          <w:color w:val="000000"/>
          <w:kern w:val="2"/>
          <w:sz w:val="32"/>
          <w:szCs w:val="32"/>
          <w:u w:val="none"/>
          <w:lang w:eastAsia="zh-CN"/>
        </w:rPr>
        <w:t>4</w:t>
      </w:r>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风险评估</w:t>
      </w:r>
      <w:bookmarkEnd w:id="70"/>
      <w:bookmarkEnd w:id="71"/>
      <w:bookmarkEnd w:id="72"/>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73" w:name="_Toc7978"/>
      <w:bookmarkStart w:id="74" w:name="_Toc4622"/>
      <w:bookmarkStart w:id="75" w:name="_Toc32359"/>
      <w:r>
        <w:rPr>
          <w:rFonts w:hint="eastAsia" w:ascii="楷体" w:hAnsi="楷体" w:eastAsia="楷体" w:cs="楷体"/>
          <w:color w:val="000000"/>
        </w:rPr>
        <w:t>4.1</w:t>
      </w:r>
      <w:r>
        <w:rPr>
          <w:rFonts w:hint="eastAsia" w:ascii="楷体" w:hAnsi="楷体" w:eastAsia="楷体" w:cs="楷体"/>
          <w:color w:val="000000"/>
          <w:lang w:val="en-US" w:eastAsia="zh-CN"/>
        </w:rPr>
        <w:t xml:space="preserve">  </w:t>
      </w:r>
      <w:r>
        <w:rPr>
          <w:rFonts w:hint="eastAsia" w:ascii="楷体" w:hAnsi="楷体" w:eastAsia="楷体" w:cs="楷体"/>
          <w:color w:val="000000"/>
        </w:rPr>
        <w:t>风险评估内容</w:t>
      </w:r>
      <w:bookmarkEnd w:id="73"/>
      <w:bookmarkEnd w:id="74"/>
      <w:bookmarkEnd w:id="75"/>
    </w:p>
    <w:p>
      <w:pPr>
        <w:ind w:firstLine="640"/>
        <w:rPr>
          <w:rFonts w:hint="eastAsia" w:ascii="方正仿宋_GBK" w:hAnsi="方正仿宋_GBK" w:eastAsia="方正仿宋_GBK" w:cs="方正仿宋_GBK"/>
          <w:color w:val="000000"/>
        </w:rPr>
      </w:pPr>
      <w:bookmarkStart w:id="76" w:name="_Hlk47145795"/>
      <w:r>
        <w:rPr>
          <w:rFonts w:hint="eastAsia" w:ascii="方正仿宋_GBK" w:hAnsi="方正仿宋_GBK" w:eastAsia="方正仿宋_GBK" w:cs="方正仿宋_GBK"/>
          <w:color w:val="000000"/>
        </w:rPr>
        <w:t>对辨识出的</w:t>
      </w:r>
      <w:r>
        <w:rPr>
          <w:rFonts w:hint="eastAsia" w:ascii="方正仿宋_GBK" w:hAnsi="方正仿宋_GBK" w:cs="方正仿宋_GBK"/>
          <w:color w:val="000000"/>
          <w:lang w:eastAsia="zh-CN"/>
        </w:rPr>
        <w:t>石坪桥街道</w:t>
      </w:r>
      <w:r>
        <w:rPr>
          <w:rFonts w:hint="eastAsia" w:ascii="方正仿宋_GBK" w:hAnsi="方正仿宋_GBK" w:eastAsia="方正仿宋_GBK" w:cs="方正仿宋_GBK"/>
          <w:color w:val="000000"/>
        </w:rPr>
        <w:t>区域内自然灾害、事故灾难各类风险引发突发事件的可能性和人、经济、社会、保障、环境等可能受到的损害进行评估，在此基础上对辨识出的风险进行综合等级评定。</w:t>
      </w:r>
    </w:p>
    <w:bookmarkEnd w:id="76"/>
    <w:p>
      <w:pPr>
        <w:pStyle w:val="5"/>
        <w:spacing w:before="312" w:after="312"/>
        <w:jc w:val="center"/>
        <w:rPr>
          <w:rFonts w:hint="eastAsia" w:ascii="楷体" w:hAnsi="楷体" w:eastAsia="楷体" w:cs="楷体"/>
          <w:b/>
          <w:bCs/>
        </w:rPr>
      </w:pPr>
      <w:bookmarkStart w:id="77" w:name="_Toc478371108"/>
      <w:bookmarkStart w:id="78" w:name="_Toc30846"/>
      <w:bookmarkStart w:id="79" w:name="_Toc17460"/>
      <w:bookmarkStart w:id="80" w:name="_Toc12980880"/>
      <w:bookmarkStart w:id="81" w:name="_Toc2144"/>
      <w:bookmarkStart w:id="82" w:name="_Toc8633"/>
      <w:bookmarkStart w:id="83" w:name="_Toc14819"/>
      <w:bookmarkStart w:id="84" w:name="_Toc2484"/>
      <w:bookmarkStart w:id="85" w:name="_Toc30547"/>
      <w:r>
        <w:rPr>
          <w:rFonts w:hint="eastAsia" w:ascii="楷体" w:hAnsi="楷体" w:eastAsia="楷体" w:cs="楷体"/>
          <w:b/>
          <w:bCs/>
        </w:rPr>
        <w:t xml:space="preserve">4.2 </w:t>
      </w:r>
      <w:r>
        <w:rPr>
          <w:rFonts w:hint="eastAsia" w:ascii="楷体" w:hAnsi="楷体" w:eastAsia="楷体" w:cs="楷体"/>
          <w:b/>
          <w:bCs/>
          <w:lang w:val="en-US" w:eastAsia="zh-CN"/>
        </w:rPr>
        <w:t xml:space="preserve"> </w:t>
      </w:r>
      <w:r>
        <w:rPr>
          <w:rFonts w:hint="eastAsia" w:ascii="楷体" w:hAnsi="楷体" w:eastAsia="楷体" w:cs="楷体"/>
          <w:b/>
          <w:bCs/>
        </w:rPr>
        <w:t>突发事件发生的可能性</w:t>
      </w:r>
      <w:bookmarkEnd w:id="77"/>
      <w:bookmarkEnd w:id="78"/>
      <w:bookmarkEnd w:id="79"/>
      <w:bookmarkEnd w:id="80"/>
      <w:r>
        <w:rPr>
          <w:rFonts w:hint="eastAsia" w:ascii="楷体" w:hAnsi="楷体" w:eastAsia="楷体" w:cs="楷体"/>
          <w:b/>
          <w:bCs/>
        </w:rPr>
        <w:t>判断</w:t>
      </w:r>
      <w:bookmarkEnd w:id="81"/>
      <w:bookmarkEnd w:id="82"/>
      <w:bookmarkEnd w:id="83"/>
      <w:bookmarkEnd w:id="84"/>
    </w:p>
    <w:p>
      <w:pPr>
        <w:pStyle w:val="3"/>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突发事件发生可能性判断标准见表4.2-1。</w:t>
      </w: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28"/>
          <w:szCs w:val="28"/>
        </w:rPr>
        <w:t>表4.2-1 突发事件发生可能性判断标准表</w:t>
      </w:r>
    </w:p>
    <w:tbl>
      <w:tblPr>
        <w:tblStyle w:val="29"/>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2473"/>
        <w:gridCol w:w="48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56" w:type="pct"/>
            <w:noWrap w:val="0"/>
            <w:vAlign w:val="center"/>
          </w:tcPr>
          <w:p>
            <w:pPr>
              <w:spacing w:line="30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级别</w:t>
            </w:r>
          </w:p>
        </w:tc>
        <w:tc>
          <w:tcPr>
            <w:tcW w:w="1363" w:type="pct"/>
            <w:noWrap w:val="0"/>
            <w:vAlign w:val="center"/>
          </w:tcPr>
          <w:p>
            <w:pPr>
              <w:spacing w:line="30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说明</w:t>
            </w:r>
          </w:p>
        </w:tc>
        <w:tc>
          <w:tcPr>
            <w:tcW w:w="2681" w:type="pct"/>
            <w:noWrap w:val="0"/>
            <w:vAlign w:val="center"/>
          </w:tcPr>
          <w:p>
            <w:pPr>
              <w:spacing w:line="30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noWrap w:val="0"/>
            <w:vAlign w:val="center"/>
          </w:tcPr>
          <w:p>
            <w:pPr>
              <w:spacing w:line="30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V</w:t>
            </w:r>
          </w:p>
        </w:tc>
        <w:tc>
          <w:tcPr>
            <w:tcW w:w="1363"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极有可能发生</w:t>
            </w:r>
          </w:p>
        </w:tc>
        <w:tc>
          <w:tcPr>
            <w:tcW w:w="2681"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全国范围内发生频率极高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noWrap w:val="0"/>
            <w:vAlign w:val="center"/>
          </w:tcPr>
          <w:p>
            <w:pPr>
              <w:spacing w:line="30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Ⅳ</w:t>
            </w:r>
          </w:p>
        </w:tc>
        <w:tc>
          <w:tcPr>
            <w:tcW w:w="1363"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很可能发生</w:t>
            </w:r>
          </w:p>
        </w:tc>
        <w:tc>
          <w:tcPr>
            <w:tcW w:w="2681"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全国范围内发生频率较高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noWrap w:val="0"/>
            <w:vAlign w:val="center"/>
          </w:tcPr>
          <w:p>
            <w:pPr>
              <w:spacing w:line="30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Ⅲ</w:t>
            </w:r>
          </w:p>
        </w:tc>
        <w:tc>
          <w:tcPr>
            <w:tcW w:w="1363"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可能发生</w:t>
            </w:r>
          </w:p>
        </w:tc>
        <w:tc>
          <w:tcPr>
            <w:tcW w:w="2681"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类似区域/行业发生频率较高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noWrap w:val="0"/>
            <w:vAlign w:val="center"/>
          </w:tcPr>
          <w:p>
            <w:pPr>
              <w:spacing w:line="30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Ⅱ</w:t>
            </w:r>
          </w:p>
        </w:tc>
        <w:tc>
          <w:tcPr>
            <w:tcW w:w="1363"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较不可能发生</w:t>
            </w:r>
          </w:p>
        </w:tc>
        <w:tc>
          <w:tcPr>
            <w:tcW w:w="2681"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类似区域/行业偶有发生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noWrap w:val="0"/>
            <w:vAlign w:val="center"/>
          </w:tcPr>
          <w:p>
            <w:pPr>
              <w:spacing w:line="30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I</w:t>
            </w:r>
          </w:p>
        </w:tc>
        <w:tc>
          <w:tcPr>
            <w:tcW w:w="1363"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基本不可能发生</w:t>
            </w:r>
          </w:p>
        </w:tc>
        <w:tc>
          <w:tcPr>
            <w:tcW w:w="2681" w:type="pct"/>
            <w:noWrap w:val="0"/>
            <w:vAlign w:val="center"/>
          </w:tcPr>
          <w:p>
            <w:pPr>
              <w:spacing w:line="300" w:lineRule="exact"/>
              <w:rPr>
                <w:rFonts w:hint="eastAsia" w:ascii="仿宋" w:hAnsi="仿宋" w:eastAsia="仿宋" w:cs="仿宋"/>
                <w:color w:val="000000"/>
                <w:sz w:val="21"/>
                <w:szCs w:val="21"/>
              </w:rPr>
            </w:pPr>
            <w:r>
              <w:rPr>
                <w:rFonts w:hint="eastAsia" w:ascii="仿宋" w:hAnsi="仿宋" w:eastAsia="仿宋" w:cs="仿宋"/>
                <w:color w:val="000000"/>
                <w:sz w:val="21"/>
                <w:szCs w:val="21"/>
              </w:rPr>
              <w:t>类似区域/行业也极少发生</w:t>
            </w:r>
          </w:p>
        </w:tc>
      </w:tr>
    </w:tbl>
    <w:p>
      <w:pPr>
        <w:autoSpaceDE w:val="0"/>
        <w:autoSpaceDN w:val="0"/>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w:t>
      </w:r>
      <w:r>
        <w:rPr>
          <w:rFonts w:hint="eastAsia" w:ascii="方正仿宋_GBK" w:hAnsi="方正仿宋_GBK" w:cs="方正仿宋_GBK"/>
          <w:sz w:val="32"/>
          <w:szCs w:val="32"/>
          <w:lang w:val="en-US" w:eastAsia="zh-CN"/>
        </w:rPr>
        <w:t>石坪桥街道</w:t>
      </w:r>
      <w:r>
        <w:rPr>
          <w:rFonts w:hint="eastAsia" w:ascii="方正仿宋_GBK" w:hAnsi="方正仿宋_GBK" w:eastAsia="方正仿宋_GBK" w:cs="方正仿宋_GBK"/>
          <w:sz w:val="32"/>
          <w:szCs w:val="32"/>
        </w:rPr>
        <w:t>区域内自然灾害、事故灾难等各类风险引发突发事件的实际情况以及历史事故经验，各类突发事件（事故）发生的可能性分析结果见表4.2-2。</w:t>
      </w: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表4.2-2</w:t>
      </w:r>
      <w:r>
        <w:rPr>
          <w:rFonts w:hint="eastAsia" w:ascii="方正仿宋_GBK" w:hAnsi="方正仿宋_GBK" w:eastAsia="方正仿宋_GBK" w:cs="方正仿宋_GBK"/>
          <w:b/>
          <w:bCs/>
          <w:sz w:val="28"/>
          <w:szCs w:val="28"/>
          <w:lang w:val="en-US" w:eastAsia="zh-CN"/>
        </w:rPr>
        <w:t xml:space="preserve"> </w:t>
      </w:r>
      <w:r>
        <w:rPr>
          <w:rFonts w:hint="eastAsia" w:ascii="方正仿宋_GBK" w:hAnsi="方正仿宋_GBK" w:eastAsia="方正仿宋_GBK" w:cs="方正仿宋_GBK"/>
          <w:b/>
          <w:bCs/>
          <w:sz w:val="28"/>
          <w:szCs w:val="28"/>
        </w:rPr>
        <w:t>突发事件（事故）发生的可能性分析结果表</w:t>
      </w:r>
    </w:p>
    <w:tbl>
      <w:tblPr>
        <w:tblStyle w:val="29"/>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9"/>
        <w:gridCol w:w="1017"/>
        <w:gridCol w:w="919"/>
        <w:gridCol w:w="3406"/>
        <w:gridCol w:w="898"/>
        <w:gridCol w:w="21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615" w:type="dxa"/>
            <w:gridSpan w:val="3"/>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风险类别</w:t>
            </w:r>
          </w:p>
        </w:tc>
        <w:tc>
          <w:tcPr>
            <w:tcW w:w="3406"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rPr>
              <w:t>可能</w:t>
            </w:r>
            <w:r>
              <w:rPr>
                <w:rFonts w:hint="eastAsia" w:ascii="方正仿宋_GBK" w:hAnsi="方正仿宋_GBK" w:eastAsia="方正仿宋_GBK" w:cs="方正仿宋_GBK"/>
                <w:b/>
                <w:bCs/>
                <w:color w:val="000000"/>
                <w:sz w:val="24"/>
                <w:szCs w:val="24"/>
                <w:lang w:val="en-US" w:eastAsia="zh-CN"/>
              </w:rPr>
              <w:t>性描述</w:t>
            </w:r>
          </w:p>
        </w:tc>
        <w:tc>
          <w:tcPr>
            <w:tcW w:w="898"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lang w:val="en-US" w:eastAsia="zh-CN"/>
              </w:rPr>
              <w:t>判断结果</w:t>
            </w:r>
          </w:p>
        </w:tc>
        <w:tc>
          <w:tcPr>
            <w:tcW w:w="2152"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lang w:val="en-US" w:eastAsia="zh-CN"/>
              </w:rPr>
              <w:t>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自然灾害</w:t>
            </w:r>
          </w:p>
        </w:tc>
        <w:tc>
          <w:tcPr>
            <w:tcW w:w="10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水旱</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灾害</w:t>
            </w: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水灾</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0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旱灾</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城市内涝</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气象灾害</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地震灾害</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地质灾害</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类似区域/行业偶有发生</w:t>
            </w:r>
          </w:p>
        </w:tc>
        <w:tc>
          <w:tcPr>
            <w:tcW w:w="89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215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事故灾难</w:t>
            </w: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工程</w:t>
            </w:r>
          </w:p>
        </w:tc>
        <w:tc>
          <w:tcPr>
            <w:tcW w:w="3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全国范围内发生频率较高</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2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危房</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类似区域/行业发生频率较高</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2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危险化学品</w:t>
            </w:r>
          </w:p>
        </w:tc>
        <w:tc>
          <w:tcPr>
            <w:tcW w:w="3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全国范围内发生频率较高</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2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工商贸</w:t>
            </w:r>
            <w:r>
              <w:rPr>
                <w:rFonts w:hint="eastAsia" w:ascii="方正仿宋_GBK" w:hAnsi="方正仿宋_GBK" w:cs="方正仿宋_GBK"/>
                <w:color w:val="000000" w:themeColor="text1"/>
                <w:sz w:val="24"/>
                <w:szCs w:val="24"/>
                <w:lang w:val="en-US" w:eastAsia="zh-CN"/>
                <w14:textFill>
                  <w14:solidFill>
                    <w14:schemeClr w14:val="tx1"/>
                  </w14:solidFill>
                </w14:textFill>
              </w:rPr>
              <w:t>企业</w:t>
            </w:r>
          </w:p>
        </w:tc>
        <w:tc>
          <w:tcPr>
            <w:tcW w:w="34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类似区域/行业发生频率较高</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2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Borders>
              <w:bottom w:val="single" w:color="000000"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火灾</w:t>
            </w:r>
          </w:p>
        </w:tc>
        <w:tc>
          <w:tcPr>
            <w:tcW w:w="340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全国范围内发生频率较高</w:t>
            </w:r>
          </w:p>
        </w:tc>
        <w:tc>
          <w:tcPr>
            <w:tcW w:w="898"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2152"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r>
      <w:bookmarkEnd w:id="85"/>
    </w:tbl>
    <w:p>
      <w:pPr>
        <w:pStyle w:val="5"/>
        <w:keepNext w:val="0"/>
        <w:keepLines w:val="0"/>
        <w:pageBreakBefore w:val="0"/>
        <w:widowControl w:val="0"/>
        <w:kinsoku/>
        <w:wordWrap/>
        <w:overflowPunct/>
        <w:topLinePunct w:val="0"/>
        <w:autoSpaceDE/>
        <w:autoSpaceDN/>
        <w:bidi w:val="0"/>
        <w:adjustRightInd w:val="0"/>
        <w:snapToGrid w:val="0"/>
        <w:spacing w:before="312" w:after="312"/>
        <w:ind w:firstLine="0" w:firstLineChars="0"/>
        <w:jc w:val="center"/>
        <w:textAlignment w:val="auto"/>
        <w:rPr>
          <w:rFonts w:hint="eastAsia" w:ascii="楷体" w:hAnsi="楷体" w:eastAsia="楷体" w:cs="楷体"/>
          <w:b/>
          <w:bCs/>
        </w:rPr>
      </w:pPr>
      <w:bookmarkStart w:id="86" w:name="_Toc18145"/>
      <w:bookmarkStart w:id="87" w:name="_Toc18836"/>
      <w:bookmarkStart w:id="88" w:name="_Toc4958"/>
      <w:r>
        <w:rPr>
          <w:rFonts w:hint="eastAsia" w:ascii="楷体" w:hAnsi="楷体" w:eastAsia="楷体" w:cs="楷体"/>
          <w:b/>
          <w:bCs/>
        </w:rPr>
        <w:t xml:space="preserve">4.3 </w:t>
      </w:r>
      <w:r>
        <w:rPr>
          <w:rFonts w:hint="eastAsia" w:ascii="楷体" w:hAnsi="楷体" w:eastAsia="楷体" w:cs="楷体"/>
          <w:b/>
          <w:bCs/>
          <w:lang w:val="en-US" w:eastAsia="zh-CN"/>
        </w:rPr>
        <w:t xml:space="preserve"> </w:t>
      </w:r>
      <w:r>
        <w:rPr>
          <w:rFonts w:hint="eastAsia" w:ascii="楷体" w:hAnsi="楷体" w:eastAsia="楷体" w:cs="楷体"/>
          <w:b/>
          <w:bCs/>
        </w:rPr>
        <w:t>突发事件的危害后果判断</w:t>
      </w:r>
      <w:bookmarkEnd w:id="86"/>
      <w:bookmarkEnd w:id="87"/>
      <w:bookmarkEnd w:id="88"/>
    </w:p>
    <w:p>
      <w:pPr>
        <w:pStyle w:val="3"/>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突发事件的危害后果判断标准见表4.3-1。</w:t>
      </w: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表4.3-1 突发事件的危害后果判断标准表</w:t>
      </w:r>
    </w:p>
    <w:tbl>
      <w:tblPr>
        <w:tblStyle w:val="29"/>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34"/>
        <w:gridCol w:w="6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级别</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说明</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5</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影响特别重大</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造成30人以上死亡或100人以上重伤（包括急性工业中毒，下同），巨大财产损失，造成极其恶劣的社会舆论和政治影响。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影响重大</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造成10人以上30人以下死亡或50人以上100人以下重伤，严重财产损失，造成恶劣的社会舆论，产生较大的政治影响。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影响较大</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造成3人以上10人以下死亡或10人以上50人以下重伤，需要外部援救才能缓解，较大财产损失或赔偿支付，在一定范围内造成不良的舆论影响，产生一定的政治影响。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影响一般</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造成3人以下死亡或10人以下重伤，现场处理（第一时间救助）可以立刻缓解事故，中度财产损失，有较小的社会舆论，一般不会产生政治影响。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影响很小</w:t>
            </w:r>
          </w:p>
        </w:tc>
        <w:tc>
          <w:tcPr>
            <w:tcW w:w="3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无伤亡、财产损失轻微，不会造成不良的社会舆论和政治影响。</w:t>
            </w:r>
          </w:p>
        </w:tc>
      </w:tr>
    </w:tbl>
    <w:p>
      <w:pPr>
        <w:pStyle w:val="3"/>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根据石坪桥街道区域内自然灾害、事故灾难各类风险引发突发事件的实际情况以及历史事故经验，各类突发事件（事故）的危害后果见表4.3-2。</w:t>
      </w: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表4.</w:t>
      </w:r>
      <w:r>
        <w:rPr>
          <w:rFonts w:hint="eastAsia" w:ascii="方正仿宋_GBK" w:hAnsi="方正仿宋_GBK" w:eastAsia="方正仿宋_GBK" w:cs="方正仿宋_GBK"/>
          <w:b/>
          <w:bCs/>
          <w:sz w:val="28"/>
          <w:szCs w:val="28"/>
          <w:lang w:val="en-US" w:eastAsia="zh-CN"/>
        </w:rPr>
        <w:t>3</w:t>
      </w:r>
      <w:r>
        <w:rPr>
          <w:rFonts w:hint="eastAsia" w:ascii="方正仿宋_GBK" w:hAnsi="方正仿宋_GBK" w:eastAsia="方正仿宋_GBK" w:cs="方正仿宋_GBK"/>
          <w:b/>
          <w:bCs/>
          <w:sz w:val="28"/>
          <w:szCs w:val="28"/>
        </w:rPr>
        <w:t>-2</w:t>
      </w:r>
      <w:r>
        <w:rPr>
          <w:rFonts w:hint="eastAsia" w:ascii="方正仿宋_GBK" w:hAnsi="方正仿宋_GBK" w:eastAsia="方正仿宋_GBK" w:cs="方正仿宋_GBK"/>
          <w:b/>
          <w:bCs/>
          <w:sz w:val="28"/>
          <w:szCs w:val="28"/>
          <w:lang w:val="en-US" w:eastAsia="zh-CN"/>
        </w:rPr>
        <w:t xml:space="preserve"> </w:t>
      </w:r>
      <w:r>
        <w:rPr>
          <w:rFonts w:hint="eastAsia" w:ascii="方正仿宋_GBK" w:hAnsi="方正仿宋_GBK" w:eastAsia="方正仿宋_GBK" w:cs="方正仿宋_GBK"/>
          <w:b/>
          <w:bCs/>
          <w:sz w:val="28"/>
          <w:szCs w:val="28"/>
        </w:rPr>
        <w:t>突发事件（事故）的危害后果及影响范围结果表</w:t>
      </w:r>
    </w:p>
    <w:tbl>
      <w:tblPr>
        <w:tblStyle w:val="29"/>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9"/>
        <w:gridCol w:w="751"/>
        <w:gridCol w:w="784"/>
        <w:gridCol w:w="4916"/>
        <w:gridCol w:w="734"/>
        <w:gridCol w:w="12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14" w:type="dxa"/>
            <w:gridSpan w:val="3"/>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风险类别</w:t>
            </w:r>
          </w:p>
        </w:tc>
        <w:tc>
          <w:tcPr>
            <w:tcW w:w="4916"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lang w:val="en-US" w:eastAsia="zh-CN"/>
              </w:rPr>
              <w:t>后果严重性描述</w:t>
            </w:r>
          </w:p>
        </w:tc>
        <w:tc>
          <w:tcPr>
            <w:tcW w:w="734"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lang w:val="en-US" w:eastAsia="zh-CN"/>
              </w:rPr>
              <w:t>判断结果</w:t>
            </w:r>
          </w:p>
        </w:tc>
        <w:tc>
          <w:tcPr>
            <w:tcW w:w="1207"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lang w:val="en-US" w:eastAsia="zh-CN"/>
              </w:rPr>
              <w:t>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自然灾害</w:t>
            </w:r>
          </w:p>
        </w:tc>
        <w:tc>
          <w:tcPr>
            <w:tcW w:w="7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水旱</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灾害</w:t>
            </w:r>
          </w:p>
        </w:tc>
        <w:tc>
          <w:tcPr>
            <w:tcW w:w="7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水灾</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7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7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旱灾</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城市内涝</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气象灾害</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造成3人以下死亡或10人以下重伤，现场处理（第一时间救助）可以立刻缓解事故，中度财产损失，有较小的社会舆论，一般不会产生政治影响。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2</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影响一般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地震灾害</w:t>
            </w:r>
          </w:p>
        </w:tc>
        <w:tc>
          <w:tcPr>
            <w:tcW w:w="4916" w:type="dxa"/>
            <w:vAlign w:val="top"/>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造成10人以上30人以下死亡或50人以上100人以下重伤，严重财产损失，造成恶劣的社会舆论，产生较大的政治影响。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4</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影响重大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地质灾害</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事故灾难</w:t>
            </w: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工程</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危房</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危险化学品</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工商贸</w:t>
            </w:r>
            <w:r>
              <w:rPr>
                <w:rFonts w:hint="eastAsia" w:ascii="方正仿宋_GBK" w:hAnsi="方正仿宋_GBK" w:cs="方正仿宋_GBK"/>
                <w:color w:val="000000" w:themeColor="text1"/>
                <w:sz w:val="24"/>
                <w:szCs w:val="24"/>
                <w:lang w:val="en-US" w:eastAsia="zh-CN"/>
                <w14:textFill>
                  <w14:solidFill>
                    <w14:schemeClr w14:val="tx1"/>
                  </w14:solidFill>
                </w14:textFill>
              </w:rPr>
              <w:t>企业</w:t>
            </w:r>
          </w:p>
        </w:tc>
        <w:tc>
          <w:tcPr>
            <w:tcW w:w="491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Borders>
              <w:bottom w:val="single" w:color="000000"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535"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火灾</w:t>
            </w:r>
          </w:p>
        </w:tc>
        <w:tc>
          <w:tcPr>
            <w:tcW w:w="491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造成3人以上10人以下死亡或10人以上50人以下重伤，需要外部援救才能缓解，较大财产损失或赔偿支付，在一定范围内造成不良的舆论影响，产生一定的政治影响。</w:t>
            </w:r>
          </w:p>
        </w:tc>
        <w:tc>
          <w:tcPr>
            <w:tcW w:w="734"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07"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r>
    </w:tbl>
    <w:p>
      <w:pPr>
        <w:pStyle w:val="5"/>
        <w:spacing w:before="312" w:after="312"/>
        <w:jc w:val="center"/>
        <w:rPr>
          <w:rFonts w:hint="eastAsia" w:ascii="楷体" w:hAnsi="楷体" w:eastAsia="楷体" w:cs="楷体"/>
          <w:b/>
          <w:bCs/>
        </w:rPr>
      </w:pPr>
      <w:bookmarkStart w:id="89" w:name="_Toc21415"/>
      <w:bookmarkStart w:id="90" w:name="_Toc25261"/>
      <w:r>
        <w:rPr>
          <w:rFonts w:hint="eastAsia" w:ascii="楷体" w:hAnsi="楷体" w:eastAsia="楷体" w:cs="楷体"/>
          <w:b/>
          <w:bCs/>
        </w:rPr>
        <w:t xml:space="preserve">4.4 </w:t>
      </w:r>
      <w:r>
        <w:rPr>
          <w:rFonts w:hint="eastAsia" w:ascii="楷体" w:hAnsi="楷体" w:eastAsia="楷体" w:cs="楷体"/>
          <w:b/>
          <w:bCs/>
          <w:lang w:val="en-US" w:eastAsia="zh-CN"/>
        </w:rPr>
        <w:t xml:space="preserve"> </w:t>
      </w:r>
      <w:r>
        <w:rPr>
          <w:rFonts w:hint="eastAsia" w:ascii="楷体" w:hAnsi="楷体" w:eastAsia="楷体" w:cs="楷体"/>
          <w:b/>
          <w:bCs/>
        </w:rPr>
        <w:t>风险等级评估结果</w:t>
      </w:r>
      <w:bookmarkEnd w:id="89"/>
      <w:bookmarkEnd w:id="90"/>
    </w:p>
    <w:p>
      <w:pPr>
        <w:pStyle w:val="27"/>
        <w:keepNext w:val="0"/>
        <w:keepLines w:val="0"/>
        <w:pageBreakBefore w:val="0"/>
        <w:widowControl w:val="0"/>
        <w:kinsoku/>
        <w:wordWrap/>
        <w:overflowPunct/>
        <w:topLinePunct w:val="0"/>
        <w:autoSpaceDE/>
        <w:autoSpaceDN/>
        <w:bidi w:val="0"/>
        <w:adjustRightInd w:val="0"/>
        <w:snapToGrid w:val="0"/>
        <w:spacing w:line="600" w:lineRule="exact"/>
        <w:ind w:firstLine="562"/>
        <w:jc w:val="left"/>
        <w:textAlignment w:val="auto"/>
        <w:outlineLvl w:val="2"/>
        <w:rPr>
          <w:rFonts w:hint="eastAsia" w:ascii="方正仿宋_GBK" w:hAnsi="方正仿宋_GBK" w:eastAsia="方正仿宋_GBK" w:cs="方正仿宋_GBK"/>
          <w:sz w:val="32"/>
          <w:szCs w:val="32"/>
        </w:rPr>
      </w:pPr>
      <w:bookmarkStart w:id="91" w:name="_Toc3976"/>
      <w:bookmarkStart w:id="92" w:name="_Toc26017"/>
      <w:r>
        <w:rPr>
          <w:rFonts w:hint="eastAsia" w:ascii="方正仿宋_GBK" w:hAnsi="方正仿宋_GBK" w:eastAsia="方正仿宋_GBK" w:cs="方正仿宋_GBK"/>
          <w:sz w:val="32"/>
          <w:szCs w:val="32"/>
        </w:rPr>
        <w:t>4.4.1 风险等级确定方法</w:t>
      </w:r>
      <w:bookmarkEnd w:id="91"/>
      <w:bookmarkEnd w:id="92"/>
    </w:p>
    <w:p>
      <w:pPr>
        <w:pStyle w:val="3"/>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通过技术分析、实地勘察、集体会商等方式，多方论证确定突发事件发生的可能性、损害后果，采用矩阵分析法，根据分析的损害后果级别和发生可能性级别，在风险矩阵图上绘制相应的坐标，按照坐标所在区域，确定风险的最终等级（低风险、一般风险、较大风险、重大风险4个等级）。</w:t>
      </w:r>
    </w:p>
    <w:tbl>
      <w:tblPr>
        <w:tblStyle w:val="29"/>
        <w:tblW w:w="516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840"/>
        <w:gridCol w:w="1261"/>
        <w:gridCol w:w="1251"/>
        <w:gridCol w:w="1199"/>
        <w:gridCol w:w="1242"/>
        <w:gridCol w:w="16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1507"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风险等级</w:t>
            </w:r>
          </w:p>
        </w:tc>
        <w:tc>
          <w:tcPr>
            <w:tcW w:w="349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后果严重性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15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b/>
                <w:color w:val="000000"/>
                <w:sz w:val="21"/>
                <w:szCs w:val="21"/>
              </w:rPr>
            </w:pP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影响特别重大</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影响重大</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影响较大</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影响一般</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影响很小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2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可</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性</w:t>
            </w:r>
          </w:p>
        </w:tc>
        <w:tc>
          <w:tcPr>
            <w:tcW w:w="97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极有可能发生</w:t>
            </w:r>
          </w:p>
        </w:tc>
        <w:tc>
          <w:tcPr>
            <w:tcW w:w="670" w:type="pct"/>
            <w:shd w:val="clear" w:color="auto" w:fill="FF0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25</w:t>
            </w:r>
          </w:p>
        </w:tc>
        <w:tc>
          <w:tcPr>
            <w:tcW w:w="665" w:type="pct"/>
            <w:shd w:val="clear" w:color="auto" w:fill="FF0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20</w:t>
            </w:r>
          </w:p>
        </w:tc>
        <w:tc>
          <w:tcPr>
            <w:tcW w:w="637" w:type="pct"/>
            <w:shd w:val="clear" w:color="auto" w:fill="FFC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15</w:t>
            </w:r>
          </w:p>
        </w:tc>
        <w:tc>
          <w:tcPr>
            <w:tcW w:w="660" w:type="pct"/>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10</w:t>
            </w:r>
          </w:p>
        </w:tc>
        <w:tc>
          <w:tcPr>
            <w:tcW w:w="859"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2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b/>
                <w:color w:val="000000"/>
                <w:sz w:val="21"/>
                <w:szCs w:val="21"/>
              </w:rPr>
            </w:pPr>
          </w:p>
        </w:tc>
        <w:tc>
          <w:tcPr>
            <w:tcW w:w="97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很可能发生</w:t>
            </w:r>
          </w:p>
        </w:tc>
        <w:tc>
          <w:tcPr>
            <w:tcW w:w="670" w:type="pct"/>
            <w:shd w:val="clear" w:color="auto" w:fill="FF0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20</w:t>
            </w:r>
          </w:p>
        </w:tc>
        <w:tc>
          <w:tcPr>
            <w:tcW w:w="665" w:type="pct"/>
            <w:shd w:val="clear" w:color="auto" w:fill="FFC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16</w:t>
            </w:r>
          </w:p>
        </w:tc>
        <w:tc>
          <w:tcPr>
            <w:tcW w:w="637" w:type="pct"/>
            <w:shd w:val="clear" w:color="auto" w:fill="FFC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12</w:t>
            </w:r>
          </w:p>
        </w:tc>
        <w:tc>
          <w:tcPr>
            <w:tcW w:w="660" w:type="pct"/>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8</w:t>
            </w:r>
          </w:p>
        </w:tc>
        <w:tc>
          <w:tcPr>
            <w:tcW w:w="859"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2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b/>
                <w:color w:val="000000"/>
                <w:sz w:val="21"/>
                <w:szCs w:val="21"/>
              </w:rPr>
            </w:pPr>
          </w:p>
        </w:tc>
        <w:tc>
          <w:tcPr>
            <w:tcW w:w="97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可能发生</w:t>
            </w:r>
          </w:p>
        </w:tc>
        <w:tc>
          <w:tcPr>
            <w:tcW w:w="670" w:type="pct"/>
            <w:shd w:val="clear" w:color="auto" w:fill="FFC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15</w:t>
            </w:r>
          </w:p>
        </w:tc>
        <w:tc>
          <w:tcPr>
            <w:tcW w:w="665" w:type="pct"/>
            <w:shd w:val="clear" w:color="auto" w:fill="FFC0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12</w:t>
            </w:r>
          </w:p>
        </w:tc>
        <w:tc>
          <w:tcPr>
            <w:tcW w:w="637" w:type="pct"/>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9</w:t>
            </w:r>
          </w:p>
        </w:tc>
        <w:tc>
          <w:tcPr>
            <w:tcW w:w="660"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6</w:t>
            </w:r>
          </w:p>
        </w:tc>
        <w:tc>
          <w:tcPr>
            <w:tcW w:w="85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2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b/>
                <w:color w:val="000000"/>
                <w:sz w:val="21"/>
                <w:szCs w:val="21"/>
              </w:rPr>
            </w:pPr>
          </w:p>
        </w:tc>
        <w:tc>
          <w:tcPr>
            <w:tcW w:w="97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较不可能发生</w:t>
            </w:r>
          </w:p>
        </w:tc>
        <w:tc>
          <w:tcPr>
            <w:tcW w:w="670" w:type="pct"/>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10</w:t>
            </w:r>
          </w:p>
        </w:tc>
        <w:tc>
          <w:tcPr>
            <w:tcW w:w="665" w:type="pct"/>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8</w:t>
            </w:r>
          </w:p>
        </w:tc>
        <w:tc>
          <w:tcPr>
            <w:tcW w:w="637"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6</w:t>
            </w:r>
          </w:p>
        </w:tc>
        <w:tc>
          <w:tcPr>
            <w:tcW w:w="660"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w:t>
            </w:r>
          </w:p>
        </w:tc>
        <w:tc>
          <w:tcPr>
            <w:tcW w:w="85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2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b/>
                <w:color w:val="000000"/>
                <w:sz w:val="21"/>
                <w:szCs w:val="21"/>
              </w:rPr>
            </w:pPr>
          </w:p>
        </w:tc>
        <w:tc>
          <w:tcPr>
            <w:tcW w:w="97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基本不可能发生</w:t>
            </w:r>
          </w:p>
        </w:tc>
        <w:tc>
          <w:tcPr>
            <w:tcW w:w="670"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5</w:t>
            </w:r>
          </w:p>
        </w:tc>
        <w:tc>
          <w:tcPr>
            <w:tcW w:w="665" w:type="pct"/>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0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图例：</w:t>
            </w:r>
            <w:r>
              <w:rPr>
                <w:rFonts w:hint="eastAsia" w:ascii="方正仿宋_GBK" w:hAnsi="方正仿宋_GBK" w:eastAsia="方正仿宋_GBK" w:cs="方正仿宋_GBK"/>
                <w:color w:val="000000"/>
                <w:sz w:val="21"/>
                <w:szCs w:val="21"/>
              </w:rPr>
              <mc:AlternateContent>
                <mc:Choice Requires="wps">
                  <w:drawing>
                    <wp:inline distT="0" distB="0" distL="114300" distR="114300">
                      <wp:extent cx="153035" cy="133350"/>
                      <wp:effectExtent l="4445" t="5080" r="13970" b="13970"/>
                      <wp:docPr id="1" name="文本框 4"/>
                      <wp:cNvGraphicFramePr/>
                      <a:graphic xmlns:a="http://schemas.openxmlformats.org/drawingml/2006/main">
                        <a:graphicData uri="http://schemas.microsoft.com/office/word/2010/wordprocessingShape">
                          <wps:wsp>
                            <wps:cNvSpPr txBox="1">
                              <a:spLocks noRot="1"/>
                            </wps:cNvSpPr>
                            <wps:spPr>
                              <a:xfrm>
                                <a:off x="0" y="0"/>
                                <a:ext cx="153035" cy="133350"/>
                              </a:xfrm>
                              <a:prstGeom prst="rect">
                                <a:avLst/>
                              </a:prstGeom>
                              <a:solidFill>
                                <a:srgbClr val="FF0000"/>
                              </a:solidFill>
                              <a:ln w="6350" cap="flat" cmpd="sng">
                                <a:solidFill>
                                  <a:srgbClr val="000000"/>
                                </a:solidFill>
                                <a:prstDash val="solid"/>
                                <a:miter/>
                                <a:headEnd type="none" w="med" len="med"/>
                                <a:tailEnd type="none" w="med" len="med"/>
                              </a:ln>
                            </wps:spPr>
                            <wps:txbx>
                              <w:txbxContent>
                                <w:p>
                                  <w:pPr>
                                    <w:rPr>
                                      <w:rFonts w:ascii="Times New Roman" w:hAnsi="Times New Roman"/>
                                      <w:sz w:val="28"/>
                                      <w:szCs w:val="20"/>
                                    </w:rPr>
                                  </w:pPr>
                                </w:p>
                              </w:txbxContent>
                            </wps:txbx>
                            <wps:bodyPr upright="1"/>
                          </wps:wsp>
                        </a:graphicData>
                      </a:graphic>
                    </wp:inline>
                  </w:drawing>
                </mc:Choice>
                <mc:Fallback>
                  <w:pict>
                    <v:shape id="文本框 4" o:spid="_x0000_s1026" o:spt="202" type="#_x0000_t202" style="height:10.5pt;width:12.05pt;" fillcolor="#FF0000" filled="t" stroked="t" coordsize="21600,21600" o:gfxdata="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DxtIAAAADAQAADwAAAAAA&#10;AAABACAAAAAiAAAAZHJzL2Rvd25yZXYueG1sUEsBAhQAFAAAAAgAh07iQJfowWIZAgAAWAQAAA4A&#10;AAAAAAAAAQAgAAAAIQEAAGRycy9lMm9Eb2MueG1sUEsFBgAAAAAGAAYAWQEAAKwFAAAAAA==&#10;">
                      <v:fill on="t" focussize="0,0"/>
                      <v:stroke weight="0.5pt" color="#000000" joinstyle="miter"/>
                      <v:imagedata o:title=""/>
                      <o:lock v:ext="edit" rotation="t" aspectratio="f"/>
                      <v:textbox>
                        <w:txbxContent>
                          <w:p>
                            <w:pPr>
                              <w:rPr>
                                <w:rFonts w:ascii="Times New Roman" w:hAnsi="Times New Roman"/>
                                <w:sz w:val="28"/>
                                <w:szCs w:val="20"/>
                              </w:rPr>
                            </w:pPr>
                          </w:p>
                        </w:txbxContent>
                      </v:textbox>
                      <w10:wrap type="none"/>
                      <w10:anchorlock/>
                    </v:shape>
                  </w:pict>
                </mc:Fallback>
              </mc:AlternateContent>
            </w:r>
            <w:r>
              <w:rPr>
                <w:rFonts w:hint="eastAsia" w:ascii="方正仿宋_GBK" w:hAnsi="方正仿宋_GBK" w:eastAsia="方正仿宋_GBK" w:cs="方正仿宋_GBK"/>
                <w:color w:val="000000"/>
                <w:sz w:val="21"/>
                <w:szCs w:val="21"/>
              </w:rPr>
              <w:t xml:space="preserve">重大风险（1级） </w:t>
            </w:r>
            <w:r>
              <w:rPr>
                <w:rFonts w:hint="eastAsia" w:ascii="方正仿宋_GBK" w:hAnsi="方正仿宋_GBK" w:eastAsia="方正仿宋_GBK" w:cs="方正仿宋_GBK"/>
                <w:color w:val="000000"/>
                <w:sz w:val="21"/>
                <w:szCs w:val="21"/>
              </w:rPr>
              <mc:AlternateContent>
                <mc:Choice Requires="wps">
                  <w:drawing>
                    <wp:inline distT="0" distB="0" distL="114300" distR="114300">
                      <wp:extent cx="153035" cy="133350"/>
                      <wp:effectExtent l="4445" t="5080" r="13970" b="13970"/>
                      <wp:docPr id="2" name="文本框 3"/>
                      <wp:cNvGraphicFramePr/>
                      <a:graphic xmlns:a="http://schemas.openxmlformats.org/drawingml/2006/main">
                        <a:graphicData uri="http://schemas.microsoft.com/office/word/2010/wordprocessingShape">
                          <wps:wsp>
                            <wps:cNvSpPr txBox="1">
                              <a:spLocks noRot="1"/>
                            </wps:cNvSpPr>
                            <wps:spPr>
                              <a:xfrm>
                                <a:off x="0" y="0"/>
                                <a:ext cx="153035" cy="133350"/>
                              </a:xfrm>
                              <a:prstGeom prst="rect">
                                <a:avLst/>
                              </a:prstGeom>
                              <a:solidFill>
                                <a:srgbClr val="FFC000"/>
                              </a:solidFill>
                              <a:ln w="6350" cap="flat" cmpd="sng">
                                <a:solidFill>
                                  <a:srgbClr val="000000"/>
                                </a:solidFill>
                                <a:prstDash val="solid"/>
                                <a:miter/>
                                <a:headEnd type="none" w="med" len="med"/>
                                <a:tailEnd type="none" w="med" len="med"/>
                              </a:ln>
                            </wps:spPr>
                            <wps:txbx>
                              <w:txbxContent>
                                <w:p>
                                  <w:pPr>
                                    <w:rPr>
                                      <w:rFonts w:ascii="Times New Roman" w:hAnsi="Times New Roman"/>
                                      <w:sz w:val="28"/>
                                      <w:szCs w:val="20"/>
                                    </w:rPr>
                                  </w:pPr>
                                </w:p>
                              </w:txbxContent>
                            </wps:txbx>
                            <wps:bodyPr upright="1"/>
                          </wps:wsp>
                        </a:graphicData>
                      </a:graphic>
                    </wp:inline>
                  </w:drawing>
                </mc:Choice>
                <mc:Fallback>
                  <w:pict>
                    <v:shape id="文本框 3" o:spid="_x0000_s1026" o:spt="202" type="#_x0000_t202" style="height:10.5pt;width:12.05pt;" fillcolor="#FFC000" filled="t" stroked="t" coordsize="21600,21600" o:gfxdata="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8kJhjSAAAAAwEAAA8AAAAAAAAA&#10;AQAgAAAAIgAAAGRycy9kb3ducmV2LnhtbFBLAQIUABQAAAAIAIdO4kBK8N9mFwIAAFgEAAAOAAAA&#10;AAAAAAEAIAAAACEBAABkcnMvZTJvRG9jLnhtbFBLBQYAAAAABgAGAFkBAACqBQAAAAA=&#10;">
                      <v:fill on="t" focussize="0,0"/>
                      <v:stroke weight="0.5pt" color="#000000" joinstyle="miter"/>
                      <v:imagedata o:title=""/>
                      <o:lock v:ext="edit" rotation="t" aspectratio="f"/>
                      <v:textbox>
                        <w:txbxContent>
                          <w:p>
                            <w:pPr>
                              <w:rPr>
                                <w:rFonts w:ascii="Times New Roman" w:hAnsi="Times New Roman"/>
                                <w:sz w:val="28"/>
                                <w:szCs w:val="20"/>
                              </w:rPr>
                            </w:pPr>
                          </w:p>
                        </w:txbxContent>
                      </v:textbox>
                      <w10:wrap type="none"/>
                      <w10:anchorlock/>
                    </v:shape>
                  </w:pict>
                </mc:Fallback>
              </mc:AlternateContent>
            </w:r>
            <w:r>
              <w:rPr>
                <w:rFonts w:hint="eastAsia" w:ascii="方正仿宋_GBK" w:hAnsi="方正仿宋_GBK" w:eastAsia="方正仿宋_GBK" w:cs="方正仿宋_GBK"/>
                <w:color w:val="000000"/>
                <w:sz w:val="21"/>
                <w:szCs w:val="21"/>
              </w:rPr>
              <w:t>较大风险（2级）</w:t>
            </w:r>
            <w:r>
              <w:rPr>
                <w:rFonts w:hint="eastAsia" w:ascii="方正仿宋_GBK" w:hAnsi="方正仿宋_GBK" w:eastAsia="方正仿宋_GBK" w:cs="方正仿宋_GBK"/>
                <w:color w:val="000000"/>
                <w:sz w:val="21"/>
                <w:szCs w:val="21"/>
              </w:rPr>
              <mc:AlternateContent>
                <mc:Choice Requires="wps">
                  <w:drawing>
                    <wp:inline distT="0" distB="0" distL="114300" distR="114300">
                      <wp:extent cx="153035" cy="133350"/>
                      <wp:effectExtent l="4445" t="5080" r="13970" b="13970"/>
                      <wp:docPr id="3" name="文本框 2"/>
                      <wp:cNvGraphicFramePr/>
                      <a:graphic xmlns:a="http://schemas.openxmlformats.org/drawingml/2006/main">
                        <a:graphicData uri="http://schemas.microsoft.com/office/word/2010/wordprocessingShape">
                          <wps:wsp>
                            <wps:cNvSpPr txBox="1">
                              <a:spLocks noRot="1"/>
                            </wps:cNvSpPr>
                            <wps:spPr>
                              <a:xfrm>
                                <a:off x="0" y="0"/>
                                <a:ext cx="153035" cy="133350"/>
                              </a:xfrm>
                              <a:prstGeom prst="rect">
                                <a:avLst/>
                              </a:prstGeom>
                              <a:solidFill>
                                <a:srgbClr val="FFFF00"/>
                              </a:solidFill>
                              <a:ln w="6350" cap="flat" cmpd="sng">
                                <a:solidFill>
                                  <a:srgbClr val="000000"/>
                                </a:solidFill>
                                <a:prstDash val="solid"/>
                                <a:miter/>
                                <a:headEnd type="none" w="med" len="med"/>
                                <a:tailEnd type="none" w="med" len="med"/>
                              </a:ln>
                            </wps:spPr>
                            <wps:txbx>
                              <w:txbxContent>
                                <w:p>
                                  <w:pPr>
                                    <w:rPr>
                                      <w:rFonts w:ascii="Times New Roman" w:hAnsi="Times New Roman"/>
                                      <w:sz w:val="28"/>
                                      <w:szCs w:val="20"/>
                                    </w:rPr>
                                  </w:pPr>
                                </w:p>
                              </w:txbxContent>
                            </wps:txbx>
                            <wps:bodyPr upright="1"/>
                          </wps:wsp>
                        </a:graphicData>
                      </a:graphic>
                    </wp:inline>
                  </w:drawing>
                </mc:Choice>
                <mc:Fallback>
                  <w:pict>
                    <v:shape id="文本框 2" o:spid="_x0000_s1026" o:spt="202" type="#_x0000_t202" style="height:10.5pt;width:12.05pt;" fillcolor="#FFFF00" filled="t" stroked="t" coordsize="21600,21600" o:gfxdata="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FKIbTAAAAAwEAAA8AAAAA&#10;AAAAAQAgAAAAIgAAAGRycy9kb3ducmV2LnhtbFBLAQIUABQAAAAIAIdO4kBUBTXSGQIAAFgEAAAO&#10;AAAAAAAAAAEAIAAAACIBAABkcnMvZTJvRG9jLnhtbFBLBQYAAAAABgAGAFkBAACtBQAAAAA=&#10;">
                      <v:fill on="t" focussize="0,0"/>
                      <v:stroke weight="0.5pt" color="#000000" joinstyle="miter"/>
                      <v:imagedata o:title=""/>
                      <o:lock v:ext="edit" rotation="t" aspectratio="f"/>
                      <v:textbox>
                        <w:txbxContent>
                          <w:p>
                            <w:pPr>
                              <w:rPr>
                                <w:rFonts w:ascii="Times New Roman" w:hAnsi="Times New Roman"/>
                                <w:sz w:val="28"/>
                                <w:szCs w:val="20"/>
                              </w:rPr>
                            </w:pPr>
                          </w:p>
                        </w:txbxContent>
                      </v:textbox>
                      <w10:wrap type="none"/>
                      <w10:anchorlock/>
                    </v:shape>
                  </w:pict>
                </mc:Fallback>
              </mc:AlternateContent>
            </w:r>
            <w:r>
              <w:rPr>
                <w:rFonts w:hint="eastAsia" w:ascii="方正仿宋_GBK" w:hAnsi="方正仿宋_GBK" w:eastAsia="方正仿宋_GBK" w:cs="方正仿宋_GBK"/>
                <w:color w:val="000000"/>
                <w:sz w:val="21"/>
                <w:szCs w:val="21"/>
              </w:rPr>
              <w:t xml:space="preserve">一般风险（3级） </w:t>
            </w:r>
            <w:r>
              <w:rPr>
                <w:rFonts w:hint="eastAsia" w:ascii="方正仿宋_GBK" w:hAnsi="方正仿宋_GBK" w:eastAsia="方正仿宋_GBK" w:cs="方正仿宋_GBK"/>
                <w:color w:val="000000"/>
                <w:sz w:val="21"/>
                <w:szCs w:val="21"/>
              </w:rPr>
              <mc:AlternateContent>
                <mc:Choice Requires="wps">
                  <w:drawing>
                    <wp:inline distT="0" distB="0" distL="114300" distR="114300">
                      <wp:extent cx="153035" cy="133350"/>
                      <wp:effectExtent l="4445" t="5080" r="13970" b="13970"/>
                      <wp:docPr id="4" name="文本框 1"/>
                      <wp:cNvGraphicFramePr/>
                      <a:graphic xmlns:a="http://schemas.openxmlformats.org/drawingml/2006/main">
                        <a:graphicData uri="http://schemas.microsoft.com/office/word/2010/wordprocessingShape">
                          <wps:wsp>
                            <wps:cNvSpPr txBox="1">
                              <a:spLocks noRot="1"/>
                            </wps:cNvSpPr>
                            <wps:spPr>
                              <a:xfrm>
                                <a:off x="0" y="0"/>
                                <a:ext cx="153035" cy="133350"/>
                              </a:xfrm>
                              <a:prstGeom prst="rect">
                                <a:avLst/>
                              </a:prstGeom>
                              <a:solidFill>
                                <a:srgbClr val="558ED5"/>
                              </a:solidFill>
                              <a:ln w="6350" cap="flat" cmpd="sng">
                                <a:solidFill>
                                  <a:srgbClr val="000000"/>
                                </a:solidFill>
                                <a:prstDash val="solid"/>
                                <a:miter/>
                                <a:headEnd type="none" w="med" len="med"/>
                                <a:tailEnd type="none" w="med" len="med"/>
                              </a:ln>
                            </wps:spPr>
                            <wps:txbx>
                              <w:txbxContent>
                                <w:p>
                                  <w:pPr>
                                    <w:rPr>
                                      <w:rFonts w:ascii="Times New Roman" w:hAnsi="Times New Roman"/>
                                      <w:sz w:val="28"/>
                                      <w:szCs w:val="20"/>
                                    </w:rPr>
                                  </w:pPr>
                                </w:p>
                              </w:txbxContent>
                            </wps:txbx>
                            <wps:bodyPr upright="1"/>
                          </wps:wsp>
                        </a:graphicData>
                      </a:graphic>
                    </wp:inline>
                  </w:drawing>
                </mc:Choice>
                <mc:Fallback>
                  <w:pict>
                    <v:shape id="文本框 1" o:spid="_x0000_s1026" o:spt="202" type="#_x0000_t202" style="height:10.5pt;width:12.05pt;" fillcolor="#558ED5" filled="t" stroked="t" coordsize="21600,21600" o:gfxdata="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T+9bSAAAAAwEAAA8AAAAA&#10;AAAAAQAgAAAAIgAAAGRycy9kb3ducmV2LnhtbFBLAQIUABQAAAAIAIdO4kD/gqssGgIAAFgEAAAO&#10;AAAAAAAAAAEAIAAAACEBAABkcnMvZTJvRG9jLnhtbFBLBQYAAAAABgAGAFkBAACtBQAAAAA=&#10;">
                      <v:fill on="t" focussize="0,0"/>
                      <v:stroke weight="0.5pt" color="#000000" joinstyle="miter"/>
                      <v:imagedata o:title=""/>
                      <o:lock v:ext="edit" rotation="t" aspectratio="f"/>
                      <v:textbox>
                        <w:txbxContent>
                          <w:p>
                            <w:pPr>
                              <w:rPr>
                                <w:rFonts w:ascii="Times New Roman" w:hAnsi="Times New Roman"/>
                                <w:sz w:val="28"/>
                                <w:szCs w:val="20"/>
                              </w:rPr>
                            </w:pPr>
                          </w:p>
                        </w:txbxContent>
                      </v:textbox>
                      <w10:wrap type="none"/>
                      <w10:anchorlock/>
                    </v:shape>
                  </w:pict>
                </mc:Fallback>
              </mc:AlternateContent>
            </w:r>
            <w:r>
              <w:rPr>
                <w:rFonts w:hint="eastAsia" w:ascii="方正仿宋_GBK" w:hAnsi="方正仿宋_GBK" w:eastAsia="方正仿宋_GBK" w:cs="方正仿宋_GBK"/>
                <w:color w:val="000000"/>
                <w:sz w:val="21"/>
                <w:szCs w:val="21"/>
              </w:rPr>
              <w:t xml:space="preserve">低风险（4级）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 xml:space="preserve">     注：分级结果为无颜色区域的风险点不列入清单管理</w:t>
            </w:r>
          </w:p>
        </w:tc>
      </w:tr>
    </w:tbl>
    <w:p>
      <w:pPr>
        <w:pStyle w:val="22"/>
      </w:pP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br w:type="page"/>
      </w:r>
      <w:r>
        <w:rPr>
          <w:rFonts w:hint="eastAsia" w:ascii="方正仿宋_GBK" w:hAnsi="方正仿宋_GBK" w:eastAsia="方正仿宋_GBK" w:cs="方正仿宋_GBK"/>
          <w:b/>
          <w:bCs/>
          <w:sz w:val="28"/>
          <w:szCs w:val="28"/>
        </w:rPr>
        <w:t>表4.4-1  风险等级判定标准表</w:t>
      </w:r>
    </w:p>
    <w:tbl>
      <w:tblPr>
        <w:tblStyle w:val="2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506"/>
        <w:gridCol w:w="775"/>
        <w:gridCol w:w="5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风险度</w:t>
            </w:r>
          </w:p>
        </w:tc>
        <w:tc>
          <w:tcPr>
            <w:tcW w:w="12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风险等级</w:t>
            </w: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b/>
                <w:bCs/>
                <w:color w:val="000000"/>
                <w:sz w:val="21"/>
                <w:szCs w:val="21"/>
              </w:rPr>
            </w:pPr>
            <w:r>
              <w:rPr>
                <w:rFonts w:hint="eastAsia" w:ascii="方正仿宋_GBK" w:hAnsi="方正仿宋_GBK" w:eastAsia="方正仿宋_GBK" w:cs="方正仿宋_GBK"/>
                <w:b/>
                <w:bCs/>
                <w:color w:val="000000"/>
                <w:sz w:val="21"/>
                <w:szCs w:val="21"/>
              </w:rPr>
              <w:t>应采取的行动/控制措施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20～25</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重大风险</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1级</w:t>
            </w: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在采取措施降低危害前</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不能继续作业</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对改进措施进行评估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12～16</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较大风险</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2级</w:t>
            </w: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采取紧急措施降低风险，建立运行控制程序，定期检查、测量及评估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8～10</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一般风险</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3级</w:t>
            </w: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可考虑建立目标、建立操作规程，加强培训及沟通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4～6</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低风险</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4级</w:t>
            </w: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可考虑建立操作规程、作业指导书但需定期检查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1～3</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轻微或可忽略</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sz w:val="21"/>
                <w:szCs w:val="21"/>
              </w:rPr>
            </w:pPr>
          </w:p>
        </w:tc>
        <w:tc>
          <w:tcPr>
            <w:tcW w:w="31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无需采用控制措施，但需保存记录，不列入风险清单管理</w:t>
            </w:r>
          </w:p>
        </w:tc>
      </w:tr>
    </w:tbl>
    <w:p>
      <w:pPr>
        <w:pStyle w:val="27"/>
        <w:keepNext w:val="0"/>
        <w:keepLines w:val="0"/>
        <w:pageBreakBefore w:val="0"/>
        <w:widowControl w:val="0"/>
        <w:kinsoku/>
        <w:wordWrap/>
        <w:overflowPunct/>
        <w:topLinePunct w:val="0"/>
        <w:autoSpaceDE/>
        <w:autoSpaceDN/>
        <w:bidi w:val="0"/>
        <w:adjustRightInd w:val="0"/>
        <w:snapToGrid w:val="0"/>
        <w:spacing w:line="600" w:lineRule="exact"/>
        <w:ind w:firstLine="562"/>
        <w:jc w:val="left"/>
        <w:textAlignment w:val="auto"/>
        <w:outlineLvl w:val="2"/>
        <w:rPr>
          <w:rFonts w:hint="eastAsia" w:ascii="方正仿宋_GBK" w:hAnsi="方正仿宋_GBK" w:eastAsia="方正仿宋_GBK" w:cs="方正仿宋_GBK"/>
          <w:sz w:val="32"/>
          <w:szCs w:val="32"/>
        </w:rPr>
      </w:pPr>
      <w:bookmarkStart w:id="93" w:name="_Toc13064"/>
      <w:bookmarkStart w:id="94" w:name="_Toc31969"/>
      <w:bookmarkStart w:id="95" w:name="_Toc10428"/>
      <w:r>
        <w:rPr>
          <w:rFonts w:hint="eastAsia" w:ascii="方正仿宋_GBK" w:hAnsi="方正仿宋_GBK" w:eastAsia="方正仿宋_GBK" w:cs="方正仿宋_GBK"/>
          <w:sz w:val="32"/>
          <w:szCs w:val="32"/>
        </w:rPr>
        <w:t>4.4.2 评估结果</w:t>
      </w:r>
      <w:bookmarkEnd w:id="93"/>
      <w:bookmarkEnd w:id="94"/>
      <w:bookmarkEnd w:id="95"/>
    </w:p>
    <w:p>
      <w:pPr>
        <w:pStyle w:val="3"/>
        <w:keepNext w:val="0"/>
        <w:keepLines w:val="0"/>
        <w:pageBreakBefore w:val="0"/>
        <w:widowControl w:val="0"/>
        <w:kinsoku/>
        <w:wordWrap/>
        <w:overflowPunct/>
        <w:topLinePunct w:val="0"/>
        <w:autoSpaceDE/>
        <w:autoSpaceDN/>
        <w:bidi w:val="0"/>
        <w:adjustRightInd w:val="0"/>
        <w:snapToGrid w:val="0"/>
        <w:spacing w:line="600" w:lineRule="exact"/>
        <w:ind w:firstLine="56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采用矩阵分析法对</w:t>
      </w:r>
      <w:r>
        <w:rPr>
          <w:rFonts w:hint="eastAsia" w:ascii="方正仿宋_GBK" w:hAnsi="方正仿宋_GBK" w:eastAsia="方正仿宋_GBK" w:cs="方正仿宋_GBK"/>
          <w:sz w:val="32"/>
          <w:szCs w:val="32"/>
          <w:lang w:val="en-US" w:eastAsia="zh-CN"/>
        </w:rPr>
        <w:t>石坪桥街道</w:t>
      </w:r>
      <w:r>
        <w:rPr>
          <w:rFonts w:hint="eastAsia" w:ascii="方正仿宋_GBK" w:hAnsi="方正仿宋_GBK" w:eastAsia="方正仿宋_GBK" w:cs="方正仿宋_GBK"/>
          <w:sz w:val="32"/>
          <w:szCs w:val="32"/>
        </w:rPr>
        <w:t>区域内</w:t>
      </w:r>
      <w:r>
        <w:rPr>
          <w:rFonts w:hint="eastAsia" w:ascii="方正仿宋_GBK" w:hAnsi="方正仿宋_GBK" w:eastAsia="方正仿宋_GBK" w:cs="方正仿宋_GBK"/>
          <w:sz w:val="32"/>
          <w:szCs w:val="32"/>
          <w:lang w:val="en-US" w:eastAsia="zh-CN"/>
        </w:rPr>
        <w:t>突发事件（事故）</w:t>
      </w:r>
      <w:r>
        <w:rPr>
          <w:rFonts w:hint="eastAsia" w:ascii="方正仿宋_GBK" w:hAnsi="方正仿宋_GBK" w:eastAsia="方正仿宋_GBK" w:cs="方正仿宋_GBK"/>
          <w:sz w:val="32"/>
          <w:szCs w:val="32"/>
        </w:rPr>
        <w:t>风险评估结果详见表4.4-2：风险评估结果表。</w:t>
      </w:r>
    </w:p>
    <w:p>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表4.4-2 区农业农村委突发事件（事故）风险评估结果表</w:t>
      </w:r>
    </w:p>
    <w:tbl>
      <w:tblPr>
        <w:tblStyle w:val="29"/>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9"/>
        <w:gridCol w:w="1017"/>
        <w:gridCol w:w="919"/>
        <w:gridCol w:w="832"/>
        <w:gridCol w:w="1704"/>
        <w:gridCol w:w="546"/>
        <w:gridCol w:w="286"/>
        <w:gridCol w:w="936"/>
        <w:gridCol w:w="1215"/>
        <w:gridCol w:w="9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2615" w:type="dxa"/>
            <w:gridSpan w:val="3"/>
            <w:vMerge w:val="restart"/>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风险类别</w:t>
            </w:r>
          </w:p>
        </w:tc>
        <w:tc>
          <w:tcPr>
            <w:tcW w:w="2536" w:type="dxa"/>
            <w:gridSpan w:val="2"/>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rPr>
              <w:t>可能</w:t>
            </w:r>
            <w:r>
              <w:rPr>
                <w:rFonts w:hint="eastAsia" w:ascii="方正仿宋_GBK" w:hAnsi="方正仿宋_GBK" w:eastAsia="方正仿宋_GBK" w:cs="方正仿宋_GBK"/>
                <w:b/>
                <w:bCs/>
                <w:color w:val="000000"/>
                <w:sz w:val="24"/>
                <w:szCs w:val="24"/>
                <w:lang w:val="en-US" w:eastAsia="zh-CN"/>
              </w:rPr>
              <w:t>性描述</w:t>
            </w:r>
          </w:p>
        </w:tc>
        <w:tc>
          <w:tcPr>
            <w:tcW w:w="1768" w:type="dxa"/>
            <w:gridSpan w:val="3"/>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default"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后果严重性</w:t>
            </w:r>
          </w:p>
        </w:tc>
        <w:tc>
          <w:tcPr>
            <w:tcW w:w="2152" w:type="dxa"/>
            <w:gridSpan w:val="2"/>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default"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风险等级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2615" w:type="dxa"/>
            <w:gridSpan w:val="3"/>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pPr>
          </w:p>
        </w:tc>
        <w:tc>
          <w:tcPr>
            <w:tcW w:w="832"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级别</w:t>
            </w:r>
          </w:p>
        </w:tc>
        <w:tc>
          <w:tcPr>
            <w:tcW w:w="1704"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说明</w:t>
            </w:r>
          </w:p>
        </w:tc>
        <w:tc>
          <w:tcPr>
            <w:tcW w:w="832"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cs="方正仿宋_GBK"/>
                <w:b/>
                <w:bCs/>
                <w:color w:val="000000"/>
                <w:sz w:val="24"/>
                <w:szCs w:val="24"/>
                <w:lang w:val="en-US" w:eastAsia="zh-CN"/>
              </w:rPr>
              <w:t>级别</w:t>
            </w:r>
          </w:p>
        </w:tc>
        <w:tc>
          <w:tcPr>
            <w:tcW w:w="936"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cs="方正仿宋_GBK"/>
                <w:b/>
                <w:bCs/>
                <w:color w:val="000000"/>
                <w:sz w:val="24"/>
                <w:szCs w:val="24"/>
                <w:lang w:val="en-US" w:eastAsia="zh-CN"/>
              </w:rPr>
              <w:t>说明</w:t>
            </w:r>
          </w:p>
        </w:tc>
        <w:tc>
          <w:tcPr>
            <w:tcW w:w="1215"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等级</w:t>
            </w:r>
          </w:p>
        </w:tc>
        <w:tc>
          <w:tcPr>
            <w:tcW w:w="93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级别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自然灾害</w:t>
            </w:r>
          </w:p>
        </w:tc>
        <w:tc>
          <w:tcPr>
            <w:tcW w:w="10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水旱</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灾害</w:t>
            </w: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水灾</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0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旱灾</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城市内涝</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气象灾害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2</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影响一般</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地震灾害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4</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影响重大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地质灾害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事故灾难</w:t>
            </w: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工程</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kern w:val="2"/>
                <w:sz w:val="24"/>
                <w:szCs w:val="24"/>
                <w:lang w:val="en-US" w:eastAsia="zh-CN" w:bidi="ar-SA"/>
                <w14:textFill>
                  <w14:solidFill>
                    <w14:schemeClr w14:val="tx1"/>
                  </w14:solidFill>
                </w14:textFill>
              </w:rPr>
              <w:t>较大风险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危房</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危险化学品</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较大风险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工商贸</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c>
          <w:tcPr>
            <w:tcW w:w="54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sz w:val="24"/>
                <w:szCs w:val="24"/>
                <w:lang w:val="en-US" w:eastAsia="zh-CN"/>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w:t>
            </w:r>
            <w:r>
              <w:rPr>
                <w:rFonts w:hint="eastAsia" w:ascii="方正仿宋_GBK" w:hAnsi="方正仿宋_GBK" w:cs="方正仿宋_GBK"/>
                <w:color w:val="000000"/>
                <w:sz w:val="24"/>
                <w:szCs w:val="24"/>
                <w:lang w:val="en-US" w:eastAsia="zh-CN"/>
              </w:rPr>
              <w:t>较大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kern w:val="2"/>
                <w:sz w:val="24"/>
                <w:szCs w:val="24"/>
                <w:lang w:val="en-US" w:eastAsia="zh-CN" w:bidi="ar-SA"/>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Borders>
              <w:bottom w:val="single" w:color="000000"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火灾</w:t>
            </w:r>
          </w:p>
        </w:tc>
        <w:tc>
          <w:tcPr>
            <w:tcW w:w="832"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704"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4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tcBorders>
              <w:bottom w:val="single" w:color="000000" w:sz="12" w:space="0"/>
            </w:tcBorders>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较大风险</w:t>
            </w:r>
          </w:p>
        </w:tc>
        <w:tc>
          <w:tcPr>
            <w:tcW w:w="937"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bl>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pPr>
      <w:bookmarkStart w:id="96" w:name="_Toc6008"/>
      <w:bookmarkStart w:id="97" w:name="_Toc19539"/>
      <w:bookmarkStart w:id="98" w:name="_Toc6343"/>
      <w:r>
        <w:rPr>
          <w:rStyle w:val="36"/>
          <w:rFonts w:hint="eastAsia" w:ascii="黑体" w:hAnsi="黑体" w:eastAsia="黑体" w:cs="黑体"/>
          <w:b/>
          <w:bCs w:val="0"/>
          <w:color w:val="000000"/>
          <w:kern w:val="2"/>
          <w:sz w:val="32"/>
          <w:szCs w:val="32"/>
          <w:u w:val="none"/>
          <w:lang w:eastAsia="zh-CN"/>
        </w:rPr>
        <w:br w:type="page"/>
      </w:r>
      <w:r>
        <w:rPr>
          <w:rStyle w:val="36"/>
          <w:rFonts w:hint="eastAsia" w:ascii="黑体" w:hAnsi="黑体" w:eastAsia="黑体" w:cs="黑体"/>
          <w:b/>
          <w:bCs w:val="0"/>
          <w:color w:val="000000"/>
          <w:kern w:val="2"/>
          <w:sz w:val="32"/>
          <w:szCs w:val="32"/>
          <w:u w:val="none"/>
          <w:lang w:eastAsia="zh-CN"/>
        </w:rPr>
        <w:t>5</w:t>
      </w:r>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风险控制</w:t>
      </w:r>
      <w:bookmarkEnd w:id="96"/>
      <w:bookmarkEnd w:id="97"/>
      <w:bookmarkEnd w:id="98"/>
    </w:p>
    <w:p>
      <w:pPr>
        <w:pStyle w:val="5"/>
        <w:keepNext w:val="0"/>
        <w:keepLines w:val="0"/>
        <w:pageBreakBefore w:val="0"/>
        <w:widowControl w:val="0"/>
        <w:kinsoku/>
        <w:wordWrap/>
        <w:overflowPunct w:val="0"/>
        <w:topLinePunct w:val="0"/>
        <w:autoSpaceDE/>
        <w:autoSpaceDN/>
        <w:bidi w:val="0"/>
        <w:adjustRightInd/>
        <w:snapToGrid w:val="0"/>
        <w:spacing w:before="287" w:beforeLines="100" w:after="144" w:afterLines="50" w:line="360" w:lineRule="auto"/>
        <w:ind w:left="0" w:leftChars="0" w:firstLine="0" w:firstLineChars="0"/>
        <w:jc w:val="center"/>
        <w:textAlignment w:val="auto"/>
        <w:rPr>
          <w:rFonts w:hint="eastAsia" w:ascii="楷体" w:hAnsi="楷体" w:eastAsia="楷体" w:cs="楷体"/>
          <w:color w:val="000000"/>
        </w:rPr>
      </w:pPr>
      <w:bookmarkStart w:id="99" w:name="_Toc3917"/>
      <w:bookmarkStart w:id="100" w:name="_Toc26681"/>
      <w:bookmarkStart w:id="101" w:name="_Toc4005"/>
      <w:r>
        <w:rPr>
          <w:rFonts w:hint="eastAsia" w:ascii="楷体" w:hAnsi="楷体" w:eastAsia="楷体" w:cs="楷体"/>
          <w:color w:val="000000"/>
        </w:rPr>
        <w:t>5.1</w:t>
      </w:r>
      <w:r>
        <w:rPr>
          <w:rFonts w:hint="eastAsia" w:ascii="楷体" w:hAnsi="楷体" w:eastAsia="楷体" w:cs="楷体"/>
          <w:color w:val="000000"/>
          <w:lang w:val="en-US" w:eastAsia="zh-CN"/>
        </w:rPr>
        <w:t xml:space="preserve">  </w:t>
      </w:r>
      <w:r>
        <w:rPr>
          <w:rFonts w:hint="eastAsia" w:ascii="楷体" w:hAnsi="楷体" w:eastAsia="楷体" w:cs="楷体"/>
          <w:color w:val="000000"/>
        </w:rPr>
        <w:t>风险控制内容</w:t>
      </w:r>
      <w:bookmarkEnd w:id="99"/>
      <w:bookmarkEnd w:id="100"/>
      <w:bookmarkEnd w:id="101"/>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根据辨识出的风险及其可控程度、评估出的等级，分析</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区域内存在的问题和薄弱环节，有针对性地采取措施消除、规避风险、治理隐患或减小风险带来的损害，以最小成本达到最优效果。</w:t>
      </w:r>
    </w:p>
    <w:p>
      <w:pPr>
        <w:pStyle w:val="5"/>
        <w:keepNext w:val="0"/>
        <w:keepLines w:val="0"/>
        <w:pageBreakBefore w:val="0"/>
        <w:widowControl w:val="0"/>
        <w:kinsoku/>
        <w:wordWrap/>
        <w:overflowPunct w:val="0"/>
        <w:topLinePunct w:val="0"/>
        <w:autoSpaceDE/>
        <w:autoSpaceDN/>
        <w:bidi w:val="0"/>
        <w:adjustRightInd/>
        <w:snapToGrid w:val="0"/>
        <w:spacing w:before="287" w:beforeLines="100" w:after="144" w:afterLines="50" w:line="360" w:lineRule="auto"/>
        <w:ind w:left="0" w:leftChars="0" w:firstLine="0" w:firstLineChars="0"/>
        <w:jc w:val="center"/>
        <w:textAlignment w:val="auto"/>
        <w:rPr>
          <w:rFonts w:hint="eastAsia" w:ascii="楷体" w:hAnsi="楷体" w:eastAsia="楷体" w:cs="楷体"/>
          <w:color w:val="000000"/>
        </w:rPr>
      </w:pPr>
      <w:bookmarkStart w:id="102" w:name="_Toc6831"/>
      <w:bookmarkStart w:id="103" w:name="_Toc22310"/>
      <w:bookmarkStart w:id="104" w:name="_Toc17350"/>
      <w:r>
        <w:rPr>
          <w:rFonts w:hint="eastAsia" w:ascii="楷体" w:hAnsi="楷体" w:eastAsia="楷体" w:cs="楷体"/>
          <w:color w:val="000000"/>
        </w:rPr>
        <w:t>5.2</w:t>
      </w:r>
      <w:r>
        <w:rPr>
          <w:rFonts w:hint="eastAsia" w:ascii="楷体" w:hAnsi="楷体" w:eastAsia="楷体" w:cs="楷体"/>
          <w:color w:val="000000"/>
          <w:lang w:val="en-US" w:eastAsia="zh-CN"/>
        </w:rPr>
        <w:t xml:space="preserve">  </w:t>
      </w:r>
      <w:r>
        <w:rPr>
          <w:rFonts w:hint="eastAsia" w:ascii="楷体" w:hAnsi="楷体" w:eastAsia="楷体" w:cs="楷体"/>
          <w:color w:val="000000"/>
        </w:rPr>
        <w:t>工作职责</w:t>
      </w:r>
      <w:bookmarkEnd w:id="102"/>
      <w:bookmarkEnd w:id="103"/>
      <w:bookmarkEnd w:id="104"/>
    </w:p>
    <w:p>
      <w:pPr>
        <w:autoSpaceDE w:val="0"/>
        <w:autoSpaceDN w:val="0"/>
        <w:adjustRightInd w:val="0"/>
        <w:snapToGrid w:val="0"/>
        <w:ind w:firstLine="640"/>
        <w:rPr>
          <w:rFonts w:hint="eastAsia" w:ascii="方正仿宋_GBK" w:hAnsi="方正仿宋_GBK" w:eastAsia="方正仿宋_GBK" w:cs="方正仿宋_GBK"/>
          <w:b/>
          <w:bCs/>
          <w:color w:val="000000"/>
          <w:szCs w:val="32"/>
          <w:lang w:eastAsia="zh-CN"/>
        </w:rPr>
      </w:pPr>
      <w:r>
        <w:rPr>
          <w:rFonts w:hint="eastAsia" w:ascii="方正仿宋_GBK" w:hAnsi="方正仿宋_GBK" w:cs="方正仿宋_GBK"/>
          <w:b/>
          <w:bCs/>
          <w:color w:val="000000"/>
          <w:szCs w:val="32"/>
          <w:lang w:val="en-US" w:eastAsia="zh-CN"/>
        </w:rPr>
        <w:t xml:space="preserve">5.2.1 </w:t>
      </w:r>
      <w:r>
        <w:rPr>
          <w:rFonts w:hint="eastAsia" w:ascii="方正仿宋_GBK" w:hAnsi="方正仿宋_GBK" w:cs="方正仿宋_GBK"/>
          <w:b/>
          <w:bCs/>
          <w:color w:val="000000"/>
          <w:szCs w:val="32"/>
          <w:lang w:eastAsia="zh-CN"/>
        </w:rPr>
        <w:t>石坪桥街道</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（1）负责建立</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风险管理机制，统筹组织</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区域内风险管理工作。</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（2）建立</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区域风险管理数据库。</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（3）协助区政府有关部门开展行业风险识别、评估。</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（4）对无行业主管部门或有多个主管部门的各类风险统筹（或指定牵头部门）开展风险识别、评估，制定风险控制措施并汇总报送。</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（5）指导、督促、检查所辖各社区、行政村的风险管理工作。</w:t>
      </w:r>
    </w:p>
    <w:p>
      <w:pPr>
        <w:autoSpaceDE w:val="0"/>
        <w:autoSpaceDN w:val="0"/>
        <w:adjustRightInd w:val="0"/>
        <w:snapToGrid w:val="0"/>
        <w:ind w:firstLine="640"/>
        <w:rPr>
          <w:rFonts w:hint="eastAsia" w:ascii="方正仿宋_GBK" w:hAnsi="方正仿宋_GBK" w:eastAsia="方正仿宋_GBK" w:cs="方正仿宋_GBK"/>
          <w:b/>
          <w:bCs/>
          <w:color w:val="000000"/>
          <w:szCs w:val="32"/>
        </w:rPr>
      </w:pPr>
      <w:r>
        <w:rPr>
          <w:rFonts w:hint="eastAsia" w:ascii="方正仿宋_GBK" w:hAnsi="方正仿宋_GBK" w:cs="方正仿宋_GBK"/>
          <w:b/>
          <w:bCs/>
          <w:color w:val="000000"/>
          <w:szCs w:val="32"/>
          <w:lang w:val="en-US" w:eastAsia="zh-CN"/>
        </w:rPr>
        <w:t xml:space="preserve">5.2.2 </w:t>
      </w:r>
      <w:r>
        <w:rPr>
          <w:rFonts w:hint="eastAsia" w:ascii="方正仿宋_GBK" w:hAnsi="方正仿宋_GBK" w:eastAsia="方正仿宋_GBK" w:cs="方正仿宋_GBK"/>
          <w:b/>
          <w:bCs/>
          <w:color w:val="000000"/>
          <w:szCs w:val="32"/>
        </w:rPr>
        <w:t>各企事业单位和基层组织</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（1）各企事业单位和基层组织是具体实施风险管理的责任主体，负责开展风险识别、登记、建档和风险评估，并向</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及相关部门报送相关信息。</w:t>
      </w:r>
    </w:p>
    <w:p>
      <w:pPr>
        <w:keepLines/>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（2）制定风险控制措施并抓好落实。</w:t>
      </w:r>
    </w:p>
    <w:p>
      <w:pPr>
        <w:pStyle w:val="5"/>
        <w:keepNext w:val="0"/>
        <w:keepLines w:val="0"/>
        <w:pageBreakBefore w:val="0"/>
        <w:widowControl w:val="0"/>
        <w:kinsoku/>
        <w:wordWrap/>
        <w:overflowPunct w:val="0"/>
        <w:topLinePunct w:val="0"/>
        <w:autoSpaceDE/>
        <w:autoSpaceDN/>
        <w:bidi w:val="0"/>
        <w:adjustRightInd/>
        <w:snapToGrid w:val="0"/>
        <w:spacing w:before="287" w:beforeLines="100" w:after="144" w:afterLines="50" w:line="360" w:lineRule="auto"/>
        <w:ind w:left="0" w:leftChars="0" w:firstLine="0" w:firstLineChars="0"/>
        <w:jc w:val="center"/>
        <w:textAlignment w:val="auto"/>
        <w:rPr>
          <w:rFonts w:hint="eastAsia" w:ascii="楷体" w:hAnsi="楷体" w:eastAsia="楷体" w:cs="楷体"/>
          <w:color w:val="000000"/>
        </w:rPr>
      </w:pPr>
      <w:bookmarkStart w:id="105" w:name="_Toc31120"/>
      <w:bookmarkStart w:id="106" w:name="_Toc13012"/>
      <w:bookmarkStart w:id="107" w:name="_Toc16195"/>
      <w:r>
        <w:rPr>
          <w:rFonts w:hint="eastAsia" w:ascii="楷体" w:hAnsi="楷体" w:eastAsia="楷体" w:cs="楷体"/>
          <w:color w:val="000000"/>
        </w:rPr>
        <w:t>5.3</w:t>
      </w:r>
      <w:r>
        <w:rPr>
          <w:rFonts w:hint="eastAsia" w:ascii="楷体" w:hAnsi="楷体" w:eastAsia="楷体" w:cs="楷体"/>
          <w:color w:val="000000"/>
          <w:lang w:val="en-US" w:eastAsia="zh-CN"/>
        </w:rPr>
        <w:t xml:space="preserve">  </w:t>
      </w:r>
      <w:r>
        <w:rPr>
          <w:rFonts w:hint="eastAsia" w:ascii="楷体" w:hAnsi="楷体" w:eastAsia="楷体" w:cs="楷体"/>
          <w:color w:val="000000"/>
        </w:rPr>
        <w:t>风险控制措施</w:t>
      </w:r>
      <w:bookmarkEnd w:id="105"/>
      <w:bookmarkEnd w:id="106"/>
      <w:bookmarkEnd w:id="107"/>
    </w:p>
    <w:p>
      <w:pPr>
        <w:pStyle w:val="6"/>
        <w:ind w:firstLine="640"/>
        <w:rPr>
          <w:rFonts w:hint="eastAsia" w:ascii="方正仿宋_GBK" w:hAnsi="方正仿宋_GBK" w:eastAsia="方正仿宋_GBK" w:cs="方正仿宋_GBK"/>
          <w:color w:val="000000"/>
        </w:rPr>
      </w:pPr>
      <w:r>
        <w:rPr>
          <w:rFonts w:hint="eastAsia" w:ascii="方正仿宋_GBK" w:hAnsi="方正仿宋_GBK" w:eastAsia="方正仿宋_GBK" w:cs="方正仿宋_GBK"/>
          <w:b/>
          <w:bCs/>
          <w:color w:val="000000"/>
        </w:rPr>
        <w:t>5.3.1 风险控制措施总体要求</w:t>
      </w:r>
    </w:p>
    <w:p>
      <w:pPr>
        <w:keepLines/>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在风险管理工作中，坚持“边评估、边控制”的方式，坚持“分级管控”的原则，根据风险等级，有针对性地开展风险控制工作。</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1）对在一定时间内能够消除或基本消除的风险，要及时采取措施予以消除。</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2）对可以降低等级的风险，要及时采取措施将风险等级降低。</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3）对较难控制、可能失控，难以采取有效手段消除、规避和降低的风险，或难以预见、无法提前采取针对性控制措施的风险，要提前做好应急准备加强风险防范。</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4）对等级达到“</w:t>
      </w:r>
      <w:r>
        <w:rPr>
          <w:rFonts w:hint="eastAsia" w:ascii="方正仿宋_GBK" w:hAnsi="方正仿宋_GBK" w:cs="方正仿宋_GBK"/>
          <w:color w:val="000000"/>
          <w:szCs w:val="32"/>
          <w:lang w:val="en-US" w:eastAsia="zh-CN"/>
        </w:rPr>
        <w:t>较</w:t>
      </w:r>
      <w:r>
        <w:rPr>
          <w:rFonts w:hint="eastAsia" w:ascii="方正仿宋_GBK" w:hAnsi="方正仿宋_GBK" w:eastAsia="方正仿宋_GBK" w:cs="方正仿宋_GBK"/>
          <w:color w:val="000000"/>
          <w:szCs w:val="32"/>
        </w:rPr>
        <w:t>大”及以上的风险，或近期可能引发突发事件且有一定紧迫性的风险，要及时采取有效措施重点予以控制。</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5）对具备较强专业性、技术性的领域，可以组织有关专家或专业机构提出风险控制具体措施和方案。</w:t>
      </w:r>
    </w:p>
    <w:p>
      <w:pPr>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6）采取的控制措施要填入风险防控措施表，并将有关信息录入风险管理信息系统。风险防控措施表填写示例详见表5.3-1：风险防控措施表填写示例。</w:t>
      </w:r>
    </w:p>
    <w:p>
      <w:pPr>
        <w:snapToGrid w:val="0"/>
        <w:ind w:firstLine="562"/>
        <w:jc w:val="center"/>
        <w:rPr>
          <w:rFonts w:hint="eastAsia" w:ascii="方正仿宋_GBK" w:hAnsi="方正仿宋_GBK" w:eastAsia="方正仿宋_GBK" w:cs="方正仿宋_GBK"/>
          <w:b/>
          <w:bCs/>
          <w:color w:val="000000"/>
          <w:sz w:val="28"/>
          <w:szCs w:val="28"/>
        </w:rPr>
      </w:pPr>
    </w:p>
    <w:p>
      <w:pPr>
        <w:snapToGrid w:val="0"/>
        <w:ind w:firstLine="562"/>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表5.3-1 风险防控措施表填写示例</w:t>
      </w:r>
    </w:p>
    <w:p>
      <w:pPr>
        <w:snapToGrid w:val="0"/>
        <w:ind w:firstLine="56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填表单位：                                 时间：</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62"/>
        <w:gridCol w:w="2030"/>
        <w:gridCol w:w="1874"/>
        <w:gridCol w:w="2019"/>
        <w:gridCol w:w="247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97" w:hRule="atLeast"/>
          <w:jc w:val="center"/>
        </w:trPr>
        <w:tc>
          <w:tcPr>
            <w:tcW w:w="314" w:type="pc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133" w:type="pc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风险名称</w:t>
            </w:r>
          </w:p>
        </w:tc>
        <w:tc>
          <w:tcPr>
            <w:tcW w:w="1046" w:type="pc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技术措施</w:t>
            </w:r>
          </w:p>
        </w:tc>
        <w:tc>
          <w:tcPr>
            <w:tcW w:w="1127" w:type="pc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管理措施</w:t>
            </w:r>
          </w:p>
        </w:tc>
        <w:tc>
          <w:tcPr>
            <w:tcW w:w="1380" w:type="pc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应急准备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p>
        </w:tc>
        <w:tc>
          <w:tcPr>
            <w:tcW w:w="1133" w:type="pct"/>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1046" w:type="pct"/>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1127" w:type="pct"/>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1380" w:type="pct"/>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tcBorders>
              <w:bottom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w:t>
            </w:r>
          </w:p>
        </w:tc>
        <w:tc>
          <w:tcPr>
            <w:tcW w:w="113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1046" w:type="pct"/>
            <w:tcBorders>
              <w:bottom w:val="single" w:color="auto" w:sz="12" w:space="0"/>
            </w:tcBorders>
            <w:tcMar>
              <w:left w:w="28" w:type="dxa"/>
              <w:right w:w="28" w:type="dxa"/>
            </w:tcMar>
            <w:vAlign w:val="center"/>
          </w:tcPr>
          <w:p>
            <w:pPr>
              <w:snapToGrid w:val="0"/>
              <w:spacing w:line="240" w:lineRule="auto"/>
              <w:ind w:firstLine="480"/>
              <w:rPr>
                <w:rFonts w:hint="eastAsia" w:ascii="方正仿宋_GBK" w:hAnsi="方正仿宋_GBK" w:eastAsia="方正仿宋_GBK" w:cs="方正仿宋_GBK"/>
                <w:color w:val="000000"/>
                <w:sz w:val="24"/>
                <w:szCs w:val="24"/>
              </w:rPr>
            </w:pPr>
          </w:p>
        </w:tc>
        <w:tc>
          <w:tcPr>
            <w:tcW w:w="1127" w:type="pct"/>
            <w:tcBorders>
              <w:bottom w:val="single" w:color="auto" w:sz="12" w:space="0"/>
            </w:tcBorders>
            <w:tcMar>
              <w:left w:w="28" w:type="dxa"/>
              <w:right w:w="28" w:type="dxa"/>
            </w:tcMar>
            <w:vAlign w:val="center"/>
          </w:tcPr>
          <w:p>
            <w:pPr>
              <w:snapToGrid w:val="0"/>
              <w:spacing w:line="240" w:lineRule="auto"/>
              <w:ind w:firstLine="480"/>
              <w:rPr>
                <w:rFonts w:hint="eastAsia" w:ascii="方正仿宋_GBK" w:hAnsi="方正仿宋_GBK" w:eastAsia="方正仿宋_GBK" w:cs="方正仿宋_GBK"/>
                <w:color w:val="000000"/>
                <w:sz w:val="24"/>
                <w:szCs w:val="24"/>
              </w:rPr>
            </w:pPr>
          </w:p>
        </w:tc>
        <w:tc>
          <w:tcPr>
            <w:tcW w:w="1380" w:type="pct"/>
            <w:tcBorders>
              <w:bottom w:val="single" w:color="auto" w:sz="12" w:space="0"/>
            </w:tcBorders>
            <w:tcMar>
              <w:left w:w="28" w:type="dxa"/>
              <w:right w:w="28" w:type="dxa"/>
            </w:tcMar>
            <w:vAlign w:val="center"/>
          </w:tcPr>
          <w:p>
            <w:pPr>
              <w:snapToGrid w:val="0"/>
              <w:spacing w:line="240" w:lineRule="auto"/>
              <w:ind w:firstLine="480"/>
              <w:rPr>
                <w:rFonts w:hint="eastAsia" w:ascii="方正仿宋_GBK" w:hAnsi="方正仿宋_GBK" w:eastAsia="方正仿宋_GBK" w:cs="方正仿宋_GBK"/>
                <w:color w:val="000000"/>
                <w:sz w:val="24"/>
                <w:szCs w:val="24"/>
              </w:rPr>
            </w:pPr>
          </w:p>
        </w:tc>
      </w:tr>
    </w:tbl>
    <w:p>
      <w:pPr>
        <w:snapToGrid w:val="0"/>
        <w:ind w:firstLine="56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填表人：        联系电话：        审核人：        责任人：</w:t>
      </w:r>
    </w:p>
    <w:p>
      <w:pPr>
        <w:pStyle w:val="6"/>
        <w:adjustRightInd w:val="0"/>
        <w:snapToGrid w:val="0"/>
        <w:ind w:firstLine="640"/>
        <w:rPr>
          <w:rFonts w:hint="eastAsia" w:ascii="方正仿宋_GBK" w:hAnsi="方正仿宋_GBK" w:eastAsia="方正仿宋_GBK" w:cs="方正仿宋_GBK"/>
          <w:b/>
          <w:bCs/>
          <w:color w:val="000000"/>
        </w:rPr>
      </w:pPr>
      <w:r>
        <w:rPr>
          <w:rFonts w:hint="eastAsia" w:ascii="方正仿宋_GBK" w:hAnsi="方正仿宋_GBK" w:eastAsia="方正仿宋_GBK" w:cs="方正仿宋_GBK"/>
          <w:b/>
          <w:bCs/>
          <w:color w:val="000000"/>
        </w:rPr>
        <w:t>5.3.2 风险控制措施具体要求</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1）技术措施</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通过开展各类设施建设和改造，或采取技术手段、工程措施，以消除、降低、规避、隔离、减小风险。</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2）管理措施</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通过制定完善相关政策和管理制度，或调动各类力量治理防范风险，或放弃某些可能招致风险的活动和行为，以消除、降低、规避、减小风险。</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3）应急准备</w:t>
      </w:r>
    </w:p>
    <w:p>
      <w:pPr>
        <w:autoSpaceDE w:val="0"/>
        <w:autoSpaceDN w:val="0"/>
        <w:adjustRightInd w:val="0"/>
        <w:snapToGrid w:val="0"/>
        <w:ind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针对确实难以消除、控制或难以预测、预防的风险，提前做好监测、预警、预案、演练、队伍、资金、物资、技术、宣传、保障等各方面的准备工作。</w:t>
      </w:r>
    </w:p>
    <w:p>
      <w:pPr>
        <w:pStyle w:val="6"/>
        <w:adjustRightInd w:val="0"/>
        <w:snapToGrid w:val="0"/>
        <w:ind w:firstLine="640"/>
        <w:rPr>
          <w:rFonts w:hint="eastAsia" w:ascii="方正仿宋_GBK" w:hAnsi="方正仿宋_GBK" w:eastAsia="方正仿宋_GBK" w:cs="方正仿宋_GBK"/>
          <w:b/>
          <w:bCs/>
          <w:color w:val="000000"/>
        </w:rPr>
      </w:pPr>
      <w:r>
        <w:rPr>
          <w:rFonts w:hint="eastAsia" w:ascii="方正仿宋_GBK" w:hAnsi="方正仿宋_GBK" w:eastAsia="方正仿宋_GBK" w:cs="方正仿宋_GBK"/>
          <w:b/>
          <w:bCs/>
          <w:color w:val="000000"/>
        </w:rPr>
        <w:t>5.3.3 风险控制</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应建立风险控制机制，根据</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及其下属单位的职能职责，结合本次风险调查评估结果，对</w:t>
      </w:r>
      <w:r>
        <w:rPr>
          <w:rFonts w:hint="eastAsia" w:ascii="方正仿宋_GBK" w:hAnsi="方正仿宋_GBK" w:cs="方正仿宋_GBK"/>
          <w:color w:val="000000"/>
          <w:szCs w:val="32"/>
          <w:lang w:val="en-US" w:eastAsia="zh-CN"/>
        </w:rPr>
        <w:t>危房、火灾</w:t>
      </w:r>
      <w:r>
        <w:rPr>
          <w:rFonts w:hint="eastAsia" w:ascii="方正仿宋_GBK" w:hAnsi="方正仿宋_GBK" w:eastAsia="方正仿宋_GBK" w:cs="方正仿宋_GBK"/>
          <w:color w:val="000000"/>
          <w:szCs w:val="32"/>
        </w:rPr>
        <w:t>等</w:t>
      </w:r>
      <w:r>
        <w:rPr>
          <w:rFonts w:hint="eastAsia" w:ascii="方正仿宋_GBK" w:hAnsi="方正仿宋_GBK" w:cs="方正仿宋_GBK"/>
          <w:color w:val="000000"/>
          <w:szCs w:val="32"/>
          <w:lang w:val="en-US" w:eastAsia="zh-CN"/>
        </w:rPr>
        <w:t>两</w:t>
      </w:r>
      <w:r>
        <w:rPr>
          <w:rFonts w:hint="eastAsia" w:ascii="方正仿宋_GBK" w:hAnsi="方正仿宋_GBK" w:eastAsia="方正仿宋_GBK" w:cs="方正仿宋_GBK"/>
          <w:color w:val="000000"/>
          <w:szCs w:val="32"/>
        </w:rPr>
        <w:t>个较大风险行业领域实施重点控制，落实控制措施及责任单位或责任人。</w:t>
      </w:r>
    </w:p>
    <w:p>
      <w:pPr>
        <w:pStyle w:val="6"/>
        <w:adjustRightInd w:val="0"/>
        <w:snapToGrid w:val="0"/>
        <w:ind w:firstLine="640"/>
        <w:rPr>
          <w:rFonts w:hint="eastAsia" w:ascii="方正仿宋_GBK" w:hAnsi="方正仿宋_GBK" w:eastAsia="方正仿宋_GBK" w:cs="方正仿宋_GBK"/>
          <w:bCs w:val="0"/>
          <w:color w:val="000000"/>
        </w:rPr>
      </w:pPr>
      <w:r>
        <w:rPr>
          <w:rFonts w:hint="eastAsia" w:ascii="方正仿宋_GBK" w:hAnsi="方正仿宋_GBK" w:eastAsia="方正仿宋_GBK" w:cs="方正仿宋_GBK"/>
          <w:b/>
          <w:bCs/>
          <w:color w:val="000000"/>
        </w:rPr>
        <w:t>5.3.4 风险监测更新</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1）风险监测</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及其单位应建立本区域、本单位风险监测制度，对风险变化情况和本区域、本单位风险管理开展情况进行动态监测。</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2）风险更新</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及其单位每年应组织本区域、本单位对各类风险进行重新识别、登记和评估，及时掌握风险的增加、减少和等级变化等情况，填写风险变化情况表（详见表5.3-2：风险变化情况表填写示例），并录入风险管理信息系统；应根据风险变化情况，重新制定或调整风险控制措施，并对风险信息系统内的信息进行更新；风险更新工作应当在每年12月底以前完成。</w:t>
      </w:r>
    </w:p>
    <w:p>
      <w:pPr>
        <w:snapToGrid w:val="0"/>
        <w:ind w:firstLine="562"/>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表5.3-2 风险变化情况表填写示例</w:t>
      </w:r>
    </w:p>
    <w:p>
      <w:pPr>
        <w:snapToGrid w:val="0"/>
        <w:ind w:firstLine="56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填表单位：                                 时间：</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330"/>
        <w:gridCol w:w="1632"/>
        <w:gridCol w:w="616"/>
        <w:gridCol w:w="1152"/>
        <w:gridCol w:w="722"/>
        <w:gridCol w:w="1152"/>
        <w:gridCol w:w="863"/>
        <w:gridCol w:w="1154"/>
        <w:gridCol w:w="722"/>
        <w:gridCol w:w="61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84" w:type="pct"/>
            <w:vMerge w:val="restar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911" w:type="pct"/>
            <w:vMerge w:val="restar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风险名称</w:t>
            </w:r>
          </w:p>
        </w:tc>
        <w:tc>
          <w:tcPr>
            <w:tcW w:w="344" w:type="pct"/>
            <w:vMerge w:val="restar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变化</w:t>
            </w:r>
          </w:p>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情况</w:t>
            </w:r>
          </w:p>
        </w:tc>
        <w:tc>
          <w:tcPr>
            <w:tcW w:w="1046" w:type="pct"/>
            <w:gridSpan w:val="2"/>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风险等级变化</w:t>
            </w:r>
          </w:p>
        </w:tc>
        <w:tc>
          <w:tcPr>
            <w:tcW w:w="1125" w:type="pct"/>
            <w:gridSpan w:val="2"/>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损害后果变化</w:t>
            </w:r>
          </w:p>
        </w:tc>
        <w:tc>
          <w:tcPr>
            <w:tcW w:w="1047" w:type="pct"/>
            <w:gridSpan w:val="2"/>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发生可能性变化</w:t>
            </w:r>
          </w:p>
        </w:tc>
        <w:tc>
          <w:tcPr>
            <w:tcW w:w="343" w:type="pct"/>
            <w:vMerge w:val="restart"/>
            <w:tcBorders>
              <w:top w:val="single" w:color="auto" w:sz="12" w:space="0"/>
            </w:tcBorders>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变化原因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84" w:type="pct"/>
            <w:vMerge w:val="continue"/>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911" w:type="pct"/>
            <w:vMerge w:val="continue"/>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344" w:type="pct"/>
            <w:vMerge w:val="continue"/>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64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原结果</w:t>
            </w:r>
          </w:p>
        </w:tc>
        <w:tc>
          <w:tcPr>
            <w:tcW w:w="40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更新结果</w:t>
            </w:r>
          </w:p>
        </w:tc>
        <w:tc>
          <w:tcPr>
            <w:tcW w:w="64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原结果</w:t>
            </w:r>
          </w:p>
        </w:tc>
        <w:tc>
          <w:tcPr>
            <w:tcW w:w="482"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更新结果</w:t>
            </w:r>
          </w:p>
        </w:tc>
        <w:tc>
          <w:tcPr>
            <w:tcW w:w="644"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原结果</w:t>
            </w:r>
          </w:p>
        </w:tc>
        <w:tc>
          <w:tcPr>
            <w:tcW w:w="40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更新结果</w:t>
            </w:r>
          </w:p>
        </w:tc>
        <w:tc>
          <w:tcPr>
            <w:tcW w:w="343" w:type="pct"/>
            <w:vMerge w:val="continue"/>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84"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1</w:t>
            </w:r>
          </w:p>
        </w:tc>
        <w:tc>
          <w:tcPr>
            <w:tcW w:w="911"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344"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64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40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64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482"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644"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40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c>
          <w:tcPr>
            <w:tcW w:w="343" w:type="pct"/>
            <w:tcMar>
              <w:left w:w="28" w:type="dxa"/>
              <w:right w:w="28" w:type="dxa"/>
            </w:tcMar>
            <w:vAlign w:val="center"/>
          </w:tcPr>
          <w:p>
            <w:pPr>
              <w:snapToGrid w:val="0"/>
              <w:spacing w:line="240" w:lineRule="auto"/>
              <w:ind w:firstLine="0" w:firstLineChars="0"/>
              <w:jc w:val="center"/>
              <w:rPr>
                <w:rFonts w:hint="eastAsia" w:ascii="方正仿宋_GBK" w:hAnsi="方正仿宋_GBK" w:eastAsia="方正仿宋_GBK" w:cs="方正仿宋_GBK"/>
                <w:b/>
                <w:bCs/>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84" w:type="pct"/>
            <w:tcBorders>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w:t>
            </w:r>
          </w:p>
        </w:tc>
        <w:tc>
          <w:tcPr>
            <w:tcW w:w="911"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344"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64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40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64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482"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644"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40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c>
          <w:tcPr>
            <w:tcW w:w="343" w:type="pct"/>
            <w:tcBorders>
              <w:bottom w:val="single" w:color="auto" w:sz="12" w:space="0"/>
            </w:tcBorders>
            <w:tcMar>
              <w:left w:w="28" w:type="dxa"/>
              <w:right w:w="28" w:type="dxa"/>
            </w:tcMar>
            <w:vAlign w:val="center"/>
          </w:tcPr>
          <w:p>
            <w:pPr>
              <w:snapToGrid w:val="0"/>
              <w:spacing w:line="240" w:lineRule="auto"/>
              <w:ind w:firstLine="480"/>
              <w:jc w:val="center"/>
              <w:rPr>
                <w:rFonts w:hint="eastAsia" w:ascii="方正仿宋_GBK" w:hAnsi="方正仿宋_GBK" w:eastAsia="方正仿宋_GBK" w:cs="方正仿宋_GBK"/>
                <w:color w:val="000000"/>
                <w:sz w:val="24"/>
                <w:szCs w:val="24"/>
              </w:rPr>
            </w:pPr>
          </w:p>
        </w:tc>
      </w:tr>
    </w:tbl>
    <w:p>
      <w:pPr>
        <w:snapToGrid w:val="0"/>
        <w:ind w:firstLine="56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填表人：        联系电话：        审核人：        责任人：</w:t>
      </w:r>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sectPr>
          <w:pgSz w:w="11906" w:h="16838"/>
          <w:pgMar w:top="1417" w:right="1418" w:bottom="1417" w:left="1587" w:header="851" w:footer="1191" w:gutter="0"/>
          <w:pgBorders>
            <w:top w:val="none" w:sz="0" w:space="0"/>
            <w:left w:val="none" w:sz="0" w:space="0"/>
            <w:bottom w:val="none" w:sz="0" w:space="0"/>
            <w:right w:val="none" w:sz="0" w:space="0"/>
          </w:pgBorders>
          <w:pgNumType w:fmt="decimal"/>
          <w:cols w:space="0" w:num="1"/>
          <w:rtlGutter w:val="0"/>
          <w:docGrid w:linePitch="286" w:charSpace="0"/>
        </w:sectPr>
      </w:pPr>
      <w:bookmarkStart w:id="108" w:name="_Toc26122"/>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pPr>
      <w:bookmarkStart w:id="109" w:name="_Toc7906"/>
      <w:bookmarkStart w:id="110" w:name="_Toc15440"/>
      <w:r>
        <w:rPr>
          <w:rStyle w:val="36"/>
          <w:rFonts w:hint="eastAsia" w:ascii="黑体" w:hAnsi="黑体" w:eastAsia="黑体" w:cs="黑体"/>
          <w:b/>
          <w:bCs w:val="0"/>
          <w:color w:val="000000"/>
          <w:kern w:val="2"/>
          <w:sz w:val="32"/>
          <w:szCs w:val="32"/>
          <w:u w:val="none"/>
          <w:lang w:eastAsia="zh-CN"/>
        </w:rPr>
        <w:t>6</w:t>
      </w:r>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成果运用</w:t>
      </w:r>
      <w:bookmarkEnd w:id="108"/>
      <w:bookmarkEnd w:id="109"/>
      <w:bookmarkEnd w:id="110"/>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11" w:name="_Toc20327"/>
      <w:bookmarkStart w:id="112" w:name="_Toc8996"/>
      <w:bookmarkStart w:id="113" w:name="_Toc29524"/>
      <w:r>
        <w:rPr>
          <w:rFonts w:hint="eastAsia" w:ascii="楷体" w:hAnsi="楷体" w:eastAsia="楷体" w:cs="楷体"/>
          <w:color w:val="000000"/>
        </w:rPr>
        <w:t>6.1</w:t>
      </w:r>
      <w:r>
        <w:rPr>
          <w:rFonts w:hint="eastAsia" w:ascii="楷体" w:hAnsi="楷体" w:eastAsia="楷体" w:cs="楷体"/>
          <w:color w:val="000000"/>
          <w:lang w:val="en-US" w:eastAsia="zh-CN"/>
        </w:rPr>
        <w:t xml:space="preserve">  </w:t>
      </w:r>
      <w:r>
        <w:rPr>
          <w:rFonts w:hint="eastAsia" w:ascii="楷体" w:hAnsi="楷体" w:eastAsia="楷体" w:cs="楷体"/>
          <w:color w:val="000000"/>
        </w:rPr>
        <w:t>信息报送</w:t>
      </w:r>
      <w:bookmarkEnd w:id="111"/>
      <w:bookmarkEnd w:id="112"/>
      <w:bookmarkEnd w:id="113"/>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在风险识别与登记、风险评估、风险控制工作中录入风险管理信息系统的各类信息，全部通过风险管理信息系统逐级报送，并由系统按区域和行业两条线自动汇总至</w:t>
      </w: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、相关区级行业主管部门。</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14" w:name="_Toc11537"/>
      <w:bookmarkStart w:id="115" w:name="_Toc10875"/>
      <w:bookmarkStart w:id="116" w:name="_Toc19091"/>
      <w:r>
        <w:rPr>
          <w:rFonts w:hint="eastAsia" w:ascii="楷体" w:hAnsi="楷体" w:eastAsia="楷体" w:cs="楷体"/>
          <w:color w:val="000000"/>
        </w:rPr>
        <w:t>6.2</w:t>
      </w:r>
      <w:r>
        <w:rPr>
          <w:rFonts w:hint="eastAsia" w:ascii="楷体" w:hAnsi="楷体" w:eastAsia="楷体" w:cs="楷体"/>
          <w:color w:val="000000"/>
          <w:lang w:val="en-US" w:eastAsia="zh-CN"/>
        </w:rPr>
        <w:t xml:space="preserve">  </w:t>
      </w:r>
      <w:r>
        <w:rPr>
          <w:rFonts w:hint="eastAsia" w:ascii="楷体" w:hAnsi="楷体" w:eastAsia="楷体" w:cs="楷体"/>
          <w:color w:val="000000"/>
        </w:rPr>
        <w:t>信息公开</w:t>
      </w:r>
      <w:bookmarkEnd w:id="114"/>
      <w:bookmarkEnd w:id="115"/>
      <w:bookmarkEnd w:id="116"/>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石坪桥街道</w:t>
      </w:r>
      <w:r>
        <w:rPr>
          <w:rFonts w:hint="eastAsia" w:ascii="方正仿宋_GBK" w:hAnsi="方正仿宋_GBK" w:eastAsia="方正仿宋_GBK" w:cs="方正仿宋_GBK"/>
          <w:color w:val="000000"/>
          <w:szCs w:val="32"/>
        </w:rPr>
        <w:t>与区级行业主管部门在加强信息共享的同时，应及时向社会公布危险区域、危险事项等信息，引导社会公众防范和规避风险，并依法责令风险涉及的有关单位和人员采取安全防范措施；对敏感信息、涉密信息，要做好保密工作。</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17" w:name="_Toc31807"/>
      <w:bookmarkStart w:id="118" w:name="_Toc5235"/>
      <w:bookmarkStart w:id="119" w:name="_Toc20289"/>
      <w:r>
        <w:rPr>
          <w:rFonts w:hint="eastAsia" w:ascii="楷体" w:hAnsi="楷体" w:eastAsia="楷体" w:cs="楷体"/>
          <w:color w:val="000000"/>
        </w:rPr>
        <w:t>6.3</w:t>
      </w:r>
      <w:r>
        <w:rPr>
          <w:rFonts w:hint="eastAsia" w:ascii="楷体" w:hAnsi="楷体" w:eastAsia="楷体" w:cs="楷体"/>
          <w:color w:val="000000"/>
          <w:lang w:val="en-US" w:eastAsia="zh-CN"/>
        </w:rPr>
        <w:t xml:space="preserve">  </w:t>
      </w:r>
      <w:r>
        <w:rPr>
          <w:rFonts w:hint="eastAsia" w:ascii="楷体" w:hAnsi="楷体" w:eastAsia="楷体" w:cs="楷体"/>
          <w:color w:val="000000"/>
        </w:rPr>
        <w:t>辅助政府科学决策</w:t>
      </w:r>
      <w:bookmarkEnd w:id="117"/>
      <w:bookmarkEnd w:id="118"/>
      <w:bookmarkEnd w:id="119"/>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实施重大项目或重大决策前，及时发现可能存在的风险，通过开展行业和区域风险管理，提高对突发事件发生可能和损害后果的预见性，防患于未然。</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20" w:name="_Toc19125"/>
      <w:bookmarkStart w:id="121" w:name="_Toc9020"/>
      <w:bookmarkStart w:id="122" w:name="_Toc19866"/>
      <w:r>
        <w:rPr>
          <w:rFonts w:hint="eastAsia" w:ascii="楷体" w:hAnsi="楷体" w:eastAsia="楷体" w:cs="楷体"/>
          <w:color w:val="000000"/>
        </w:rPr>
        <w:t>6.4</w:t>
      </w:r>
      <w:r>
        <w:rPr>
          <w:rFonts w:hint="eastAsia" w:ascii="楷体" w:hAnsi="楷体" w:eastAsia="楷体" w:cs="楷体"/>
          <w:color w:val="000000"/>
          <w:lang w:val="en-US" w:eastAsia="zh-CN"/>
        </w:rPr>
        <w:t xml:space="preserve">  </w:t>
      </w:r>
      <w:r>
        <w:rPr>
          <w:rFonts w:hint="eastAsia" w:ascii="楷体" w:hAnsi="楷体" w:eastAsia="楷体" w:cs="楷体"/>
          <w:color w:val="000000"/>
        </w:rPr>
        <w:t>加强监测预防预警</w:t>
      </w:r>
      <w:bookmarkEnd w:id="120"/>
      <w:bookmarkEnd w:id="121"/>
      <w:bookmarkEnd w:id="122"/>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通过开展风险识别、评估、监测、更新和控制，消除或降低突发事件发生的可能性，遇到难以避免的风险，及时发布预警信息，规避突发事件造成的损害。</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23" w:name="_Toc5019"/>
      <w:bookmarkStart w:id="124" w:name="_Toc17137"/>
      <w:bookmarkStart w:id="125" w:name="_Toc3220"/>
      <w:r>
        <w:rPr>
          <w:rFonts w:hint="eastAsia" w:ascii="楷体" w:hAnsi="楷体" w:eastAsia="楷体" w:cs="楷体"/>
          <w:color w:val="000000"/>
        </w:rPr>
        <w:t>6.5</w:t>
      </w:r>
      <w:r>
        <w:rPr>
          <w:rFonts w:hint="eastAsia" w:ascii="楷体" w:hAnsi="楷体" w:eastAsia="楷体" w:cs="楷体"/>
          <w:color w:val="000000"/>
          <w:lang w:val="en-US" w:eastAsia="zh-CN"/>
        </w:rPr>
        <w:t xml:space="preserve">  </w:t>
      </w:r>
      <w:r>
        <w:rPr>
          <w:rFonts w:hint="eastAsia" w:ascii="楷体" w:hAnsi="楷体" w:eastAsia="楷体" w:cs="楷体"/>
          <w:color w:val="000000"/>
        </w:rPr>
        <w:t>强化应急保障准备</w:t>
      </w:r>
      <w:bookmarkEnd w:id="123"/>
      <w:bookmarkEnd w:id="124"/>
      <w:bookmarkEnd w:id="125"/>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通过掌握风险信息，有针对性地加强包括决策、指挥、调度、处置、救援、物资、队伍、信息在内的各项应急保障和准备，有效应对随时可能发生的突发事件。</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26" w:name="_Toc29814"/>
      <w:bookmarkStart w:id="127" w:name="_Toc30775"/>
      <w:bookmarkStart w:id="128" w:name="_Toc9196"/>
      <w:r>
        <w:rPr>
          <w:rFonts w:hint="eastAsia" w:ascii="楷体" w:hAnsi="楷体" w:eastAsia="楷体" w:cs="楷体"/>
          <w:color w:val="000000"/>
        </w:rPr>
        <w:t>6.6</w:t>
      </w:r>
      <w:r>
        <w:rPr>
          <w:rFonts w:hint="eastAsia" w:ascii="楷体" w:hAnsi="楷体" w:eastAsia="楷体" w:cs="楷体"/>
          <w:color w:val="000000"/>
          <w:lang w:val="en-US" w:eastAsia="zh-CN"/>
        </w:rPr>
        <w:t xml:space="preserve">  </w:t>
      </w:r>
      <w:r>
        <w:rPr>
          <w:rFonts w:hint="eastAsia" w:ascii="楷体" w:hAnsi="楷体" w:eastAsia="楷体" w:cs="楷体"/>
          <w:color w:val="000000"/>
        </w:rPr>
        <w:t>优化应急预案演练</w:t>
      </w:r>
      <w:bookmarkEnd w:id="126"/>
      <w:bookmarkEnd w:id="127"/>
      <w:bookmarkEnd w:id="128"/>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针对存在的各类风险，优化已有应急预案，科学编制新的应急预案，细化各项预防和处置措施，并有针对性地开展专项演练和盲演、无脚本演练等。</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29" w:name="_Toc3958"/>
      <w:bookmarkStart w:id="130" w:name="_Toc23131"/>
      <w:bookmarkStart w:id="131" w:name="_Toc30654"/>
      <w:r>
        <w:rPr>
          <w:rFonts w:hint="eastAsia" w:ascii="楷体" w:hAnsi="楷体" w:eastAsia="楷体" w:cs="楷体"/>
          <w:color w:val="000000"/>
        </w:rPr>
        <w:t>6.7</w:t>
      </w:r>
      <w:r>
        <w:rPr>
          <w:rFonts w:hint="eastAsia" w:ascii="楷体" w:hAnsi="楷体" w:eastAsia="楷体" w:cs="楷体"/>
          <w:color w:val="000000"/>
          <w:lang w:val="en-US" w:eastAsia="zh-CN"/>
        </w:rPr>
        <w:t xml:space="preserve">  </w:t>
      </w:r>
      <w:r>
        <w:rPr>
          <w:rFonts w:hint="eastAsia" w:ascii="楷体" w:hAnsi="楷体" w:eastAsia="楷体" w:cs="楷体"/>
          <w:color w:val="000000"/>
        </w:rPr>
        <w:t>差别配备应急资源</w:t>
      </w:r>
      <w:bookmarkEnd w:id="129"/>
      <w:bookmarkEnd w:id="130"/>
      <w:bookmarkEnd w:id="131"/>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根据不同类型、不同等级的风险，有重点、有差别地配备、整合各类应急资源，建立科学合理的应急资源分配机制，实现资源最优配置和效益最大化。</w:t>
      </w:r>
    </w:p>
    <w:p>
      <w:pPr>
        <w:pStyle w:val="5"/>
        <w:keepNext w:val="0"/>
        <w:keepLines w:val="0"/>
        <w:pageBreakBefore w:val="0"/>
        <w:widowControl w:val="0"/>
        <w:kinsoku/>
        <w:wordWrap/>
        <w:overflowPunct w:val="0"/>
        <w:topLinePunct w:val="0"/>
        <w:autoSpaceDE/>
        <w:autoSpaceDN/>
        <w:bidi w:val="0"/>
        <w:adjustRightInd/>
        <w:snapToGrid w:val="0"/>
        <w:spacing w:before="430" w:beforeLines="150" w:after="144" w:afterLines="50" w:line="360" w:lineRule="auto"/>
        <w:ind w:left="0" w:leftChars="0" w:firstLine="0" w:firstLineChars="0"/>
        <w:jc w:val="center"/>
        <w:textAlignment w:val="auto"/>
        <w:rPr>
          <w:rFonts w:hint="eastAsia" w:ascii="楷体" w:hAnsi="楷体" w:eastAsia="楷体" w:cs="楷体"/>
          <w:color w:val="000000"/>
        </w:rPr>
      </w:pPr>
      <w:bookmarkStart w:id="132" w:name="_Toc7638"/>
      <w:bookmarkStart w:id="133" w:name="_Toc17213"/>
      <w:bookmarkStart w:id="134" w:name="_Toc28488"/>
      <w:r>
        <w:rPr>
          <w:rFonts w:hint="eastAsia" w:ascii="楷体" w:hAnsi="楷体" w:eastAsia="楷体" w:cs="楷体"/>
          <w:color w:val="000000"/>
        </w:rPr>
        <w:t>6.8</w:t>
      </w:r>
      <w:r>
        <w:rPr>
          <w:rFonts w:hint="eastAsia" w:ascii="楷体" w:hAnsi="楷体" w:eastAsia="楷体" w:cs="楷体"/>
          <w:color w:val="000000"/>
          <w:lang w:val="en-US" w:eastAsia="zh-CN"/>
        </w:rPr>
        <w:t xml:space="preserve">  </w:t>
      </w:r>
      <w:r>
        <w:rPr>
          <w:rFonts w:hint="eastAsia" w:ascii="楷体" w:hAnsi="楷体" w:eastAsia="楷体" w:cs="楷体"/>
          <w:color w:val="000000"/>
        </w:rPr>
        <w:t>提升防灾减灾意识</w:t>
      </w:r>
      <w:bookmarkEnd w:id="132"/>
      <w:bookmarkEnd w:id="133"/>
      <w:bookmarkEnd w:id="134"/>
    </w:p>
    <w:p>
      <w:pPr>
        <w:autoSpaceDE w:val="0"/>
        <w:autoSpaceDN w:val="0"/>
        <w:adjustRightInd w:val="0"/>
        <w:snapToGrid w:val="0"/>
        <w:ind w:right="323" w:firstLine="640"/>
        <w:rPr>
          <w:rFonts w:hint="eastAsia" w:ascii="方正仿宋_GBK" w:hAnsi="方正仿宋_GBK" w:cs="方正仿宋_GBK"/>
          <w:color w:val="000000"/>
          <w:szCs w:val="32"/>
          <w:lang w:eastAsia="zh-CN"/>
        </w:rPr>
      </w:pPr>
      <w:r>
        <w:rPr>
          <w:rFonts w:hint="eastAsia" w:ascii="方正仿宋_GBK" w:hAnsi="方正仿宋_GBK" w:eastAsia="方正仿宋_GBK" w:cs="方正仿宋_GBK"/>
          <w:color w:val="000000"/>
          <w:szCs w:val="32"/>
        </w:rPr>
        <w:t>根据存在的各类风险，有针对性地开展宣传教育，重点对处于风险影响范围的人群加强宣传教育，充分利用各种媒体加大宣传力度，提高公众防范意识</w:t>
      </w:r>
      <w:r>
        <w:rPr>
          <w:rFonts w:hint="eastAsia" w:ascii="方正仿宋_GBK" w:hAnsi="方正仿宋_GBK" w:cs="方正仿宋_GBK"/>
          <w:color w:val="000000"/>
          <w:szCs w:val="32"/>
          <w:lang w:eastAsia="zh-CN"/>
        </w:rPr>
        <w:t>。</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sectPr>
          <w:pgSz w:w="11906" w:h="16838"/>
          <w:pgMar w:top="1417" w:right="1418" w:bottom="1417" w:left="1587" w:header="851" w:footer="1191" w:gutter="0"/>
          <w:pgBorders>
            <w:top w:val="none" w:sz="0" w:space="0"/>
            <w:left w:val="none" w:sz="0" w:space="0"/>
            <w:bottom w:val="none" w:sz="0" w:space="0"/>
            <w:right w:val="none" w:sz="0" w:space="0"/>
          </w:pgBorders>
          <w:pgNumType w:fmt="decimal"/>
          <w:cols w:space="0" w:num="1"/>
          <w:rtlGutter w:val="0"/>
          <w:docGrid w:linePitch="286" w:charSpace="0"/>
        </w:sectPr>
      </w:pPr>
      <w:bookmarkStart w:id="135" w:name="_Toc11775"/>
    </w:p>
    <w:p>
      <w:pPr>
        <w:pStyle w:val="4"/>
        <w:keepNext/>
        <w:keepLines/>
        <w:pageBreakBefore w:val="0"/>
        <w:widowControl w:val="0"/>
        <w:kinsoku/>
        <w:wordWrap/>
        <w:overflowPunct/>
        <w:topLinePunct w:val="0"/>
        <w:autoSpaceDE/>
        <w:autoSpaceDN/>
        <w:bidi w:val="0"/>
        <w:adjustRightInd/>
        <w:snapToGrid w:val="0"/>
        <w:spacing w:before="287" w:beforeLines="100" w:after="287" w:afterLines="100" w:line="360" w:lineRule="auto"/>
        <w:ind w:firstLine="0" w:firstLineChars="0"/>
        <w:jc w:val="center"/>
        <w:textAlignment w:val="auto"/>
        <w:rPr>
          <w:rStyle w:val="36"/>
          <w:rFonts w:hint="eastAsia" w:ascii="黑体" w:hAnsi="黑体" w:eastAsia="黑体" w:cs="黑体"/>
          <w:b/>
          <w:bCs w:val="0"/>
          <w:color w:val="000000"/>
          <w:kern w:val="2"/>
          <w:sz w:val="32"/>
          <w:szCs w:val="32"/>
          <w:u w:val="none"/>
          <w:lang w:eastAsia="zh-CN"/>
        </w:rPr>
      </w:pPr>
      <w:r>
        <w:rPr>
          <w:rStyle w:val="36"/>
          <w:rFonts w:hint="eastAsia" w:ascii="黑体" w:hAnsi="黑体" w:eastAsia="黑体" w:cs="黑体"/>
          <w:b/>
          <w:bCs w:val="0"/>
          <w:color w:val="000000"/>
          <w:kern w:val="2"/>
          <w:sz w:val="32"/>
          <w:szCs w:val="32"/>
          <w:u w:val="none"/>
          <w:lang w:eastAsia="zh-CN"/>
        </w:rPr>
        <w:br w:type="page"/>
      </w:r>
      <w:bookmarkStart w:id="136" w:name="_Toc2107"/>
      <w:bookmarkStart w:id="137" w:name="_Toc8005"/>
      <w:r>
        <w:rPr>
          <w:rStyle w:val="36"/>
          <w:rFonts w:hint="eastAsia" w:ascii="黑体" w:hAnsi="黑体" w:eastAsia="黑体" w:cs="黑体"/>
          <w:b/>
          <w:bCs w:val="0"/>
          <w:color w:val="000000"/>
          <w:kern w:val="2"/>
          <w:sz w:val="32"/>
          <w:szCs w:val="32"/>
          <w:u w:val="none"/>
          <w:lang w:eastAsia="zh-CN"/>
        </w:rPr>
        <w:t>7</w:t>
      </w:r>
      <w:r>
        <w:rPr>
          <w:rStyle w:val="36"/>
          <w:rFonts w:hint="eastAsia" w:ascii="黑体" w:hAnsi="黑体" w:eastAsia="黑体" w:cs="黑体"/>
          <w:b/>
          <w:bCs w:val="0"/>
          <w:color w:val="000000"/>
          <w:kern w:val="2"/>
          <w:sz w:val="32"/>
          <w:szCs w:val="32"/>
          <w:u w:val="none"/>
          <w:lang w:val="en-US" w:eastAsia="zh-CN"/>
        </w:rPr>
        <w:t xml:space="preserve">  </w:t>
      </w:r>
      <w:r>
        <w:rPr>
          <w:rStyle w:val="36"/>
          <w:rFonts w:hint="eastAsia" w:ascii="黑体" w:hAnsi="黑体" w:eastAsia="黑体" w:cs="黑体"/>
          <w:b/>
          <w:bCs w:val="0"/>
          <w:color w:val="000000"/>
          <w:kern w:val="2"/>
          <w:sz w:val="32"/>
          <w:szCs w:val="32"/>
          <w:u w:val="none"/>
          <w:lang w:eastAsia="zh-CN"/>
        </w:rPr>
        <w:t>附则</w:t>
      </w:r>
      <w:bookmarkEnd w:id="135"/>
      <w:bookmarkEnd w:id="136"/>
      <w:bookmarkEnd w:id="137"/>
    </w:p>
    <w:p>
      <w:pPr>
        <w:pStyle w:val="5"/>
        <w:keepNext w:val="0"/>
        <w:keepLines w:val="0"/>
        <w:pageBreakBefore w:val="0"/>
        <w:widowControl w:val="0"/>
        <w:kinsoku/>
        <w:wordWrap/>
        <w:overflowPunct w:val="0"/>
        <w:topLinePunct w:val="0"/>
        <w:autoSpaceDE/>
        <w:autoSpaceDN/>
        <w:bidi w:val="0"/>
        <w:adjustRightInd/>
        <w:snapToGrid w:val="0"/>
        <w:spacing w:before="287" w:beforeLines="100" w:after="144" w:afterLines="50" w:line="360" w:lineRule="auto"/>
        <w:ind w:left="0" w:leftChars="0" w:firstLine="0" w:firstLineChars="0"/>
        <w:jc w:val="center"/>
        <w:textAlignment w:val="auto"/>
        <w:rPr>
          <w:rFonts w:hint="eastAsia" w:ascii="楷体" w:hAnsi="楷体" w:eastAsia="楷体" w:cs="楷体"/>
          <w:color w:val="000000"/>
        </w:rPr>
      </w:pPr>
      <w:bookmarkStart w:id="138" w:name="_Toc21506"/>
      <w:bookmarkStart w:id="139" w:name="_Toc10952"/>
      <w:bookmarkStart w:id="140" w:name="_Toc12026"/>
      <w:r>
        <w:rPr>
          <w:rFonts w:hint="eastAsia" w:ascii="楷体" w:hAnsi="楷体" w:eastAsia="楷体" w:cs="楷体"/>
          <w:color w:val="000000"/>
        </w:rPr>
        <w:t>7.1</w:t>
      </w:r>
      <w:r>
        <w:rPr>
          <w:rFonts w:hint="eastAsia" w:ascii="楷体" w:hAnsi="楷体" w:eastAsia="楷体" w:cs="楷体"/>
          <w:color w:val="000000"/>
          <w:lang w:val="en-US" w:eastAsia="zh-CN"/>
        </w:rPr>
        <w:t xml:space="preserve">  </w:t>
      </w:r>
      <w:r>
        <w:rPr>
          <w:rFonts w:hint="eastAsia" w:ascii="楷体" w:hAnsi="楷体" w:eastAsia="楷体" w:cs="楷体"/>
          <w:color w:val="000000"/>
        </w:rPr>
        <w:t>相关概念解释</w:t>
      </w:r>
      <w:bookmarkEnd w:id="138"/>
      <w:bookmarkEnd w:id="139"/>
      <w:bookmarkEnd w:id="140"/>
    </w:p>
    <w:p>
      <w:pPr>
        <w:pStyle w:val="6"/>
        <w:adjustRightInd w:val="0"/>
        <w:snapToGrid w:val="0"/>
        <w:ind w:firstLine="640"/>
        <w:rPr>
          <w:rFonts w:hint="eastAsia" w:ascii="方正仿宋_GBK" w:hAnsi="方正仿宋_GBK" w:eastAsia="方正仿宋_GBK" w:cs="方正仿宋_GBK"/>
          <w:bCs w:val="0"/>
          <w:color w:val="000000"/>
        </w:rPr>
      </w:pPr>
      <w:r>
        <w:rPr>
          <w:rFonts w:hint="eastAsia" w:ascii="方正仿宋_GBK" w:hAnsi="方正仿宋_GBK" w:eastAsia="方正仿宋_GBK" w:cs="方正仿宋_GBK"/>
          <w:b/>
          <w:bCs/>
          <w:color w:val="000000"/>
        </w:rPr>
        <w:t>7.1.1 风险及其相关概念</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1）风险的定义</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风险是一种科学术语，在不同的语境下有不同的含义。目前，学理上对风险尚没有统一的定义。参照风险管理术语国家标准，借鉴国际国内理论研究成果，结合应急管理工作实践，突发事件风险管理中所指的“风险”，是指引发某种特定突发事件并造成影响和危害的可能性。主要包括两个要素：一是导致某种特定突发事件发生的概率，二是导致该突发事件发生后可能产生的损害后果，两者共同决定了风险的危险程度。</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2）风险的分类</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根据突发事件分类标准，风险可分为自然灾害风险、事故灾难风险、公共卫生事件风险和社会安全事件风险。根据风险变化情况，风险可分为存量风险和增量风险；存量风险是某一时间内已经存在的风险，增量风险则是在一段时期内增加的风险。</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3）风险与隐患</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按照原国家安监总局《安全生产事故隐患排查治理暂行规定》，隐患是指生产经营单位违反安全生产法律、法规、规章、标准、规程和安全生产管理制度的规定，或者因其他因素在生产经营活动中存在可能导致事故发生的物的危险状态、人的不安全行为和管理上的缺陷。风险往往是可能存在的危险，隐患往往是已经存在但尚未导致损害后果的危险。隐患是一种风险，但风险不等同于隐患，风险的范畴比隐患更广，当风险达到一定程度时可能演变为隐患，甚至直接引发突发事件。</w:t>
      </w:r>
    </w:p>
    <w:p>
      <w:pPr>
        <w:pStyle w:val="6"/>
        <w:adjustRightInd w:val="0"/>
        <w:snapToGrid w:val="0"/>
        <w:ind w:firstLine="640"/>
        <w:rPr>
          <w:rFonts w:hint="eastAsia" w:ascii="方正仿宋_GBK" w:hAnsi="方正仿宋_GBK" w:eastAsia="方正仿宋_GBK" w:cs="方正仿宋_GBK"/>
          <w:b/>
          <w:bCs/>
          <w:color w:val="000000"/>
        </w:rPr>
      </w:pPr>
      <w:r>
        <w:rPr>
          <w:rFonts w:hint="eastAsia" w:ascii="方正仿宋_GBK" w:hAnsi="方正仿宋_GBK" w:eastAsia="方正仿宋_GBK" w:cs="方正仿宋_GBK"/>
          <w:b/>
          <w:bCs/>
          <w:color w:val="000000"/>
        </w:rPr>
        <w:t>7.1.2 风险管理及其相关概念</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1）风险管理</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风险管理是指通过对突发事件风险采取识别与登记、风险评估、风险控制与应急准备等措施，消除或降低突发事件发生的可能性和造成危害的可能性，或减少突发事件所造成的损害后果，以最小成本获得最大安全保障的长期管理活动。</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cs="方正仿宋_GBK"/>
          <w:color w:val="000000"/>
          <w:szCs w:val="32"/>
          <w:lang w:eastAsia="zh-CN"/>
        </w:rPr>
        <w:t>（</w:t>
      </w:r>
      <w:r>
        <w:rPr>
          <w:rFonts w:hint="eastAsia" w:ascii="方正仿宋_GBK" w:hAnsi="方正仿宋_GBK" w:eastAsia="方正仿宋_GBK" w:cs="方正仿宋_GBK"/>
          <w:color w:val="000000"/>
          <w:szCs w:val="32"/>
        </w:rPr>
        <w:t>2）风险评估</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风险评估是指针对辨识出的突发事件风险特点，查找产生风险的原因，并对风险引发突发事件的可能性和造成的后果进行描述和量化的过程，即对特定期间内人、经济、社会、保障、环境等受到损害的可能性及程度进行系统评估，并在此基础上对存在的风险进行综合等级评定，以便有针对性地提出控制措施。风险评估结果主要受三个因素影响：一是风险引发突发事件的可能性及其损害程度；二是风险作用对象承受损害的能力；三是风险作用对象控制和应对突发事件的能力。</w:t>
      </w:r>
    </w:p>
    <w:p>
      <w:pPr>
        <w:pStyle w:val="6"/>
        <w:adjustRightInd w:val="0"/>
        <w:snapToGrid w:val="0"/>
        <w:ind w:firstLine="640"/>
        <w:rPr>
          <w:rFonts w:hint="eastAsia" w:ascii="方正仿宋_GBK" w:hAnsi="方正仿宋_GBK" w:eastAsia="方正仿宋_GBK" w:cs="方正仿宋_GBK"/>
          <w:bCs w:val="0"/>
          <w:color w:val="000000"/>
        </w:rPr>
      </w:pPr>
      <w:r>
        <w:rPr>
          <w:rFonts w:hint="eastAsia" w:ascii="方正仿宋_GBK" w:hAnsi="方正仿宋_GBK" w:eastAsia="方正仿宋_GBK" w:cs="方正仿宋_GBK"/>
          <w:b/>
          <w:bCs/>
          <w:color w:val="000000"/>
        </w:rPr>
        <w:t>7.1.3 专家和专业机构</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风险管理工作中的专家，是指在某领域学术、技艺等方面有专门技能或专业知识的人员，或精通某学科、技艺的专业人士。本行业、本辖区、本领域工作经验丰富的人员，也可界定为专家。风险管理工作中的专业机构，是指依法设立并取得相应资质，利用专业技术知识，提供专业、信息、技术等方面服务的机构或组织。此外，具有风险管理相关专业技术力量的高等院校、科研机构等也属于专业机构的范畴。</w:t>
      </w:r>
    </w:p>
    <w:p>
      <w:pPr>
        <w:pStyle w:val="6"/>
        <w:adjustRightInd w:val="0"/>
        <w:snapToGrid w:val="0"/>
        <w:ind w:firstLine="640"/>
        <w:rPr>
          <w:rFonts w:hint="eastAsia" w:ascii="方正仿宋_GBK" w:hAnsi="方正仿宋_GBK" w:eastAsia="方正仿宋_GBK" w:cs="方正仿宋_GBK"/>
          <w:b/>
          <w:bCs/>
          <w:color w:val="000000"/>
        </w:rPr>
      </w:pPr>
      <w:r>
        <w:rPr>
          <w:rFonts w:hint="eastAsia" w:ascii="方正仿宋_GBK" w:hAnsi="方正仿宋_GBK" w:eastAsia="方正仿宋_GBK" w:cs="方正仿宋_GBK"/>
          <w:b/>
          <w:bCs/>
          <w:color w:val="000000"/>
        </w:rPr>
        <w:t>7.1.4 基层组织</w:t>
      </w:r>
    </w:p>
    <w:p>
      <w:pPr>
        <w:autoSpaceDE w:val="0"/>
        <w:autoSpaceDN w:val="0"/>
        <w:adjustRightInd w:val="0"/>
        <w:snapToGrid w:val="0"/>
        <w:ind w:right="323" w:firstLine="640"/>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风险管理工作中的企事业单位，是指各类事业单位和法人、非法人企业，包括各类公有企业和非公有企业。风险管理工作中的基层组织，包括城市社区、各类基层社会团体等。</w:t>
      </w:r>
    </w:p>
    <w:p>
      <w:pPr>
        <w:keepNext/>
        <w:keepLines/>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1"/>
        <w:rPr>
          <w:rFonts w:hint="eastAsia" w:ascii="楷体" w:hAnsi="楷体" w:eastAsia="楷体" w:cs="楷体"/>
          <w:b/>
          <w:color w:val="000000"/>
          <w:kern w:val="2"/>
          <w:sz w:val="32"/>
          <w:szCs w:val="20"/>
          <w:lang w:val="en-US" w:eastAsia="zh-CN" w:bidi="ar-SA"/>
        </w:rPr>
      </w:pPr>
      <w:r>
        <w:rPr>
          <w:rFonts w:hint="eastAsia" w:ascii="方正仿宋_GBK" w:hAnsi="方正仿宋_GBK" w:eastAsia="方正仿宋_GBK" w:cs="方正仿宋_GBK"/>
          <w:b/>
          <w:color w:val="000000"/>
          <w:szCs w:val="32"/>
        </w:rPr>
        <w:br w:type="page"/>
      </w:r>
      <w:bookmarkStart w:id="141" w:name="_Toc15272"/>
      <w:bookmarkStart w:id="142" w:name="_Toc3712"/>
      <w:bookmarkStart w:id="143" w:name="_Toc20174"/>
      <w:r>
        <w:rPr>
          <w:rFonts w:hint="eastAsia" w:ascii="楷体" w:hAnsi="楷体" w:eastAsia="楷体" w:cs="楷体"/>
          <w:b/>
          <w:color w:val="000000"/>
          <w:kern w:val="2"/>
          <w:sz w:val="32"/>
          <w:szCs w:val="20"/>
          <w:lang w:val="en-US" w:eastAsia="zh-CN" w:bidi="ar-SA"/>
        </w:rPr>
        <w:t>7.2  附录</w:t>
      </w:r>
      <w:bookmarkEnd w:id="141"/>
      <w:bookmarkEnd w:id="142"/>
      <w:bookmarkEnd w:id="143"/>
    </w:p>
    <w:p>
      <w:pPr>
        <w:pStyle w:val="6"/>
        <w:bidi w:val="0"/>
        <w:rPr>
          <w:rFonts w:hint="default"/>
        </w:rPr>
      </w:pPr>
      <w:r>
        <w:rPr>
          <w:rFonts w:hint="eastAsia" w:ascii="Times New Roman" w:hAnsi="Times New Roman" w:eastAsia="方正仿宋_GBK" w:cs="Times New Roman"/>
          <w:b/>
          <w:bCs/>
          <w:sz w:val="32"/>
          <w:szCs w:val="32"/>
          <w:lang w:eastAsia="zh-CN"/>
        </w:rPr>
        <w:t xml:space="preserve">7.2.1 </w:t>
      </w:r>
      <w:r>
        <w:rPr>
          <w:rFonts w:hint="default"/>
          <w:b/>
          <w:bCs/>
        </w:rPr>
        <w:t>石坪桥街道风险辨识结果表</w:t>
      </w:r>
    </w:p>
    <w:tbl>
      <w:tblPr>
        <w:tblStyle w:val="2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66"/>
        <w:gridCol w:w="848"/>
        <w:gridCol w:w="765"/>
        <w:gridCol w:w="68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4" w:hRule="atLeast"/>
        </w:trPr>
        <w:tc>
          <w:tcPr>
            <w:tcW w:w="2179" w:type="dxa"/>
            <w:gridSpan w:val="3"/>
            <w:tcBorders>
              <w:top w:val="single" w:color="000000" w:sz="12" w:space="0"/>
            </w:tcBorders>
            <w:vAlign w:val="center"/>
          </w:tcPr>
          <w:p>
            <w:pPr>
              <w:snapToGrid w:val="0"/>
              <w:spacing w:line="240" w:lineRule="auto"/>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风险类别</w:t>
            </w:r>
          </w:p>
        </w:tc>
        <w:tc>
          <w:tcPr>
            <w:tcW w:w="6881" w:type="dxa"/>
            <w:tcBorders>
              <w:top w:val="single" w:color="000000" w:sz="12" w:space="0"/>
            </w:tcBorders>
            <w:vAlign w:val="center"/>
          </w:tcPr>
          <w:p>
            <w:pPr>
              <w:snapToGrid w:val="0"/>
              <w:spacing w:line="240" w:lineRule="auto"/>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可能引发的事故和事件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restart"/>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自然灾害</w:t>
            </w:r>
          </w:p>
        </w:tc>
        <w:tc>
          <w:tcPr>
            <w:tcW w:w="848" w:type="dxa"/>
            <w:vMerge w:val="restart"/>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水旱灾害</w:t>
            </w:r>
          </w:p>
        </w:tc>
        <w:tc>
          <w:tcPr>
            <w:tcW w:w="765" w:type="dxa"/>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水灾</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洪水、</w:t>
            </w:r>
            <w:r>
              <w:rPr>
                <w:rFonts w:hint="default" w:ascii="Times New Roman" w:hAnsi="Times New Roman" w:eastAsia="方正仿宋_GBK" w:cs="Times New Roman"/>
                <w:color w:val="000000"/>
                <w:sz w:val="24"/>
                <w:szCs w:val="24"/>
                <w:lang w:val="en-US" w:eastAsia="zh-CN"/>
              </w:rPr>
              <w:t>内涝</w:t>
            </w:r>
            <w:r>
              <w:rPr>
                <w:rFonts w:hint="default" w:ascii="Times New Roman" w:hAnsi="Times New Roman" w:eastAsia="方正仿宋_GBK" w:cs="Times New Roman"/>
                <w:color w:val="00000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848" w:type="dxa"/>
            <w:vMerge w:val="continue"/>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p>
        </w:tc>
        <w:tc>
          <w:tcPr>
            <w:tcW w:w="765" w:type="dxa"/>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旱灾</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城市缺水。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城市内涝</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暴雨、市政下排管网排水不畅。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气象灾害</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暴雨、暴雪、寒潮、大风、高温、雷电、冰雹、大雾等威胁群众住房、工商业用房和人身安全、车辆等财产的安全。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地震灾害</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个别砖混房屋轻微破坏。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地质灾害</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地面崩塌、地面沉降和地裂缝。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restart"/>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事故灾难</w:t>
            </w:r>
          </w:p>
        </w:tc>
        <w:tc>
          <w:tcPr>
            <w:tcW w:w="1613" w:type="dxa"/>
            <w:gridSpan w:val="2"/>
            <w:vAlign w:val="center"/>
          </w:tcPr>
          <w:p>
            <w:pPr>
              <w:snapToGrid w:val="0"/>
              <w:spacing w:line="240" w:lineRule="auto"/>
              <w:ind w:left="0" w:leftChars="0" w:firstLine="0" w:firstLineChars="0"/>
              <w:jc w:val="center"/>
              <w:rPr>
                <w:rFonts w:hint="eastAsia" w:ascii="Times New Roman" w:hAnsi="Times New Roman" w:eastAsia="方正仿宋_GBK" w:cs="Times New Roman"/>
                <w:color w:val="000000"/>
                <w:sz w:val="24"/>
                <w:szCs w:val="24"/>
                <w:lang w:val="en-US" w:eastAsia="zh-CN"/>
              </w:rPr>
            </w:pPr>
            <w:r>
              <w:rPr>
                <w:rFonts w:hint="default" w:ascii="Times New Roman" w:hAnsi="Times New Roman" w:eastAsia="方正仿宋_GBK" w:cs="Times New Roman"/>
                <w:color w:val="000000"/>
                <w:sz w:val="24"/>
                <w:szCs w:val="24"/>
              </w:rPr>
              <w:t>建设</w:t>
            </w:r>
            <w:r>
              <w:rPr>
                <w:rFonts w:hint="eastAsia" w:ascii="Times New Roman" w:hAnsi="Times New Roman" w:cs="Times New Roman"/>
                <w:color w:val="000000"/>
                <w:sz w:val="24"/>
                <w:szCs w:val="24"/>
                <w:lang w:val="en-US" w:eastAsia="zh-CN"/>
              </w:rPr>
              <w:t>工程</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物体打击、车辆伤害、机械伤害、起重伤害、触电、火灾、高处坠落、坍塌、中毒和窒息等事故。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危房</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房屋结构严重损坏，发生倒塌、坍塌事故。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危险化学品</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危险化学品爆炸、泄漏、火灾、中毒和窒息、灼烫等事故。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15" w:hRule="atLeast"/>
        </w:trPr>
        <w:tc>
          <w:tcPr>
            <w:tcW w:w="566" w:type="dxa"/>
            <w:vMerge w:val="continue"/>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工商贸</w:t>
            </w:r>
            <w:r>
              <w:rPr>
                <w:rFonts w:hint="eastAsia" w:ascii="Times New Roman" w:hAnsi="Times New Roman" w:cs="Times New Roman"/>
                <w:color w:val="000000"/>
                <w:sz w:val="24"/>
                <w:szCs w:val="24"/>
                <w:lang w:val="en-US" w:eastAsia="zh-CN"/>
              </w:rPr>
              <w:t>企业</w:t>
            </w:r>
          </w:p>
        </w:tc>
        <w:tc>
          <w:tcPr>
            <w:tcW w:w="6881" w:type="dxa"/>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物体打击、车辆伤害、机械伤害、起重伤害、触电、淹溺、灼烫、火灾、高处坠落、坍塌、容器爆炸、中毒和窒息、拥挤踩踏等事故和事件。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566" w:type="dxa"/>
            <w:vMerge w:val="continue"/>
            <w:tcBorders>
              <w:bottom w:val="single" w:color="000000" w:sz="12" w:space="0"/>
            </w:tcBorders>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p>
        </w:tc>
        <w:tc>
          <w:tcPr>
            <w:tcW w:w="1613" w:type="dxa"/>
            <w:gridSpan w:val="2"/>
            <w:tcBorders>
              <w:bottom w:val="single" w:color="000000" w:sz="12" w:space="0"/>
            </w:tcBorders>
            <w:vAlign w:val="center"/>
          </w:tcPr>
          <w:p>
            <w:pPr>
              <w:snapToGrid w:val="0"/>
              <w:spacing w:line="240" w:lineRule="auto"/>
              <w:ind w:left="0" w:leftChars="0" w:firstLine="0" w:firstLineChars="0"/>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火灾</w:t>
            </w:r>
          </w:p>
        </w:tc>
        <w:tc>
          <w:tcPr>
            <w:tcW w:w="6881" w:type="dxa"/>
            <w:tcBorders>
              <w:bottom w:val="single" w:color="000000" w:sz="12" w:space="0"/>
            </w:tcBorders>
            <w:vAlign w:val="center"/>
          </w:tcPr>
          <w:p>
            <w:pPr>
              <w:snapToGrid w:val="0"/>
              <w:spacing w:line="240" w:lineRule="auto"/>
              <w:ind w:left="0" w:leftChars="0" w:firstLine="0" w:firstLineChars="0"/>
              <w:jc w:val="both"/>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一般工业建筑、一般民用建筑、高层民用建筑、地下建筑及公用建筑火灾事故等。</w:t>
            </w:r>
          </w:p>
        </w:tc>
      </w:tr>
    </w:tbl>
    <w:p>
      <w:pPr>
        <w:outlineLvl w:val="9"/>
        <w:rPr>
          <w:rFonts w:hint="eastAsia" w:ascii="方正仿宋_GBK" w:hAnsi="方正仿宋_GBK" w:cs="方正仿宋_GBK"/>
          <w:color w:val="000000"/>
          <w:lang w:eastAsia="zh-CN"/>
        </w:rPr>
      </w:pPr>
    </w:p>
    <w:p>
      <w:pPr>
        <w:keepNext/>
        <w:keepLines/>
        <w:adjustRightInd w:val="0"/>
        <w:snapToGrid w:val="0"/>
        <w:spacing w:line="600" w:lineRule="exact"/>
        <w:ind w:firstLine="643" w:firstLineChars="200"/>
        <w:outlineLvl w:val="1"/>
        <w:rPr>
          <w:rFonts w:hint="eastAsia" w:ascii="方正楷体_GBK" w:hAnsi="方正楷体_GBK" w:eastAsia="方正楷体_GBK" w:cs="方正楷体_GBK"/>
          <w:b/>
          <w:sz w:val="32"/>
          <w:szCs w:val="32"/>
          <w:lang w:val="en-US" w:eastAsia="zh-CN"/>
        </w:rPr>
        <w:sectPr>
          <w:footerReference r:id="rId10" w:type="even"/>
          <w:type w:val="continuous"/>
          <w:pgSz w:w="11906" w:h="16838"/>
          <w:pgMar w:top="1417" w:right="1417" w:bottom="1417" w:left="1587" w:header="851" w:footer="1191" w:gutter="0"/>
          <w:pgBorders>
            <w:top w:val="none" w:sz="0" w:space="0"/>
            <w:left w:val="none" w:sz="0" w:space="0"/>
            <w:bottom w:val="none" w:sz="0" w:space="0"/>
            <w:right w:val="none" w:sz="0" w:space="0"/>
          </w:pgBorders>
          <w:pgNumType w:fmt="decimal"/>
          <w:cols w:space="0" w:num="1"/>
          <w:rtlGutter w:val="0"/>
          <w:docGrid w:linePitch="312" w:charSpace="0"/>
        </w:sectPr>
      </w:pPr>
      <w:bookmarkStart w:id="144" w:name="_Toc27867"/>
    </w:p>
    <w:p>
      <w:pPr>
        <w:keepNext/>
        <w:keepLines/>
        <w:adjustRightInd w:val="0"/>
        <w:snapToGrid w:val="0"/>
        <w:spacing w:line="600" w:lineRule="exact"/>
        <w:ind w:firstLine="643" w:firstLineChars="200"/>
        <w:outlineLvl w:val="2"/>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val="en-US" w:eastAsia="zh-CN"/>
        </w:rPr>
        <w:t>7.2.</w:t>
      </w:r>
      <w:r>
        <w:rPr>
          <w:rFonts w:hint="eastAsia" w:ascii="方正仿宋_GBK" w:hAnsi="方正仿宋_GBK" w:cs="方正仿宋_GBK"/>
          <w:b/>
          <w:sz w:val="32"/>
          <w:szCs w:val="32"/>
          <w:lang w:val="en-US" w:eastAsia="zh-CN"/>
        </w:rPr>
        <w:t>2</w:t>
      </w:r>
      <w:r>
        <w:rPr>
          <w:rFonts w:hint="default"/>
        </w:rPr>
        <w:t>石坪桥街道风险调查评估结果汇总表</w:t>
      </w:r>
    </w:p>
    <w:tbl>
      <w:tblPr>
        <w:tblStyle w:val="29"/>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9"/>
        <w:gridCol w:w="1017"/>
        <w:gridCol w:w="919"/>
        <w:gridCol w:w="832"/>
        <w:gridCol w:w="1684"/>
        <w:gridCol w:w="566"/>
        <w:gridCol w:w="286"/>
        <w:gridCol w:w="936"/>
        <w:gridCol w:w="1215"/>
        <w:gridCol w:w="9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2615" w:type="dxa"/>
            <w:gridSpan w:val="3"/>
            <w:vMerge w:val="restart"/>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风险类别</w:t>
            </w:r>
          </w:p>
        </w:tc>
        <w:tc>
          <w:tcPr>
            <w:tcW w:w="2516" w:type="dxa"/>
            <w:gridSpan w:val="2"/>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eastAsia="方正仿宋_GBK" w:cs="方正仿宋_GBK"/>
                <w:b/>
                <w:bCs/>
                <w:color w:val="000000"/>
                <w:sz w:val="24"/>
                <w:szCs w:val="24"/>
              </w:rPr>
              <w:t>可能</w:t>
            </w:r>
            <w:r>
              <w:rPr>
                <w:rFonts w:hint="eastAsia" w:ascii="方正仿宋_GBK" w:hAnsi="方正仿宋_GBK" w:eastAsia="方正仿宋_GBK" w:cs="方正仿宋_GBK"/>
                <w:b/>
                <w:bCs/>
                <w:color w:val="000000"/>
                <w:sz w:val="24"/>
                <w:szCs w:val="24"/>
                <w:lang w:val="en-US" w:eastAsia="zh-CN"/>
              </w:rPr>
              <w:t>性描述</w:t>
            </w:r>
          </w:p>
        </w:tc>
        <w:tc>
          <w:tcPr>
            <w:tcW w:w="1788" w:type="dxa"/>
            <w:gridSpan w:val="3"/>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default"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后果严重性</w:t>
            </w:r>
          </w:p>
        </w:tc>
        <w:tc>
          <w:tcPr>
            <w:tcW w:w="2152" w:type="dxa"/>
            <w:gridSpan w:val="2"/>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default"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风险等级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2615" w:type="dxa"/>
            <w:gridSpan w:val="3"/>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pPr>
          </w:p>
        </w:tc>
        <w:tc>
          <w:tcPr>
            <w:tcW w:w="832"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级别</w:t>
            </w:r>
          </w:p>
        </w:tc>
        <w:tc>
          <w:tcPr>
            <w:tcW w:w="1684" w:type="dxa"/>
            <w:tcBorders>
              <w:top w:val="single" w:color="000000" w:sz="12"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说明</w:t>
            </w:r>
          </w:p>
        </w:tc>
        <w:tc>
          <w:tcPr>
            <w:tcW w:w="852"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cs="方正仿宋_GBK"/>
                <w:b/>
                <w:bCs/>
                <w:color w:val="000000"/>
                <w:sz w:val="24"/>
                <w:szCs w:val="24"/>
                <w:lang w:val="en-US" w:eastAsia="zh-CN"/>
              </w:rPr>
              <w:t>级别</w:t>
            </w:r>
          </w:p>
        </w:tc>
        <w:tc>
          <w:tcPr>
            <w:tcW w:w="936"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rPr>
            </w:pPr>
            <w:r>
              <w:rPr>
                <w:rFonts w:hint="eastAsia" w:ascii="方正仿宋_GBK" w:hAnsi="方正仿宋_GBK" w:cs="方正仿宋_GBK"/>
                <w:b/>
                <w:bCs/>
                <w:color w:val="000000"/>
                <w:sz w:val="24"/>
                <w:szCs w:val="24"/>
                <w:lang w:val="en-US" w:eastAsia="zh-CN"/>
              </w:rPr>
              <w:t>说明</w:t>
            </w:r>
          </w:p>
        </w:tc>
        <w:tc>
          <w:tcPr>
            <w:tcW w:w="1215"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等级</w:t>
            </w:r>
          </w:p>
        </w:tc>
        <w:tc>
          <w:tcPr>
            <w:tcW w:w="93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方正仿宋_GBK" w:hAnsi="方正仿宋_GBK" w:eastAsia="方正仿宋_GBK" w:cs="方正仿宋_GBK"/>
                <w:b/>
                <w:bCs/>
                <w:color w:val="000000"/>
                <w:sz w:val="24"/>
                <w:szCs w:val="24"/>
                <w:lang w:val="en-US" w:eastAsia="zh-CN"/>
              </w:rPr>
            </w:pPr>
            <w:r>
              <w:rPr>
                <w:rFonts w:hint="eastAsia" w:ascii="方正仿宋_GBK" w:hAnsi="方正仿宋_GBK" w:cs="方正仿宋_GBK"/>
                <w:b/>
                <w:bCs/>
                <w:color w:val="000000"/>
                <w:sz w:val="24"/>
                <w:szCs w:val="24"/>
                <w:lang w:val="en-US" w:eastAsia="zh-CN"/>
              </w:rPr>
              <w:t>级别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自然灾害</w:t>
            </w:r>
          </w:p>
        </w:tc>
        <w:tc>
          <w:tcPr>
            <w:tcW w:w="10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水旱</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灾害</w:t>
            </w: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水灾</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0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9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旱灾</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城市内涝</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气象灾害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2</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影响一般</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地震灾害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4</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影响重大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地质灾害</w:t>
            </w:r>
          </w:p>
        </w:tc>
        <w:tc>
          <w:tcPr>
            <w:tcW w:w="83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Ⅱ</w:t>
            </w:r>
          </w:p>
        </w:tc>
        <w:tc>
          <w:tcPr>
            <w:tcW w:w="168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较不可能发生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548DD4" w:themeFill="text2" w:themeFillTint="9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低风险</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4级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事故灾难</w:t>
            </w: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工程</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6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kern w:val="2"/>
                <w:sz w:val="24"/>
                <w:szCs w:val="24"/>
                <w:lang w:val="en-US" w:eastAsia="zh-CN" w:bidi="ar-SA"/>
                <w14:textFill>
                  <w14:solidFill>
                    <w14:schemeClr w14:val="tx1"/>
                  </w14:solidFill>
                </w14:textFill>
              </w:rPr>
              <w:t>较大风险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危房</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16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危险化学品</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6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较大风险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工商贸</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Ⅲ</w:t>
            </w:r>
          </w:p>
        </w:tc>
        <w:tc>
          <w:tcPr>
            <w:tcW w:w="16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可能发生</w:t>
            </w:r>
          </w:p>
        </w:tc>
        <w:tc>
          <w:tcPr>
            <w:tcW w:w="56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sz w:val="24"/>
                <w:szCs w:val="24"/>
                <w:lang w:val="en-US" w:eastAsia="zh-CN"/>
              </w:rPr>
              <w:t>3</w:t>
            </w:r>
          </w:p>
        </w:tc>
        <w:tc>
          <w:tcPr>
            <w:tcW w:w="1222"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sz w:val="24"/>
                <w:szCs w:val="24"/>
              </w:rPr>
              <w:t>影响</w:t>
            </w:r>
            <w:r>
              <w:rPr>
                <w:rFonts w:hint="eastAsia" w:ascii="方正仿宋_GBK" w:hAnsi="方正仿宋_GBK" w:cs="方正仿宋_GBK"/>
                <w:color w:val="000000"/>
                <w:sz w:val="24"/>
                <w:szCs w:val="24"/>
                <w:lang w:val="en-US" w:eastAsia="zh-CN"/>
              </w:rPr>
              <w:t>较大</w:t>
            </w:r>
          </w:p>
        </w:tc>
        <w:tc>
          <w:tcPr>
            <w:tcW w:w="1215" w:type="dxa"/>
            <w:shd w:val="clear" w:color="auto" w:fill="FFFF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kern w:val="2"/>
                <w:sz w:val="24"/>
                <w:szCs w:val="24"/>
                <w:lang w:val="en-US" w:eastAsia="zh-CN" w:bidi="ar-SA"/>
                <w14:textFill>
                  <w14:solidFill>
                    <w14:schemeClr w14:val="tx1"/>
                  </w14:solidFill>
                </w14:textFill>
              </w:rPr>
              <w:t>一般风险</w:t>
            </w:r>
          </w:p>
        </w:tc>
        <w:tc>
          <w:tcPr>
            <w:tcW w:w="9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3级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9" w:type="dxa"/>
            <w:vMerge w:val="continue"/>
            <w:tcBorders>
              <w:bottom w:val="single" w:color="000000"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1936"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火灾</w:t>
            </w:r>
          </w:p>
        </w:tc>
        <w:tc>
          <w:tcPr>
            <w:tcW w:w="832"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Ⅳ</w:t>
            </w:r>
          </w:p>
        </w:tc>
        <w:tc>
          <w:tcPr>
            <w:tcW w:w="1684"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很可能发生</w:t>
            </w:r>
          </w:p>
        </w:tc>
        <w:tc>
          <w:tcPr>
            <w:tcW w:w="56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3</w:t>
            </w:r>
          </w:p>
        </w:tc>
        <w:tc>
          <w:tcPr>
            <w:tcW w:w="1222" w:type="dxa"/>
            <w:gridSpan w:val="2"/>
            <w:tcBorders>
              <w:bottom w:val="single" w:color="000000" w:sz="12"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sz w:val="24"/>
                <w:szCs w:val="24"/>
              </w:rPr>
              <w:t>影响较大</w:t>
            </w:r>
          </w:p>
        </w:tc>
        <w:tc>
          <w:tcPr>
            <w:tcW w:w="1215" w:type="dxa"/>
            <w:tcBorders>
              <w:bottom w:val="single" w:color="000000" w:sz="12" w:space="0"/>
            </w:tcBorders>
            <w:shd w:val="clear" w:color="auto" w:fill="FFC00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较大风险</w:t>
            </w:r>
          </w:p>
        </w:tc>
        <w:tc>
          <w:tcPr>
            <w:tcW w:w="937"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cs="方正仿宋_GBK"/>
                <w:color w:val="000000" w:themeColor="text1"/>
                <w:sz w:val="24"/>
                <w:szCs w:val="24"/>
                <w:lang w:val="en-US" w:eastAsia="zh-CN"/>
                <w14:textFill>
                  <w14:solidFill>
                    <w14:schemeClr w14:val="tx1"/>
                  </w14:solidFill>
                </w14:textFill>
              </w:rPr>
              <w:t>2级</w:t>
            </w:r>
          </w:p>
        </w:tc>
      </w:tr>
    </w:tbl>
    <w:p>
      <w:pPr>
        <w:pStyle w:val="2"/>
        <w:rPr>
          <w:rFonts w:hint="eastAsia"/>
          <w:lang w:val="en-US" w:eastAsia="zh-CN"/>
        </w:rPr>
        <w:sectPr>
          <w:pgSz w:w="11906" w:h="16838"/>
          <w:pgMar w:top="1417" w:right="1417" w:bottom="1417" w:left="1587" w:header="851" w:footer="1191" w:gutter="0"/>
          <w:pgBorders>
            <w:top w:val="none" w:sz="0" w:space="0"/>
            <w:left w:val="none" w:sz="0" w:space="0"/>
            <w:bottom w:val="none" w:sz="0" w:space="0"/>
            <w:right w:val="none" w:sz="0" w:space="0"/>
          </w:pgBorders>
          <w:pgNumType w:fmt="decimal"/>
          <w:cols w:space="0" w:num="1"/>
          <w:rtlGutter w:val="0"/>
          <w:docGrid w:linePitch="312" w:charSpace="0"/>
        </w:sectPr>
      </w:pPr>
    </w:p>
    <w:bookmarkEnd w:id="144"/>
    <w:p>
      <w:pPr>
        <w:keepNext/>
        <w:keepLines/>
        <w:adjustRightInd w:val="0"/>
        <w:snapToGrid w:val="0"/>
        <w:spacing w:line="600" w:lineRule="exact"/>
        <w:ind w:firstLine="643" w:firstLineChars="200"/>
        <w:outlineLvl w:val="2"/>
        <w:rPr>
          <w:rFonts w:hint="eastAsia" w:ascii="方正仿宋_GBK" w:hAnsi="方正仿宋_GBK" w:eastAsia="方正仿宋_GBK" w:cs="方正仿宋_GBK"/>
          <w:b/>
          <w:color w:val="558ED5" w:themeColor="text2" w:themeTint="99"/>
          <w:sz w:val="32"/>
          <w:szCs w:val="32"/>
          <w14:textFill>
            <w14:solidFill>
              <w14:schemeClr w14:val="tx2">
                <w14:lumMod w14:val="60000"/>
                <w14:lumOff w14:val="40000"/>
              </w14:schemeClr>
            </w14:solidFill>
          </w14:textFill>
        </w:rPr>
      </w:pPr>
      <w:r>
        <w:rPr>
          <w:rFonts w:hint="eastAsia" w:ascii="方正仿宋_GBK" w:hAnsi="方正仿宋_GBK" w:eastAsia="方正仿宋_GBK" w:cs="方正仿宋_GBK"/>
          <w:b/>
          <w:color w:val="auto"/>
          <w:sz w:val="32"/>
          <w:szCs w:val="32"/>
          <w:lang w:val="en-US" w:eastAsia="zh-CN"/>
        </w:rPr>
        <w:t>7.2.</w:t>
      </w:r>
      <w:r>
        <w:rPr>
          <w:rFonts w:hint="eastAsia" w:ascii="方正仿宋_GBK" w:hAnsi="方正仿宋_GBK" w:cs="方正仿宋_GBK"/>
          <w:b/>
          <w:color w:val="auto"/>
          <w:sz w:val="32"/>
          <w:szCs w:val="32"/>
          <w:lang w:val="en-US" w:eastAsia="zh-CN"/>
        </w:rPr>
        <w:t>3</w:t>
      </w:r>
      <w:r>
        <w:rPr>
          <w:rFonts w:hint="eastAsia" w:ascii="方正仿宋_GBK" w:hAnsi="方正仿宋_GBK" w:eastAsia="方正仿宋_GBK" w:cs="方正仿宋_GBK"/>
          <w:b/>
          <w:color w:val="auto"/>
          <w:sz w:val="32"/>
          <w:szCs w:val="32"/>
          <w:lang w:val="en-US" w:eastAsia="zh-CN"/>
        </w:rPr>
        <w:t xml:space="preserve"> </w:t>
      </w:r>
      <w:r>
        <w:rPr>
          <w:rFonts w:hint="eastAsia" w:ascii="方正仿宋_GBK" w:hAnsi="方正仿宋_GBK" w:cs="方正仿宋_GBK"/>
          <w:b/>
          <w:color w:val="auto"/>
          <w:sz w:val="32"/>
          <w:szCs w:val="32"/>
          <w:lang w:val="en-US" w:eastAsia="zh-CN"/>
        </w:rPr>
        <w:t>石坪桥街道</w:t>
      </w:r>
      <w:r>
        <w:rPr>
          <w:rFonts w:hint="eastAsia" w:ascii="方正仿宋_GBK" w:hAnsi="方正仿宋_GBK" w:eastAsia="方正仿宋_GBK" w:cs="方正仿宋_GBK"/>
          <w:b/>
          <w:color w:val="auto"/>
          <w:sz w:val="32"/>
          <w:szCs w:val="32"/>
          <w:lang w:val="en-US" w:eastAsia="zh-CN"/>
        </w:rPr>
        <w:t>危房基本情况调查信息采集表</w:t>
      </w:r>
    </w:p>
    <w:tbl>
      <w:tblPr>
        <w:tblStyle w:val="29"/>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36"/>
        <w:gridCol w:w="846"/>
        <w:gridCol w:w="1370"/>
        <w:gridCol w:w="2405"/>
        <w:gridCol w:w="2485"/>
        <w:gridCol w:w="11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房屋属性</w:t>
            </w: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序号</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房屋地址</w:t>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（门牌号）</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危房鉴定报告号</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建筑面积（㎡）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1"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sz w:val="21"/>
                <w:szCs w:val="21"/>
                <w:u w:val="none"/>
                <w:shd w:val="clear" w:color="auto" w:fill="auto"/>
              </w:rPr>
              <w:t>社会房屋</w:t>
            </w: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rPr>
            </w:pPr>
            <w:r>
              <w:rPr>
                <w:rFonts w:hint="eastAsia" w:ascii="方正仿宋_GBK" w:hAnsi="方正仿宋_GBK" w:eastAsia="方正仿宋_GBK" w:cs="方正仿宋_GBK"/>
                <w:b/>
                <w:bCs/>
                <w:i w:val="0"/>
                <w:iCs w:val="0"/>
                <w:color w:val="auto"/>
                <w:kern w:val="0"/>
                <w:sz w:val="21"/>
                <w:szCs w:val="21"/>
                <w:u w:val="none"/>
                <w:shd w:val="clear" w:color="auto" w:fill="auto"/>
                <w:lang w:val="en-US" w:eastAsia="zh-CN" w:bidi="ar"/>
              </w:rPr>
              <w:t>1</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kern w:val="0"/>
                <w:sz w:val="21"/>
                <w:szCs w:val="21"/>
                <w:u w:val="none"/>
                <w:shd w:val="clear" w:color="auto" w:fill="auto"/>
                <w:lang w:val="en-US" w:eastAsia="zh-CN" w:bidi="ar"/>
              </w:rPr>
              <w:t>建筑村</w:t>
            </w:r>
            <w:r>
              <w:rPr>
                <w:rFonts w:hint="eastAsia" w:ascii="方正仿宋_GBK" w:hAnsi="方正仿宋_GBK" w:eastAsia="方正仿宋_GBK" w:cs="方正仿宋_GBK"/>
                <w:i w:val="0"/>
                <w:iCs w:val="0"/>
                <w:color w:val="auto"/>
                <w:kern w:val="0"/>
                <w:sz w:val="21"/>
                <w:szCs w:val="21"/>
                <w:u w:val="none"/>
                <w:shd w:val="clear" w:color="auto" w:fill="auto"/>
                <w:lang w:val="en-US" w:eastAsia="zh-CN" w:bidi="ar"/>
              </w:rPr>
              <w:t>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九龙坡区九龙大厦兴隆湾还建房后的燕兴地块</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kern w:val="0"/>
                <w:sz w:val="21"/>
                <w:szCs w:val="21"/>
                <w:u w:val="none"/>
                <w:shd w:val="clear" w:color="auto" w:fill="auto"/>
                <w:lang w:val="en-US" w:eastAsia="zh-CN" w:bidi="ar"/>
              </w:rPr>
              <w:t>002鉴P4101002200259AJ</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kern w:val="0"/>
                <w:sz w:val="21"/>
                <w:szCs w:val="21"/>
                <w:u w:val="none"/>
                <w:shd w:val="clear" w:color="auto" w:fill="auto"/>
                <w:lang w:val="en-US" w:eastAsia="zh-CN" w:bidi="ar"/>
              </w:rPr>
              <w:t>583.21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2</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新视界社区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石坪桥街道新视界社区建筑1村农民院子21号房屋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011补P4101002200185</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582.3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3</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sz w:val="21"/>
                <w:szCs w:val="21"/>
                <w:u w:val="none"/>
                <w:shd w:val="clear" w:color="auto" w:fill="auto"/>
                <w:lang w:val="en-US" w:eastAsia="zh-CN"/>
              </w:rPr>
              <w:t>新视界社区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石坪桥街道新视界社区建筑一村农民院子29号房屋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sz w:val="21"/>
                <w:szCs w:val="21"/>
                <w:u w:val="none"/>
                <w:shd w:val="clear" w:color="auto" w:fill="auto"/>
                <w:lang w:val="en-US" w:eastAsia="zh-CN"/>
              </w:rPr>
              <w:t>011补P4101002200184</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4</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sz w:val="21"/>
                <w:szCs w:val="21"/>
                <w:u w:val="none"/>
                <w:shd w:val="clear" w:color="auto" w:fill="auto"/>
                <w:lang w:val="en-US" w:eastAsia="zh-CN"/>
              </w:rPr>
              <w:t>新视界社区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kern w:val="2"/>
                <w:sz w:val="21"/>
                <w:szCs w:val="21"/>
                <w:u w:val="none"/>
                <w:shd w:val="clear" w:color="auto" w:fill="auto"/>
                <w:lang w:val="en-US" w:eastAsia="zh-CN" w:bidi="ar-SA"/>
              </w:rPr>
            </w:pPr>
            <w:r>
              <w:rPr>
                <w:rFonts w:hint="eastAsia" w:ascii="方正仿宋_GBK" w:hAnsi="方正仿宋_GBK" w:cs="方正仿宋_GBK"/>
                <w:i w:val="0"/>
                <w:iCs w:val="0"/>
                <w:color w:val="auto"/>
                <w:sz w:val="21"/>
                <w:szCs w:val="21"/>
                <w:u w:val="none"/>
                <w:shd w:val="clear" w:color="auto" w:fill="auto"/>
                <w:lang w:val="en-US" w:eastAsia="zh-CN"/>
              </w:rPr>
              <w:t>石坪桥街道新视界社区建筑一村农民院子33号（29号）房屋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011补P4101002200186</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258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5</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石坪村社区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五一新村32栋旁八建活动室</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011补P4101002200188</w:t>
            </w:r>
          </w:p>
        </w:tc>
        <w:tc>
          <w:tcPr>
            <w:tcW w:w="62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98.5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6</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石坪村社区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石坪村7、8、9号房屋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011补P4101002200189</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316.5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7</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sz w:val="21"/>
                <w:szCs w:val="21"/>
                <w:u w:val="none"/>
                <w:shd w:val="clear" w:color="auto" w:fill="auto"/>
                <w:lang w:val="en-US" w:eastAsia="zh-CN"/>
              </w:rPr>
              <w:t>石坪村社区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石坪村13号房屋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011补P4101002200194</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183.3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方正仿宋_GBK" w:hAnsi="方正仿宋_GBK" w:eastAsia="方正仿宋_GBK" w:cs="方正仿宋_GBK"/>
                <w:b/>
                <w:bCs/>
                <w:i w:val="0"/>
                <w:iCs w:val="0"/>
                <w:color w:val="auto"/>
                <w:sz w:val="21"/>
                <w:szCs w:val="21"/>
                <w:u w:val="none"/>
                <w:shd w:val="clear" w:color="auto" w:fill="auto"/>
              </w:rPr>
            </w:pPr>
          </w:p>
        </w:tc>
        <w:tc>
          <w:tcPr>
            <w:tcW w:w="4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b/>
                <w:bCs/>
                <w:i w:val="0"/>
                <w:iCs w:val="0"/>
                <w:color w:val="auto"/>
                <w:sz w:val="21"/>
                <w:szCs w:val="21"/>
                <w:u w:val="none"/>
                <w:shd w:val="clear" w:color="auto" w:fill="auto"/>
                <w:lang w:val="en-US" w:eastAsia="zh-CN"/>
              </w:rPr>
            </w:pPr>
            <w:r>
              <w:rPr>
                <w:rFonts w:hint="eastAsia" w:ascii="方正仿宋_GBK" w:hAnsi="方正仿宋_GBK" w:cs="方正仿宋_GBK"/>
                <w:b/>
                <w:bCs/>
                <w:i w:val="0"/>
                <w:iCs w:val="0"/>
                <w:color w:val="auto"/>
                <w:sz w:val="21"/>
                <w:szCs w:val="21"/>
                <w:u w:val="none"/>
                <w:shd w:val="clear" w:color="auto" w:fill="auto"/>
                <w:lang w:val="en-US" w:eastAsia="zh-CN"/>
              </w:rPr>
              <w:t>8</w:t>
            </w:r>
          </w:p>
        </w:tc>
        <w:tc>
          <w:tcPr>
            <w:tcW w:w="75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方正仿宋_GBK" w:hAnsi="方正仿宋_GBK" w:eastAsia="方正仿宋_GBK" w:cs="方正仿宋_GBK"/>
                <w:i w:val="0"/>
                <w:iCs w:val="0"/>
                <w:color w:val="auto"/>
                <w:sz w:val="21"/>
                <w:szCs w:val="21"/>
                <w:u w:val="none"/>
                <w:shd w:val="clear" w:color="auto" w:fill="auto"/>
              </w:rPr>
            </w:pPr>
            <w:r>
              <w:rPr>
                <w:rFonts w:hint="eastAsia" w:ascii="方正仿宋_GBK" w:hAnsi="方正仿宋_GBK" w:cs="方正仿宋_GBK"/>
                <w:i w:val="0"/>
                <w:iCs w:val="0"/>
                <w:color w:val="auto"/>
                <w:sz w:val="21"/>
                <w:szCs w:val="21"/>
                <w:u w:val="none"/>
                <w:shd w:val="clear" w:color="auto" w:fill="auto"/>
                <w:lang w:val="en-US" w:eastAsia="zh-CN"/>
              </w:rPr>
              <w:t>石坪村社区</w:t>
            </w:r>
          </w:p>
        </w:tc>
        <w:tc>
          <w:tcPr>
            <w:tcW w:w="13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石坪村5号房屋</w:t>
            </w:r>
          </w:p>
        </w:tc>
        <w:tc>
          <w:tcPr>
            <w:tcW w:w="136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rPr>
            </w:pPr>
            <w:r>
              <w:rPr>
                <w:rFonts w:hint="eastAsia" w:ascii="方正仿宋_GBK" w:hAnsi="方正仿宋_GBK" w:cs="方正仿宋_GBK"/>
                <w:i w:val="0"/>
                <w:iCs w:val="0"/>
                <w:color w:val="auto"/>
                <w:sz w:val="21"/>
                <w:szCs w:val="21"/>
                <w:u w:val="none"/>
                <w:shd w:val="clear" w:color="auto" w:fill="auto"/>
                <w:lang w:val="en-US" w:eastAsia="zh-CN"/>
              </w:rPr>
              <w:t>011补P4101002200195</w:t>
            </w:r>
          </w:p>
        </w:tc>
        <w:tc>
          <w:tcPr>
            <w:tcW w:w="62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方正仿宋_GBK" w:hAnsi="方正仿宋_GBK" w:eastAsia="方正仿宋_GBK" w:cs="方正仿宋_GBK"/>
                <w:i w:val="0"/>
                <w:iCs w:val="0"/>
                <w:color w:val="auto"/>
                <w:sz w:val="21"/>
                <w:szCs w:val="21"/>
                <w:u w:val="none"/>
                <w:shd w:val="clear" w:color="auto" w:fill="auto"/>
                <w:lang w:val="en-US" w:eastAsia="zh-CN"/>
              </w:rPr>
            </w:pPr>
            <w:r>
              <w:rPr>
                <w:rFonts w:hint="eastAsia" w:ascii="方正仿宋_GBK" w:hAnsi="方正仿宋_GBK" w:cs="方正仿宋_GBK"/>
                <w:i w:val="0"/>
                <w:iCs w:val="0"/>
                <w:color w:val="auto"/>
                <w:sz w:val="21"/>
                <w:szCs w:val="21"/>
                <w:u w:val="none"/>
                <w:shd w:val="clear" w:color="auto" w:fill="auto"/>
                <w:lang w:val="en-US" w:eastAsia="zh-CN"/>
              </w:rPr>
              <w:t>137</w:t>
            </w:r>
          </w:p>
        </w:tc>
      </w:tr>
    </w:tbl>
    <w:p>
      <w:pPr>
        <w:ind w:left="0" w:leftChars="0" w:firstLine="0" w:firstLineChars="0"/>
        <w:rPr>
          <w:rFonts w:hint="eastAsia"/>
          <w:color w:val="0000FF"/>
          <w:lang w:val="en-US" w:eastAsia="zh-CN"/>
        </w:rPr>
      </w:pPr>
    </w:p>
    <w:sectPr>
      <w:pgSz w:w="11906" w:h="16838"/>
      <w:pgMar w:top="1417" w:right="1417" w:bottom="1417" w:left="1587" w:header="851" w:footer="1191"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83E991-0D82-4DA1-945D-FF3ABB1B8844}"/>
  </w:font>
  <w:font w:name="Arial">
    <w:panose1 w:val="020B0604020202020204"/>
    <w:charset w:val="01"/>
    <w:family w:val="swiss"/>
    <w:pitch w:val="default"/>
    <w:sig w:usb0="E0002EFF" w:usb1="C000785B" w:usb2="00000009" w:usb3="00000000" w:csb0="400001FF" w:csb1="FFFF0000"/>
    <w:embedRegular r:id="rId2" w:fontKey="{DFBAE3BB-9986-4332-98BB-C46C7A09E2C4}"/>
  </w:font>
  <w:font w:name="黑体">
    <w:panose1 w:val="02010609060101010101"/>
    <w:charset w:val="86"/>
    <w:family w:val="auto"/>
    <w:pitch w:val="default"/>
    <w:sig w:usb0="800002BF" w:usb1="38CF7CFA" w:usb2="00000016" w:usb3="00000000" w:csb0="00040001" w:csb1="00000000"/>
    <w:embedRegular r:id="rId3" w:fontKey="{2F9DD0AD-AA9B-4DBB-BF8D-FB60122DFCC2}"/>
  </w:font>
  <w:font w:name="Courier New">
    <w:panose1 w:val="02070309020205020404"/>
    <w:charset w:val="01"/>
    <w:family w:val="modern"/>
    <w:pitch w:val="default"/>
    <w:sig w:usb0="E0002EFF" w:usb1="C0007843" w:usb2="00000009" w:usb3="00000000" w:csb0="400001FF" w:csb1="FFFF0000"/>
    <w:embedRegular r:id="rId4" w:fontKey="{DE7D4E6E-6FC2-458D-B6A2-58A84AFAFE3F}"/>
  </w:font>
  <w:font w:name="Symbol">
    <w:panose1 w:val="05050102010706020507"/>
    <w:charset w:val="02"/>
    <w:family w:val="roman"/>
    <w:pitch w:val="default"/>
    <w:sig w:usb0="00000000" w:usb1="00000000" w:usb2="00000000" w:usb3="00000000" w:csb0="80000000" w:csb1="00000000"/>
    <w:embedRegular r:id="rId5" w:fontKey="{D4D076CC-D711-4230-BA7B-6D66D63403D1}"/>
  </w:font>
  <w:font w:name="Calibri">
    <w:panose1 w:val="020F0502020204030204"/>
    <w:charset w:val="00"/>
    <w:family w:val="swiss"/>
    <w:pitch w:val="default"/>
    <w:sig w:usb0="E4002EFF" w:usb1="C000247B" w:usb2="00000009" w:usb3="00000000" w:csb0="200001FF" w:csb1="00000000"/>
    <w:embedRegular r:id="rId6" w:fontKey="{1A0C3C3E-BDBC-4BB8-BB62-BE5C518FFFD3}"/>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7" w:fontKey="{0DC0DD9E-0FD7-4297-970E-7B9262B30536}"/>
  </w:font>
  <w:font w:name="方正黑体_GBK">
    <w:altName w:val="微软雅黑"/>
    <w:panose1 w:val="03000509000000000000"/>
    <w:charset w:val="86"/>
    <w:family w:val="auto"/>
    <w:pitch w:val="default"/>
    <w:sig w:usb0="00000000" w:usb1="00000000" w:usb2="00000000" w:usb3="00000000" w:csb0="00040000" w:csb1="00000000"/>
  </w:font>
  <w:font w:name="方正楷体_GBK">
    <w:panose1 w:val="02000000000000000000"/>
    <w:charset w:val="86"/>
    <w:family w:val="auto"/>
    <w:pitch w:val="default"/>
    <w:sig w:usb0="800002BF" w:usb1="38CF7CFA" w:usb2="00000016" w:usb3="00000000" w:csb0="00040000" w:csb1="00000000"/>
    <w:embedRegular r:id="rId8" w:fontKey="{8BD0169A-6AC0-413D-8542-8C4E113843E1}"/>
  </w:font>
  <w:font w:name="Cambria">
    <w:panose1 w:val="02040503050406030204"/>
    <w:charset w:val="00"/>
    <w:family w:val="roman"/>
    <w:pitch w:val="default"/>
    <w:sig w:usb0="E00006FF" w:usb1="420024FF" w:usb2="02000000" w:usb3="00000000" w:csb0="2000019F" w:csb1="00000000"/>
    <w:embedRegular r:id="rId9" w:fontKey="{10C9AFFE-8AD3-4B1E-8850-6E4BE57FF46D}"/>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10" w:fontKey="{BAD72A8F-7F82-4319-83BF-31707C732517}"/>
  </w:font>
  <w:font w:name="楷体">
    <w:panose1 w:val="02010609060101010101"/>
    <w:charset w:val="86"/>
    <w:family w:val="auto"/>
    <w:pitch w:val="default"/>
    <w:sig w:usb0="800002BF" w:usb1="38CF7CFA" w:usb2="00000016" w:usb3="00000000" w:csb0="00040001" w:csb1="00000000"/>
    <w:embedRegular r:id="rId11" w:fontKey="{69B57D0E-C9C4-47AA-9EB5-3B8474BB805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590"/>
        <w:tab w:val="clear" w:pos="4153"/>
        <w:tab w:val="clear" w:pos="8306"/>
      </w:tabs>
      <w:spacing w:line="240" w:lineRule="auto"/>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pPr>
                      <w:pStyle w:val="18"/>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590"/>
        <w:tab w:val="clear" w:pos="4153"/>
        <w:tab w:val="clear" w:pos="8306"/>
      </w:tabs>
      <w:spacing w:line="240" w:lineRule="auto"/>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keepNext w:val="0"/>
                            <w:keepLines w:val="0"/>
                            <w:pageBreakBefore w:val="0"/>
                            <w:widowControl w:val="0"/>
                            <w:kinsoku/>
                            <w:wordWrap/>
                            <w:overflowPunct/>
                            <w:topLinePunct w:val="0"/>
                            <w:autoSpaceDE/>
                            <w:autoSpaceDN/>
                            <w:bidi w:val="0"/>
                            <w:adjustRightInd/>
                            <w:snapToGrid w:val="0"/>
                            <w:ind w:firstLine="0" w:firstLineChars="0"/>
                            <w:textAlignment w:val="auto"/>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1e/c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cWxO25x4Ocf388/f59/fSPL&#10;LE8foMasx4B5abjxAy7N7Ad0ZtaDijZ/kQ/BOIp7uogrh0REfrRarlYVhgTG5gvis6fnIUK6k96S&#10;bDQ04vSKqPx4D2lMnVNyNedvtTFlgsb95UDM7GG597HHbKVhN0yEdr49IZ8eB99Qh3tOifnoUNe8&#10;I7MRZ2M3G4cQ9b4rS5TrQfhwSNhE6S1XGGGnwjixwm7arrwSz+8l6+mP2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9Xv3LIAQAAmQMAAA4AAAAAAAAAAQAgAAAAHgEAAGRycy9lMm9Eb2Mu&#10;eG1sUEsFBgAAAAAGAAYAWQEAAFgFAAAAAA==&#10;">
              <v:fill on="f" focussize="0,0"/>
              <v:stroke on="f"/>
              <v:imagedata o:title=""/>
              <o:lock v:ext="edit" aspectratio="f"/>
              <v:textbox inset="0mm,0mm,0mm,0mm" style="mso-fit-shape-to-text:t;">
                <w:txbxContent>
                  <w:p>
                    <w:pPr>
                      <w:pStyle w:val="18"/>
                      <w:keepNext w:val="0"/>
                      <w:keepLines w:val="0"/>
                      <w:pageBreakBefore w:val="0"/>
                      <w:widowControl w:val="0"/>
                      <w:kinsoku/>
                      <w:wordWrap/>
                      <w:overflowPunct/>
                      <w:topLinePunct w:val="0"/>
                      <w:autoSpaceDE/>
                      <w:autoSpaceDN/>
                      <w:bidi w:val="0"/>
                      <w:adjustRightInd/>
                      <w:snapToGrid w:val="0"/>
                      <w:ind w:firstLine="0" w:firstLineChars="0"/>
                      <w:textAlignment w:val="auto"/>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280" w:firstLine="180" w:firstLineChars="100"/>
      <w:rPr>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AAE8kBAACZ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4AATyQEAAJkDAAAOAAAAAAAAAAEAIAAAAB4BAABkcnMvZTJvRG9j&#10;LnhtbFBLBQYAAAAABgAGAFkBAABZBQAAAAA=&#10;">
              <v:fill on="f" focussize="0,0"/>
              <v:stroke on="f"/>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mYWUxOWJhMWE5OGFmZGQyNzA0NjBkZTNhOGRjMDEifQ=="/>
  </w:docVars>
  <w:rsids>
    <w:rsidRoot w:val="002467FB"/>
    <w:rsid w:val="000000B7"/>
    <w:rsid w:val="0000189B"/>
    <w:rsid w:val="000242E6"/>
    <w:rsid w:val="00030508"/>
    <w:rsid w:val="0003127E"/>
    <w:rsid w:val="00044592"/>
    <w:rsid w:val="000469CC"/>
    <w:rsid w:val="000527B4"/>
    <w:rsid w:val="00053204"/>
    <w:rsid w:val="000549E9"/>
    <w:rsid w:val="00061017"/>
    <w:rsid w:val="00063FFA"/>
    <w:rsid w:val="00070A98"/>
    <w:rsid w:val="00072197"/>
    <w:rsid w:val="00072955"/>
    <w:rsid w:val="00073246"/>
    <w:rsid w:val="00082BE4"/>
    <w:rsid w:val="00083305"/>
    <w:rsid w:val="00083E27"/>
    <w:rsid w:val="0008406B"/>
    <w:rsid w:val="00085839"/>
    <w:rsid w:val="0008698D"/>
    <w:rsid w:val="00091F89"/>
    <w:rsid w:val="00093229"/>
    <w:rsid w:val="000937B6"/>
    <w:rsid w:val="000A0DA2"/>
    <w:rsid w:val="000A3E3B"/>
    <w:rsid w:val="000A7775"/>
    <w:rsid w:val="000C0840"/>
    <w:rsid w:val="000C092F"/>
    <w:rsid w:val="000C133A"/>
    <w:rsid w:val="000C5C80"/>
    <w:rsid w:val="000D19AB"/>
    <w:rsid w:val="000D5EF0"/>
    <w:rsid w:val="000D5FB1"/>
    <w:rsid w:val="000D6835"/>
    <w:rsid w:val="000D6FC3"/>
    <w:rsid w:val="000E6EE3"/>
    <w:rsid w:val="000E7A78"/>
    <w:rsid w:val="000F0C9B"/>
    <w:rsid w:val="000F265D"/>
    <w:rsid w:val="000F2A34"/>
    <w:rsid w:val="000F3CA8"/>
    <w:rsid w:val="000F7993"/>
    <w:rsid w:val="001161CF"/>
    <w:rsid w:val="00125605"/>
    <w:rsid w:val="001325FC"/>
    <w:rsid w:val="00137C49"/>
    <w:rsid w:val="001427B7"/>
    <w:rsid w:val="00144B56"/>
    <w:rsid w:val="00144B71"/>
    <w:rsid w:val="00145D1F"/>
    <w:rsid w:val="001530E9"/>
    <w:rsid w:val="00154BE9"/>
    <w:rsid w:val="0015636D"/>
    <w:rsid w:val="00160558"/>
    <w:rsid w:val="00160E9C"/>
    <w:rsid w:val="00160F8A"/>
    <w:rsid w:val="001643B9"/>
    <w:rsid w:val="001643F5"/>
    <w:rsid w:val="0016765D"/>
    <w:rsid w:val="00167944"/>
    <w:rsid w:val="00171F2D"/>
    <w:rsid w:val="001766B3"/>
    <w:rsid w:val="00183F6F"/>
    <w:rsid w:val="00193B0A"/>
    <w:rsid w:val="00197D92"/>
    <w:rsid w:val="00197E87"/>
    <w:rsid w:val="001A1983"/>
    <w:rsid w:val="001A62D0"/>
    <w:rsid w:val="001A6890"/>
    <w:rsid w:val="001B1D67"/>
    <w:rsid w:val="001C38C5"/>
    <w:rsid w:val="001C3D66"/>
    <w:rsid w:val="001C42DC"/>
    <w:rsid w:val="001D00C5"/>
    <w:rsid w:val="001D22FD"/>
    <w:rsid w:val="001D5425"/>
    <w:rsid w:val="001D6717"/>
    <w:rsid w:val="001E2B19"/>
    <w:rsid w:val="001E52F6"/>
    <w:rsid w:val="001E5510"/>
    <w:rsid w:val="001F0D66"/>
    <w:rsid w:val="001F3879"/>
    <w:rsid w:val="001F3D78"/>
    <w:rsid w:val="00212E4E"/>
    <w:rsid w:val="00213575"/>
    <w:rsid w:val="002160C1"/>
    <w:rsid w:val="00216390"/>
    <w:rsid w:val="0022564F"/>
    <w:rsid w:val="002305BB"/>
    <w:rsid w:val="0023182D"/>
    <w:rsid w:val="002339C4"/>
    <w:rsid w:val="00236AA9"/>
    <w:rsid w:val="00242305"/>
    <w:rsid w:val="002467FB"/>
    <w:rsid w:val="002518AF"/>
    <w:rsid w:val="00252847"/>
    <w:rsid w:val="00255023"/>
    <w:rsid w:val="002569C3"/>
    <w:rsid w:val="00260DBB"/>
    <w:rsid w:val="00262A92"/>
    <w:rsid w:val="002652FC"/>
    <w:rsid w:val="00267912"/>
    <w:rsid w:val="00276DF3"/>
    <w:rsid w:val="00277FC2"/>
    <w:rsid w:val="0029771E"/>
    <w:rsid w:val="002A23C8"/>
    <w:rsid w:val="002A4D05"/>
    <w:rsid w:val="002A5CEA"/>
    <w:rsid w:val="002A6258"/>
    <w:rsid w:val="002A74E2"/>
    <w:rsid w:val="002C3FFD"/>
    <w:rsid w:val="002D35A0"/>
    <w:rsid w:val="002D4BE7"/>
    <w:rsid w:val="002E224A"/>
    <w:rsid w:val="002E745C"/>
    <w:rsid w:val="002F3271"/>
    <w:rsid w:val="002F6BBE"/>
    <w:rsid w:val="00302798"/>
    <w:rsid w:val="00304FE0"/>
    <w:rsid w:val="00312DE5"/>
    <w:rsid w:val="00313CDC"/>
    <w:rsid w:val="00324B63"/>
    <w:rsid w:val="00331C06"/>
    <w:rsid w:val="00343614"/>
    <w:rsid w:val="00343D22"/>
    <w:rsid w:val="0035227D"/>
    <w:rsid w:val="0035343B"/>
    <w:rsid w:val="00355557"/>
    <w:rsid w:val="00355D0A"/>
    <w:rsid w:val="00356BDD"/>
    <w:rsid w:val="00376927"/>
    <w:rsid w:val="00377DCB"/>
    <w:rsid w:val="003822BE"/>
    <w:rsid w:val="00390ED5"/>
    <w:rsid w:val="0039143A"/>
    <w:rsid w:val="0039226F"/>
    <w:rsid w:val="00394446"/>
    <w:rsid w:val="003A4DB1"/>
    <w:rsid w:val="003A7AAE"/>
    <w:rsid w:val="003A7ECB"/>
    <w:rsid w:val="003B1A95"/>
    <w:rsid w:val="003B2506"/>
    <w:rsid w:val="003B61AC"/>
    <w:rsid w:val="003C3101"/>
    <w:rsid w:val="003C7652"/>
    <w:rsid w:val="003D0DEC"/>
    <w:rsid w:val="003D3073"/>
    <w:rsid w:val="003D7792"/>
    <w:rsid w:val="003E21D3"/>
    <w:rsid w:val="003E5500"/>
    <w:rsid w:val="003E5CA1"/>
    <w:rsid w:val="003E7AC5"/>
    <w:rsid w:val="003F4FB8"/>
    <w:rsid w:val="003F55DA"/>
    <w:rsid w:val="003F7C3E"/>
    <w:rsid w:val="004001C4"/>
    <w:rsid w:val="00401455"/>
    <w:rsid w:val="00401FDB"/>
    <w:rsid w:val="00404A03"/>
    <w:rsid w:val="00406D59"/>
    <w:rsid w:val="0041085D"/>
    <w:rsid w:val="004200EB"/>
    <w:rsid w:val="004209F5"/>
    <w:rsid w:val="00424856"/>
    <w:rsid w:val="00424DCF"/>
    <w:rsid w:val="0043039F"/>
    <w:rsid w:val="004321A9"/>
    <w:rsid w:val="00434902"/>
    <w:rsid w:val="0043608B"/>
    <w:rsid w:val="00442AA0"/>
    <w:rsid w:val="0044621D"/>
    <w:rsid w:val="00446414"/>
    <w:rsid w:val="00451461"/>
    <w:rsid w:val="00451C19"/>
    <w:rsid w:val="004548E8"/>
    <w:rsid w:val="004600FF"/>
    <w:rsid w:val="00463FCA"/>
    <w:rsid w:val="0047057C"/>
    <w:rsid w:val="004706FE"/>
    <w:rsid w:val="004711C5"/>
    <w:rsid w:val="00473993"/>
    <w:rsid w:val="004739D0"/>
    <w:rsid w:val="004760F4"/>
    <w:rsid w:val="00476A72"/>
    <w:rsid w:val="00482F37"/>
    <w:rsid w:val="004852E0"/>
    <w:rsid w:val="004A3920"/>
    <w:rsid w:val="004A543A"/>
    <w:rsid w:val="004A579A"/>
    <w:rsid w:val="004A5CB1"/>
    <w:rsid w:val="004B16AB"/>
    <w:rsid w:val="004B54DC"/>
    <w:rsid w:val="004B7B0F"/>
    <w:rsid w:val="004C0410"/>
    <w:rsid w:val="004C1682"/>
    <w:rsid w:val="004C205D"/>
    <w:rsid w:val="004D4993"/>
    <w:rsid w:val="004D6538"/>
    <w:rsid w:val="004D78CE"/>
    <w:rsid w:val="004E1932"/>
    <w:rsid w:val="004E642E"/>
    <w:rsid w:val="004E68C9"/>
    <w:rsid w:val="004F0678"/>
    <w:rsid w:val="004F2745"/>
    <w:rsid w:val="005043B9"/>
    <w:rsid w:val="005048BF"/>
    <w:rsid w:val="00506D7E"/>
    <w:rsid w:val="005101A3"/>
    <w:rsid w:val="00513073"/>
    <w:rsid w:val="005162B1"/>
    <w:rsid w:val="005217DE"/>
    <w:rsid w:val="00524487"/>
    <w:rsid w:val="00530620"/>
    <w:rsid w:val="00530633"/>
    <w:rsid w:val="005339F8"/>
    <w:rsid w:val="00541A54"/>
    <w:rsid w:val="00545248"/>
    <w:rsid w:val="00551F50"/>
    <w:rsid w:val="00552C75"/>
    <w:rsid w:val="0055441C"/>
    <w:rsid w:val="0055441E"/>
    <w:rsid w:val="00556329"/>
    <w:rsid w:val="0055728B"/>
    <w:rsid w:val="00561B18"/>
    <w:rsid w:val="00562627"/>
    <w:rsid w:val="0056278A"/>
    <w:rsid w:val="005628AD"/>
    <w:rsid w:val="00567A41"/>
    <w:rsid w:val="00576A52"/>
    <w:rsid w:val="00590255"/>
    <w:rsid w:val="00590ED3"/>
    <w:rsid w:val="005925F7"/>
    <w:rsid w:val="00594030"/>
    <w:rsid w:val="005B00E1"/>
    <w:rsid w:val="005B09B2"/>
    <w:rsid w:val="005B1941"/>
    <w:rsid w:val="005C4BF4"/>
    <w:rsid w:val="005C7F4A"/>
    <w:rsid w:val="005D1160"/>
    <w:rsid w:val="005D215D"/>
    <w:rsid w:val="005D2DED"/>
    <w:rsid w:val="005D6047"/>
    <w:rsid w:val="005E25D7"/>
    <w:rsid w:val="005F640E"/>
    <w:rsid w:val="005F7F0D"/>
    <w:rsid w:val="00602422"/>
    <w:rsid w:val="006139B7"/>
    <w:rsid w:val="00616025"/>
    <w:rsid w:val="00625244"/>
    <w:rsid w:val="006257ED"/>
    <w:rsid w:val="00626686"/>
    <w:rsid w:val="0063188F"/>
    <w:rsid w:val="00631D4D"/>
    <w:rsid w:val="006440A5"/>
    <w:rsid w:val="00645AFB"/>
    <w:rsid w:val="00652786"/>
    <w:rsid w:val="00657198"/>
    <w:rsid w:val="006673F1"/>
    <w:rsid w:val="006711FB"/>
    <w:rsid w:val="00677C9C"/>
    <w:rsid w:val="00693C82"/>
    <w:rsid w:val="00694AB6"/>
    <w:rsid w:val="006A2A41"/>
    <w:rsid w:val="006A537E"/>
    <w:rsid w:val="006A7473"/>
    <w:rsid w:val="006B0772"/>
    <w:rsid w:val="006B07DF"/>
    <w:rsid w:val="006B1504"/>
    <w:rsid w:val="006B3300"/>
    <w:rsid w:val="006B7B12"/>
    <w:rsid w:val="006C1B61"/>
    <w:rsid w:val="006C570A"/>
    <w:rsid w:val="006D17A5"/>
    <w:rsid w:val="006D5B2E"/>
    <w:rsid w:val="006E00E2"/>
    <w:rsid w:val="006E29FD"/>
    <w:rsid w:val="006E5F94"/>
    <w:rsid w:val="006F0789"/>
    <w:rsid w:val="006F15BE"/>
    <w:rsid w:val="006F58F0"/>
    <w:rsid w:val="007051B3"/>
    <w:rsid w:val="007061E4"/>
    <w:rsid w:val="00707047"/>
    <w:rsid w:val="007075F1"/>
    <w:rsid w:val="00715B01"/>
    <w:rsid w:val="00722347"/>
    <w:rsid w:val="00730787"/>
    <w:rsid w:val="00731CC3"/>
    <w:rsid w:val="00734460"/>
    <w:rsid w:val="00736337"/>
    <w:rsid w:val="00736BFA"/>
    <w:rsid w:val="00740C6D"/>
    <w:rsid w:val="00742897"/>
    <w:rsid w:val="0074440D"/>
    <w:rsid w:val="00746F43"/>
    <w:rsid w:val="00752CC0"/>
    <w:rsid w:val="00761764"/>
    <w:rsid w:val="0076395B"/>
    <w:rsid w:val="00765924"/>
    <w:rsid w:val="00766D50"/>
    <w:rsid w:val="007715B7"/>
    <w:rsid w:val="00773965"/>
    <w:rsid w:val="00773F25"/>
    <w:rsid w:val="00784706"/>
    <w:rsid w:val="00787F7B"/>
    <w:rsid w:val="00791898"/>
    <w:rsid w:val="00795111"/>
    <w:rsid w:val="00795BB8"/>
    <w:rsid w:val="007A1D1F"/>
    <w:rsid w:val="007A7F20"/>
    <w:rsid w:val="007B0292"/>
    <w:rsid w:val="007B0BC2"/>
    <w:rsid w:val="007C2973"/>
    <w:rsid w:val="007C3078"/>
    <w:rsid w:val="007D13D2"/>
    <w:rsid w:val="007D4B8A"/>
    <w:rsid w:val="007D4C37"/>
    <w:rsid w:val="007E79F3"/>
    <w:rsid w:val="007F6F3E"/>
    <w:rsid w:val="0080227C"/>
    <w:rsid w:val="00803C34"/>
    <w:rsid w:val="00805968"/>
    <w:rsid w:val="00807924"/>
    <w:rsid w:val="00811253"/>
    <w:rsid w:val="0082443D"/>
    <w:rsid w:val="00834B6F"/>
    <w:rsid w:val="008357D8"/>
    <w:rsid w:val="00835CA2"/>
    <w:rsid w:val="00840590"/>
    <w:rsid w:val="00840BE4"/>
    <w:rsid w:val="00844ACC"/>
    <w:rsid w:val="00845BF0"/>
    <w:rsid w:val="00852CD7"/>
    <w:rsid w:val="008533A5"/>
    <w:rsid w:val="00861165"/>
    <w:rsid w:val="008639E7"/>
    <w:rsid w:val="00863BFC"/>
    <w:rsid w:val="00873388"/>
    <w:rsid w:val="00880070"/>
    <w:rsid w:val="0088153E"/>
    <w:rsid w:val="00897F79"/>
    <w:rsid w:val="008A13AC"/>
    <w:rsid w:val="008A1EEE"/>
    <w:rsid w:val="008B785A"/>
    <w:rsid w:val="008C02E1"/>
    <w:rsid w:val="008C45BF"/>
    <w:rsid w:val="008C60F5"/>
    <w:rsid w:val="008D00B6"/>
    <w:rsid w:val="008E060E"/>
    <w:rsid w:val="008E2642"/>
    <w:rsid w:val="008E2BD9"/>
    <w:rsid w:val="008E2EFB"/>
    <w:rsid w:val="008E6AE7"/>
    <w:rsid w:val="008F3C33"/>
    <w:rsid w:val="008F66F3"/>
    <w:rsid w:val="00903061"/>
    <w:rsid w:val="009106DF"/>
    <w:rsid w:val="00917003"/>
    <w:rsid w:val="00922B43"/>
    <w:rsid w:val="0092312D"/>
    <w:rsid w:val="00926795"/>
    <w:rsid w:val="00927DBA"/>
    <w:rsid w:val="009365D4"/>
    <w:rsid w:val="00945721"/>
    <w:rsid w:val="00951020"/>
    <w:rsid w:val="009514A2"/>
    <w:rsid w:val="00952D96"/>
    <w:rsid w:val="0095564F"/>
    <w:rsid w:val="00956A43"/>
    <w:rsid w:val="009617DE"/>
    <w:rsid w:val="00961CEA"/>
    <w:rsid w:val="009646CA"/>
    <w:rsid w:val="00970C78"/>
    <w:rsid w:val="00972DD5"/>
    <w:rsid w:val="00980336"/>
    <w:rsid w:val="0098275A"/>
    <w:rsid w:val="00984161"/>
    <w:rsid w:val="009859B3"/>
    <w:rsid w:val="00995EA2"/>
    <w:rsid w:val="009A0D47"/>
    <w:rsid w:val="009A18D5"/>
    <w:rsid w:val="009A1C97"/>
    <w:rsid w:val="009A785A"/>
    <w:rsid w:val="009B4607"/>
    <w:rsid w:val="009C030F"/>
    <w:rsid w:val="009C2044"/>
    <w:rsid w:val="009C4588"/>
    <w:rsid w:val="009C69CB"/>
    <w:rsid w:val="009C6ADA"/>
    <w:rsid w:val="009C7AE5"/>
    <w:rsid w:val="009D210A"/>
    <w:rsid w:val="009D2A93"/>
    <w:rsid w:val="009D796C"/>
    <w:rsid w:val="009E35C5"/>
    <w:rsid w:val="009E5EFC"/>
    <w:rsid w:val="009E66ED"/>
    <w:rsid w:val="009E6E8B"/>
    <w:rsid w:val="009E7268"/>
    <w:rsid w:val="009F0821"/>
    <w:rsid w:val="009F09BA"/>
    <w:rsid w:val="009F0E99"/>
    <w:rsid w:val="009F2715"/>
    <w:rsid w:val="009F44AF"/>
    <w:rsid w:val="00A060D0"/>
    <w:rsid w:val="00A12D57"/>
    <w:rsid w:val="00A24AFE"/>
    <w:rsid w:val="00A311B8"/>
    <w:rsid w:val="00A34C37"/>
    <w:rsid w:val="00A3583E"/>
    <w:rsid w:val="00A35AE6"/>
    <w:rsid w:val="00A415D3"/>
    <w:rsid w:val="00A41C4F"/>
    <w:rsid w:val="00A44066"/>
    <w:rsid w:val="00A442A8"/>
    <w:rsid w:val="00A52F38"/>
    <w:rsid w:val="00A557AC"/>
    <w:rsid w:val="00A55E62"/>
    <w:rsid w:val="00A5658D"/>
    <w:rsid w:val="00A6137A"/>
    <w:rsid w:val="00A7209D"/>
    <w:rsid w:val="00A75472"/>
    <w:rsid w:val="00A807E4"/>
    <w:rsid w:val="00A826B6"/>
    <w:rsid w:val="00A85B4A"/>
    <w:rsid w:val="00AA7BD6"/>
    <w:rsid w:val="00AB09D9"/>
    <w:rsid w:val="00AB19EB"/>
    <w:rsid w:val="00AB2811"/>
    <w:rsid w:val="00AC0D10"/>
    <w:rsid w:val="00AC5489"/>
    <w:rsid w:val="00AC6306"/>
    <w:rsid w:val="00AC7B5F"/>
    <w:rsid w:val="00AD043B"/>
    <w:rsid w:val="00AE1DA4"/>
    <w:rsid w:val="00AE64DD"/>
    <w:rsid w:val="00AE71B6"/>
    <w:rsid w:val="00AF3FF5"/>
    <w:rsid w:val="00AF41EA"/>
    <w:rsid w:val="00B135A7"/>
    <w:rsid w:val="00B172F8"/>
    <w:rsid w:val="00B17B32"/>
    <w:rsid w:val="00B204D7"/>
    <w:rsid w:val="00B2502C"/>
    <w:rsid w:val="00B30941"/>
    <w:rsid w:val="00B3371C"/>
    <w:rsid w:val="00B428F8"/>
    <w:rsid w:val="00B45C4B"/>
    <w:rsid w:val="00B46F41"/>
    <w:rsid w:val="00B521C4"/>
    <w:rsid w:val="00B52D4A"/>
    <w:rsid w:val="00B532D2"/>
    <w:rsid w:val="00B55B34"/>
    <w:rsid w:val="00B5741A"/>
    <w:rsid w:val="00B61EC6"/>
    <w:rsid w:val="00B61FCF"/>
    <w:rsid w:val="00B62ABB"/>
    <w:rsid w:val="00B62EFF"/>
    <w:rsid w:val="00B65D5F"/>
    <w:rsid w:val="00B67A73"/>
    <w:rsid w:val="00B71174"/>
    <w:rsid w:val="00B71C96"/>
    <w:rsid w:val="00B71ED3"/>
    <w:rsid w:val="00B72988"/>
    <w:rsid w:val="00B766BF"/>
    <w:rsid w:val="00B8171D"/>
    <w:rsid w:val="00B91E22"/>
    <w:rsid w:val="00BA3ED2"/>
    <w:rsid w:val="00BB3D50"/>
    <w:rsid w:val="00BB4AAA"/>
    <w:rsid w:val="00BD0147"/>
    <w:rsid w:val="00BD28B2"/>
    <w:rsid w:val="00BD2CD0"/>
    <w:rsid w:val="00BD68E2"/>
    <w:rsid w:val="00BE0330"/>
    <w:rsid w:val="00BE3BCE"/>
    <w:rsid w:val="00BE3D1A"/>
    <w:rsid w:val="00BE7C01"/>
    <w:rsid w:val="00BE7C40"/>
    <w:rsid w:val="00BF2D26"/>
    <w:rsid w:val="00BF441C"/>
    <w:rsid w:val="00C039D5"/>
    <w:rsid w:val="00C1130C"/>
    <w:rsid w:val="00C117A5"/>
    <w:rsid w:val="00C1349B"/>
    <w:rsid w:val="00C150CB"/>
    <w:rsid w:val="00C3056D"/>
    <w:rsid w:val="00C3263D"/>
    <w:rsid w:val="00C3465C"/>
    <w:rsid w:val="00C44579"/>
    <w:rsid w:val="00C4757D"/>
    <w:rsid w:val="00C51763"/>
    <w:rsid w:val="00C6697D"/>
    <w:rsid w:val="00C72F57"/>
    <w:rsid w:val="00C77576"/>
    <w:rsid w:val="00C83DF5"/>
    <w:rsid w:val="00C91C0B"/>
    <w:rsid w:val="00C9212E"/>
    <w:rsid w:val="00C92308"/>
    <w:rsid w:val="00C9334C"/>
    <w:rsid w:val="00C943A9"/>
    <w:rsid w:val="00C9694F"/>
    <w:rsid w:val="00CA5A12"/>
    <w:rsid w:val="00CA5D0D"/>
    <w:rsid w:val="00CA5D46"/>
    <w:rsid w:val="00CA5F5D"/>
    <w:rsid w:val="00CB1E27"/>
    <w:rsid w:val="00CB38D7"/>
    <w:rsid w:val="00CB449E"/>
    <w:rsid w:val="00CB58B2"/>
    <w:rsid w:val="00CB6A79"/>
    <w:rsid w:val="00CB7B2C"/>
    <w:rsid w:val="00CC6043"/>
    <w:rsid w:val="00CC691E"/>
    <w:rsid w:val="00CD16ED"/>
    <w:rsid w:val="00CD2155"/>
    <w:rsid w:val="00CD3869"/>
    <w:rsid w:val="00CD7014"/>
    <w:rsid w:val="00CD7ECB"/>
    <w:rsid w:val="00CE4A75"/>
    <w:rsid w:val="00CE72AE"/>
    <w:rsid w:val="00CE74E6"/>
    <w:rsid w:val="00CF4545"/>
    <w:rsid w:val="00D02C2A"/>
    <w:rsid w:val="00D03248"/>
    <w:rsid w:val="00D0331C"/>
    <w:rsid w:val="00D03F25"/>
    <w:rsid w:val="00D07604"/>
    <w:rsid w:val="00D1231A"/>
    <w:rsid w:val="00D15508"/>
    <w:rsid w:val="00D2475D"/>
    <w:rsid w:val="00D2565E"/>
    <w:rsid w:val="00D344CD"/>
    <w:rsid w:val="00D433D1"/>
    <w:rsid w:val="00D535E4"/>
    <w:rsid w:val="00D55AE8"/>
    <w:rsid w:val="00D5790C"/>
    <w:rsid w:val="00D63882"/>
    <w:rsid w:val="00D661A6"/>
    <w:rsid w:val="00D823D7"/>
    <w:rsid w:val="00D83487"/>
    <w:rsid w:val="00D8545A"/>
    <w:rsid w:val="00D86598"/>
    <w:rsid w:val="00D9249C"/>
    <w:rsid w:val="00DA124A"/>
    <w:rsid w:val="00DA4367"/>
    <w:rsid w:val="00DB5C0A"/>
    <w:rsid w:val="00DC63DC"/>
    <w:rsid w:val="00DD03B6"/>
    <w:rsid w:val="00DD2779"/>
    <w:rsid w:val="00DD400E"/>
    <w:rsid w:val="00DD4DE4"/>
    <w:rsid w:val="00DD5032"/>
    <w:rsid w:val="00DD5362"/>
    <w:rsid w:val="00DE26AA"/>
    <w:rsid w:val="00DE3DCD"/>
    <w:rsid w:val="00DF20DC"/>
    <w:rsid w:val="00DF384F"/>
    <w:rsid w:val="00E01125"/>
    <w:rsid w:val="00E130DE"/>
    <w:rsid w:val="00E16C76"/>
    <w:rsid w:val="00E20B8C"/>
    <w:rsid w:val="00E2504D"/>
    <w:rsid w:val="00E27466"/>
    <w:rsid w:val="00E4795D"/>
    <w:rsid w:val="00E502A6"/>
    <w:rsid w:val="00E511E8"/>
    <w:rsid w:val="00E52B17"/>
    <w:rsid w:val="00E57C6C"/>
    <w:rsid w:val="00E65F4E"/>
    <w:rsid w:val="00E66C45"/>
    <w:rsid w:val="00E71849"/>
    <w:rsid w:val="00E75D62"/>
    <w:rsid w:val="00E807F1"/>
    <w:rsid w:val="00E86A8C"/>
    <w:rsid w:val="00E87AAA"/>
    <w:rsid w:val="00E87B0E"/>
    <w:rsid w:val="00E91114"/>
    <w:rsid w:val="00E92F38"/>
    <w:rsid w:val="00EA0E13"/>
    <w:rsid w:val="00EA4768"/>
    <w:rsid w:val="00EA503E"/>
    <w:rsid w:val="00EB03CC"/>
    <w:rsid w:val="00EB2ED5"/>
    <w:rsid w:val="00EB5455"/>
    <w:rsid w:val="00EB570C"/>
    <w:rsid w:val="00EB5CE0"/>
    <w:rsid w:val="00EB6B27"/>
    <w:rsid w:val="00EC21A8"/>
    <w:rsid w:val="00EC42D1"/>
    <w:rsid w:val="00ED3038"/>
    <w:rsid w:val="00ED32D0"/>
    <w:rsid w:val="00EE62D2"/>
    <w:rsid w:val="00EE73FC"/>
    <w:rsid w:val="00EF0AD5"/>
    <w:rsid w:val="00EF24C4"/>
    <w:rsid w:val="00EF4198"/>
    <w:rsid w:val="00EF7D2B"/>
    <w:rsid w:val="00F1108E"/>
    <w:rsid w:val="00F13CFA"/>
    <w:rsid w:val="00F1454C"/>
    <w:rsid w:val="00F167C1"/>
    <w:rsid w:val="00F17947"/>
    <w:rsid w:val="00F23F0C"/>
    <w:rsid w:val="00F24B2C"/>
    <w:rsid w:val="00F24CDD"/>
    <w:rsid w:val="00F24CE9"/>
    <w:rsid w:val="00F26D58"/>
    <w:rsid w:val="00F34AD3"/>
    <w:rsid w:val="00F352BE"/>
    <w:rsid w:val="00F36B3A"/>
    <w:rsid w:val="00F4013D"/>
    <w:rsid w:val="00F473B3"/>
    <w:rsid w:val="00F474F6"/>
    <w:rsid w:val="00F477F8"/>
    <w:rsid w:val="00F536BB"/>
    <w:rsid w:val="00F70B4B"/>
    <w:rsid w:val="00F76C19"/>
    <w:rsid w:val="00F81F84"/>
    <w:rsid w:val="00F90432"/>
    <w:rsid w:val="00F95D3F"/>
    <w:rsid w:val="00F95FF9"/>
    <w:rsid w:val="00F973E1"/>
    <w:rsid w:val="00FA3F90"/>
    <w:rsid w:val="00FA40D1"/>
    <w:rsid w:val="00FA5F01"/>
    <w:rsid w:val="00FA7988"/>
    <w:rsid w:val="00FB410B"/>
    <w:rsid w:val="00FB6136"/>
    <w:rsid w:val="00FD155F"/>
    <w:rsid w:val="00FD470E"/>
    <w:rsid w:val="00FD4F10"/>
    <w:rsid w:val="00FD6895"/>
    <w:rsid w:val="00FE1C88"/>
    <w:rsid w:val="00FE3275"/>
    <w:rsid w:val="00FE556F"/>
    <w:rsid w:val="00FE64CD"/>
    <w:rsid w:val="00FE7BF7"/>
    <w:rsid w:val="00FF677C"/>
    <w:rsid w:val="012567F9"/>
    <w:rsid w:val="01601AEC"/>
    <w:rsid w:val="01741E02"/>
    <w:rsid w:val="0188476F"/>
    <w:rsid w:val="018C1643"/>
    <w:rsid w:val="01B01811"/>
    <w:rsid w:val="01F11CE8"/>
    <w:rsid w:val="020236B3"/>
    <w:rsid w:val="02092C94"/>
    <w:rsid w:val="020B1660"/>
    <w:rsid w:val="0227311A"/>
    <w:rsid w:val="022E0F2F"/>
    <w:rsid w:val="02551A35"/>
    <w:rsid w:val="026659F0"/>
    <w:rsid w:val="027A6842"/>
    <w:rsid w:val="028609CA"/>
    <w:rsid w:val="02AB7239"/>
    <w:rsid w:val="02F56341"/>
    <w:rsid w:val="02FE031F"/>
    <w:rsid w:val="03117439"/>
    <w:rsid w:val="033B0523"/>
    <w:rsid w:val="036335EF"/>
    <w:rsid w:val="03D46B7F"/>
    <w:rsid w:val="03E53BE7"/>
    <w:rsid w:val="042A5F6F"/>
    <w:rsid w:val="042D760A"/>
    <w:rsid w:val="04313A90"/>
    <w:rsid w:val="043F2E82"/>
    <w:rsid w:val="046B5540"/>
    <w:rsid w:val="047E20E1"/>
    <w:rsid w:val="04950D4E"/>
    <w:rsid w:val="04A61C69"/>
    <w:rsid w:val="04B9679C"/>
    <w:rsid w:val="056E0F68"/>
    <w:rsid w:val="057D5C33"/>
    <w:rsid w:val="059571D4"/>
    <w:rsid w:val="05A02336"/>
    <w:rsid w:val="05D050DD"/>
    <w:rsid w:val="05D95F53"/>
    <w:rsid w:val="05F23A3F"/>
    <w:rsid w:val="06061473"/>
    <w:rsid w:val="060942B3"/>
    <w:rsid w:val="06342AEE"/>
    <w:rsid w:val="063C06E8"/>
    <w:rsid w:val="067A3D60"/>
    <w:rsid w:val="06A66D03"/>
    <w:rsid w:val="06B344CF"/>
    <w:rsid w:val="06BD7718"/>
    <w:rsid w:val="06C304C9"/>
    <w:rsid w:val="07100621"/>
    <w:rsid w:val="07464042"/>
    <w:rsid w:val="076A342D"/>
    <w:rsid w:val="077961C6"/>
    <w:rsid w:val="07941499"/>
    <w:rsid w:val="07A95FE9"/>
    <w:rsid w:val="07C60A26"/>
    <w:rsid w:val="07DD5050"/>
    <w:rsid w:val="07EC58CF"/>
    <w:rsid w:val="0837194F"/>
    <w:rsid w:val="08624EAC"/>
    <w:rsid w:val="08674B68"/>
    <w:rsid w:val="087F559D"/>
    <w:rsid w:val="088022DF"/>
    <w:rsid w:val="089B03BE"/>
    <w:rsid w:val="08EC0C19"/>
    <w:rsid w:val="090048DC"/>
    <w:rsid w:val="09274C90"/>
    <w:rsid w:val="093B62AE"/>
    <w:rsid w:val="0942670F"/>
    <w:rsid w:val="096A1792"/>
    <w:rsid w:val="09856B38"/>
    <w:rsid w:val="098D1ABC"/>
    <w:rsid w:val="09972933"/>
    <w:rsid w:val="09CD6C7D"/>
    <w:rsid w:val="0A045853"/>
    <w:rsid w:val="0A4D571A"/>
    <w:rsid w:val="0A8C033C"/>
    <w:rsid w:val="0A9459C8"/>
    <w:rsid w:val="0AAE6186"/>
    <w:rsid w:val="0ABB064A"/>
    <w:rsid w:val="0ACE6829"/>
    <w:rsid w:val="0B3B4FF7"/>
    <w:rsid w:val="0B3F7726"/>
    <w:rsid w:val="0B4F0A23"/>
    <w:rsid w:val="0B680A2B"/>
    <w:rsid w:val="0B6B7FA0"/>
    <w:rsid w:val="0B6C0EA9"/>
    <w:rsid w:val="0B777B8E"/>
    <w:rsid w:val="0B8D0492"/>
    <w:rsid w:val="0BC14AC1"/>
    <w:rsid w:val="0BFE313E"/>
    <w:rsid w:val="0C1B311F"/>
    <w:rsid w:val="0C39340F"/>
    <w:rsid w:val="0C54570B"/>
    <w:rsid w:val="0C552B1E"/>
    <w:rsid w:val="0C5E0434"/>
    <w:rsid w:val="0C822574"/>
    <w:rsid w:val="0C825940"/>
    <w:rsid w:val="0C854A5B"/>
    <w:rsid w:val="0C987358"/>
    <w:rsid w:val="0C9C16AE"/>
    <w:rsid w:val="0CA337A5"/>
    <w:rsid w:val="0D162F0B"/>
    <w:rsid w:val="0D59502B"/>
    <w:rsid w:val="0D6D5D30"/>
    <w:rsid w:val="0D740CC4"/>
    <w:rsid w:val="0D8D7DB6"/>
    <w:rsid w:val="0DA40FD0"/>
    <w:rsid w:val="0DCB194E"/>
    <w:rsid w:val="0DD405FA"/>
    <w:rsid w:val="0DE34399"/>
    <w:rsid w:val="0DED16BC"/>
    <w:rsid w:val="0E247A73"/>
    <w:rsid w:val="0E603BCC"/>
    <w:rsid w:val="0E8B51F5"/>
    <w:rsid w:val="0F9D6A3F"/>
    <w:rsid w:val="0FC226D4"/>
    <w:rsid w:val="0FC53775"/>
    <w:rsid w:val="0FD06B9F"/>
    <w:rsid w:val="0FF00FEF"/>
    <w:rsid w:val="0FF860F6"/>
    <w:rsid w:val="10024CAE"/>
    <w:rsid w:val="10052FE5"/>
    <w:rsid w:val="10072006"/>
    <w:rsid w:val="1008664F"/>
    <w:rsid w:val="10134CDE"/>
    <w:rsid w:val="101E3DAE"/>
    <w:rsid w:val="10234A52"/>
    <w:rsid w:val="10294B79"/>
    <w:rsid w:val="10425D18"/>
    <w:rsid w:val="10427A92"/>
    <w:rsid w:val="107628C3"/>
    <w:rsid w:val="108A1BB6"/>
    <w:rsid w:val="109202F8"/>
    <w:rsid w:val="109A0672"/>
    <w:rsid w:val="109F37FA"/>
    <w:rsid w:val="10A52B08"/>
    <w:rsid w:val="10B97633"/>
    <w:rsid w:val="10CE2BB4"/>
    <w:rsid w:val="10DD29BD"/>
    <w:rsid w:val="11072A94"/>
    <w:rsid w:val="11733C86"/>
    <w:rsid w:val="118437DB"/>
    <w:rsid w:val="11986D6C"/>
    <w:rsid w:val="11A55E09"/>
    <w:rsid w:val="11BD19E8"/>
    <w:rsid w:val="11C8384E"/>
    <w:rsid w:val="12103BCB"/>
    <w:rsid w:val="12323B41"/>
    <w:rsid w:val="124B075F"/>
    <w:rsid w:val="12505D75"/>
    <w:rsid w:val="127E0B9A"/>
    <w:rsid w:val="12843C71"/>
    <w:rsid w:val="12916AD1"/>
    <w:rsid w:val="1295210B"/>
    <w:rsid w:val="12C46498"/>
    <w:rsid w:val="12CE7466"/>
    <w:rsid w:val="12F42BA4"/>
    <w:rsid w:val="136905A9"/>
    <w:rsid w:val="13693592"/>
    <w:rsid w:val="137B46DF"/>
    <w:rsid w:val="139E34BE"/>
    <w:rsid w:val="13AC4D22"/>
    <w:rsid w:val="13D35944"/>
    <w:rsid w:val="14335F9B"/>
    <w:rsid w:val="144156E6"/>
    <w:rsid w:val="14863CD0"/>
    <w:rsid w:val="14B7704E"/>
    <w:rsid w:val="14D87953"/>
    <w:rsid w:val="14EF69AD"/>
    <w:rsid w:val="150F43C4"/>
    <w:rsid w:val="15561B91"/>
    <w:rsid w:val="15750041"/>
    <w:rsid w:val="15DE18EA"/>
    <w:rsid w:val="15E213DA"/>
    <w:rsid w:val="160106D0"/>
    <w:rsid w:val="160C46A9"/>
    <w:rsid w:val="16261CAB"/>
    <w:rsid w:val="1642631D"/>
    <w:rsid w:val="16AA2A4F"/>
    <w:rsid w:val="16E511F7"/>
    <w:rsid w:val="17115C7A"/>
    <w:rsid w:val="17247C85"/>
    <w:rsid w:val="174014CD"/>
    <w:rsid w:val="17C52D61"/>
    <w:rsid w:val="17C90AA4"/>
    <w:rsid w:val="17F35B20"/>
    <w:rsid w:val="18003D99"/>
    <w:rsid w:val="180A4C18"/>
    <w:rsid w:val="181500B0"/>
    <w:rsid w:val="18201673"/>
    <w:rsid w:val="184F6E1C"/>
    <w:rsid w:val="18593CAC"/>
    <w:rsid w:val="18855E81"/>
    <w:rsid w:val="18925339"/>
    <w:rsid w:val="18BD60C6"/>
    <w:rsid w:val="18BF3CBF"/>
    <w:rsid w:val="18C30B8A"/>
    <w:rsid w:val="18FE477D"/>
    <w:rsid w:val="192A35B6"/>
    <w:rsid w:val="19353F17"/>
    <w:rsid w:val="19946E8F"/>
    <w:rsid w:val="19B37067"/>
    <w:rsid w:val="19D51E08"/>
    <w:rsid w:val="19D575A7"/>
    <w:rsid w:val="19D7515D"/>
    <w:rsid w:val="19DE1C4E"/>
    <w:rsid w:val="19E70394"/>
    <w:rsid w:val="19F17E3E"/>
    <w:rsid w:val="1A272131"/>
    <w:rsid w:val="1A384AE2"/>
    <w:rsid w:val="1A3A701D"/>
    <w:rsid w:val="1A4855FB"/>
    <w:rsid w:val="1A4F0BFE"/>
    <w:rsid w:val="1A7018C2"/>
    <w:rsid w:val="1A8037D4"/>
    <w:rsid w:val="1A815B98"/>
    <w:rsid w:val="1A817E2D"/>
    <w:rsid w:val="1AA41354"/>
    <w:rsid w:val="1AA45093"/>
    <w:rsid w:val="1ABB1487"/>
    <w:rsid w:val="1ADC29BA"/>
    <w:rsid w:val="1AF46837"/>
    <w:rsid w:val="1B10663E"/>
    <w:rsid w:val="1B254035"/>
    <w:rsid w:val="1B523561"/>
    <w:rsid w:val="1B634D6B"/>
    <w:rsid w:val="1B684130"/>
    <w:rsid w:val="1B807482"/>
    <w:rsid w:val="1BA67575"/>
    <w:rsid w:val="1BE95E1D"/>
    <w:rsid w:val="1BFB1448"/>
    <w:rsid w:val="1C003122"/>
    <w:rsid w:val="1C032DB0"/>
    <w:rsid w:val="1C1B7F83"/>
    <w:rsid w:val="1C1C778A"/>
    <w:rsid w:val="1C300448"/>
    <w:rsid w:val="1C3B1844"/>
    <w:rsid w:val="1C4D773C"/>
    <w:rsid w:val="1C817B9F"/>
    <w:rsid w:val="1C8514A9"/>
    <w:rsid w:val="1C8808D7"/>
    <w:rsid w:val="1C9156A8"/>
    <w:rsid w:val="1CA70C88"/>
    <w:rsid w:val="1CA91C81"/>
    <w:rsid w:val="1CAA2094"/>
    <w:rsid w:val="1CAA25C5"/>
    <w:rsid w:val="1CC041B6"/>
    <w:rsid w:val="1CD13F56"/>
    <w:rsid w:val="1CDD7A00"/>
    <w:rsid w:val="1CF814E3"/>
    <w:rsid w:val="1CFD5AF8"/>
    <w:rsid w:val="1D0A6375"/>
    <w:rsid w:val="1D437AC9"/>
    <w:rsid w:val="1D4D27F4"/>
    <w:rsid w:val="1DB570AC"/>
    <w:rsid w:val="1DE252DC"/>
    <w:rsid w:val="1DF7379C"/>
    <w:rsid w:val="1E055FD4"/>
    <w:rsid w:val="1E2D1660"/>
    <w:rsid w:val="1E311151"/>
    <w:rsid w:val="1E3D64C7"/>
    <w:rsid w:val="1E521D02"/>
    <w:rsid w:val="1E5E2FBE"/>
    <w:rsid w:val="1E9965FB"/>
    <w:rsid w:val="1EA25529"/>
    <w:rsid w:val="1ED507EB"/>
    <w:rsid w:val="1ED52C32"/>
    <w:rsid w:val="1EF464FD"/>
    <w:rsid w:val="1F044C17"/>
    <w:rsid w:val="1F26137E"/>
    <w:rsid w:val="1F5B645A"/>
    <w:rsid w:val="1F634666"/>
    <w:rsid w:val="1F657CC2"/>
    <w:rsid w:val="1F7B5606"/>
    <w:rsid w:val="1F7E03C6"/>
    <w:rsid w:val="1FAB0A8F"/>
    <w:rsid w:val="1FEC5FF4"/>
    <w:rsid w:val="200D1749"/>
    <w:rsid w:val="201D0E6A"/>
    <w:rsid w:val="204213F3"/>
    <w:rsid w:val="204845A3"/>
    <w:rsid w:val="20656D99"/>
    <w:rsid w:val="20A07F07"/>
    <w:rsid w:val="20B35783"/>
    <w:rsid w:val="20BD6CCC"/>
    <w:rsid w:val="20CD3DE5"/>
    <w:rsid w:val="20D67D8D"/>
    <w:rsid w:val="20E7274B"/>
    <w:rsid w:val="21113614"/>
    <w:rsid w:val="21141DD0"/>
    <w:rsid w:val="21232F76"/>
    <w:rsid w:val="213827F6"/>
    <w:rsid w:val="213D605E"/>
    <w:rsid w:val="213F197C"/>
    <w:rsid w:val="21556976"/>
    <w:rsid w:val="215A09BE"/>
    <w:rsid w:val="215D400B"/>
    <w:rsid w:val="218A61C7"/>
    <w:rsid w:val="219F2835"/>
    <w:rsid w:val="21AC7029"/>
    <w:rsid w:val="21B24356"/>
    <w:rsid w:val="21B5664C"/>
    <w:rsid w:val="21D87001"/>
    <w:rsid w:val="21E156F0"/>
    <w:rsid w:val="22031056"/>
    <w:rsid w:val="220628F4"/>
    <w:rsid w:val="22173D77"/>
    <w:rsid w:val="221D048F"/>
    <w:rsid w:val="222A213F"/>
    <w:rsid w:val="224D2D32"/>
    <w:rsid w:val="225B679C"/>
    <w:rsid w:val="22872D0C"/>
    <w:rsid w:val="22884D5E"/>
    <w:rsid w:val="22C2297D"/>
    <w:rsid w:val="22DA6692"/>
    <w:rsid w:val="22E520E8"/>
    <w:rsid w:val="22ED627F"/>
    <w:rsid w:val="2322375E"/>
    <w:rsid w:val="234C62E6"/>
    <w:rsid w:val="2355768F"/>
    <w:rsid w:val="237613B4"/>
    <w:rsid w:val="23B01AB4"/>
    <w:rsid w:val="23C6233B"/>
    <w:rsid w:val="23F46EA8"/>
    <w:rsid w:val="24150BCD"/>
    <w:rsid w:val="242C0AE4"/>
    <w:rsid w:val="242D636A"/>
    <w:rsid w:val="242D7EE7"/>
    <w:rsid w:val="24436A35"/>
    <w:rsid w:val="24524067"/>
    <w:rsid w:val="246851A0"/>
    <w:rsid w:val="248977DE"/>
    <w:rsid w:val="250F386E"/>
    <w:rsid w:val="25201F1F"/>
    <w:rsid w:val="252427C9"/>
    <w:rsid w:val="252A37E0"/>
    <w:rsid w:val="252A5F1D"/>
    <w:rsid w:val="254B004E"/>
    <w:rsid w:val="25567393"/>
    <w:rsid w:val="25757B75"/>
    <w:rsid w:val="25806830"/>
    <w:rsid w:val="25B14C9A"/>
    <w:rsid w:val="25D21C11"/>
    <w:rsid w:val="25E32775"/>
    <w:rsid w:val="25FF1B34"/>
    <w:rsid w:val="25FF74D9"/>
    <w:rsid w:val="26104FD4"/>
    <w:rsid w:val="2628108B"/>
    <w:rsid w:val="26312403"/>
    <w:rsid w:val="265C181B"/>
    <w:rsid w:val="26661DD1"/>
    <w:rsid w:val="267A11BB"/>
    <w:rsid w:val="26822BB9"/>
    <w:rsid w:val="268C3931"/>
    <w:rsid w:val="26E25B68"/>
    <w:rsid w:val="26E305B5"/>
    <w:rsid w:val="26FC34BE"/>
    <w:rsid w:val="274A3283"/>
    <w:rsid w:val="27517947"/>
    <w:rsid w:val="276B02F8"/>
    <w:rsid w:val="27D17500"/>
    <w:rsid w:val="27E24642"/>
    <w:rsid w:val="28156658"/>
    <w:rsid w:val="284E03BB"/>
    <w:rsid w:val="288B5BCE"/>
    <w:rsid w:val="28B0373F"/>
    <w:rsid w:val="28C037FD"/>
    <w:rsid w:val="28C375BA"/>
    <w:rsid w:val="28CB25E7"/>
    <w:rsid w:val="28D92B11"/>
    <w:rsid w:val="28E37C0A"/>
    <w:rsid w:val="28E463A1"/>
    <w:rsid w:val="28F1096A"/>
    <w:rsid w:val="29591416"/>
    <w:rsid w:val="29792E03"/>
    <w:rsid w:val="29910CF5"/>
    <w:rsid w:val="299D4850"/>
    <w:rsid w:val="29AA1009"/>
    <w:rsid w:val="29B26A43"/>
    <w:rsid w:val="29CF758A"/>
    <w:rsid w:val="29D12FC5"/>
    <w:rsid w:val="2A04596B"/>
    <w:rsid w:val="2A187669"/>
    <w:rsid w:val="2A353137"/>
    <w:rsid w:val="2A866380"/>
    <w:rsid w:val="2AC05D36"/>
    <w:rsid w:val="2AC41D26"/>
    <w:rsid w:val="2AD97372"/>
    <w:rsid w:val="2AF26ECB"/>
    <w:rsid w:val="2AFA07D0"/>
    <w:rsid w:val="2B512E32"/>
    <w:rsid w:val="2B587C61"/>
    <w:rsid w:val="2B8D1D4E"/>
    <w:rsid w:val="2BAA1358"/>
    <w:rsid w:val="2C033482"/>
    <w:rsid w:val="2C041C52"/>
    <w:rsid w:val="2C151749"/>
    <w:rsid w:val="2C155C0E"/>
    <w:rsid w:val="2C2D0312"/>
    <w:rsid w:val="2C4F3CF9"/>
    <w:rsid w:val="2C7D4709"/>
    <w:rsid w:val="2CAD5E46"/>
    <w:rsid w:val="2CB76CC5"/>
    <w:rsid w:val="2CBD4232"/>
    <w:rsid w:val="2CD00EDA"/>
    <w:rsid w:val="2CD702A4"/>
    <w:rsid w:val="2CDD428D"/>
    <w:rsid w:val="2CF9382E"/>
    <w:rsid w:val="2D012636"/>
    <w:rsid w:val="2D0B6F6C"/>
    <w:rsid w:val="2D653480"/>
    <w:rsid w:val="2D71156A"/>
    <w:rsid w:val="2DA60C5B"/>
    <w:rsid w:val="2DAF686F"/>
    <w:rsid w:val="2E121C39"/>
    <w:rsid w:val="2E4C0CE1"/>
    <w:rsid w:val="2E740EAE"/>
    <w:rsid w:val="2E840D8B"/>
    <w:rsid w:val="2E9758ED"/>
    <w:rsid w:val="2EE2477F"/>
    <w:rsid w:val="2F2F6310"/>
    <w:rsid w:val="2F475801"/>
    <w:rsid w:val="2FA90377"/>
    <w:rsid w:val="2FC02334"/>
    <w:rsid w:val="2FDC74FE"/>
    <w:rsid w:val="3002253E"/>
    <w:rsid w:val="30122D85"/>
    <w:rsid w:val="30270A55"/>
    <w:rsid w:val="3045283A"/>
    <w:rsid w:val="30A47560"/>
    <w:rsid w:val="30AE7665"/>
    <w:rsid w:val="30E823C1"/>
    <w:rsid w:val="30F878AC"/>
    <w:rsid w:val="30FF19C2"/>
    <w:rsid w:val="312838BC"/>
    <w:rsid w:val="31296B35"/>
    <w:rsid w:val="313F372D"/>
    <w:rsid w:val="31631AC9"/>
    <w:rsid w:val="316561D2"/>
    <w:rsid w:val="316A20D2"/>
    <w:rsid w:val="317909ED"/>
    <w:rsid w:val="318D55BB"/>
    <w:rsid w:val="31A928FD"/>
    <w:rsid w:val="31C832CF"/>
    <w:rsid w:val="31E76F5E"/>
    <w:rsid w:val="320D7324"/>
    <w:rsid w:val="324B1B10"/>
    <w:rsid w:val="325471EE"/>
    <w:rsid w:val="32A01FA9"/>
    <w:rsid w:val="333534F8"/>
    <w:rsid w:val="33F6448E"/>
    <w:rsid w:val="33FF032A"/>
    <w:rsid w:val="340053F5"/>
    <w:rsid w:val="340A0022"/>
    <w:rsid w:val="342F0BF2"/>
    <w:rsid w:val="3433027D"/>
    <w:rsid w:val="343E1A7A"/>
    <w:rsid w:val="343E792D"/>
    <w:rsid w:val="343E7C06"/>
    <w:rsid w:val="34A1580E"/>
    <w:rsid w:val="34B0416A"/>
    <w:rsid w:val="34B04469"/>
    <w:rsid w:val="350817D7"/>
    <w:rsid w:val="352A4B19"/>
    <w:rsid w:val="355B1E07"/>
    <w:rsid w:val="355C3E17"/>
    <w:rsid w:val="35972671"/>
    <w:rsid w:val="359C448B"/>
    <w:rsid w:val="35BB2076"/>
    <w:rsid w:val="360417F0"/>
    <w:rsid w:val="3638360C"/>
    <w:rsid w:val="36523846"/>
    <w:rsid w:val="3656754F"/>
    <w:rsid w:val="365B7C60"/>
    <w:rsid w:val="3670428D"/>
    <w:rsid w:val="36F11025"/>
    <w:rsid w:val="36FC7CEA"/>
    <w:rsid w:val="36FF7BE6"/>
    <w:rsid w:val="3700798D"/>
    <w:rsid w:val="37163982"/>
    <w:rsid w:val="372C3074"/>
    <w:rsid w:val="374A201C"/>
    <w:rsid w:val="37E45255"/>
    <w:rsid w:val="37FD371C"/>
    <w:rsid w:val="380C1C1D"/>
    <w:rsid w:val="380F08D0"/>
    <w:rsid w:val="381C0324"/>
    <w:rsid w:val="38390ED6"/>
    <w:rsid w:val="38453E1F"/>
    <w:rsid w:val="3857049E"/>
    <w:rsid w:val="3882287D"/>
    <w:rsid w:val="38961E84"/>
    <w:rsid w:val="38C57251"/>
    <w:rsid w:val="38E32FF2"/>
    <w:rsid w:val="38E6164F"/>
    <w:rsid w:val="38ED5EE9"/>
    <w:rsid w:val="38F30B62"/>
    <w:rsid w:val="39021FC8"/>
    <w:rsid w:val="390239BE"/>
    <w:rsid w:val="394538AA"/>
    <w:rsid w:val="39713EE9"/>
    <w:rsid w:val="39A5645C"/>
    <w:rsid w:val="39D709A6"/>
    <w:rsid w:val="39E47DCE"/>
    <w:rsid w:val="3A021548"/>
    <w:rsid w:val="3A1A25A0"/>
    <w:rsid w:val="3A364666"/>
    <w:rsid w:val="3A762238"/>
    <w:rsid w:val="3AC1277C"/>
    <w:rsid w:val="3ACA39B2"/>
    <w:rsid w:val="3AD60861"/>
    <w:rsid w:val="3AD96098"/>
    <w:rsid w:val="3AE30F54"/>
    <w:rsid w:val="3AE34701"/>
    <w:rsid w:val="3AED0668"/>
    <w:rsid w:val="3AFB7456"/>
    <w:rsid w:val="3B382A77"/>
    <w:rsid w:val="3B3C110C"/>
    <w:rsid w:val="3B6C3370"/>
    <w:rsid w:val="3B70239C"/>
    <w:rsid w:val="3B72794D"/>
    <w:rsid w:val="3B732951"/>
    <w:rsid w:val="3B8406BA"/>
    <w:rsid w:val="3B926F37"/>
    <w:rsid w:val="3B9E79F7"/>
    <w:rsid w:val="3BD76347"/>
    <w:rsid w:val="3BFA097C"/>
    <w:rsid w:val="3BFE4544"/>
    <w:rsid w:val="3C253C2B"/>
    <w:rsid w:val="3C410359"/>
    <w:rsid w:val="3C4822BA"/>
    <w:rsid w:val="3C7F6D7C"/>
    <w:rsid w:val="3C8628E4"/>
    <w:rsid w:val="3C903F41"/>
    <w:rsid w:val="3CAE581F"/>
    <w:rsid w:val="3CBC3E83"/>
    <w:rsid w:val="3CBF1C13"/>
    <w:rsid w:val="3CD403CC"/>
    <w:rsid w:val="3CE90471"/>
    <w:rsid w:val="3CFA5349"/>
    <w:rsid w:val="3D17214E"/>
    <w:rsid w:val="3D1F19BE"/>
    <w:rsid w:val="3D224FE1"/>
    <w:rsid w:val="3D3305EA"/>
    <w:rsid w:val="3D65155D"/>
    <w:rsid w:val="3DE418E4"/>
    <w:rsid w:val="3E265A58"/>
    <w:rsid w:val="3E584838"/>
    <w:rsid w:val="3E6C2075"/>
    <w:rsid w:val="3E811382"/>
    <w:rsid w:val="3EAD17EA"/>
    <w:rsid w:val="3EB254D0"/>
    <w:rsid w:val="3EE25EC2"/>
    <w:rsid w:val="3F122139"/>
    <w:rsid w:val="3F285154"/>
    <w:rsid w:val="3F551D3A"/>
    <w:rsid w:val="3F5B18C2"/>
    <w:rsid w:val="3FC7326B"/>
    <w:rsid w:val="3FD140EA"/>
    <w:rsid w:val="3FD1784D"/>
    <w:rsid w:val="3FE93CCF"/>
    <w:rsid w:val="4015723A"/>
    <w:rsid w:val="402D7572"/>
    <w:rsid w:val="40386BBE"/>
    <w:rsid w:val="40A32784"/>
    <w:rsid w:val="40AB0497"/>
    <w:rsid w:val="40CA36CD"/>
    <w:rsid w:val="40F16B44"/>
    <w:rsid w:val="41270BBB"/>
    <w:rsid w:val="41287D97"/>
    <w:rsid w:val="412C0D26"/>
    <w:rsid w:val="415E32FF"/>
    <w:rsid w:val="417F52D9"/>
    <w:rsid w:val="41B10ED3"/>
    <w:rsid w:val="41C71C09"/>
    <w:rsid w:val="41D140CE"/>
    <w:rsid w:val="41D1660A"/>
    <w:rsid w:val="41E7697A"/>
    <w:rsid w:val="41EF130C"/>
    <w:rsid w:val="424C4161"/>
    <w:rsid w:val="428471F1"/>
    <w:rsid w:val="42937435"/>
    <w:rsid w:val="42AE1570"/>
    <w:rsid w:val="42E63A08"/>
    <w:rsid w:val="42FE68DD"/>
    <w:rsid w:val="43271605"/>
    <w:rsid w:val="433F7A9C"/>
    <w:rsid w:val="434B5F61"/>
    <w:rsid w:val="435E2204"/>
    <w:rsid w:val="437B79EF"/>
    <w:rsid w:val="439555A8"/>
    <w:rsid w:val="43AF38A6"/>
    <w:rsid w:val="43C041A1"/>
    <w:rsid w:val="43CD0653"/>
    <w:rsid w:val="43EA3A0C"/>
    <w:rsid w:val="43F70D4C"/>
    <w:rsid w:val="43FF63D0"/>
    <w:rsid w:val="44240C8C"/>
    <w:rsid w:val="442C7D4A"/>
    <w:rsid w:val="44334981"/>
    <w:rsid w:val="444B09F6"/>
    <w:rsid w:val="4454677C"/>
    <w:rsid w:val="446577F3"/>
    <w:rsid w:val="449075C1"/>
    <w:rsid w:val="44BC1B92"/>
    <w:rsid w:val="44C85ABB"/>
    <w:rsid w:val="44D53D34"/>
    <w:rsid w:val="44FC6060"/>
    <w:rsid w:val="44FE55CD"/>
    <w:rsid w:val="45030409"/>
    <w:rsid w:val="4530540F"/>
    <w:rsid w:val="453170D2"/>
    <w:rsid w:val="4536707F"/>
    <w:rsid w:val="453E0253"/>
    <w:rsid w:val="45525299"/>
    <w:rsid w:val="45583F4E"/>
    <w:rsid w:val="456D5FE0"/>
    <w:rsid w:val="457E4493"/>
    <w:rsid w:val="45813EBC"/>
    <w:rsid w:val="459E05CA"/>
    <w:rsid w:val="45B43CF7"/>
    <w:rsid w:val="45BD6325"/>
    <w:rsid w:val="45F160E6"/>
    <w:rsid w:val="462C02CC"/>
    <w:rsid w:val="463E05FF"/>
    <w:rsid w:val="46622E47"/>
    <w:rsid w:val="46644F72"/>
    <w:rsid w:val="468C48C7"/>
    <w:rsid w:val="469320F9"/>
    <w:rsid w:val="46A27DEC"/>
    <w:rsid w:val="46AC4F69"/>
    <w:rsid w:val="46AE2C29"/>
    <w:rsid w:val="46AF42AF"/>
    <w:rsid w:val="46C0255F"/>
    <w:rsid w:val="46DD5122"/>
    <w:rsid w:val="46E464B1"/>
    <w:rsid w:val="4711096D"/>
    <w:rsid w:val="473D08D3"/>
    <w:rsid w:val="476E2106"/>
    <w:rsid w:val="477F6BB0"/>
    <w:rsid w:val="47A16257"/>
    <w:rsid w:val="47C10349"/>
    <w:rsid w:val="47D209FF"/>
    <w:rsid w:val="481132D5"/>
    <w:rsid w:val="48204CBF"/>
    <w:rsid w:val="48313978"/>
    <w:rsid w:val="48381DB1"/>
    <w:rsid w:val="4856705C"/>
    <w:rsid w:val="485A7421"/>
    <w:rsid w:val="485D0FC4"/>
    <w:rsid w:val="48723638"/>
    <w:rsid w:val="488839BB"/>
    <w:rsid w:val="488876B1"/>
    <w:rsid w:val="48957AEA"/>
    <w:rsid w:val="490F2BEF"/>
    <w:rsid w:val="49993BC6"/>
    <w:rsid w:val="4A007AA5"/>
    <w:rsid w:val="4A3E6524"/>
    <w:rsid w:val="4AC701C8"/>
    <w:rsid w:val="4AC91857"/>
    <w:rsid w:val="4B1D3675"/>
    <w:rsid w:val="4B397CBF"/>
    <w:rsid w:val="4B481704"/>
    <w:rsid w:val="4B531C2C"/>
    <w:rsid w:val="4B726781"/>
    <w:rsid w:val="4B8E2E8F"/>
    <w:rsid w:val="4BA315C7"/>
    <w:rsid w:val="4BCC2216"/>
    <w:rsid w:val="4BD50ABE"/>
    <w:rsid w:val="4C237A7B"/>
    <w:rsid w:val="4C4F0870"/>
    <w:rsid w:val="4C6F50FB"/>
    <w:rsid w:val="4C893E13"/>
    <w:rsid w:val="4D213500"/>
    <w:rsid w:val="4D2A4446"/>
    <w:rsid w:val="4D3D148D"/>
    <w:rsid w:val="4D4A301A"/>
    <w:rsid w:val="4D4C3002"/>
    <w:rsid w:val="4D7E2099"/>
    <w:rsid w:val="4D981179"/>
    <w:rsid w:val="4DB5138F"/>
    <w:rsid w:val="4DBA61BD"/>
    <w:rsid w:val="4DDF68D3"/>
    <w:rsid w:val="4DE47E39"/>
    <w:rsid w:val="4E213099"/>
    <w:rsid w:val="4E22135F"/>
    <w:rsid w:val="4E303D1C"/>
    <w:rsid w:val="4E593C28"/>
    <w:rsid w:val="4E5B5471"/>
    <w:rsid w:val="4E820A97"/>
    <w:rsid w:val="4ECC43FA"/>
    <w:rsid w:val="4ED4505D"/>
    <w:rsid w:val="4ED72CA0"/>
    <w:rsid w:val="4F3B6023"/>
    <w:rsid w:val="4FB120D3"/>
    <w:rsid w:val="4FF9121F"/>
    <w:rsid w:val="4FFD4C4D"/>
    <w:rsid w:val="50126914"/>
    <w:rsid w:val="503C110B"/>
    <w:rsid w:val="5049071F"/>
    <w:rsid w:val="508D2EE1"/>
    <w:rsid w:val="509A22FC"/>
    <w:rsid w:val="509F2894"/>
    <w:rsid w:val="50AA53F5"/>
    <w:rsid w:val="50C6219A"/>
    <w:rsid w:val="50D82497"/>
    <w:rsid w:val="51035AED"/>
    <w:rsid w:val="51330C53"/>
    <w:rsid w:val="515D678A"/>
    <w:rsid w:val="517B5C63"/>
    <w:rsid w:val="518C1CF3"/>
    <w:rsid w:val="51CC1D47"/>
    <w:rsid w:val="51D535C6"/>
    <w:rsid w:val="52362B24"/>
    <w:rsid w:val="527252B8"/>
    <w:rsid w:val="528022E8"/>
    <w:rsid w:val="52917C4F"/>
    <w:rsid w:val="529214B7"/>
    <w:rsid w:val="529E5181"/>
    <w:rsid w:val="52AB2578"/>
    <w:rsid w:val="52B21B59"/>
    <w:rsid w:val="52B860CE"/>
    <w:rsid w:val="5320592E"/>
    <w:rsid w:val="532637DC"/>
    <w:rsid w:val="53555669"/>
    <w:rsid w:val="536D783D"/>
    <w:rsid w:val="53B07A91"/>
    <w:rsid w:val="53BA0A12"/>
    <w:rsid w:val="53C67848"/>
    <w:rsid w:val="53E8215F"/>
    <w:rsid w:val="53E9418D"/>
    <w:rsid w:val="53F21325"/>
    <w:rsid w:val="54202B73"/>
    <w:rsid w:val="542317A9"/>
    <w:rsid w:val="5435782F"/>
    <w:rsid w:val="54843C31"/>
    <w:rsid w:val="548B5088"/>
    <w:rsid w:val="54981CFE"/>
    <w:rsid w:val="549E2395"/>
    <w:rsid w:val="54CF51E4"/>
    <w:rsid w:val="54D35822"/>
    <w:rsid w:val="552A3C9B"/>
    <w:rsid w:val="5535720F"/>
    <w:rsid w:val="555667CB"/>
    <w:rsid w:val="556953E3"/>
    <w:rsid w:val="556F7006"/>
    <w:rsid w:val="55761AB5"/>
    <w:rsid w:val="55B065FA"/>
    <w:rsid w:val="55C96196"/>
    <w:rsid w:val="55D02A22"/>
    <w:rsid w:val="55E0078B"/>
    <w:rsid w:val="55F63EFE"/>
    <w:rsid w:val="56031787"/>
    <w:rsid w:val="56073F6A"/>
    <w:rsid w:val="563C1E65"/>
    <w:rsid w:val="563F4103"/>
    <w:rsid w:val="564F04BF"/>
    <w:rsid w:val="564F32FC"/>
    <w:rsid w:val="56690780"/>
    <w:rsid w:val="56797E59"/>
    <w:rsid w:val="56877DB6"/>
    <w:rsid w:val="56955A19"/>
    <w:rsid w:val="56AE36A1"/>
    <w:rsid w:val="56B20166"/>
    <w:rsid w:val="56C87B11"/>
    <w:rsid w:val="56E02620"/>
    <w:rsid w:val="56F97D56"/>
    <w:rsid w:val="5706139C"/>
    <w:rsid w:val="570B7A8A"/>
    <w:rsid w:val="57103609"/>
    <w:rsid w:val="571050A0"/>
    <w:rsid w:val="57174680"/>
    <w:rsid w:val="571A351B"/>
    <w:rsid w:val="573D4751"/>
    <w:rsid w:val="5744628F"/>
    <w:rsid w:val="57CB57BA"/>
    <w:rsid w:val="57DB2E53"/>
    <w:rsid w:val="57FE2E9B"/>
    <w:rsid w:val="584741EF"/>
    <w:rsid w:val="589B7DD1"/>
    <w:rsid w:val="589D67C8"/>
    <w:rsid w:val="58B3028F"/>
    <w:rsid w:val="58B60A25"/>
    <w:rsid w:val="58C12AF6"/>
    <w:rsid w:val="58D00094"/>
    <w:rsid w:val="59210B26"/>
    <w:rsid w:val="592A560C"/>
    <w:rsid w:val="59357E4C"/>
    <w:rsid w:val="59870EAC"/>
    <w:rsid w:val="59922002"/>
    <w:rsid w:val="59926240"/>
    <w:rsid w:val="59A57B22"/>
    <w:rsid w:val="59E96037"/>
    <w:rsid w:val="59FB5B93"/>
    <w:rsid w:val="5A0B043B"/>
    <w:rsid w:val="5A2F2D15"/>
    <w:rsid w:val="5A4F5262"/>
    <w:rsid w:val="5A597E84"/>
    <w:rsid w:val="5A6279C1"/>
    <w:rsid w:val="5A6932D7"/>
    <w:rsid w:val="5A69439C"/>
    <w:rsid w:val="5A797A87"/>
    <w:rsid w:val="5A802498"/>
    <w:rsid w:val="5A994376"/>
    <w:rsid w:val="5AFD3928"/>
    <w:rsid w:val="5B046CCA"/>
    <w:rsid w:val="5B1332CB"/>
    <w:rsid w:val="5B3529C3"/>
    <w:rsid w:val="5B70610D"/>
    <w:rsid w:val="5B794102"/>
    <w:rsid w:val="5BC10DCE"/>
    <w:rsid w:val="5BCA607F"/>
    <w:rsid w:val="5BD40D92"/>
    <w:rsid w:val="5BE12624"/>
    <w:rsid w:val="5BE26D61"/>
    <w:rsid w:val="5BEF091F"/>
    <w:rsid w:val="5BF163EE"/>
    <w:rsid w:val="5C165F94"/>
    <w:rsid w:val="5C2550F8"/>
    <w:rsid w:val="5C294F5E"/>
    <w:rsid w:val="5C310DA2"/>
    <w:rsid w:val="5C4452BD"/>
    <w:rsid w:val="5C4F7FD7"/>
    <w:rsid w:val="5C594620"/>
    <w:rsid w:val="5C5A1297"/>
    <w:rsid w:val="5C607E15"/>
    <w:rsid w:val="5CA57B97"/>
    <w:rsid w:val="5CAA2ABD"/>
    <w:rsid w:val="5CB63FF4"/>
    <w:rsid w:val="5CDA5F34"/>
    <w:rsid w:val="5D0D455B"/>
    <w:rsid w:val="5D27780A"/>
    <w:rsid w:val="5D373A98"/>
    <w:rsid w:val="5D534035"/>
    <w:rsid w:val="5DB807BF"/>
    <w:rsid w:val="5DC71F59"/>
    <w:rsid w:val="5DCE3495"/>
    <w:rsid w:val="5DD13C72"/>
    <w:rsid w:val="5DFA34A7"/>
    <w:rsid w:val="5E09199A"/>
    <w:rsid w:val="5E186399"/>
    <w:rsid w:val="5E2F68BE"/>
    <w:rsid w:val="5E706D2F"/>
    <w:rsid w:val="5E734DF0"/>
    <w:rsid w:val="5E7F4FE5"/>
    <w:rsid w:val="5EB31496"/>
    <w:rsid w:val="5EBC2F02"/>
    <w:rsid w:val="5EC761D0"/>
    <w:rsid w:val="5EE40D51"/>
    <w:rsid w:val="5EFE2FC5"/>
    <w:rsid w:val="5F160568"/>
    <w:rsid w:val="5F2E069B"/>
    <w:rsid w:val="5F4A459D"/>
    <w:rsid w:val="5F9A5E4E"/>
    <w:rsid w:val="5FB30C74"/>
    <w:rsid w:val="5FDB01FD"/>
    <w:rsid w:val="60070D48"/>
    <w:rsid w:val="60187442"/>
    <w:rsid w:val="603F0DA5"/>
    <w:rsid w:val="6049349E"/>
    <w:rsid w:val="60894EB2"/>
    <w:rsid w:val="60966616"/>
    <w:rsid w:val="609E371C"/>
    <w:rsid w:val="60A93DE2"/>
    <w:rsid w:val="60BC5BBE"/>
    <w:rsid w:val="60BD0047"/>
    <w:rsid w:val="60BE4F32"/>
    <w:rsid w:val="60EA6B5E"/>
    <w:rsid w:val="60FA4DF7"/>
    <w:rsid w:val="610D49C4"/>
    <w:rsid w:val="6126523B"/>
    <w:rsid w:val="61361E1F"/>
    <w:rsid w:val="614918DA"/>
    <w:rsid w:val="614E6E0B"/>
    <w:rsid w:val="61532759"/>
    <w:rsid w:val="61541525"/>
    <w:rsid w:val="618242A7"/>
    <w:rsid w:val="618C3D71"/>
    <w:rsid w:val="61960A21"/>
    <w:rsid w:val="61E64A77"/>
    <w:rsid w:val="61E97F8F"/>
    <w:rsid w:val="620E2DA9"/>
    <w:rsid w:val="62163E0A"/>
    <w:rsid w:val="621653BA"/>
    <w:rsid w:val="62246637"/>
    <w:rsid w:val="628C5F8F"/>
    <w:rsid w:val="629047DA"/>
    <w:rsid w:val="62A3330D"/>
    <w:rsid w:val="62AF7E63"/>
    <w:rsid w:val="62B061DF"/>
    <w:rsid w:val="62B92A90"/>
    <w:rsid w:val="62F73708"/>
    <w:rsid w:val="630F32C0"/>
    <w:rsid w:val="63236EDB"/>
    <w:rsid w:val="632B4D14"/>
    <w:rsid w:val="6333639E"/>
    <w:rsid w:val="637B038F"/>
    <w:rsid w:val="63B70D7D"/>
    <w:rsid w:val="63B8553A"/>
    <w:rsid w:val="63BE68E6"/>
    <w:rsid w:val="63CA1652"/>
    <w:rsid w:val="63EB2A5E"/>
    <w:rsid w:val="63FD3655"/>
    <w:rsid w:val="64031ABB"/>
    <w:rsid w:val="641E1BAF"/>
    <w:rsid w:val="64414AEB"/>
    <w:rsid w:val="64526CF8"/>
    <w:rsid w:val="64572560"/>
    <w:rsid w:val="645E5AAF"/>
    <w:rsid w:val="64790538"/>
    <w:rsid w:val="647A26D4"/>
    <w:rsid w:val="647E1768"/>
    <w:rsid w:val="64833CD4"/>
    <w:rsid w:val="649614B9"/>
    <w:rsid w:val="64BA3EE0"/>
    <w:rsid w:val="64C638A7"/>
    <w:rsid w:val="64D7404B"/>
    <w:rsid w:val="64F15697"/>
    <w:rsid w:val="65131CB2"/>
    <w:rsid w:val="651929C9"/>
    <w:rsid w:val="65600F24"/>
    <w:rsid w:val="6567455C"/>
    <w:rsid w:val="65773CC3"/>
    <w:rsid w:val="65B0017A"/>
    <w:rsid w:val="65B763A9"/>
    <w:rsid w:val="65C07C91"/>
    <w:rsid w:val="665925BF"/>
    <w:rsid w:val="66833198"/>
    <w:rsid w:val="6740552D"/>
    <w:rsid w:val="67A45ABC"/>
    <w:rsid w:val="67FA4408"/>
    <w:rsid w:val="67FE7AC1"/>
    <w:rsid w:val="680D772D"/>
    <w:rsid w:val="68120C78"/>
    <w:rsid w:val="683B01E3"/>
    <w:rsid w:val="688D0422"/>
    <w:rsid w:val="688F59F4"/>
    <w:rsid w:val="68A62F39"/>
    <w:rsid w:val="68C161FA"/>
    <w:rsid w:val="68CD4B9F"/>
    <w:rsid w:val="68EB5E85"/>
    <w:rsid w:val="691F74C9"/>
    <w:rsid w:val="692F31BE"/>
    <w:rsid w:val="693A6430"/>
    <w:rsid w:val="693C4A1E"/>
    <w:rsid w:val="697F2024"/>
    <w:rsid w:val="69E60AF4"/>
    <w:rsid w:val="6A1278DC"/>
    <w:rsid w:val="6A834C30"/>
    <w:rsid w:val="6A8C54E9"/>
    <w:rsid w:val="6A93315D"/>
    <w:rsid w:val="6AA052E7"/>
    <w:rsid w:val="6ADE7537"/>
    <w:rsid w:val="6AEF13FE"/>
    <w:rsid w:val="6AEF4B6B"/>
    <w:rsid w:val="6B347B7F"/>
    <w:rsid w:val="6B39476E"/>
    <w:rsid w:val="6B541E97"/>
    <w:rsid w:val="6B5B46E4"/>
    <w:rsid w:val="6B83438F"/>
    <w:rsid w:val="6B8B667B"/>
    <w:rsid w:val="6B9A3B52"/>
    <w:rsid w:val="6B9C3A98"/>
    <w:rsid w:val="6BB87D88"/>
    <w:rsid w:val="6BCF4AEF"/>
    <w:rsid w:val="6BD9156F"/>
    <w:rsid w:val="6C0B55A7"/>
    <w:rsid w:val="6C0C12F0"/>
    <w:rsid w:val="6C2063E9"/>
    <w:rsid w:val="6CA06E82"/>
    <w:rsid w:val="6CB26E21"/>
    <w:rsid w:val="6CB5300F"/>
    <w:rsid w:val="6CC62121"/>
    <w:rsid w:val="6CE033FF"/>
    <w:rsid w:val="6D033285"/>
    <w:rsid w:val="6D072794"/>
    <w:rsid w:val="6D164347"/>
    <w:rsid w:val="6D3836D1"/>
    <w:rsid w:val="6D3F3B91"/>
    <w:rsid w:val="6D4978A9"/>
    <w:rsid w:val="6D9B121C"/>
    <w:rsid w:val="6DB3219D"/>
    <w:rsid w:val="6DB4457F"/>
    <w:rsid w:val="6DCC6121"/>
    <w:rsid w:val="6DED449E"/>
    <w:rsid w:val="6DEE5CE3"/>
    <w:rsid w:val="6DFB6918"/>
    <w:rsid w:val="6E384B2F"/>
    <w:rsid w:val="6E59443B"/>
    <w:rsid w:val="6E6E0BD2"/>
    <w:rsid w:val="6ECB49A2"/>
    <w:rsid w:val="6EF015E7"/>
    <w:rsid w:val="6F593630"/>
    <w:rsid w:val="6F712728"/>
    <w:rsid w:val="6FA2326B"/>
    <w:rsid w:val="6FAF4FFE"/>
    <w:rsid w:val="6FB26793"/>
    <w:rsid w:val="700A492A"/>
    <w:rsid w:val="70521DAD"/>
    <w:rsid w:val="70C66AA3"/>
    <w:rsid w:val="70C90342"/>
    <w:rsid w:val="70E21403"/>
    <w:rsid w:val="71066EA0"/>
    <w:rsid w:val="713B4325"/>
    <w:rsid w:val="713E0EC0"/>
    <w:rsid w:val="715C7408"/>
    <w:rsid w:val="717C082D"/>
    <w:rsid w:val="718421ED"/>
    <w:rsid w:val="71950224"/>
    <w:rsid w:val="719A21C9"/>
    <w:rsid w:val="71BF4E57"/>
    <w:rsid w:val="71D7319F"/>
    <w:rsid w:val="71F50096"/>
    <w:rsid w:val="72035AD5"/>
    <w:rsid w:val="721B2E1F"/>
    <w:rsid w:val="722C343E"/>
    <w:rsid w:val="72630704"/>
    <w:rsid w:val="727C14DD"/>
    <w:rsid w:val="72AB72EF"/>
    <w:rsid w:val="72BE58D1"/>
    <w:rsid w:val="72C55BC5"/>
    <w:rsid w:val="72C86F24"/>
    <w:rsid w:val="73012015"/>
    <w:rsid w:val="731C6E4F"/>
    <w:rsid w:val="73453A50"/>
    <w:rsid w:val="73467A28"/>
    <w:rsid w:val="737C5738"/>
    <w:rsid w:val="73994939"/>
    <w:rsid w:val="73B25029"/>
    <w:rsid w:val="73C20600"/>
    <w:rsid w:val="73C85910"/>
    <w:rsid w:val="73F227B6"/>
    <w:rsid w:val="73F43927"/>
    <w:rsid w:val="74055B35"/>
    <w:rsid w:val="74296607"/>
    <w:rsid w:val="74527DAE"/>
    <w:rsid w:val="746F7452"/>
    <w:rsid w:val="747B1953"/>
    <w:rsid w:val="74850CB4"/>
    <w:rsid w:val="748C1DB2"/>
    <w:rsid w:val="74C44E0D"/>
    <w:rsid w:val="74E354A1"/>
    <w:rsid w:val="750E7271"/>
    <w:rsid w:val="75146881"/>
    <w:rsid w:val="752A13A2"/>
    <w:rsid w:val="752E13E8"/>
    <w:rsid w:val="753C635D"/>
    <w:rsid w:val="75507C16"/>
    <w:rsid w:val="75676B94"/>
    <w:rsid w:val="75CF2400"/>
    <w:rsid w:val="75D32BE9"/>
    <w:rsid w:val="75E120D4"/>
    <w:rsid w:val="75F34718"/>
    <w:rsid w:val="75F40A2B"/>
    <w:rsid w:val="7614205F"/>
    <w:rsid w:val="762F594E"/>
    <w:rsid w:val="763115A2"/>
    <w:rsid w:val="763816C7"/>
    <w:rsid w:val="76487AE2"/>
    <w:rsid w:val="764E3AB6"/>
    <w:rsid w:val="7659456C"/>
    <w:rsid w:val="76C30389"/>
    <w:rsid w:val="76DF696C"/>
    <w:rsid w:val="76E62F78"/>
    <w:rsid w:val="770E390F"/>
    <w:rsid w:val="77224A58"/>
    <w:rsid w:val="77291B3A"/>
    <w:rsid w:val="77432920"/>
    <w:rsid w:val="774B1AB0"/>
    <w:rsid w:val="776112D4"/>
    <w:rsid w:val="77737259"/>
    <w:rsid w:val="77843214"/>
    <w:rsid w:val="77B75398"/>
    <w:rsid w:val="77C70DDA"/>
    <w:rsid w:val="77F60508"/>
    <w:rsid w:val="781345FA"/>
    <w:rsid w:val="78270406"/>
    <w:rsid w:val="782C28DA"/>
    <w:rsid w:val="783627B8"/>
    <w:rsid w:val="78522A14"/>
    <w:rsid w:val="78805E29"/>
    <w:rsid w:val="788B12D1"/>
    <w:rsid w:val="797F1EE5"/>
    <w:rsid w:val="79B50E19"/>
    <w:rsid w:val="79E82B60"/>
    <w:rsid w:val="79EE6251"/>
    <w:rsid w:val="7A0A41DD"/>
    <w:rsid w:val="7A5F5873"/>
    <w:rsid w:val="7AB95102"/>
    <w:rsid w:val="7AD74FC0"/>
    <w:rsid w:val="7AFD4F94"/>
    <w:rsid w:val="7B4E4290"/>
    <w:rsid w:val="7B4E4F55"/>
    <w:rsid w:val="7B51102C"/>
    <w:rsid w:val="7B6E47E9"/>
    <w:rsid w:val="7BA02ED0"/>
    <w:rsid w:val="7BCF6ABC"/>
    <w:rsid w:val="7BF5248E"/>
    <w:rsid w:val="7C197ED4"/>
    <w:rsid w:val="7C266648"/>
    <w:rsid w:val="7C2E6800"/>
    <w:rsid w:val="7C305719"/>
    <w:rsid w:val="7C765821"/>
    <w:rsid w:val="7C7E7E7C"/>
    <w:rsid w:val="7C8021FC"/>
    <w:rsid w:val="7C835849"/>
    <w:rsid w:val="7C8F2D0B"/>
    <w:rsid w:val="7CA115FA"/>
    <w:rsid w:val="7CA96253"/>
    <w:rsid w:val="7CF7694F"/>
    <w:rsid w:val="7D096B1B"/>
    <w:rsid w:val="7D142945"/>
    <w:rsid w:val="7D1E243E"/>
    <w:rsid w:val="7D5E758B"/>
    <w:rsid w:val="7D80622C"/>
    <w:rsid w:val="7DC91981"/>
    <w:rsid w:val="7DD56578"/>
    <w:rsid w:val="7E0230E5"/>
    <w:rsid w:val="7E03060F"/>
    <w:rsid w:val="7E0F0704"/>
    <w:rsid w:val="7E0F2DAA"/>
    <w:rsid w:val="7E337288"/>
    <w:rsid w:val="7E476B1A"/>
    <w:rsid w:val="7E6A3164"/>
    <w:rsid w:val="7EE30820"/>
    <w:rsid w:val="7EE9520E"/>
    <w:rsid w:val="7F78540D"/>
    <w:rsid w:val="7F92418F"/>
    <w:rsid w:val="7F9A6DC2"/>
    <w:rsid w:val="7F9F59B3"/>
    <w:rsid w:val="7FBA3C77"/>
    <w:rsid w:val="7FBB248D"/>
    <w:rsid w:val="7FD0349B"/>
    <w:rsid w:val="7FD269A2"/>
    <w:rsid w:val="7FD5567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iPriority="99" w:semiHidden="0"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1368" w:firstLineChars="200"/>
      <w:jc w:val="both"/>
    </w:pPr>
    <w:rPr>
      <w:rFonts w:ascii="等线" w:hAnsi="等线" w:eastAsia="方正仿宋_GBK" w:cs="Times New Roman"/>
      <w:kern w:val="2"/>
      <w:sz w:val="32"/>
      <w:szCs w:val="22"/>
      <w:lang w:val="en-US" w:eastAsia="zh-CN" w:bidi="ar-SA"/>
    </w:rPr>
  </w:style>
  <w:style w:type="paragraph" w:styleId="4">
    <w:name w:val="heading 1"/>
    <w:basedOn w:val="1"/>
    <w:next w:val="1"/>
    <w:link w:val="39"/>
    <w:qFormat/>
    <w:uiPriority w:val="99"/>
    <w:pPr>
      <w:keepNext/>
      <w:keepLines/>
      <w:outlineLvl w:val="0"/>
    </w:pPr>
    <w:rPr>
      <w:rFonts w:eastAsia="方正黑体_GBK"/>
      <w:b/>
      <w:bCs/>
      <w:kern w:val="44"/>
      <w:szCs w:val="44"/>
    </w:rPr>
  </w:style>
  <w:style w:type="paragraph" w:styleId="5">
    <w:name w:val="heading 2"/>
    <w:basedOn w:val="1"/>
    <w:next w:val="1"/>
    <w:link w:val="40"/>
    <w:qFormat/>
    <w:uiPriority w:val="99"/>
    <w:pPr>
      <w:overflowPunct w:val="0"/>
      <w:outlineLvl w:val="1"/>
    </w:pPr>
    <w:rPr>
      <w:rFonts w:ascii="方正仿宋_GBK" w:hAnsi="方正仿宋_GBK" w:eastAsia="方正楷体_GBK"/>
      <w:b/>
      <w:szCs w:val="20"/>
    </w:rPr>
  </w:style>
  <w:style w:type="paragraph" w:styleId="6">
    <w:name w:val="heading 3"/>
    <w:basedOn w:val="1"/>
    <w:next w:val="1"/>
    <w:link w:val="41"/>
    <w:qFormat/>
    <w:uiPriority w:val="99"/>
    <w:pPr>
      <w:keepNext/>
      <w:keepLines/>
      <w:outlineLvl w:val="2"/>
    </w:pPr>
    <w:rPr>
      <w:bCs/>
      <w:szCs w:val="32"/>
    </w:rPr>
  </w:style>
  <w:style w:type="paragraph" w:styleId="7">
    <w:name w:val="heading 4"/>
    <w:basedOn w:val="1"/>
    <w:next w:val="1"/>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unhideWhenUsed/>
    <w:qFormat/>
    <w:locked/>
    <w:uiPriority w:val="99"/>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Cambria" w:hAnsi="Cambria" w:eastAsia="宋体" w:cs="Times New Roman"/>
      <w:kern w:val="2"/>
      <w:sz w:val="24"/>
      <w:szCs w:val="24"/>
      <w:lang w:val="en-US" w:eastAsia="zh-CN" w:bidi="ar-SA"/>
    </w:rPr>
  </w:style>
  <w:style w:type="paragraph" w:styleId="3">
    <w:name w:val="Body Text"/>
    <w:basedOn w:val="1"/>
    <w:next w:val="1"/>
    <w:link w:val="44"/>
    <w:qFormat/>
    <w:uiPriority w:val="99"/>
    <w:pPr>
      <w:autoSpaceDE w:val="0"/>
      <w:autoSpaceDN w:val="0"/>
      <w:adjustRightInd w:val="0"/>
    </w:pPr>
    <w:rPr>
      <w:rFonts w:ascii="Times New Roman" w:hAnsi="Times New Roman" w:eastAsia="宋体"/>
      <w:kern w:val="0"/>
      <w:szCs w:val="32"/>
    </w:rPr>
  </w:style>
  <w:style w:type="paragraph" w:styleId="8">
    <w:name w:val="toc 7"/>
    <w:basedOn w:val="1"/>
    <w:next w:val="1"/>
    <w:qFormat/>
    <w:uiPriority w:val="99"/>
    <w:pPr>
      <w:ind w:left="2520" w:leftChars="1200"/>
    </w:pPr>
  </w:style>
  <w:style w:type="paragraph" w:styleId="9">
    <w:name w:val="Document Map"/>
    <w:basedOn w:val="1"/>
    <w:link w:val="42"/>
    <w:qFormat/>
    <w:uiPriority w:val="99"/>
    <w:rPr>
      <w:rFonts w:ascii="宋体" w:hAnsi="Calibri" w:eastAsia="宋体"/>
      <w:kern w:val="0"/>
      <w:sz w:val="18"/>
      <w:szCs w:val="18"/>
    </w:rPr>
  </w:style>
  <w:style w:type="paragraph" w:styleId="10">
    <w:name w:val="annotation text"/>
    <w:basedOn w:val="1"/>
    <w:link w:val="43"/>
    <w:qFormat/>
    <w:uiPriority w:val="99"/>
    <w:pPr>
      <w:jc w:val="left"/>
    </w:pPr>
    <w:rPr>
      <w:rFonts w:ascii="Times New Roman" w:hAnsi="Times New Roman" w:eastAsia="宋体"/>
      <w:szCs w:val="21"/>
    </w:rPr>
  </w:style>
  <w:style w:type="paragraph" w:styleId="11">
    <w:name w:val="Body Text Indent"/>
    <w:basedOn w:val="1"/>
    <w:link w:val="45"/>
    <w:qFormat/>
    <w:uiPriority w:val="99"/>
    <w:pPr>
      <w:snapToGrid w:val="0"/>
      <w:spacing w:line="360" w:lineRule="auto"/>
      <w:ind w:firstLine="640"/>
    </w:pPr>
    <w:rPr>
      <w:rFonts w:ascii="Times New Roman" w:hAnsi="Times New Roman" w:eastAsia="宋体"/>
      <w:szCs w:val="21"/>
    </w:rPr>
  </w:style>
  <w:style w:type="paragraph" w:styleId="12">
    <w:name w:val="Block Text"/>
    <w:basedOn w:val="1"/>
    <w:qFormat/>
    <w:uiPriority w:val="99"/>
    <w:pPr>
      <w:autoSpaceDE w:val="0"/>
      <w:autoSpaceDN w:val="0"/>
      <w:adjustRightInd w:val="0"/>
      <w:spacing w:before="13"/>
      <w:ind w:left="146" w:right="366"/>
    </w:pPr>
    <w:rPr>
      <w:rFonts w:ascii="Times New Roman" w:hAnsi="Times New Roman" w:eastAsia="宋体"/>
      <w:kern w:val="0"/>
      <w:sz w:val="36"/>
      <w:szCs w:val="36"/>
    </w:rPr>
  </w:style>
  <w:style w:type="paragraph" w:styleId="13">
    <w:name w:val="toc 5"/>
    <w:basedOn w:val="1"/>
    <w:next w:val="1"/>
    <w:qFormat/>
    <w:uiPriority w:val="99"/>
    <w:pPr>
      <w:ind w:left="1680" w:leftChars="800"/>
    </w:pPr>
  </w:style>
  <w:style w:type="paragraph" w:styleId="14">
    <w:name w:val="toc 3"/>
    <w:basedOn w:val="1"/>
    <w:next w:val="1"/>
    <w:qFormat/>
    <w:uiPriority w:val="99"/>
    <w:pPr>
      <w:ind w:left="840" w:leftChars="400"/>
    </w:pPr>
  </w:style>
  <w:style w:type="paragraph" w:styleId="15">
    <w:name w:val="toc 8"/>
    <w:basedOn w:val="1"/>
    <w:next w:val="1"/>
    <w:qFormat/>
    <w:uiPriority w:val="99"/>
    <w:pPr>
      <w:ind w:left="2940" w:leftChars="1400"/>
    </w:pPr>
  </w:style>
  <w:style w:type="paragraph" w:styleId="16">
    <w:name w:val="Date"/>
    <w:basedOn w:val="1"/>
    <w:next w:val="1"/>
    <w:link w:val="46"/>
    <w:qFormat/>
    <w:uiPriority w:val="99"/>
    <w:pPr>
      <w:ind w:left="100" w:leftChars="2500"/>
    </w:pPr>
    <w:rPr>
      <w:rFonts w:ascii="Calibri" w:hAnsi="Calibri" w:eastAsia="宋体"/>
      <w:kern w:val="0"/>
      <w:sz w:val="20"/>
      <w:szCs w:val="21"/>
    </w:rPr>
  </w:style>
  <w:style w:type="paragraph" w:styleId="17">
    <w:name w:val="Balloon Text"/>
    <w:basedOn w:val="1"/>
    <w:link w:val="47"/>
    <w:semiHidden/>
    <w:qFormat/>
    <w:uiPriority w:val="99"/>
    <w:rPr>
      <w:sz w:val="18"/>
      <w:szCs w:val="18"/>
    </w:rPr>
  </w:style>
  <w:style w:type="paragraph" w:styleId="18">
    <w:name w:val="footer"/>
    <w:basedOn w:val="1"/>
    <w:link w:val="48"/>
    <w:qFormat/>
    <w:uiPriority w:val="99"/>
    <w:pPr>
      <w:tabs>
        <w:tab w:val="center" w:pos="4153"/>
        <w:tab w:val="right" w:pos="8306"/>
      </w:tabs>
      <w:snapToGrid w:val="0"/>
      <w:jc w:val="left"/>
    </w:pPr>
    <w:rPr>
      <w:sz w:val="18"/>
      <w:szCs w:val="18"/>
    </w:rPr>
  </w:style>
  <w:style w:type="paragraph" w:styleId="19">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99"/>
    <w:rPr>
      <w:rFonts w:ascii="Times New Roman" w:hAnsi="Times New Roman" w:eastAsia="宋体"/>
      <w:szCs w:val="21"/>
    </w:rPr>
  </w:style>
  <w:style w:type="paragraph" w:styleId="21">
    <w:name w:val="toc 4"/>
    <w:basedOn w:val="1"/>
    <w:next w:val="1"/>
    <w:qFormat/>
    <w:uiPriority w:val="99"/>
    <w:pPr>
      <w:ind w:left="1260" w:leftChars="600"/>
    </w:pPr>
  </w:style>
  <w:style w:type="paragraph" w:styleId="22">
    <w:name w:val="Subtitle"/>
    <w:basedOn w:val="1"/>
    <w:next w:val="1"/>
    <w:qFormat/>
    <w:locked/>
    <w:uiPriority w:val="11"/>
    <w:pPr>
      <w:adjustRightInd w:val="0"/>
      <w:snapToGrid w:val="0"/>
      <w:spacing w:line="360" w:lineRule="auto"/>
      <w:jc w:val="center"/>
    </w:pPr>
    <w:rPr>
      <w:rFonts w:ascii="Times New Roman" w:hAnsi="Times New Roman"/>
      <w:b/>
      <w:bCs/>
      <w:kern w:val="28"/>
      <w:sz w:val="24"/>
      <w:szCs w:val="32"/>
    </w:rPr>
  </w:style>
  <w:style w:type="paragraph" w:styleId="23">
    <w:name w:val="toc 6"/>
    <w:basedOn w:val="1"/>
    <w:next w:val="1"/>
    <w:qFormat/>
    <w:uiPriority w:val="99"/>
    <w:pPr>
      <w:ind w:left="2100" w:leftChars="1000"/>
    </w:pPr>
  </w:style>
  <w:style w:type="paragraph" w:styleId="24">
    <w:name w:val="toc 2"/>
    <w:basedOn w:val="1"/>
    <w:next w:val="1"/>
    <w:qFormat/>
    <w:uiPriority w:val="99"/>
    <w:pPr>
      <w:ind w:left="420" w:leftChars="200"/>
    </w:pPr>
    <w:rPr>
      <w:rFonts w:ascii="Times New Roman" w:hAnsi="Times New Roman" w:eastAsia="宋体"/>
      <w:szCs w:val="21"/>
    </w:rPr>
  </w:style>
  <w:style w:type="paragraph" w:styleId="25">
    <w:name w:val="toc 9"/>
    <w:basedOn w:val="1"/>
    <w:next w:val="1"/>
    <w:qFormat/>
    <w:uiPriority w:val="99"/>
    <w:pPr>
      <w:ind w:left="3360" w:leftChars="1600"/>
    </w:pPr>
  </w:style>
  <w:style w:type="paragraph" w:styleId="26">
    <w:name w:val="Normal (Web)"/>
    <w:basedOn w:val="1"/>
    <w:qFormat/>
    <w:uiPriority w:val="99"/>
    <w:pPr>
      <w:spacing w:before="100" w:beforeAutospacing="1" w:after="100" w:afterAutospacing="1"/>
    </w:pPr>
    <w:rPr>
      <w:rFonts w:ascii="宋体" w:hAnsi="宋体" w:eastAsia="宋体" w:cs="宋体"/>
      <w:color w:val="000000"/>
      <w:sz w:val="24"/>
      <w:szCs w:val="21"/>
    </w:rPr>
  </w:style>
  <w:style w:type="paragraph" w:styleId="27">
    <w:name w:val="Title"/>
    <w:basedOn w:val="1"/>
    <w:next w:val="1"/>
    <w:link w:val="50"/>
    <w:qFormat/>
    <w:uiPriority w:val="99"/>
    <w:pPr>
      <w:spacing w:before="240" w:after="60"/>
      <w:jc w:val="center"/>
      <w:outlineLvl w:val="0"/>
    </w:pPr>
    <w:rPr>
      <w:rFonts w:ascii="等线 Light" w:hAnsi="等线 Light" w:eastAsia="等线 Light"/>
      <w:b/>
      <w:bCs/>
      <w:szCs w:val="32"/>
    </w:rPr>
  </w:style>
  <w:style w:type="paragraph" w:styleId="28">
    <w:name w:val="annotation subject"/>
    <w:basedOn w:val="10"/>
    <w:next w:val="10"/>
    <w:link w:val="51"/>
    <w:qFormat/>
    <w:uiPriority w:val="99"/>
    <w:rPr>
      <w:b/>
      <w:bCs/>
    </w:rPr>
  </w:style>
  <w:style w:type="table" w:styleId="30">
    <w:name w:val="Table Grid"/>
    <w:basedOn w:val="2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99"/>
    <w:rPr>
      <w:rFonts w:eastAsia="宋体" w:cs="Times New Roman"/>
      <w:b/>
      <w:sz w:val="24"/>
    </w:rPr>
  </w:style>
  <w:style w:type="character" w:styleId="33">
    <w:name w:val="page number"/>
    <w:qFormat/>
    <w:uiPriority w:val="99"/>
    <w:rPr>
      <w:rFonts w:eastAsia="宋体" w:cs="Times New Roman"/>
      <w:sz w:val="24"/>
      <w:szCs w:val="24"/>
    </w:rPr>
  </w:style>
  <w:style w:type="character" w:styleId="34">
    <w:name w:val="FollowedHyperlink"/>
    <w:qFormat/>
    <w:uiPriority w:val="99"/>
    <w:rPr>
      <w:rFonts w:eastAsia="宋体" w:cs="Times New Roman"/>
      <w:color w:val="333333"/>
      <w:sz w:val="24"/>
      <w:u w:val="none"/>
    </w:rPr>
  </w:style>
  <w:style w:type="character" w:styleId="35">
    <w:name w:val="HTML Acronym"/>
    <w:qFormat/>
    <w:uiPriority w:val="99"/>
    <w:rPr>
      <w:rFonts w:eastAsia="宋体" w:cs="Times New Roman"/>
      <w:sz w:val="24"/>
      <w:szCs w:val="24"/>
    </w:rPr>
  </w:style>
  <w:style w:type="character" w:styleId="36">
    <w:name w:val="Hyperlink"/>
    <w:qFormat/>
    <w:uiPriority w:val="99"/>
    <w:rPr>
      <w:rFonts w:ascii="Arial" w:hAnsi="Arial" w:cs="Times New Roman"/>
      <w:b/>
      <w:color w:val="0000FF"/>
      <w:kern w:val="0"/>
      <w:sz w:val="24"/>
      <w:u w:val="single"/>
      <w:lang w:eastAsia="en-US"/>
    </w:rPr>
  </w:style>
  <w:style w:type="character" w:styleId="37">
    <w:name w:val="annotation reference"/>
    <w:qFormat/>
    <w:uiPriority w:val="99"/>
    <w:rPr>
      <w:rFonts w:eastAsia="宋体" w:cs="Times New Roman"/>
      <w:sz w:val="21"/>
    </w:rPr>
  </w:style>
  <w:style w:type="paragraph" w:customStyle="1" w:styleId="38">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39">
    <w:name w:val="标题 1 字符"/>
    <w:link w:val="4"/>
    <w:qFormat/>
    <w:locked/>
    <w:uiPriority w:val="99"/>
    <w:rPr>
      <w:rFonts w:eastAsia="方正黑体_GBK" w:cs="Times New Roman"/>
      <w:b/>
      <w:bCs/>
      <w:kern w:val="44"/>
      <w:sz w:val="32"/>
      <w:szCs w:val="44"/>
    </w:rPr>
  </w:style>
  <w:style w:type="character" w:customStyle="1" w:styleId="40">
    <w:name w:val="标题 2 字符"/>
    <w:link w:val="5"/>
    <w:qFormat/>
    <w:locked/>
    <w:uiPriority w:val="99"/>
    <w:rPr>
      <w:rFonts w:ascii="方正仿宋_GBK" w:hAnsi="方正仿宋_GBK" w:eastAsia="方正楷体_GBK" w:cs="Times New Roman"/>
      <w:b/>
      <w:sz w:val="32"/>
      <w:szCs w:val="20"/>
    </w:rPr>
  </w:style>
  <w:style w:type="character" w:customStyle="1" w:styleId="41">
    <w:name w:val="标题 3 字符"/>
    <w:link w:val="6"/>
    <w:qFormat/>
    <w:locked/>
    <w:uiPriority w:val="99"/>
    <w:rPr>
      <w:rFonts w:eastAsia="方正仿宋_GBK" w:cs="Times New Roman"/>
      <w:bCs/>
      <w:sz w:val="32"/>
      <w:szCs w:val="32"/>
    </w:rPr>
  </w:style>
  <w:style w:type="character" w:customStyle="1" w:styleId="42">
    <w:name w:val="文档结构图 字符"/>
    <w:link w:val="9"/>
    <w:qFormat/>
    <w:locked/>
    <w:uiPriority w:val="99"/>
    <w:rPr>
      <w:rFonts w:ascii="宋体" w:eastAsia="宋体"/>
      <w:sz w:val="18"/>
    </w:rPr>
  </w:style>
  <w:style w:type="character" w:customStyle="1" w:styleId="43">
    <w:name w:val="批注文字 字符"/>
    <w:link w:val="10"/>
    <w:qFormat/>
    <w:locked/>
    <w:uiPriority w:val="99"/>
    <w:rPr>
      <w:rFonts w:ascii="Times New Roman" w:hAnsi="Times New Roman" w:eastAsia="宋体" w:cs="Times New Roman"/>
      <w:sz w:val="21"/>
      <w:szCs w:val="21"/>
    </w:rPr>
  </w:style>
  <w:style w:type="character" w:customStyle="1" w:styleId="44">
    <w:name w:val="正文文本 字符"/>
    <w:link w:val="3"/>
    <w:qFormat/>
    <w:locked/>
    <w:uiPriority w:val="99"/>
    <w:rPr>
      <w:rFonts w:ascii="Times New Roman" w:hAnsi="Times New Roman" w:eastAsia="宋体" w:cs="Times New Roman"/>
      <w:kern w:val="0"/>
      <w:sz w:val="32"/>
      <w:szCs w:val="32"/>
    </w:rPr>
  </w:style>
  <w:style w:type="character" w:customStyle="1" w:styleId="45">
    <w:name w:val="正文文本缩进 字符"/>
    <w:link w:val="11"/>
    <w:qFormat/>
    <w:locked/>
    <w:uiPriority w:val="99"/>
    <w:rPr>
      <w:rFonts w:ascii="Times New Roman" w:hAnsi="Times New Roman" w:eastAsia="宋体" w:cs="Times New Roman"/>
      <w:sz w:val="21"/>
      <w:szCs w:val="21"/>
    </w:rPr>
  </w:style>
  <w:style w:type="character" w:customStyle="1" w:styleId="46">
    <w:name w:val="日期 字符"/>
    <w:link w:val="16"/>
    <w:qFormat/>
    <w:locked/>
    <w:uiPriority w:val="99"/>
    <w:rPr>
      <w:rFonts w:eastAsia="宋体"/>
      <w:sz w:val="21"/>
    </w:rPr>
  </w:style>
  <w:style w:type="character" w:customStyle="1" w:styleId="47">
    <w:name w:val="批注框文本 字符"/>
    <w:link w:val="17"/>
    <w:semiHidden/>
    <w:qFormat/>
    <w:locked/>
    <w:uiPriority w:val="99"/>
    <w:rPr>
      <w:rFonts w:cs="Times New Roman"/>
      <w:kern w:val="2"/>
      <w:sz w:val="18"/>
      <w:szCs w:val="18"/>
    </w:rPr>
  </w:style>
  <w:style w:type="character" w:customStyle="1" w:styleId="48">
    <w:name w:val="页脚 字符"/>
    <w:link w:val="18"/>
    <w:qFormat/>
    <w:locked/>
    <w:uiPriority w:val="99"/>
    <w:rPr>
      <w:rFonts w:cs="Times New Roman"/>
      <w:sz w:val="18"/>
      <w:szCs w:val="18"/>
    </w:rPr>
  </w:style>
  <w:style w:type="character" w:customStyle="1" w:styleId="49">
    <w:name w:val="页眉 字符"/>
    <w:link w:val="19"/>
    <w:qFormat/>
    <w:locked/>
    <w:uiPriority w:val="99"/>
    <w:rPr>
      <w:rFonts w:cs="Times New Roman"/>
      <w:sz w:val="18"/>
      <w:szCs w:val="18"/>
    </w:rPr>
  </w:style>
  <w:style w:type="character" w:customStyle="1" w:styleId="50">
    <w:name w:val="标题 字符"/>
    <w:link w:val="27"/>
    <w:qFormat/>
    <w:locked/>
    <w:uiPriority w:val="99"/>
    <w:rPr>
      <w:rFonts w:ascii="等线 Light" w:hAnsi="等线 Light" w:eastAsia="等线 Light" w:cs="Times New Roman"/>
      <w:b/>
      <w:bCs/>
      <w:sz w:val="32"/>
      <w:szCs w:val="32"/>
    </w:rPr>
  </w:style>
  <w:style w:type="character" w:customStyle="1" w:styleId="51">
    <w:name w:val="批注主题 字符"/>
    <w:link w:val="28"/>
    <w:qFormat/>
    <w:locked/>
    <w:uiPriority w:val="99"/>
    <w:rPr>
      <w:rFonts w:ascii="Times New Roman" w:hAnsi="Times New Roman" w:eastAsia="宋体" w:cs="Times New Roman"/>
      <w:b/>
      <w:bCs/>
      <w:sz w:val="21"/>
      <w:szCs w:val="21"/>
    </w:rPr>
  </w:style>
  <w:style w:type="character" w:customStyle="1" w:styleId="52">
    <w:name w:val="layui-this"/>
    <w:qFormat/>
    <w:uiPriority w:val="99"/>
    <w:rPr>
      <w:rFonts w:eastAsia="宋体"/>
      <w:sz w:val="24"/>
      <w:bdr w:val="single" w:color="EEEEEE" w:sz="6" w:space="0"/>
      <w:shd w:val="clear" w:color="auto" w:fill="FFFFFF"/>
    </w:rPr>
  </w:style>
  <w:style w:type="character" w:customStyle="1" w:styleId="53">
    <w:name w:val="标题 2 Char"/>
    <w:qFormat/>
    <w:uiPriority w:val="99"/>
    <w:rPr>
      <w:rFonts w:ascii="Cambria" w:hAnsi="Cambria" w:eastAsia="宋体"/>
      <w:b/>
      <w:kern w:val="2"/>
      <w:sz w:val="32"/>
    </w:rPr>
  </w:style>
  <w:style w:type="character" w:customStyle="1" w:styleId="54">
    <w:name w:val="未处理的提及1"/>
    <w:qFormat/>
    <w:uiPriority w:val="99"/>
    <w:rPr>
      <w:rFonts w:eastAsia="宋体"/>
      <w:color w:val="605E5C"/>
      <w:sz w:val="24"/>
      <w:shd w:val="clear" w:color="auto" w:fill="E1DFDD"/>
    </w:rPr>
  </w:style>
  <w:style w:type="character" w:customStyle="1" w:styleId="55">
    <w:name w:val="hover18"/>
    <w:qFormat/>
    <w:uiPriority w:val="99"/>
    <w:rPr>
      <w:rFonts w:eastAsia="宋体"/>
      <w:color w:val="1258AD"/>
      <w:sz w:val="24"/>
      <w:u w:val="none"/>
      <w:bdr w:val="single" w:color="1258AD" w:sz="6" w:space="0"/>
    </w:rPr>
  </w:style>
  <w:style w:type="character" w:customStyle="1" w:styleId="56">
    <w:name w:val="hover17"/>
    <w:qFormat/>
    <w:uiPriority w:val="99"/>
    <w:rPr>
      <w:rFonts w:eastAsia="宋体"/>
      <w:color w:val="1258AD"/>
      <w:sz w:val="24"/>
      <w:u w:val="none"/>
      <w:bdr w:val="single" w:color="1258AD" w:sz="6" w:space="0"/>
    </w:rPr>
  </w:style>
  <w:style w:type="character" w:customStyle="1" w:styleId="57">
    <w:name w:val="p9"/>
    <w:qFormat/>
    <w:uiPriority w:val="99"/>
    <w:rPr>
      <w:rFonts w:eastAsia="宋体" w:cs="Times New Roman"/>
      <w:sz w:val="24"/>
      <w:szCs w:val="24"/>
    </w:rPr>
  </w:style>
  <w:style w:type="character" w:customStyle="1" w:styleId="58">
    <w:name w:val="标题 2 Char Char"/>
    <w:qFormat/>
    <w:uiPriority w:val="99"/>
    <w:rPr>
      <w:rFonts w:ascii="Arial" w:hAnsi="Arial" w:eastAsia="黑体"/>
      <w:kern w:val="2"/>
      <w:sz w:val="32"/>
      <w:lang w:val="en-US" w:eastAsia="zh-CN"/>
    </w:rPr>
  </w:style>
  <w:style w:type="character" w:customStyle="1" w:styleId="59">
    <w:name w:val="first-child"/>
    <w:qFormat/>
    <w:uiPriority w:val="99"/>
    <w:rPr>
      <w:rFonts w:eastAsia="宋体" w:cs="Times New Roman"/>
      <w:sz w:val="24"/>
      <w:szCs w:val="24"/>
    </w:rPr>
  </w:style>
  <w:style w:type="character" w:customStyle="1" w:styleId="60">
    <w:name w:val="hover16"/>
    <w:qFormat/>
    <w:uiPriority w:val="99"/>
    <w:rPr>
      <w:rFonts w:eastAsia="宋体"/>
      <w:color w:val="1258AD"/>
      <w:sz w:val="24"/>
      <w:u w:val="none"/>
      <w:bdr w:val="single" w:color="1258AD" w:sz="6" w:space="0"/>
    </w:rPr>
  </w:style>
  <w:style w:type="character" w:customStyle="1" w:styleId="61">
    <w:name w:val="文档结构图 字符1"/>
    <w:semiHidden/>
    <w:qFormat/>
    <w:uiPriority w:val="99"/>
    <w:rPr>
      <w:rFonts w:ascii="Microsoft YaHei UI" w:eastAsia="Microsoft YaHei UI" w:cs="Times New Roman"/>
      <w:sz w:val="18"/>
      <w:szCs w:val="18"/>
    </w:rPr>
  </w:style>
  <w:style w:type="character" w:customStyle="1" w:styleId="62">
    <w:name w:val="日期 字符1"/>
    <w:semiHidden/>
    <w:qFormat/>
    <w:uiPriority w:val="99"/>
    <w:rPr>
      <w:rFonts w:cs="Times New Roman"/>
    </w:rPr>
  </w:style>
  <w:style w:type="paragraph" w:customStyle="1" w:styleId="63">
    <w:name w:val="一级标题"/>
    <w:basedOn w:val="3"/>
    <w:qFormat/>
    <w:uiPriority w:val="99"/>
    <w:pPr>
      <w:tabs>
        <w:tab w:val="right" w:pos="9000"/>
      </w:tabs>
      <w:spacing w:line="480" w:lineRule="exact"/>
      <w:ind w:firstLine="560"/>
    </w:pPr>
    <w:rPr>
      <w:rFonts w:ascii="宋体" w:hAnsi="宋体"/>
      <w:color w:val="000000"/>
      <w:sz w:val="28"/>
      <w:szCs w:val="28"/>
    </w:rPr>
  </w:style>
  <w:style w:type="paragraph" w:customStyle="1" w:styleId="64">
    <w:name w:val="Char Char Char Char"/>
    <w:basedOn w:val="1"/>
    <w:qFormat/>
    <w:uiPriority w:val="99"/>
    <w:pPr>
      <w:widowControl/>
      <w:spacing w:after="160" w:line="240" w:lineRule="exact"/>
      <w:jc w:val="left"/>
    </w:pPr>
    <w:rPr>
      <w:rFonts w:ascii="Times New Roman" w:hAnsi="Times New Roman" w:eastAsia="宋体"/>
      <w:szCs w:val="24"/>
    </w:rPr>
  </w:style>
  <w:style w:type="paragraph" w:customStyle="1" w:styleId="65">
    <w:name w:val="列表段落1"/>
    <w:basedOn w:val="1"/>
    <w:qFormat/>
    <w:uiPriority w:val="99"/>
    <w:pPr>
      <w:ind w:firstLine="420"/>
    </w:pPr>
    <w:rPr>
      <w:rFonts w:ascii="Times New Roman" w:hAnsi="Times New Roman" w:eastAsia="宋体"/>
      <w:szCs w:val="21"/>
    </w:rPr>
  </w:style>
  <w:style w:type="paragraph" w:customStyle="1" w:styleId="66">
    <w:name w:val="TOC 标题1"/>
    <w:basedOn w:val="4"/>
    <w:next w:val="1"/>
    <w:qFormat/>
    <w:uiPriority w:val="99"/>
    <w:pPr>
      <w:widowControl/>
      <w:spacing w:before="240" w:line="259" w:lineRule="auto"/>
      <w:jc w:val="left"/>
      <w:outlineLvl w:val="9"/>
    </w:pPr>
    <w:rPr>
      <w:rFonts w:ascii="等线 Light" w:hAnsi="等线 Light" w:eastAsia="等线 Light"/>
      <w:b w:val="0"/>
      <w:bCs w:val="0"/>
      <w:color w:val="2F5496"/>
      <w:kern w:val="0"/>
      <w:szCs w:val="32"/>
    </w:rPr>
  </w:style>
  <w:style w:type="paragraph" w:customStyle="1" w:styleId="67">
    <w:name w:val="msonormal"/>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68">
    <w:name w:val="font5"/>
    <w:basedOn w:val="1"/>
    <w:qFormat/>
    <w:uiPriority w:val="99"/>
    <w:pPr>
      <w:widowControl/>
      <w:spacing w:before="100" w:beforeAutospacing="1" w:after="100" w:afterAutospacing="1"/>
      <w:jc w:val="left"/>
    </w:pPr>
    <w:rPr>
      <w:rFonts w:ascii="宋体" w:hAnsi="宋体" w:eastAsia="宋体" w:cs="宋体"/>
      <w:b/>
      <w:bCs/>
      <w:kern w:val="0"/>
      <w:sz w:val="20"/>
      <w:szCs w:val="20"/>
    </w:rPr>
  </w:style>
  <w:style w:type="paragraph" w:customStyle="1" w:styleId="69">
    <w:name w:val="font6"/>
    <w:basedOn w:val="1"/>
    <w:qFormat/>
    <w:uiPriority w:val="99"/>
    <w:pPr>
      <w:widowControl/>
      <w:spacing w:before="100" w:beforeAutospacing="1" w:after="100" w:afterAutospacing="1"/>
      <w:jc w:val="left"/>
    </w:pPr>
    <w:rPr>
      <w:rFonts w:ascii="宋体" w:hAnsi="宋体" w:eastAsia="宋体" w:cs="宋体"/>
      <w:b/>
      <w:bCs/>
      <w:kern w:val="0"/>
      <w:sz w:val="20"/>
      <w:szCs w:val="20"/>
    </w:rPr>
  </w:style>
  <w:style w:type="paragraph" w:customStyle="1" w:styleId="70">
    <w:name w:val="font7"/>
    <w:basedOn w:val="1"/>
    <w:qFormat/>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71">
    <w:name w:val="xl1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2">
    <w:name w:val="xl1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3">
    <w:name w:val="xl1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4">
    <w:name w:val="xl1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5">
    <w:name w:val="xl181"/>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76">
    <w:name w:val="xl182"/>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77">
    <w:name w:val="xl183"/>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78">
    <w:name w:val="xl184"/>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79">
    <w:name w:val="xl1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80">
    <w:name w:val="xl1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81">
    <w:name w:val="xl1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82">
    <w:name w:val="xl1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83">
    <w:name w:val="xl1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4">
    <w:name w:val="xl1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85">
    <w:name w:val="xl191"/>
    <w:basedOn w:val="1"/>
    <w:qFormat/>
    <w:uiPriority w:val="99"/>
    <w:pPr>
      <w:widowControl/>
      <w:spacing w:before="100" w:beforeAutospacing="1" w:after="100" w:afterAutospacing="1"/>
      <w:jc w:val="center"/>
    </w:pPr>
    <w:rPr>
      <w:rFonts w:ascii="宋体" w:hAnsi="宋体" w:eastAsia="宋体" w:cs="宋体"/>
      <w:b/>
      <w:bCs/>
      <w:kern w:val="0"/>
      <w:sz w:val="20"/>
      <w:szCs w:val="20"/>
    </w:rPr>
  </w:style>
  <w:style w:type="paragraph" w:customStyle="1" w:styleId="86">
    <w:name w:val="xl192"/>
    <w:basedOn w:val="1"/>
    <w:qFormat/>
    <w:uiPriority w:val="99"/>
    <w:pPr>
      <w:widowControl/>
      <w:shd w:val="clear" w:color="000000" w:fill="92D050"/>
      <w:spacing w:before="100" w:beforeAutospacing="1" w:after="100" w:afterAutospacing="1"/>
      <w:jc w:val="center"/>
    </w:pPr>
    <w:rPr>
      <w:rFonts w:ascii="宋体" w:hAnsi="宋体" w:eastAsia="宋体" w:cs="宋体"/>
      <w:kern w:val="0"/>
      <w:sz w:val="20"/>
      <w:szCs w:val="20"/>
    </w:rPr>
  </w:style>
  <w:style w:type="paragraph" w:customStyle="1" w:styleId="87">
    <w:name w:val="xl193"/>
    <w:basedOn w:val="1"/>
    <w:qFormat/>
    <w:uiPriority w:val="99"/>
    <w:pPr>
      <w:widowControl/>
      <w:shd w:val="clear" w:color="000000" w:fill="FFFF00"/>
      <w:spacing w:before="100" w:beforeAutospacing="1" w:after="100" w:afterAutospacing="1"/>
      <w:jc w:val="left"/>
    </w:pPr>
    <w:rPr>
      <w:rFonts w:ascii="宋体" w:hAnsi="宋体" w:eastAsia="宋体" w:cs="宋体"/>
      <w:kern w:val="0"/>
      <w:sz w:val="24"/>
      <w:szCs w:val="24"/>
    </w:rPr>
  </w:style>
  <w:style w:type="paragraph" w:customStyle="1" w:styleId="88">
    <w:name w:val="xl194"/>
    <w:basedOn w:val="1"/>
    <w:qFormat/>
    <w:uiPriority w:val="99"/>
    <w:pPr>
      <w:widowControl/>
      <w:shd w:val="clear" w:color="000000" w:fill="FFFF00"/>
      <w:spacing w:before="100" w:beforeAutospacing="1" w:after="100" w:afterAutospacing="1"/>
      <w:jc w:val="center"/>
    </w:pPr>
    <w:rPr>
      <w:rFonts w:ascii="宋体" w:hAnsi="宋体" w:eastAsia="宋体" w:cs="宋体"/>
      <w:kern w:val="0"/>
      <w:sz w:val="20"/>
      <w:szCs w:val="20"/>
    </w:rPr>
  </w:style>
  <w:style w:type="paragraph" w:customStyle="1" w:styleId="89">
    <w:name w:val="xl195"/>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90">
    <w:name w:val="xl1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1">
    <w:name w:val="xl1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2">
    <w:name w:val="xl1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3">
    <w:name w:val="xl1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4">
    <w:name w:val="xl2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5">
    <w:name w:val="xl2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Cs w:val="21"/>
    </w:rPr>
  </w:style>
  <w:style w:type="paragraph" w:customStyle="1" w:styleId="96">
    <w:name w:val="xl2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7">
    <w:name w:val="xl2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98">
    <w:name w:val="xl204"/>
    <w:basedOn w:val="1"/>
    <w:qFormat/>
    <w:uiPriority w:val="99"/>
    <w:pPr>
      <w:widowControl/>
      <w:spacing w:before="100" w:beforeAutospacing="1" w:after="100" w:afterAutospacing="1"/>
      <w:jc w:val="center"/>
    </w:pPr>
    <w:rPr>
      <w:rFonts w:ascii="宋体" w:hAnsi="宋体" w:eastAsia="宋体" w:cs="宋体"/>
      <w:kern w:val="0"/>
      <w:sz w:val="18"/>
      <w:szCs w:val="18"/>
    </w:rPr>
  </w:style>
  <w:style w:type="paragraph" w:customStyle="1" w:styleId="99">
    <w:name w:val="xl2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00">
    <w:name w:val="xl206"/>
    <w:basedOn w:val="1"/>
    <w:qFormat/>
    <w:uiPriority w:val="99"/>
    <w:pPr>
      <w:widowControl/>
      <w:spacing w:before="100" w:beforeAutospacing="1" w:after="100" w:afterAutospacing="1"/>
    </w:pPr>
    <w:rPr>
      <w:rFonts w:ascii="宋体" w:hAnsi="宋体" w:eastAsia="宋体" w:cs="宋体"/>
      <w:kern w:val="0"/>
      <w:szCs w:val="21"/>
    </w:rPr>
  </w:style>
  <w:style w:type="paragraph" w:customStyle="1" w:styleId="101">
    <w:name w:val="xl20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2">
    <w:name w:val="xl208"/>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3">
    <w:name w:val="xl209"/>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4">
    <w:name w:val="xl210"/>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5">
    <w:name w:val="xl211"/>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6">
    <w:name w:val="xl21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7">
    <w:name w:val="xl2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8">
    <w:name w:val="xl2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9">
    <w:name w:val="xl215"/>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0">
    <w:name w:val="xl21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1">
    <w:name w:val="xl217"/>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2">
    <w:name w:val="xl21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3">
    <w:name w:val="xl219"/>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4">
    <w:name w:val="xl22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5">
    <w:name w:val="xl2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table" w:customStyle="1" w:styleId="116">
    <w:name w:val="网格型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
    <w:name w:val="网格型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
    <w:name w:val="网格型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
    <w:name w:val="网格型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0">
    <w:name w:val="font11"/>
    <w:basedOn w:val="31"/>
    <w:qFormat/>
    <w:uiPriority w:val="0"/>
    <w:rPr>
      <w:rFonts w:hint="eastAsia" w:ascii="宋体" w:hAnsi="宋体" w:eastAsia="宋体" w:cs="宋体"/>
      <w:b/>
      <w:bCs/>
      <w:color w:val="000000"/>
      <w:sz w:val="24"/>
      <w:szCs w:val="24"/>
      <w:u w:val="none"/>
    </w:rPr>
  </w:style>
  <w:style w:type="character" w:customStyle="1" w:styleId="121">
    <w:name w:val="font61"/>
    <w:basedOn w:val="31"/>
    <w:qFormat/>
    <w:uiPriority w:val="0"/>
    <w:rPr>
      <w:rFonts w:hint="default" w:ascii="Times New Roman" w:hAnsi="Times New Roman" w:cs="Times New Roman"/>
      <w:b/>
      <w:bCs/>
      <w:color w:val="000000"/>
      <w:sz w:val="24"/>
      <w:szCs w:val="24"/>
      <w:u w:val="none"/>
    </w:rPr>
  </w:style>
  <w:style w:type="character" w:customStyle="1" w:styleId="122">
    <w:name w:val="font41"/>
    <w:basedOn w:val="31"/>
    <w:qFormat/>
    <w:uiPriority w:val="0"/>
    <w:rPr>
      <w:rFonts w:hint="eastAsia" w:ascii="黑体" w:hAnsi="宋体" w:eastAsia="黑体" w:cs="黑体"/>
      <w:color w:val="000000"/>
      <w:sz w:val="21"/>
      <w:szCs w:val="21"/>
      <w:u w:val="none"/>
    </w:rPr>
  </w:style>
  <w:style w:type="character" w:customStyle="1" w:styleId="123">
    <w:name w:val="font21"/>
    <w:basedOn w:val="31"/>
    <w:qFormat/>
    <w:uiPriority w:val="0"/>
    <w:rPr>
      <w:rFonts w:hint="eastAsia" w:ascii="宋体" w:hAnsi="宋体" w:eastAsia="宋体" w:cs="宋体"/>
      <w:color w:val="000000"/>
      <w:sz w:val="24"/>
      <w:szCs w:val="24"/>
      <w:u w:val="none"/>
    </w:rPr>
  </w:style>
  <w:style w:type="character" w:customStyle="1" w:styleId="124">
    <w:name w:val="font71"/>
    <w:basedOn w:val="31"/>
    <w:qFormat/>
    <w:uiPriority w:val="0"/>
    <w:rPr>
      <w:rFonts w:hint="eastAsia" w:ascii="宋体" w:hAnsi="宋体" w:eastAsia="宋体" w:cs="宋体"/>
      <w:color w:val="000000"/>
      <w:sz w:val="24"/>
      <w:szCs w:val="24"/>
      <w:u w:val="none"/>
      <w:vertAlign w:val="superscript"/>
    </w:rPr>
  </w:style>
  <w:style w:type="character" w:customStyle="1" w:styleId="125">
    <w:name w:val="font81"/>
    <w:basedOn w:val="31"/>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14519</Words>
  <Characters>15370</Characters>
  <Lines>113</Lines>
  <Paragraphs>31</Paragraphs>
  <TotalTime>3</TotalTime>
  <ScaleCrop>false</ScaleCrop>
  <LinksUpToDate>false</LinksUpToDate>
  <CharactersWithSpaces>15709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2020-11-13T03:08:00Z</dcterms:created>
  <dc:creator>DELL</dc:creator>
  <cp:lastModifiedBy>silence</cp:lastModifiedBy>
  <dcterms:modified xsi:type="dcterms:W3CDTF">2023-11-27T02:44:29Z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321887573_embed</vt:lpwstr>
  </property>
  <property fmtid="{D5CDD505-2E9C-101B-9397-08002B2CF9AE}" pid="4" name="ICV">
    <vt:lpwstr>6F92B11C09ED48569F0B3C6AD9606538_13</vt:lpwstr>
  </property>
</Properties>
</file>