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D2D8C">
      <w:pPr>
        <w:pStyle w:val="8"/>
        <w:keepNext w:val="0"/>
        <w:keepLines w:val="0"/>
        <w:pageBreakBefore w:val="0"/>
        <w:widowControl/>
        <w:kinsoku/>
        <w:wordWrap/>
        <w:overflowPunct/>
        <w:topLinePunct w:val="0"/>
        <w:autoSpaceDN/>
        <w:bidi w:val="0"/>
        <w:spacing w:before="0" w:beforeAutospacing="0" w:after="0" w:afterAutospacing="0" w:line="594" w:lineRule="exact"/>
        <w:jc w:val="center"/>
        <w:textAlignment w:val="auto"/>
        <w:rPr>
          <w:rFonts w:hint="eastAsia" w:ascii="Times New Roman" w:hAnsi="Times New Roman" w:eastAsia="方正小标宋_GBK" w:cs="方正小标宋_GBK"/>
          <w:b w:val="0"/>
          <w:bCs w:val="0"/>
          <w:sz w:val="44"/>
          <w:szCs w:val="44"/>
        </w:rPr>
      </w:pPr>
    </w:p>
    <w:p w14:paraId="1D545459">
      <w:pPr>
        <w:pStyle w:val="8"/>
        <w:keepNext w:val="0"/>
        <w:keepLines w:val="0"/>
        <w:pageBreakBefore w:val="0"/>
        <w:widowControl/>
        <w:kinsoku/>
        <w:wordWrap/>
        <w:overflowPunct/>
        <w:topLinePunct w:val="0"/>
        <w:autoSpaceDN/>
        <w:bidi w:val="0"/>
        <w:spacing w:before="0" w:beforeAutospacing="0" w:after="0" w:afterAutospacing="0" w:line="594" w:lineRule="exact"/>
        <w:jc w:val="center"/>
        <w:textAlignment w:val="auto"/>
        <w:rPr>
          <w:rFonts w:hint="eastAsia" w:ascii="Times New Roman" w:hAnsi="Times New Roman" w:eastAsia="方正小标宋_GBK" w:cs="方正小标宋_GBK"/>
          <w:b w:val="0"/>
          <w:bCs w:val="0"/>
          <w:sz w:val="44"/>
          <w:szCs w:val="44"/>
          <w:shd w:val="clear" w:color="auto" w:fill="FFFFFF"/>
        </w:rPr>
      </w:pPr>
      <w:r>
        <w:rPr>
          <w:rFonts w:hint="eastAsia" w:ascii="Times New Roman" w:hAnsi="Times New Roman" w:eastAsia="方正小标宋_GBK" w:cs="方正小标宋_GBK"/>
          <w:b w:val="0"/>
          <w:bCs w:val="0"/>
          <w:sz w:val="44"/>
          <w:szCs w:val="44"/>
        </w:rPr>
        <w:t>重庆市九龙坡区石桥铺街道劳动就业和社会保障服务所</w:t>
      </w:r>
      <w:r>
        <w:rPr>
          <w:rFonts w:hint="eastAsia" w:ascii="Times New Roman" w:hAnsi="Times New Roman" w:eastAsia="方正小标宋_GBK" w:cs="方正小标宋_GBK"/>
          <w:b w:val="0"/>
          <w:bCs w:val="0"/>
          <w:sz w:val="44"/>
          <w:szCs w:val="44"/>
          <w:shd w:val="clear" w:color="auto" w:fill="FFFFFF"/>
        </w:rPr>
        <w:t>2024年度决算公开说明</w:t>
      </w:r>
    </w:p>
    <w:p w14:paraId="4E68E5A3">
      <w:pPr>
        <w:pStyle w:val="8"/>
        <w:keepNext w:val="0"/>
        <w:keepLines w:val="0"/>
        <w:pageBreakBefore w:val="0"/>
        <w:widowControl/>
        <w:kinsoku/>
        <w:wordWrap/>
        <w:overflowPunct/>
        <w:topLinePunct w:val="0"/>
        <w:autoSpaceDN/>
        <w:bidi w:val="0"/>
        <w:spacing w:before="0" w:beforeAutospacing="0" w:after="0" w:afterAutospacing="0" w:line="594" w:lineRule="exact"/>
        <w:jc w:val="center"/>
        <w:textAlignment w:val="auto"/>
        <w:rPr>
          <w:rFonts w:hint="eastAsia" w:ascii="Times New Roman" w:hAnsi="Times New Roman" w:eastAsia="方正小标宋_GBK" w:cs="方正小标宋_GBK"/>
          <w:b w:val="0"/>
          <w:bCs w:val="0"/>
          <w:sz w:val="44"/>
          <w:szCs w:val="44"/>
          <w:shd w:val="clear" w:color="auto" w:fill="FFFFFF"/>
        </w:rPr>
      </w:pPr>
    </w:p>
    <w:p w14:paraId="3A008BD1">
      <w:pPr>
        <w:keepNext w:val="0"/>
        <w:keepLines w:val="0"/>
        <w:pageBreakBefore w:val="0"/>
        <w:widowControl/>
        <w:kinsoku/>
        <w:wordWrap/>
        <w:overflowPunct/>
        <w:topLinePunct w:val="0"/>
        <w:autoSpaceDN/>
        <w:bidi w:val="0"/>
        <w:spacing w:beforeAutospacing="0" w:afterAutospacing="0" w:line="594" w:lineRule="exact"/>
        <w:ind w:firstLine="640" w:firstLineChars="200"/>
        <w:jc w:val="left"/>
        <w:textAlignment w:val="auto"/>
        <w:rPr>
          <w:rFonts w:hint="eastAsia" w:ascii="Times New Roman" w:hAnsi="Times New Roman" w:eastAsia="方正黑体_GBK" w:cs="方正黑体_GBK"/>
          <w:b w:val="0"/>
          <w:bCs/>
          <w:kern w:val="0"/>
          <w:sz w:val="32"/>
          <w:szCs w:val="32"/>
        </w:rPr>
      </w:pPr>
      <w:r>
        <w:rPr>
          <w:rFonts w:hint="eastAsia" w:ascii="Times New Roman" w:hAnsi="Times New Roman" w:eastAsia="方正黑体_GBK" w:cs="方正黑体_GBK"/>
          <w:b w:val="0"/>
          <w:bCs/>
          <w:kern w:val="0"/>
          <w:sz w:val="32"/>
          <w:szCs w:val="32"/>
        </w:rPr>
        <w:t>一、</w:t>
      </w:r>
      <w:r>
        <w:rPr>
          <w:rFonts w:hint="eastAsia" w:ascii="Times New Roman" w:hAnsi="Times New Roman" w:eastAsia="方正黑体_GBK" w:cs="方正黑体_GBK"/>
          <w:b w:val="0"/>
          <w:bCs/>
          <w:kern w:val="0"/>
          <w:sz w:val="32"/>
          <w:szCs w:val="32"/>
          <w:lang w:eastAsia="zh-CN"/>
        </w:rPr>
        <w:t>单位</w:t>
      </w:r>
      <w:r>
        <w:rPr>
          <w:rFonts w:hint="eastAsia" w:ascii="Times New Roman" w:hAnsi="Times New Roman" w:eastAsia="方正黑体_GBK" w:cs="方正黑体_GBK"/>
          <w:b w:val="0"/>
          <w:bCs/>
          <w:kern w:val="0"/>
          <w:sz w:val="32"/>
          <w:szCs w:val="32"/>
        </w:rPr>
        <w:t>基本情况</w:t>
      </w:r>
    </w:p>
    <w:p w14:paraId="7F712851">
      <w:pPr>
        <w:pStyle w:val="8"/>
        <w:keepNext w:val="0"/>
        <w:keepLines w:val="0"/>
        <w:pageBreakBefore w:val="0"/>
        <w:widowControl/>
        <w:shd w:val="clear" w:color="auto" w:fill="FFFFFF"/>
        <w:kinsoku/>
        <w:wordWrap/>
        <w:overflowPunct/>
        <w:topLinePunct w:val="0"/>
        <w:autoSpaceDN/>
        <w:bidi w:val="0"/>
        <w:spacing w:beforeAutospacing="0" w:afterAutospacing="0" w:line="594" w:lineRule="exact"/>
        <w:ind w:firstLine="640" w:firstLineChars="200"/>
        <w:textAlignment w:val="auto"/>
        <w:rPr>
          <w:rFonts w:hint="eastAsia" w:ascii="Times New Roman" w:hAnsi="Times New Roman" w:eastAsia="方正楷体_GBK" w:cs="方正楷体_GBK"/>
          <w:b w:val="0"/>
          <w:bCs/>
          <w:sz w:val="32"/>
          <w:szCs w:val="32"/>
        </w:rPr>
      </w:pPr>
      <w:r>
        <w:rPr>
          <w:rStyle w:val="11"/>
          <w:rFonts w:hint="eastAsia" w:ascii="Times New Roman" w:hAnsi="Times New Roman" w:eastAsia="方正楷体_GBK" w:cs="方正楷体_GBK"/>
          <w:b w:val="0"/>
          <w:bCs/>
          <w:sz w:val="32"/>
          <w:szCs w:val="32"/>
          <w:shd w:val="clear" w:color="auto" w:fill="FFFFFF"/>
        </w:rPr>
        <w:t>（一）职能职责</w:t>
      </w:r>
    </w:p>
    <w:p w14:paraId="2BB29294">
      <w:pPr>
        <w:keepNext w:val="0"/>
        <w:keepLines w:val="0"/>
        <w:pageBreakBefore w:val="0"/>
        <w:widowControl/>
        <w:kinsoku/>
        <w:wordWrap/>
        <w:overflowPunct/>
        <w:topLinePunct w:val="0"/>
        <w:autoSpaceDN/>
        <w:bidi w:val="0"/>
        <w:spacing w:beforeAutospacing="0" w:afterAutospacing="0" w:line="594" w:lineRule="exact"/>
        <w:ind w:firstLine="640" w:firstLineChars="200"/>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受委托承担辖区就失业登记管理等其他就业服务；管理辖区流动人员人事档案；协助有关部门做好职业培训和就业指导，承担申报创业担保贷款、就业补贴及审核工作；办理失业人员失业保险金的申报领取，接受领取失业保险金人员报告就业情况；受委托承担享受最低生活保障待遇人员资格审查、经济状况核查和保障金的发放工作；承办企业退休人员的社会化管理和服务工作；落实劳动和社会保障事务代理，实现“一站式”服务；承担申办困难群众医疗救助、廉租住房及补贴发放工作；承担社区居委会社会保障员、劳动保障协理员的业务指导；为群众提供公共服务和便民利民服务；协助上级部门办理延伸到街道的行政和社会管理事务；对进驻公共服务中心的工作人员进行统一管理；对社区便民服务中心的工作进行业务指导；直接受理群众反映的诉求事项和社区提交的群众反映事项，向上级提交本级无法解决的问题。</w:t>
      </w:r>
    </w:p>
    <w:p w14:paraId="3908216C">
      <w:pPr>
        <w:pStyle w:val="8"/>
        <w:keepNext w:val="0"/>
        <w:keepLines w:val="0"/>
        <w:pageBreakBefore w:val="0"/>
        <w:widowControl/>
        <w:shd w:val="clear" w:color="auto" w:fill="FFFFFF"/>
        <w:kinsoku/>
        <w:wordWrap/>
        <w:overflowPunct/>
        <w:topLinePunct w:val="0"/>
        <w:autoSpaceDN/>
        <w:bidi w:val="0"/>
        <w:spacing w:beforeAutospacing="0" w:afterAutospacing="0" w:line="594" w:lineRule="exact"/>
        <w:ind w:firstLine="640" w:firstLineChars="200"/>
        <w:textAlignment w:val="auto"/>
        <w:rPr>
          <w:rStyle w:val="11"/>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（二）机构设置</w:t>
      </w:r>
    </w:p>
    <w:p w14:paraId="1FA249CA">
      <w:pPr>
        <w:keepNext w:val="0"/>
        <w:keepLines w:val="0"/>
        <w:pageBreakBefore w:val="0"/>
        <w:widowControl/>
        <w:kinsoku/>
        <w:wordWrap/>
        <w:overflowPunct/>
        <w:topLinePunct w:val="0"/>
        <w:autoSpaceDN/>
        <w:bidi w:val="0"/>
        <w:spacing w:beforeAutospacing="0" w:afterAutospacing="0" w:line="594" w:lineRule="exact"/>
        <w:ind w:firstLine="640" w:firstLineChars="200"/>
        <w:textAlignment w:val="auto"/>
        <w:rPr>
          <w:rFonts w:hint="eastAsia" w:ascii="Times New Roman" w:hAnsi="Times New Roman" w:eastAsia="方正仿宋_GBK" w:cs="方正仿宋_GBK"/>
          <w:bCs/>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劳动就业和社会保障服务所编制5人，实有</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5</w:t>
      </w:r>
      <w:r>
        <w:rPr>
          <w:rFonts w:hint="eastAsia" w:ascii="Times New Roman" w:hAnsi="Times New Roman" w:eastAsia="方正仿宋_GBK" w:cs="方正仿宋_GBK"/>
          <w:color w:val="000000" w:themeColor="text1"/>
          <w:sz w:val="32"/>
          <w:szCs w:val="32"/>
          <w14:textFill>
            <w14:solidFill>
              <w14:schemeClr w14:val="tx1"/>
            </w14:solidFill>
          </w14:textFill>
        </w:rPr>
        <w:t>人。</w:t>
      </w:r>
    </w:p>
    <w:p w14:paraId="42ADA565">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Times New Roman" w:hAnsi="Times New Roman" w:eastAsia="方正黑体_GBK" w:cs="方正黑体_GBK"/>
          <w:b w:val="0"/>
          <w:bCs/>
          <w:color w:val="000000" w:themeColor="text1"/>
          <w:sz w:val="32"/>
          <w:szCs w:val="32"/>
          <w:shd w:val="clear" w:color="auto" w:fill="FFFFFF"/>
          <w14:textFill>
            <w14:solidFill>
              <w14:schemeClr w14:val="tx1"/>
            </w14:solidFill>
          </w14:textFill>
        </w:rPr>
      </w:pPr>
      <w:r>
        <w:rPr>
          <w:rStyle w:val="11"/>
          <w:rFonts w:hint="eastAsia" w:ascii="Times New Roman" w:hAnsi="Times New Roman" w:eastAsia="方正黑体_GBK" w:cs="方正黑体_GBK"/>
          <w:b w:val="0"/>
          <w:bCs/>
          <w:color w:val="000000" w:themeColor="text1"/>
          <w:sz w:val="32"/>
          <w:szCs w:val="32"/>
          <w:shd w:val="clear" w:color="auto" w:fill="FFFFFF"/>
          <w14:textFill>
            <w14:solidFill>
              <w14:schemeClr w14:val="tx1"/>
            </w14:solidFill>
          </w14:textFill>
        </w:rPr>
        <w:t>二、</w:t>
      </w:r>
      <w:r>
        <w:rPr>
          <w:rStyle w:val="11"/>
          <w:rFonts w:hint="eastAsia" w:ascii="Times New Roman" w:hAnsi="Times New Roman" w:eastAsia="方正黑体_GBK" w:cs="方正黑体_GBK"/>
          <w:b w:val="0"/>
          <w:bCs/>
          <w:color w:val="000000" w:themeColor="text1"/>
          <w:sz w:val="32"/>
          <w:szCs w:val="32"/>
          <w:shd w:val="clear" w:color="auto" w:fill="FFFFFF"/>
          <w:lang w:eastAsia="zh-CN"/>
          <w14:textFill>
            <w14:solidFill>
              <w14:schemeClr w14:val="tx1"/>
            </w14:solidFill>
          </w14:textFill>
        </w:rPr>
        <w:t>单位</w:t>
      </w:r>
      <w:r>
        <w:rPr>
          <w:rStyle w:val="11"/>
          <w:rFonts w:hint="eastAsia" w:ascii="Times New Roman" w:hAnsi="Times New Roman" w:eastAsia="方正黑体_GBK" w:cs="方正黑体_GBK"/>
          <w:b w:val="0"/>
          <w:bCs/>
          <w:color w:val="000000" w:themeColor="text1"/>
          <w:sz w:val="32"/>
          <w:szCs w:val="32"/>
          <w:shd w:val="clear" w:color="auto" w:fill="FFFFFF"/>
          <w14:textFill>
            <w14:solidFill>
              <w14:schemeClr w14:val="tx1"/>
            </w14:solidFill>
          </w14:textFill>
        </w:rPr>
        <w:t>决算</w:t>
      </w:r>
      <w:r>
        <w:rPr>
          <w:rStyle w:val="11"/>
          <w:rFonts w:hint="eastAsia" w:ascii="Times New Roman" w:hAnsi="Times New Roman" w:eastAsia="方正黑体_GBK" w:cs="方正黑体_GBK"/>
          <w:b w:val="0"/>
          <w:bCs/>
          <w:color w:val="000000" w:themeColor="text1"/>
          <w:sz w:val="32"/>
          <w:szCs w:val="32"/>
          <w:shd w:val="clear" w:color="auto" w:fill="FFFFFF"/>
          <w:lang w:eastAsia="zh-CN"/>
          <w14:textFill>
            <w14:solidFill>
              <w14:schemeClr w14:val="tx1"/>
            </w14:solidFill>
          </w14:textFill>
        </w:rPr>
        <w:t>收支</w:t>
      </w:r>
      <w:r>
        <w:rPr>
          <w:rStyle w:val="11"/>
          <w:rFonts w:hint="eastAsia" w:ascii="Times New Roman" w:hAnsi="Times New Roman" w:eastAsia="方正黑体_GBK" w:cs="方正黑体_GBK"/>
          <w:b w:val="0"/>
          <w:bCs/>
          <w:color w:val="000000" w:themeColor="text1"/>
          <w:sz w:val="32"/>
          <w:szCs w:val="32"/>
          <w:shd w:val="clear" w:color="auto" w:fill="FFFFFF"/>
          <w14:textFill>
            <w14:solidFill>
              <w14:schemeClr w14:val="tx1"/>
            </w14:solidFill>
          </w14:textFill>
        </w:rPr>
        <w:t>情况说明</w:t>
      </w:r>
    </w:p>
    <w:p w14:paraId="5DEF7D06">
      <w:pPr>
        <w:pStyle w:val="8"/>
        <w:keepNext w:val="0"/>
        <w:keepLines w:val="0"/>
        <w:pageBreakBefore w:val="0"/>
        <w:widowControl/>
        <w:shd w:val="clear" w:color="auto" w:fill="FFFFFF"/>
        <w:kinsoku/>
        <w:wordWrap/>
        <w:overflowPunct/>
        <w:topLinePunct w:val="0"/>
        <w:autoSpaceDN/>
        <w:bidi w:val="0"/>
        <w:spacing w:beforeAutospacing="0" w:afterAutospacing="0" w:line="594" w:lineRule="exact"/>
        <w:ind w:firstLine="640" w:firstLineChars="200"/>
        <w:textAlignment w:val="auto"/>
        <w:rPr>
          <w:rStyle w:val="11"/>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（一）收入支出决算总体情况说明</w:t>
      </w:r>
    </w:p>
    <w:p w14:paraId="50E98266">
      <w:pPr>
        <w:keepNext w:val="0"/>
        <w:keepLines w:val="0"/>
        <w:pageBreakBefore w:val="0"/>
        <w:widowControl/>
        <w:kinsoku/>
        <w:wordWrap/>
        <w:overflowPunct/>
        <w:topLinePunct w:val="0"/>
        <w:autoSpaceDN/>
        <w:bidi w:val="0"/>
        <w:spacing w:beforeAutospacing="0" w:afterAutospacing="0" w:line="594" w:lineRule="exact"/>
        <w:ind w:firstLine="643" w:firstLineChars="200"/>
        <w:jc w:val="left"/>
        <w:textAlignment w:val="auto"/>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Style w:val="11"/>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1.总体情况。</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度收入总计133.31万元，支出总计</w:t>
      </w:r>
      <w:r>
        <w:rPr>
          <w:rFonts w:hint="eastAsia" w:ascii="Times New Roman" w:hAnsi="Times New Roman" w:eastAsia="方正仿宋_GBK" w:cs="方正仿宋_GBK"/>
          <w:color w:val="000000" w:themeColor="text1"/>
          <w:sz w:val="32"/>
          <w:szCs w:val="32"/>
          <w14:textFill>
            <w14:solidFill>
              <w14:schemeClr w14:val="tx1"/>
            </w14:solidFill>
          </w14:textFill>
        </w:rPr>
        <w:t>133.31</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万元。收、支与2023年度相比，减少12.79万元，下降8.8%，主要原因是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0ACBCD62">
      <w:pPr>
        <w:keepNext w:val="0"/>
        <w:keepLines w:val="0"/>
        <w:pageBreakBefore w:val="0"/>
        <w:widowControl/>
        <w:kinsoku/>
        <w:wordWrap/>
        <w:overflowPunct/>
        <w:topLinePunct w:val="0"/>
        <w:autoSpaceDN/>
        <w:bidi w:val="0"/>
        <w:spacing w:beforeAutospacing="0" w:afterAutospacing="0" w:line="594" w:lineRule="exact"/>
        <w:ind w:firstLine="643" w:firstLineChars="200"/>
        <w:jc w:val="left"/>
        <w:textAlignment w:val="auto"/>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Style w:val="11"/>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2.收入情况。</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度收入合计133.31万元，与2023年度相比，减少12.79万元，下降8.8%，主要原因是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。其中：财政拨款收入</w:t>
      </w:r>
      <w:r>
        <w:rPr>
          <w:rFonts w:hint="eastAsia" w:ascii="Times New Roman" w:hAnsi="Times New Roman" w:eastAsia="方正仿宋_GBK" w:cs="方正仿宋_GBK"/>
          <w:color w:val="000000" w:themeColor="text1"/>
          <w:sz w:val="32"/>
          <w:szCs w:val="32"/>
          <w14:textFill>
            <w14:solidFill>
              <w14:schemeClr w14:val="tx1"/>
            </w14:solidFill>
          </w14:textFill>
        </w:rPr>
        <w:t>133.31</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万元，占</w:t>
      </w:r>
      <w:r>
        <w:rPr>
          <w:rFonts w:hint="eastAsia" w:ascii="Times New Roman" w:hAnsi="Times New Roman" w:eastAsia="方正仿宋_GBK" w:cs="方正仿宋_GBK"/>
          <w:color w:val="000000" w:themeColor="text1"/>
          <w:sz w:val="32"/>
          <w:szCs w:val="32"/>
          <w14:textFill>
            <w14:solidFill>
              <w14:schemeClr w14:val="tx1"/>
            </w14:solidFill>
          </w14:textFill>
        </w:rPr>
        <w:t>100.00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%；事业收入</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万元，占0.00%；经营收入</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万元，占0.00%；其他收入</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万元，占0.00%。此外，使用非财政拨款结余和专用结余</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万元，年初结转和结余</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w:t>
      </w:r>
    </w:p>
    <w:p w14:paraId="77AAB3EA">
      <w:pPr>
        <w:keepNext w:val="0"/>
        <w:keepLines w:val="0"/>
        <w:pageBreakBefore w:val="0"/>
        <w:widowControl/>
        <w:kinsoku/>
        <w:wordWrap/>
        <w:overflowPunct/>
        <w:topLinePunct w:val="0"/>
        <w:autoSpaceDN/>
        <w:bidi w:val="0"/>
        <w:spacing w:beforeAutospacing="0" w:afterAutospacing="0" w:line="594" w:lineRule="exact"/>
        <w:ind w:firstLine="643" w:firstLineChars="200"/>
        <w:jc w:val="left"/>
        <w:textAlignment w:val="auto"/>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Style w:val="11"/>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3.支出情况。</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度支出合计</w:t>
      </w:r>
      <w:r>
        <w:rPr>
          <w:rFonts w:hint="eastAsia" w:ascii="Times New Roman" w:hAnsi="Times New Roman" w:eastAsia="方正仿宋_GBK" w:cs="方正仿宋_GBK"/>
          <w:color w:val="000000" w:themeColor="text1"/>
          <w:sz w:val="32"/>
          <w:szCs w:val="32"/>
          <w14:textFill>
            <w14:solidFill>
              <w14:schemeClr w14:val="tx1"/>
            </w14:solidFill>
          </w14:textFill>
        </w:rPr>
        <w:t>133.31</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万元，与2023年度相比，减少12.79万元，下降8.8%，主要原因是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。其中：基本支出</w:t>
      </w:r>
      <w:r>
        <w:rPr>
          <w:rFonts w:hint="eastAsia" w:ascii="Times New Roman" w:hAnsi="Times New Roman" w:eastAsia="方正仿宋_GBK" w:cs="方正仿宋_GBK"/>
          <w:color w:val="000000" w:themeColor="text1"/>
          <w:sz w:val="32"/>
          <w:szCs w:val="32"/>
          <w14:textFill>
            <w14:solidFill>
              <w14:schemeClr w14:val="tx1"/>
            </w14:solidFill>
          </w14:textFill>
        </w:rPr>
        <w:t>133.31</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万元，占100.00%；项目支出</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万元，占0.00%；经营支出</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万元，占0.00%。此外，结余分配</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w:t>
      </w:r>
    </w:p>
    <w:p w14:paraId="56277845">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eastAsia" w:ascii="Times New Roman" w:hAnsi="Times New Roman" w:eastAsia="方正仿宋_GBK" w:cs="方正仿宋_GBK"/>
          <w:color w:val="000000" w:themeColor="text1"/>
          <w:sz w:val="32"/>
          <w:szCs w:val="32"/>
          <w:lang w:eastAsia="zh-CN"/>
          <w14:textFill>
            <w14:solidFill>
              <w14:schemeClr w14:val="tx1"/>
            </w14:solidFill>
          </w14:textFill>
        </w:rPr>
      </w:pPr>
      <w:r>
        <w:rPr>
          <w:rStyle w:val="11"/>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4.结转结余情况。</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度年末结转和结余</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万元，与2023年度相比，无增减，主要原因是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无结转结余。</w:t>
      </w:r>
    </w:p>
    <w:p w14:paraId="6C96D6A4">
      <w:pPr>
        <w:pStyle w:val="8"/>
        <w:keepNext w:val="0"/>
        <w:keepLines w:val="0"/>
        <w:pageBreakBefore w:val="0"/>
        <w:widowControl/>
        <w:shd w:val="clear" w:color="auto" w:fill="FFFFFF"/>
        <w:kinsoku/>
        <w:wordWrap/>
        <w:overflowPunct/>
        <w:topLinePunct w:val="0"/>
        <w:autoSpaceDN/>
        <w:bidi w:val="0"/>
        <w:spacing w:beforeAutospacing="0" w:afterAutospacing="0" w:line="594" w:lineRule="exact"/>
        <w:ind w:firstLine="640" w:firstLineChars="200"/>
        <w:textAlignment w:val="auto"/>
        <w:rPr>
          <w:rStyle w:val="11"/>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（二）财政拨款收入支出决算总体情况说明</w:t>
      </w:r>
    </w:p>
    <w:p w14:paraId="09CC6F16">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度财政拨款收、支总计133.31万元。与202</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3</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年相比，财政拨款收、支总计各减少12.79万元，下降8.8%。主要原因是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3D546E89">
      <w:pPr>
        <w:pStyle w:val="8"/>
        <w:keepNext w:val="0"/>
        <w:keepLines w:val="0"/>
        <w:pageBreakBefore w:val="0"/>
        <w:widowControl/>
        <w:shd w:val="clear" w:color="auto" w:fill="FFFFFF"/>
        <w:kinsoku/>
        <w:wordWrap/>
        <w:overflowPunct/>
        <w:topLinePunct w:val="0"/>
        <w:autoSpaceDN/>
        <w:bidi w:val="0"/>
        <w:spacing w:beforeAutospacing="0" w:afterAutospacing="0" w:line="594" w:lineRule="exact"/>
        <w:ind w:firstLine="640" w:firstLineChars="200"/>
        <w:textAlignment w:val="auto"/>
        <w:rPr>
          <w:rStyle w:val="11"/>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（三）一般公共预算财政拨款收入支出决算情况说明</w:t>
      </w:r>
    </w:p>
    <w:p w14:paraId="59189CE5">
      <w:pPr>
        <w:keepNext w:val="0"/>
        <w:keepLines w:val="0"/>
        <w:pageBreakBefore w:val="0"/>
        <w:widowControl/>
        <w:kinsoku/>
        <w:wordWrap/>
        <w:overflowPunct/>
        <w:topLinePunct w:val="0"/>
        <w:autoSpaceDN/>
        <w:bidi w:val="0"/>
        <w:spacing w:beforeAutospacing="0" w:afterAutospacing="0" w:line="594" w:lineRule="exact"/>
        <w:ind w:firstLine="643" w:firstLineChars="200"/>
        <w:jc w:val="left"/>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Style w:val="11"/>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1.收入情况。</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度一般公共预算财政拨款收入</w:t>
      </w:r>
      <w:r>
        <w:rPr>
          <w:rFonts w:hint="eastAsia" w:ascii="Times New Roman" w:hAnsi="Times New Roman" w:eastAsia="方正仿宋_GBK" w:cs="方正仿宋_GBK"/>
          <w:color w:val="000000" w:themeColor="text1"/>
          <w:sz w:val="32"/>
          <w:szCs w:val="32"/>
          <w14:textFill>
            <w14:solidFill>
              <w14:schemeClr w14:val="tx1"/>
            </w14:solidFill>
          </w14:textFill>
        </w:rPr>
        <w:t>133.31</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万元，与2023年度相比，减少12.79万元，下降8.8%。主要原因是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。较年初预算数增加3.13万元，增长2.4%。主要原因是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。此外，年初财政拨款结转和结余</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w:t>
      </w:r>
    </w:p>
    <w:p w14:paraId="4459E49A">
      <w:pPr>
        <w:keepNext w:val="0"/>
        <w:keepLines w:val="0"/>
        <w:pageBreakBefore w:val="0"/>
        <w:widowControl/>
        <w:kinsoku/>
        <w:wordWrap/>
        <w:overflowPunct/>
        <w:topLinePunct w:val="0"/>
        <w:autoSpaceDN/>
        <w:bidi w:val="0"/>
        <w:spacing w:beforeAutospacing="0" w:afterAutospacing="0" w:line="594" w:lineRule="exact"/>
        <w:ind w:firstLine="643" w:firstLineChars="200"/>
        <w:jc w:val="left"/>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Style w:val="11"/>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2.支出情况。</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度一般公共预算财政拨款支出</w:t>
      </w:r>
      <w:r>
        <w:rPr>
          <w:rFonts w:hint="eastAsia" w:ascii="Times New Roman" w:hAnsi="Times New Roman" w:eastAsia="方正仿宋_GBK" w:cs="方正仿宋_GBK"/>
          <w:color w:val="000000" w:themeColor="text1"/>
          <w:sz w:val="32"/>
          <w:szCs w:val="32"/>
          <w14:textFill>
            <w14:solidFill>
              <w14:schemeClr w14:val="tx1"/>
            </w14:solidFill>
          </w14:textFill>
        </w:rPr>
        <w:t>133.31</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万元，与2023年度相比，减少12.79万元，下降8.8%。主要原因是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。较年初预算数增加3.13万元，增长2.4%。主要原因是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18BA932C">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eastAsia" w:ascii="Times New Roman" w:hAnsi="Times New Roman" w:eastAsia="方正仿宋_GBK" w:cs="方正仿宋_GBK"/>
          <w:color w:val="000000" w:themeColor="text1"/>
          <w:sz w:val="32"/>
          <w:szCs w:val="32"/>
          <w:lang w:eastAsia="zh-CN"/>
          <w14:textFill>
            <w14:solidFill>
              <w14:schemeClr w14:val="tx1"/>
            </w14:solidFill>
          </w14:textFill>
        </w:rPr>
      </w:pPr>
      <w:r>
        <w:rPr>
          <w:rStyle w:val="11"/>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3.结转结余情况。</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度年末一般公共预算财政拨款结转和结余</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万元，与2023年度相比，无增减，主要原因是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无结转结余。</w:t>
      </w:r>
    </w:p>
    <w:p w14:paraId="60EAA0BC">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eastAsia" w:ascii="Times New Roman" w:hAnsi="Times New Roman" w:eastAsia="方正仿宋_GBK" w:cs="方正仿宋_GBK"/>
          <w:color w:val="000000" w:themeColor="text1"/>
          <w:sz w:val="32"/>
          <w:szCs w:val="32"/>
          <w:highlight w:val="cyan"/>
          <w:shd w:val="clear" w:color="auto" w:fill="FFFFFF"/>
          <w14:textFill>
            <w14:solidFill>
              <w14:schemeClr w14:val="tx1"/>
            </w14:solidFill>
          </w14:textFill>
        </w:rPr>
      </w:pPr>
      <w:r>
        <w:rPr>
          <w:rStyle w:val="11"/>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 xml:space="preserve"> 4.比较情况。</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本</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单位2024年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度一般公共预算财政拨款支出主要用于以下几个方面：</w:t>
      </w:r>
    </w:p>
    <w:p w14:paraId="3CFEA1F8">
      <w:pPr>
        <w:keepNext w:val="0"/>
        <w:keepLines w:val="0"/>
        <w:pageBreakBefore w:val="0"/>
        <w:widowControl/>
        <w:kinsoku/>
        <w:wordWrap/>
        <w:overflowPunct/>
        <w:topLinePunct w:val="0"/>
        <w:autoSpaceDN/>
        <w:bidi w:val="0"/>
        <w:spacing w:beforeAutospacing="0" w:afterAutospacing="0" w:line="594" w:lineRule="exact"/>
        <w:ind w:firstLine="640" w:firstLineChars="200"/>
        <w:jc w:val="left"/>
        <w:textAlignment w:val="auto"/>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1</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）社会保障与就业支出</w:t>
      </w:r>
      <w:r>
        <w:rPr>
          <w:rFonts w:hint="eastAsia" w:ascii="Times New Roman" w:hAnsi="Times New Roman" w:eastAsia="方正仿宋_GBK" w:cs="方正仿宋_GBK"/>
          <w:color w:val="000000" w:themeColor="text1"/>
          <w:sz w:val="32"/>
          <w:szCs w:val="32"/>
          <w14:textFill>
            <w14:solidFill>
              <w14:schemeClr w14:val="tx1"/>
            </w14:solidFill>
          </w14:textFill>
        </w:rPr>
        <w:t>123.25</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万元，占</w:t>
      </w:r>
      <w:r>
        <w:rPr>
          <w:rFonts w:hint="eastAsia" w:ascii="Times New Roman" w:hAnsi="Times New Roman" w:eastAsia="方正仿宋_GBK" w:cs="方正仿宋_GBK"/>
          <w:color w:val="000000" w:themeColor="text1"/>
          <w:sz w:val="32"/>
          <w:szCs w:val="32"/>
          <w14:textFill>
            <w14:solidFill>
              <w14:schemeClr w14:val="tx1"/>
            </w14:solidFill>
          </w14:textFill>
        </w:rPr>
        <w:t>92.45</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%，较年初预算数增加4.69万元，增长4.0%，主要原因是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53F6050E">
      <w:pPr>
        <w:keepNext w:val="0"/>
        <w:keepLines w:val="0"/>
        <w:pageBreakBefore w:val="0"/>
        <w:widowControl/>
        <w:kinsoku/>
        <w:wordWrap/>
        <w:overflowPunct/>
        <w:topLinePunct w:val="0"/>
        <w:autoSpaceDN/>
        <w:bidi w:val="0"/>
        <w:spacing w:beforeAutospacing="0" w:afterAutospacing="0" w:line="594" w:lineRule="exact"/>
        <w:ind w:firstLine="640" w:firstLineChars="200"/>
        <w:jc w:val="left"/>
        <w:textAlignment w:val="auto"/>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2</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）卫生健康支出</w:t>
      </w:r>
      <w:r>
        <w:rPr>
          <w:rFonts w:hint="eastAsia" w:ascii="Times New Roman" w:hAnsi="Times New Roman" w:eastAsia="方正仿宋_GBK" w:cs="方正仿宋_GBK"/>
          <w:color w:val="000000" w:themeColor="text1"/>
          <w:sz w:val="32"/>
          <w:szCs w:val="32"/>
          <w14:textFill>
            <w14:solidFill>
              <w14:schemeClr w14:val="tx1"/>
            </w14:solidFill>
          </w14:textFill>
        </w:rPr>
        <w:t>3.36</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万元，占</w:t>
      </w:r>
      <w:r>
        <w:rPr>
          <w:rFonts w:hint="eastAsia" w:ascii="Times New Roman" w:hAnsi="Times New Roman" w:eastAsia="方正仿宋_GBK" w:cs="方正仿宋_GBK"/>
          <w:color w:val="000000" w:themeColor="text1"/>
          <w:sz w:val="32"/>
          <w:szCs w:val="32"/>
          <w14:textFill>
            <w14:solidFill>
              <w14:schemeClr w14:val="tx1"/>
            </w14:solidFill>
          </w14:textFill>
        </w:rPr>
        <w:t>2.52</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%，较年初预算数减少1.08万元，下降24.3%，主要原因是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46460C8D">
      <w:pPr>
        <w:keepNext w:val="0"/>
        <w:keepLines w:val="0"/>
        <w:pageBreakBefore w:val="0"/>
        <w:widowControl/>
        <w:kinsoku/>
        <w:wordWrap/>
        <w:overflowPunct/>
        <w:topLinePunct w:val="0"/>
        <w:autoSpaceDN/>
        <w:bidi w:val="0"/>
        <w:spacing w:beforeAutospacing="0" w:afterAutospacing="0" w:line="594" w:lineRule="exact"/>
        <w:ind w:firstLine="640" w:firstLineChars="200"/>
        <w:jc w:val="left"/>
        <w:textAlignment w:val="auto"/>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3</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住房保障支出6.70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万元，占</w:t>
      </w:r>
      <w:r>
        <w:rPr>
          <w:rFonts w:hint="eastAsia" w:ascii="Times New Roman" w:hAnsi="Times New Roman" w:eastAsia="方正仿宋_GBK" w:cs="方正仿宋_GBK"/>
          <w:color w:val="000000" w:themeColor="text1"/>
          <w:sz w:val="32"/>
          <w:szCs w:val="32"/>
          <w14:textFill>
            <w14:solidFill>
              <w14:schemeClr w14:val="tx1"/>
            </w14:solidFill>
          </w14:textFill>
        </w:rPr>
        <w:t>5.03</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%，较年初预算数减少0.47万元，下降6.6%，主要原因是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1A4B2FDF">
      <w:pPr>
        <w:pStyle w:val="8"/>
        <w:keepNext w:val="0"/>
        <w:keepLines w:val="0"/>
        <w:pageBreakBefore w:val="0"/>
        <w:widowControl/>
        <w:shd w:val="clear" w:color="auto" w:fill="FFFFFF"/>
        <w:kinsoku/>
        <w:wordWrap/>
        <w:overflowPunct/>
        <w:topLinePunct w:val="0"/>
        <w:autoSpaceDN/>
        <w:bidi w:val="0"/>
        <w:spacing w:beforeAutospacing="0" w:afterAutospacing="0" w:line="594" w:lineRule="exact"/>
        <w:ind w:firstLine="640" w:firstLineChars="200"/>
        <w:textAlignment w:val="auto"/>
        <w:rPr>
          <w:rStyle w:val="11"/>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（四）一般公共预算财政拨款基本支出决算情况说明</w:t>
      </w:r>
    </w:p>
    <w:p w14:paraId="14CF94E5">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 </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度一般公共财政拨款基本支出</w:t>
      </w:r>
      <w:r>
        <w:rPr>
          <w:rFonts w:hint="eastAsia" w:ascii="Times New Roman" w:hAnsi="Times New Roman" w:eastAsia="方正仿宋_GBK" w:cs="方正仿宋_GBK"/>
          <w:color w:val="000000" w:themeColor="text1"/>
          <w:sz w:val="32"/>
          <w:szCs w:val="32"/>
          <w14:textFill>
            <w14:solidFill>
              <w14:schemeClr w14:val="tx1"/>
            </w14:solidFill>
          </w14:textFill>
        </w:rPr>
        <w:t>133.31</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万元。其中：人员经费</w:t>
      </w:r>
      <w:r>
        <w:rPr>
          <w:rFonts w:hint="eastAsia" w:ascii="Times New Roman" w:hAnsi="Times New Roman" w:eastAsia="方正仿宋_GBK" w:cs="方正仿宋_GBK"/>
          <w:color w:val="000000" w:themeColor="text1"/>
          <w:sz w:val="32"/>
          <w:szCs w:val="32"/>
          <w14:textFill>
            <w14:solidFill>
              <w14:schemeClr w14:val="tx1"/>
            </w14:solidFill>
          </w14:textFill>
        </w:rPr>
        <w:t>113.11</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万元，与2023年度相比，减少7.68万元，下降6.4%，主要原因是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。人员经费用途主要包括</w:t>
      </w:r>
      <w:r>
        <w:rPr>
          <w:rFonts w:hint="eastAsia" w:ascii="Times New Roman" w:hAnsi="Times New Roman" w:eastAsia="方正仿宋_GBK" w:cs="方正仿宋_GBK"/>
          <w:bCs/>
          <w:color w:val="000000" w:themeColor="text1"/>
          <w:sz w:val="32"/>
          <w:szCs w:val="32"/>
          <w14:textFill>
            <w14:solidFill>
              <w14:schemeClr w14:val="tx1"/>
            </w14:solidFill>
          </w14:textFill>
        </w:rPr>
        <w:t>基本工资、津贴补贴、奖金、社会保障缴费等</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。公用经费</w:t>
      </w:r>
      <w:r>
        <w:rPr>
          <w:rFonts w:hint="eastAsia" w:ascii="Times New Roman" w:hAnsi="Times New Roman" w:eastAsia="方正仿宋_GBK" w:cs="方正仿宋_GBK"/>
          <w:color w:val="000000" w:themeColor="text1"/>
          <w:sz w:val="32"/>
          <w:szCs w:val="32"/>
          <w14:textFill>
            <w14:solidFill>
              <w14:schemeClr w14:val="tx1"/>
            </w14:solidFill>
          </w14:textFill>
        </w:rPr>
        <w:t>20.20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万元，与2023年度相比，减少5.11万元，下降20.2%，主要原因是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办公、印刷等费用支出减少</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。公用经费用途主要包括</w:t>
      </w:r>
      <w:r>
        <w:rPr>
          <w:rFonts w:hint="eastAsia" w:ascii="Times New Roman" w:hAnsi="Times New Roman" w:eastAsia="方正仿宋_GBK" w:cs="方正仿宋_GBK"/>
          <w:bCs/>
          <w:color w:val="000000" w:themeColor="text1"/>
          <w:sz w:val="32"/>
          <w:szCs w:val="32"/>
          <w14:textFill>
            <w14:solidFill>
              <w14:schemeClr w14:val="tx1"/>
            </w14:solidFill>
          </w14:textFill>
        </w:rPr>
        <w:t>办公费、印刷费、咨询费、手续费等</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5FDADBF9">
      <w:pPr>
        <w:pStyle w:val="8"/>
        <w:keepNext w:val="0"/>
        <w:keepLines w:val="0"/>
        <w:pageBreakBefore w:val="0"/>
        <w:widowControl/>
        <w:shd w:val="clear" w:color="auto" w:fill="FFFFFF"/>
        <w:kinsoku/>
        <w:wordWrap/>
        <w:overflowPunct/>
        <w:topLinePunct w:val="0"/>
        <w:autoSpaceDN/>
        <w:bidi w:val="0"/>
        <w:spacing w:beforeAutospacing="0" w:afterAutospacing="0" w:line="594" w:lineRule="exact"/>
        <w:ind w:firstLine="640" w:firstLineChars="200"/>
        <w:textAlignment w:val="auto"/>
        <w:rPr>
          <w:rStyle w:val="11"/>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（五）政府性基金预算收支决算情况说明</w:t>
      </w:r>
    </w:p>
    <w:p w14:paraId="312957A4">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度政府性基金预算财政拨款年初结转结余</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万元，年末结转结余</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万元。本年收入</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万元，与2023年度相比，无增减，主要原因是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本单位</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2024年度无政府性基金预算财政拨款收支。</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本年支出</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万元，与2023年度相比，无增减，主要原因是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本单位</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2024年度无政府性基金预算财政拨款收支。</w:t>
      </w:r>
    </w:p>
    <w:p w14:paraId="1B88EEF8">
      <w:pPr>
        <w:pStyle w:val="8"/>
        <w:keepNext w:val="0"/>
        <w:keepLines w:val="0"/>
        <w:pageBreakBefore w:val="0"/>
        <w:widowControl/>
        <w:shd w:val="clear" w:color="auto" w:fill="FFFFFF"/>
        <w:kinsoku/>
        <w:wordWrap/>
        <w:overflowPunct/>
        <w:topLinePunct w:val="0"/>
        <w:autoSpaceDN/>
        <w:bidi w:val="0"/>
        <w:spacing w:beforeAutospacing="0" w:afterAutospacing="0" w:line="594" w:lineRule="exact"/>
        <w:ind w:firstLine="640" w:firstLineChars="200"/>
        <w:textAlignment w:val="auto"/>
        <w:rPr>
          <w:rStyle w:val="11"/>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（六）国有资本经营预算财政拨款支出决算情况说明</w:t>
      </w:r>
    </w:p>
    <w:p w14:paraId="385224C6">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 </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度国有资本经营预算财政拨本年支出</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万元，基本支出</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万元，项目支出</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万元，主要用途用于</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本单位</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2024年度无国有资本经营预算财政拨款支出。</w:t>
      </w:r>
    </w:p>
    <w:p w14:paraId="7B4E1322">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Times New Roman" w:hAnsi="Times New Roman" w:eastAsia="方正黑体_GBK" w:cs="方正黑体_GBK"/>
          <w:b w:val="0"/>
          <w:bCs/>
          <w:color w:val="000000" w:themeColor="text1"/>
          <w:sz w:val="32"/>
          <w:szCs w:val="32"/>
          <w:shd w:val="clear" w:color="auto" w:fill="FFFFFF"/>
          <w14:textFill>
            <w14:solidFill>
              <w14:schemeClr w14:val="tx1"/>
            </w14:solidFill>
          </w14:textFill>
        </w:rPr>
      </w:pPr>
      <w:r>
        <w:rPr>
          <w:rStyle w:val="11"/>
          <w:rFonts w:hint="eastAsia" w:ascii="Times New Roman" w:hAnsi="Times New Roman" w:eastAsia="方正黑体_GBK" w:cs="方正黑体_GBK"/>
          <w:b w:val="0"/>
          <w:bCs/>
          <w:color w:val="000000" w:themeColor="text1"/>
          <w:sz w:val="32"/>
          <w:szCs w:val="32"/>
          <w:shd w:val="clear" w:color="auto" w:fill="FFFFFF"/>
          <w14:textFill>
            <w14:solidFill>
              <w14:schemeClr w14:val="tx1"/>
            </w14:solidFill>
          </w14:textFill>
        </w:rPr>
        <w:t>三、</w:t>
      </w:r>
      <w:r>
        <w:rPr>
          <w:rStyle w:val="11"/>
          <w:rFonts w:hint="eastAsia" w:ascii="Times New Roman" w:hAnsi="Times New Roman" w:eastAsia="方正黑体_GBK" w:cs="方正黑体_GBK"/>
          <w:b w:val="0"/>
          <w:bCs/>
          <w:color w:val="000000" w:themeColor="text1"/>
          <w:sz w:val="32"/>
          <w:szCs w:val="32"/>
          <w:shd w:val="clear" w:color="auto" w:fill="FFFFFF"/>
          <w:lang w:eastAsia="zh-CN"/>
          <w14:textFill>
            <w14:solidFill>
              <w14:schemeClr w14:val="tx1"/>
            </w14:solidFill>
          </w14:textFill>
        </w:rPr>
        <w:t>财政拨款</w:t>
      </w:r>
      <w:r>
        <w:rPr>
          <w:rStyle w:val="11"/>
          <w:rFonts w:hint="eastAsia" w:ascii="Times New Roman" w:hAnsi="Times New Roman" w:eastAsia="方正黑体_GBK" w:cs="方正黑体_GBK"/>
          <w:b w:val="0"/>
          <w:bCs/>
          <w:color w:val="000000" w:themeColor="text1"/>
          <w:sz w:val="32"/>
          <w:szCs w:val="32"/>
          <w:shd w:val="clear" w:color="auto" w:fill="FFFFFF"/>
          <w14:textFill>
            <w14:solidFill>
              <w14:schemeClr w14:val="tx1"/>
            </w14:solidFill>
          </w14:textFill>
        </w:rPr>
        <w:t>“三公”经费情况说明</w:t>
      </w:r>
    </w:p>
    <w:p w14:paraId="201673F6">
      <w:pPr>
        <w:pStyle w:val="8"/>
        <w:keepNext w:val="0"/>
        <w:keepLines w:val="0"/>
        <w:pageBreakBefore w:val="0"/>
        <w:widowControl/>
        <w:shd w:val="clear" w:color="auto" w:fill="FFFFFF"/>
        <w:kinsoku/>
        <w:wordWrap/>
        <w:overflowPunct/>
        <w:topLinePunct w:val="0"/>
        <w:autoSpaceDN/>
        <w:bidi w:val="0"/>
        <w:spacing w:beforeAutospacing="0" w:afterAutospacing="0" w:line="594" w:lineRule="exact"/>
        <w:ind w:firstLine="640" w:firstLineChars="200"/>
        <w:textAlignment w:val="auto"/>
        <w:rPr>
          <w:rStyle w:val="11"/>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（一）“三公”经费支出总体情况说明</w:t>
      </w:r>
    </w:p>
    <w:p w14:paraId="52ACEF57">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度“三公”经费支出共计</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万元，较年初预算数无增减，主要原因是本单位本年度无“三公”经费支出。较上年支出数无增减，主要原因是本单位本年度无“三公”经费支出。</w:t>
      </w:r>
    </w:p>
    <w:p w14:paraId="2C64C4EA">
      <w:pPr>
        <w:pStyle w:val="8"/>
        <w:keepNext w:val="0"/>
        <w:keepLines w:val="0"/>
        <w:pageBreakBefore w:val="0"/>
        <w:widowControl/>
        <w:numPr>
          <w:ilvl w:val="0"/>
          <w:numId w:val="0"/>
        </w:numPr>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val="0"/>
          <w:color w:val="000000" w:themeColor="text1"/>
          <w:sz w:val="32"/>
          <w:szCs w:val="32"/>
          <w:shd w:val="clear" w:fill="FFFFFF"/>
          <w:lang w:val="en-US" w:eastAsia="zh-CN" w:bidi="ar-SA"/>
          <w14:textFill>
            <w14:solidFill>
              <w14:schemeClr w14:val="tx1"/>
            </w14:solidFill>
          </w14:textFill>
        </w:rPr>
        <w:t>（二）</w:t>
      </w:r>
      <w:r>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t>“三公”经费分项支出情况</w:t>
      </w:r>
    </w:p>
    <w:p w14:paraId="0295AA55">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度本</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单位</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因公出国（境）费用</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万元，主要是用于</w:t>
      </w:r>
      <w:r>
        <w:rPr>
          <w:rFonts w:hint="eastAsia" w:ascii="Times New Roman" w:hAnsi="Times New Roman" w:eastAsia="方正仿宋_GBK" w:cs="方正仿宋_GBK"/>
          <w:bCs/>
          <w:color w:val="000000" w:themeColor="text1"/>
          <w:sz w:val="32"/>
          <w:szCs w:val="32"/>
          <w14:textFill>
            <w14:solidFill>
              <w14:schemeClr w14:val="tx1"/>
            </w14:solidFill>
          </w14:textFill>
        </w:rPr>
        <w:t>因公出国（境）费用</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。费用支出较年初预算数无增减，主要原因是本单位本年度</w:t>
      </w:r>
      <w:r>
        <w:rPr>
          <w:rFonts w:hint="eastAsia" w:ascii="Times New Roman" w:hAnsi="Times New Roman" w:eastAsia="方正仿宋_GBK" w:cs="方正仿宋_GBK"/>
          <w:bCs/>
          <w:color w:val="000000" w:themeColor="text1"/>
          <w:sz w:val="32"/>
          <w:szCs w:val="32"/>
          <w14:textFill>
            <w14:solidFill>
              <w14:schemeClr w14:val="tx1"/>
            </w14:solidFill>
          </w14:textFill>
        </w:rPr>
        <w:t>未发生因公出国（境）支出</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。较上年支出数无增减，主要原因是本单位本年度</w:t>
      </w:r>
      <w:r>
        <w:rPr>
          <w:rFonts w:hint="eastAsia" w:ascii="Times New Roman" w:hAnsi="Times New Roman" w:eastAsia="方正仿宋_GBK" w:cs="方正仿宋_GBK"/>
          <w:bCs/>
          <w:color w:val="000000" w:themeColor="text1"/>
          <w:sz w:val="32"/>
          <w:szCs w:val="32"/>
          <w14:textFill>
            <w14:solidFill>
              <w14:schemeClr w14:val="tx1"/>
            </w14:solidFill>
          </w14:textFill>
        </w:rPr>
        <w:t>未发生因公出国（境）支出</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09D11038">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 公务车购置费</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万元，主要用于</w:t>
      </w:r>
      <w:r>
        <w:rPr>
          <w:rFonts w:hint="eastAsia" w:ascii="Times New Roman" w:hAnsi="Times New Roman" w:eastAsia="方正仿宋_GBK" w:cs="方正仿宋_GBK"/>
          <w:bCs/>
          <w:color w:val="000000" w:themeColor="text1"/>
          <w:sz w:val="32"/>
          <w:szCs w:val="32"/>
          <w14:textFill>
            <w14:solidFill>
              <w14:schemeClr w14:val="tx1"/>
            </w14:solidFill>
          </w14:textFill>
        </w:rPr>
        <w:t>购置公务车</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。费用支出较年初预算数无增减，主要原因是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本单位本年度未发生公务车购置费</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。较上年支出数无增减，主要原因是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本单位本年度未发生公务车购置费</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23B8EC90">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 公务车运行维护费</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万元，主要用于</w:t>
      </w:r>
      <w:r>
        <w:rPr>
          <w:rFonts w:hint="eastAsia" w:ascii="Times New Roman" w:hAnsi="Times New Roman" w:eastAsia="方正仿宋_GBK" w:cs="方正仿宋_GBK"/>
          <w:bCs/>
          <w:color w:val="000000" w:themeColor="text1"/>
          <w:sz w:val="32"/>
          <w:szCs w:val="32"/>
          <w14:textFill>
            <w14:solidFill>
              <w14:schemeClr w14:val="tx1"/>
            </w14:solidFill>
          </w14:textFill>
        </w:rPr>
        <w:t>机要文件交换、市内因公出行、财政业务检查等工作所需车辆的燃料费、维修费、过桥过路费、保险费等</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。费用支出较年初预算数无增减，主要原因是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本单位本年度无公务车运行维护</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。较上年支出数无增减，主要原因是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本单位本年度无公务车运行维护</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73356872">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 公务接待费</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万元，主要用于接待</w:t>
      </w:r>
      <w:r>
        <w:rPr>
          <w:rFonts w:hint="eastAsia" w:ascii="Times New Roman" w:hAnsi="Times New Roman" w:eastAsia="方正仿宋_GBK" w:cs="方正仿宋_GBK"/>
          <w:bCs/>
          <w:color w:val="000000" w:themeColor="text1"/>
          <w:sz w:val="32"/>
          <w:szCs w:val="32"/>
          <w14:textFill>
            <w14:solidFill>
              <w14:schemeClr w14:val="tx1"/>
            </w14:solidFill>
          </w14:textFill>
        </w:rPr>
        <w:t>因工作需要的接待费用</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。费用支出较年初预算数无增减，主要原因是本单位本年度</w:t>
      </w:r>
      <w:r>
        <w:rPr>
          <w:rFonts w:hint="eastAsia" w:ascii="Times New Roman" w:hAnsi="Times New Roman" w:eastAsia="方正仿宋_GBK" w:cs="方正仿宋_GBK"/>
          <w:bCs/>
          <w:color w:val="000000" w:themeColor="text1"/>
          <w:sz w:val="32"/>
          <w:szCs w:val="32"/>
          <w14:textFill>
            <w14:solidFill>
              <w14:schemeClr w14:val="tx1"/>
            </w14:solidFill>
          </w14:textFill>
        </w:rPr>
        <w:t>未发生因公接待费用</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。较上年支出数无增减，主要原因是本单位本年度</w:t>
      </w:r>
      <w:r>
        <w:rPr>
          <w:rFonts w:hint="eastAsia" w:ascii="Times New Roman" w:hAnsi="Times New Roman" w:eastAsia="方正仿宋_GBK" w:cs="方正仿宋_GBK"/>
          <w:bCs/>
          <w:color w:val="000000" w:themeColor="text1"/>
          <w:sz w:val="32"/>
          <w:szCs w:val="32"/>
          <w14:textFill>
            <w14:solidFill>
              <w14:schemeClr w14:val="tx1"/>
            </w14:solidFill>
          </w14:textFill>
        </w:rPr>
        <w:t>未发生因公接待费用</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06A01877">
      <w:pPr>
        <w:pStyle w:val="8"/>
        <w:keepNext w:val="0"/>
        <w:keepLines w:val="0"/>
        <w:pageBreakBefore w:val="0"/>
        <w:widowControl/>
        <w:shd w:val="clear" w:color="auto" w:fill="FFFFFF"/>
        <w:kinsoku/>
        <w:wordWrap/>
        <w:overflowPunct/>
        <w:topLinePunct w:val="0"/>
        <w:autoSpaceDN/>
        <w:bidi w:val="0"/>
        <w:spacing w:beforeAutospacing="0" w:afterAutospacing="0" w:line="594" w:lineRule="exact"/>
        <w:ind w:firstLine="640" w:firstLineChars="200"/>
        <w:textAlignment w:val="auto"/>
        <w:rPr>
          <w:rStyle w:val="11"/>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（三）“三公”经费实物量情况</w:t>
      </w:r>
    </w:p>
    <w:p w14:paraId="2D4220CC">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 xml:space="preserve">  </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度本</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单位</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因公出国（境）共计</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个团组，</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人；公务用车购置</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辆，公务车保有量为</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辆；国内公务接待</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批次</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人，其中：国内外事接待</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批次，</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人；国（境）外公务接待</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批次，</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人。</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本</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单位</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人均接待费</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元，车均购置费</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万元，车均维护费</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w:t>
      </w:r>
    </w:p>
    <w:p w14:paraId="44CC073A">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Times New Roman" w:hAnsi="Times New Roman" w:eastAsia="方正黑体_GBK" w:cs="方正黑体_GBK"/>
          <w:b w:val="0"/>
          <w:bCs/>
          <w:color w:val="000000" w:themeColor="text1"/>
          <w:sz w:val="32"/>
          <w:szCs w:val="32"/>
          <w:shd w:val="clear" w:color="auto" w:fill="FFFFFF"/>
          <w14:textFill>
            <w14:solidFill>
              <w14:schemeClr w14:val="tx1"/>
            </w14:solidFill>
          </w14:textFill>
        </w:rPr>
      </w:pPr>
      <w:r>
        <w:rPr>
          <w:rStyle w:val="11"/>
          <w:rFonts w:hint="eastAsia" w:ascii="Times New Roman" w:hAnsi="Times New Roman" w:eastAsia="方正黑体_GBK" w:cs="方正黑体_GBK"/>
          <w:b w:val="0"/>
          <w:bCs/>
          <w:color w:val="000000" w:themeColor="text1"/>
          <w:sz w:val="32"/>
          <w:szCs w:val="32"/>
          <w:shd w:val="clear" w:color="auto" w:fill="FFFFFF"/>
          <w14:textFill>
            <w14:solidFill>
              <w14:schemeClr w14:val="tx1"/>
            </w14:solidFill>
          </w14:textFill>
        </w:rPr>
        <w:t>四、其他需要说明的事项</w:t>
      </w:r>
    </w:p>
    <w:p w14:paraId="08B3B1F4">
      <w:pPr>
        <w:pStyle w:val="8"/>
        <w:keepNext w:val="0"/>
        <w:keepLines w:val="0"/>
        <w:pageBreakBefore w:val="0"/>
        <w:widowControl/>
        <w:shd w:val="clear" w:color="auto" w:fill="FFFFFF"/>
        <w:kinsoku/>
        <w:wordWrap/>
        <w:overflowPunct/>
        <w:topLinePunct w:val="0"/>
        <w:autoSpaceDN/>
        <w:bidi w:val="0"/>
        <w:spacing w:beforeAutospacing="0" w:afterAutospacing="0" w:line="594" w:lineRule="exact"/>
        <w:ind w:firstLine="640" w:firstLineChars="200"/>
        <w:textAlignment w:val="auto"/>
        <w:rPr>
          <w:rStyle w:val="11"/>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（一）财政拨款会议费和培训费情况说明</w:t>
      </w:r>
    </w:p>
    <w:p w14:paraId="730070D8">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本年度会议费支出</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万元，与2023年度相比，无增减，主要原因是本单位本年度未发生会议费。本年度培训费支出</w:t>
      </w:r>
      <w:r>
        <w:rPr>
          <w:rFonts w:hint="eastAsia" w:ascii="Times New Roman" w:hAnsi="Times New Roman" w:eastAsia="方正仿宋_GBK" w:cs="方正仿宋_GBK"/>
          <w:color w:val="000000" w:themeColor="text1"/>
          <w:sz w:val="32"/>
          <w:szCs w:val="32"/>
          <w14:textFill>
            <w14:solidFill>
              <w14:schemeClr w14:val="tx1"/>
            </w14:solidFill>
          </w14:textFill>
        </w:rPr>
        <w:t>5.36</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万元，与2023年度相比，增加4.90万元，增长1065.2%，主要原因是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培训次数增加。</w:t>
      </w:r>
    </w:p>
    <w:p w14:paraId="2F6B6A2E">
      <w:pPr>
        <w:pStyle w:val="8"/>
        <w:keepNext w:val="0"/>
        <w:keepLines w:val="0"/>
        <w:pageBreakBefore w:val="0"/>
        <w:widowControl/>
        <w:shd w:val="clear" w:color="auto" w:fill="FFFFFF"/>
        <w:kinsoku/>
        <w:wordWrap/>
        <w:overflowPunct/>
        <w:topLinePunct w:val="0"/>
        <w:autoSpaceDN/>
        <w:bidi w:val="0"/>
        <w:spacing w:beforeAutospacing="0" w:afterAutospacing="0" w:line="594" w:lineRule="exact"/>
        <w:ind w:firstLine="640" w:firstLineChars="200"/>
        <w:textAlignment w:val="auto"/>
        <w:rPr>
          <w:rStyle w:val="11"/>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（二）机关运行经费情况说明</w:t>
      </w:r>
    </w:p>
    <w:p w14:paraId="1EAECB8C">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度本</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单位</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机关运行经费支出</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万元，机关运行经费主要用于开支</w:t>
      </w:r>
      <w:r>
        <w:rPr>
          <w:rFonts w:hint="eastAsia" w:ascii="Times New Roman" w:hAnsi="Times New Roman" w:eastAsia="方正仿宋_GBK" w:cs="方正仿宋_GBK"/>
          <w:bCs/>
          <w:color w:val="000000" w:themeColor="text1"/>
          <w:sz w:val="32"/>
          <w:szCs w:val="32"/>
          <w14:textFill>
            <w14:solidFill>
              <w14:schemeClr w14:val="tx1"/>
            </w14:solidFill>
          </w14:textFill>
        </w:rPr>
        <w:t>电费、劳务费、办公费、印刷费、物业管理、食堂等</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。机关运行经费较上年支出数无增减，主要原因是</w:t>
      </w:r>
      <w:r>
        <w:rPr>
          <w:rFonts w:hint="eastAsia" w:ascii="Times New Roman" w:hAnsi="Times New Roman" w:eastAsia="方正仿宋_GBK" w:cs="方正仿宋_GBK"/>
          <w:color w:val="000000" w:themeColor="text1"/>
          <w:sz w:val="32"/>
          <w:szCs w:val="32"/>
          <w14:textFill>
            <w14:solidFill>
              <w14:schemeClr w14:val="tx1"/>
            </w14:solidFill>
          </w14:textFill>
        </w:rPr>
        <w:t>按照</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单位</w:t>
      </w:r>
      <w:r>
        <w:rPr>
          <w:rFonts w:hint="eastAsia" w:ascii="Times New Roman" w:hAnsi="Times New Roman" w:eastAsia="方正仿宋_GBK" w:cs="方正仿宋_GBK"/>
          <w:color w:val="000000" w:themeColor="text1"/>
          <w:sz w:val="32"/>
          <w:szCs w:val="32"/>
          <w14:textFill>
            <w14:solidFill>
              <w14:schemeClr w14:val="tx1"/>
            </w14:solidFill>
          </w14:textFill>
        </w:rPr>
        <w:t>决算列报口径，我单位不在机关运行经费统计范围之内。</w:t>
      </w:r>
    </w:p>
    <w:p w14:paraId="1E665144">
      <w:pPr>
        <w:pStyle w:val="8"/>
        <w:keepNext w:val="0"/>
        <w:keepLines w:val="0"/>
        <w:pageBreakBefore w:val="0"/>
        <w:widowControl/>
        <w:shd w:val="clear" w:color="auto" w:fill="FFFFFF"/>
        <w:kinsoku/>
        <w:wordWrap/>
        <w:overflowPunct/>
        <w:topLinePunct w:val="0"/>
        <w:autoSpaceDN/>
        <w:bidi w:val="0"/>
        <w:spacing w:beforeAutospacing="0" w:afterAutospacing="0" w:line="594" w:lineRule="exact"/>
        <w:ind w:firstLine="640" w:firstLineChars="200"/>
        <w:textAlignment w:val="auto"/>
        <w:rPr>
          <w:rStyle w:val="11"/>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（三）国有资产占用情况说明</w:t>
      </w:r>
    </w:p>
    <w:p w14:paraId="40ED330F">
      <w:pPr>
        <w:keepNext w:val="0"/>
        <w:keepLines w:val="0"/>
        <w:pageBreakBefore w:val="0"/>
        <w:widowControl/>
        <w:kinsoku/>
        <w:wordWrap/>
        <w:overflowPunct/>
        <w:topLinePunct w:val="0"/>
        <w:autoSpaceDN/>
        <w:bidi w:val="0"/>
        <w:spacing w:beforeAutospacing="0" w:afterAutospacing="0" w:line="594" w:lineRule="exact"/>
        <w:ind w:firstLine="640" w:firstLineChars="200"/>
        <w:jc w:val="left"/>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截至</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12月31日，本</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单位</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共有车辆</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辆，其中，副部（省）级及以上领导用车</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辆、主要负责人用车</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辆、机要通信用车</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辆、应急保障用车</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辆、执法执勤用车</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辆，特种专业技术用车</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辆，离退休干部用车</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辆。单价100万元（含）以上专用设备</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台（套）。</w:t>
      </w:r>
    </w:p>
    <w:p w14:paraId="51AD2AB0">
      <w:pPr>
        <w:pStyle w:val="8"/>
        <w:keepNext w:val="0"/>
        <w:keepLines w:val="0"/>
        <w:pageBreakBefore w:val="0"/>
        <w:widowControl/>
        <w:shd w:val="clear" w:color="auto" w:fill="FFFFFF"/>
        <w:kinsoku/>
        <w:wordWrap/>
        <w:overflowPunct/>
        <w:topLinePunct w:val="0"/>
        <w:autoSpaceDN/>
        <w:bidi w:val="0"/>
        <w:spacing w:beforeAutospacing="0" w:afterAutospacing="0" w:line="594" w:lineRule="exact"/>
        <w:ind w:firstLine="640" w:firstLineChars="200"/>
        <w:textAlignment w:val="auto"/>
        <w:rPr>
          <w:rStyle w:val="11"/>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（四）政府采购支出情况说明</w:t>
      </w:r>
    </w:p>
    <w:p w14:paraId="35283328">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度本</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单位</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政府采购支出总额</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万元，其中：政府采购货物支出</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万元、政府采购工程支出</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万元、政府采购服务支出</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万元。授予中小企业合同金额</w:t>
      </w:r>
      <w:r>
        <w:rPr>
          <w:rFonts w:hint="eastAsia" w:ascii="Times New Roman" w:hAnsi="Times New Roman" w:eastAsia="方正仿宋_GBK" w:cs="方正仿宋_GBK"/>
          <w:color w:val="000000" w:themeColor="text1"/>
          <w:sz w:val="32"/>
          <w:szCs w:val="32"/>
          <w14:textFill>
            <w14:solidFill>
              <w14:schemeClr w14:val="tx1"/>
            </w14:solidFill>
          </w14:textFill>
        </w:rPr>
        <w:t>0.00万</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元，占政府采购支出总额的</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%，其中：授予小微企业合同金额</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万元，占政府采购支出总额的</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 xml:space="preserve"> %。主要用于采购</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2024年度我单位未发生政府采购事项，无相关经费支出。</w:t>
      </w:r>
    </w:p>
    <w:p w14:paraId="1A32562E">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Times New Roman" w:hAnsi="Times New Roman" w:eastAsia="方正黑体_GBK" w:cs="方正黑体_GBK"/>
          <w:b w:val="0"/>
          <w:bCs/>
          <w:color w:val="000000" w:themeColor="text1"/>
          <w:sz w:val="32"/>
          <w:szCs w:val="32"/>
          <w:shd w:val="clear" w:color="auto" w:fill="FFFFFF"/>
          <w:lang w:val="en-US" w:eastAsia="zh-CN" w:bidi="ar-SA"/>
          <w14:textFill>
            <w14:solidFill>
              <w14:schemeClr w14:val="tx1"/>
            </w14:solidFill>
          </w14:textFill>
        </w:rPr>
      </w:pPr>
      <w:r>
        <w:rPr>
          <w:rStyle w:val="11"/>
          <w:rFonts w:hint="eastAsia" w:ascii="Times New Roman" w:hAnsi="Times New Roman" w:eastAsia="方正黑体_GBK" w:cs="方正黑体_GBK"/>
          <w:b w:val="0"/>
          <w:bCs/>
          <w:color w:val="000000" w:themeColor="text1"/>
          <w:sz w:val="32"/>
          <w:szCs w:val="32"/>
          <w:shd w:val="clear" w:color="auto" w:fill="FFFFFF"/>
          <w:lang w:val="en-US" w:eastAsia="zh-CN" w:bidi="ar-SA"/>
          <w14:textFill>
            <w14:solidFill>
              <w14:schemeClr w14:val="tx1"/>
            </w14:solidFill>
          </w14:textFill>
        </w:rPr>
        <w:t>五、2024年度预算绩效管理情况说明</w:t>
      </w:r>
    </w:p>
    <w:p w14:paraId="7B7B282E">
      <w:pPr>
        <w:pStyle w:val="8"/>
        <w:keepNext w:val="0"/>
        <w:keepLines w:val="0"/>
        <w:pageBreakBefore w:val="0"/>
        <w:widowControl/>
        <w:shd w:val="clear" w:color="auto" w:fill="FFFFFF"/>
        <w:kinsoku/>
        <w:wordWrap/>
        <w:overflowPunct/>
        <w:topLinePunct w:val="0"/>
        <w:autoSpaceDN/>
        <w:bidi w:val="0"/>
        <w:spacing w:beforeAutospacing="0" w:afterAutospacing="0" w:line="594" w:lineRule="exact"/>
        <w:ind w:firstLine="640" w:firstLineChars="200"/>
        <w:textAlignment w:val="auto"/>
        <w:rPr>
          <w:rStyle w:val="11"/>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（一）预算绩效管理工作开展情况</w:t>
      </w:r>
    </w:p>
    <w:p w14:paraId="27D0499B">
      <w:pPr>
        <w:pStyle w:val="13"/>
        <w:keepNext w:val="0"/>
        <w:keepLines w:val="0"/>
        <w:pageBreakBefore w:val="0"/>
        <w:widowControl/>
        <w:kinsoku/>
        <w:wordWrap/>
        <w:overflowPunct/>
        <w:topLinePunct w:val="0"/>
        <w:autoSpaceDE w:val="0"/>
        <w:autoSpaceDN/>
        <w:bidi w:val="0"/>
        <w:spacing w:before="0" w:beforeAutospacing="0" w:afterAutospacing="0" w:line="594" w:lineRule="exact"/>
        <w:ind w:firstLine="640" w:firstLineChars="200"/>
        <w:textAlignment w:val="auto"/>
        <w:rPr>
          <w:rFonts w:hint="eastAsia" w:ascii="Times New Roman" w:hAnsi="Times New Roman" w:eastAsia="方正仿宋_GBK" w:cs="方正仿宋_GBK"/>
          <w:color w:val="000000" w:themeColor="text1"/>
          <w:sz w:val="32"/>
          <w:szCs w:val="32"/>
          <w:highlight w:val="yellow"/>
          <w:shd w:val="clear" w:color="auto" w:fill="FFFFFF"/>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根据预算绩效管理要求，我单位无项目支出，未开展绩效自评，涉及财政拨款项目支出资金0万元。</w:t>
      </w:r>
    </w:p>
    <w:p w14:paraId="3B9DCB62">
      <w:pPr>
        <w:pStyle w:val="8"/>
        <w:keepNext w:val="0"/>
        <w:keepLines w:val="0"/>
        <w:pageBreakBefore w:val="0"/>
        <w:widowControl/>
        <w:shd w:val="clear" w:color="auto" w:fill="FFFFFF"/>
        <w:kinsoku/>
        <w:wordWrap/>
        <w:overflowPunct/>
        <w:topLinePunct w:val="0"/>
        <w:autoSpaceDN/>
        <w:bidi w:val="0"/>
        <w:spacing w:beforeAutospacing="0" w:afterAutospacing="0" w:line="594" w:lineRule="exact"/>
        <w:ind w:firstLine="640" w:firstLineChars="200"/>
        <w:textAlignment w:val="auto"/>
        <w:rPr>
          <w:rStyle w:val="11"/>
          <w:rFonts w:hint="eastAsia" w:ascii="Times New Roman" w:hAnsi="Times New Roman" w:eastAsia="方正楷体_GBK" w:cs="方正楷体_GBK"/>
          <w:b w:val="0"/>
          <w:bCs/>
          <w:color w:val="000000" w:themeColor="text1"/>
          <w:sz w:val="32"/>
          <w:szCs w:val="32"/>
          <w:shd w:val="clear" w:color="auto" w:fill="FFFFFF"/>
          <w:lang w:val="en-US" w:eastAsia="zh-CN"/>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14:textFill>
            <w14:solidFill>
              <w14:schemeClr w14:val="tx1"/>
            </w14:solidFill>
          </w14:textFill>
        </w:rPr>
        <w:t>（二）单位重点绩效评价情况</w:t>
      </w:r>
    </w:p>
    <w:p w14:paraId="293EEB29">
      <w:pPr>
        <w:pStyle w:val="13"/>
        <w:keepNext w:val="0"/>
        <w:keepLines w:val="0"/>
        <w:pageBreakBefore w:val="0"/>
        <w:widowControl/>
        <w:kinsoku/>
        <w:wordWrap/>
        <w:overflowPunct/>
        <w:topLinePunct w:val="0"/>
        <w:autoSpaceDE w:val="0"/>
        <w:autoSpaceDN/>
        <w:bidi w:val="0"/>
        <w:spacing w:before="0" w:beforeAutospacing="0" w:afterAutospacing="0" w:line="594" w:lineRule="exact"/>
        <w:ind w:firstLine="640" w:firstLineChars="200"/>
        <w:textAlignment w:val="auto"/>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我单位未组织开展绩效评价。</w:t>
      </w:r>
    </w:p>
    <w:p w14:paraId="2FE63DDD">
      <w:pPr>
        <w:pStyle w:val="8"/>
        <w:keepNext w:val="0"/>
        <w:keepLines w:val="0"/>
        <w:pageBreakBefore w:val="0"/>
        <w:widowControl/>
        <w:shd w:val="clear" w:color="auto" w:fill="FFFFFF"/>
        <w:kinsoku/>
        <w:wordWrap/>
        <w:overflowPunct/>
        <w:topLinePunct w:val="0"/>
        <w:autoSpaceDN/>
        <w:bidi w:val="0"/>
        <w:spacing w:beforeAutospacing="0" w:afterAutospacing="0" w:line="594" w:lineRule="exact"/>
        <w:ind w:firstLine="640" w:firstLineChars="200"/>
        <w:textAlignment w:val="auto"/>
        <w:rPr>
          <w:rStyle w:val="11"/>
          <w:rFonts w:hint="eastAsia" w:ascii="Times New Roman" w:hAnsi="Times New Roman" w:eastAsia="方正楷体_GBK" w:cs="方正楷体_GBK"/>
          <w:b w:val="0"/>
          <w:bCs/>
          <w:color w:val="000000" w:themeColor="text1"/>
          <w:sz w:val="32"/>
          <w:szCs w:val="32"/>
          <w:shd w:val="clear" w:color="auto" w:fill="FFFFFF"/>
          <w:lang w:val="en-US" w:eastAsia="zh-CN"/>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14:textFill>
            <w14:solidFill>
              <w14:schemeClr w14:val="tx1"/>
            </w14:solidFill>
          </w14:textFill>
        </w:rPr>
        <w:t>（三）财政绩效评价情况</w:t>
      </w:r>
    </w:p>
    <w:p w14:paraId="239253C0">
      <w:pPr>
        <w:keepNext w:val="0"/>
        <w:keepLines w:val="0"/>
        <w:pageBreakBefore w:val="0"/>
        <w:widowControl/>
        <w:tabs>
          <w:tab w:val="center" w:pos="4153"/>
          <w:tab w:val="left" w:pos="7275"/>
        </w:tabs>
        <w:kinsoku/>
        <w:wordWrap/>
        <w:overflowPunct/>
        <w:topLinePunct w:val="0"/>
        <w:autoSpaceDN/>
        <w:bidi w:val="0"/>
        <w:spacing w:beforeAutospacing="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t>因财政重点绩效评价工作暂未结束，后续由区财政局统一公开。</w:t>
      </w:r>
    </w:p>
    <w:p w14:paraId="3DE1A6C7">
      <w:pPr>
        <w:keepNext w:val="0"/>
        <w:keepLines w:val="0"/>
        <w:pageBreakBefore w:val="0"/>
        <w:widowControl/>
        <w:kinsoku/>
        <w:wordWrap/>
        <w:overflowPunct/>
        <w:topLinePunct w:val="0"/>
        <w:autoSpaceDN/>
        <w:bidi w:val="0"/>
        <w:spacing w:beforeAutospacing="0" w:afterAutospacing="0" w:line="594" w:lineRule="exact"/>
        <w:ind w:firstLine="640" w:firstLineChars="200"/>
        <w:jc w:val="left"/>
        <w:textAlignment w:val="auto"/>
        <w:rPr>
          <w:rStyle w:val="14"/>
          <w:rFonts w:hint="eastAsia" w:ascii="Times New Roman" w:hAnsi="Times New Roman" w:eastAsia="方正黑体_GBK" w:cs="方正黑体_GBK"/>
          <w:b w:val="0"/>
          <w:bCs/>
          <w:color w:val="000000" w:themeColor="text1"/>
          <w:sz w:val="32"/>
          <w:szCs w:val="32"/>
          <w:shd w:val="clear" w:fill="FFFFFF"/>
          <w:lang w:val="en-US" w:eastAsia="zh-CN" w:bidi="ar-SA"/>
          <w14:textFill>
            <w14:solidFill>
              <w14:schemeClr w14:val="tx1"/>
            </w14:solidFill>
          </w14:textFill>
        </w:rPr>
      </w:pPr>
      <w:r>
        <w:rPr>
          <w:rStyle w:val="14"/>
          <w:rFonts w:hint="eastAsia" w:ascii="Times New Roman" w:hAnsi="Times New Roman" w:eastAsia="方正黑体_GBK" w:cs="方正黑体_GBK"/>
          <w:b w:val="0"/>
          <w:bCs/>
          <w:color w:val="000000" w:themeColor="text1"/>
          <w:sz w:val="32"/>
          <w:szCs w:val="32"/>
          <w:shd w:val="clear" w:fill="FFFFFF"/>
          <w:lang w:val="en-US" w:eastAsia="zh-CN" w:bidi="ar-SA"/>
          <w14:textFill>
            <w14:solidFill>
              <w14:schemeClr w14:val="tx1"/>
            </w14:solidFill>
          </w14:textFill>
        </w:rPr>
        <w:t>六、专业名词解释</w:t>
      </w:r>
    </w:p>
    <w:p w14:paraId="78117D17">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（一）财政拨款收入：</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指本年度从本级财政</w:t>
      </w:r>
      <w:r>
        <w:rPr>
          <w:rFonts w:hint="eastAsia" w:ascii="Times New Roman" w:hAnsi="Times New Roman" w:eastAsia="方正仿宋_GBK" w:cs="方正仿宋_GBK"/>
          <w:color w:val="000000" w:themeColor="text1"/>
          <w:kern w:val="0"/>
          <w:sz w:val="32"/>
          <w:szCs w:val="32"/>
          <w:shd w:val="clear" w:fill="FFFFFF"/>
          <w:lang w:eastAsia="zh-CN"/>
          <w14:textFill>
            <w14:solidFill>
              <w14:schemeClr w14:val="tx1"/>
            </w14:solidFill>
          </w14:textFill>
        </w:rPr>
        <w:t>单位</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取得的财政拨款，包括一般公共预算财政拨款和政府性基金预算财政拨款。</w:t>
      </w:r>
    </w:p>
    <w:p w14:paraId="7D50FD62">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（二）事业收入：</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指事业单位开展专业业务活动及其辅助活动取得的现金流入；事业单位收到的财政专户实际核拨的教育收费等资金在此反映。</w:t>
      </w:r>
    </w:p>
    <w:p w14:paraId="68B976E4">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（三）经营收入：</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指事业单位在专业业务活动及其辅助活动之外开展非独立核算经营活动取得的现金流入。</w:t>
      </w:r>
    </w:p>
    <w:p w14:paraId="4CC9815F">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（四）其他收入</w:t>
      </w:r>
      <w:r>
        <w:rPr>
          <w:rStyle w:val="11"/>
          <w:rFonts w:hint="eastAsia" w:ascii="Times New Roman" w:hAnsi="Times New Roman" w:eastAsia="方正楷体_GBK" w:cs="方正楷体_GBK"/>
          <w:color w:val="000000" w:themeColor="text1"/>
          <w:sz w:val="32"/>
          <w:szCs w:val="32"/>
          <w:shd w:val="clear" w:color="auto" w:fill="FFFFFF"/>
          <w:lang w:val="en-US" w:eastAsia="zh-CN" w:bidi="ar-SA"/>
          <w14:textFill>
            <w14:solidFill>
              <w14:schemeClr w14:val="tx1"/>
            </w14:solidFill>
          </w14:textFill>
        </w:rPr>
        <w:t>：</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Times New Roman" w:hAnsi="Times New Roman" w:eastAsia="方正仿宋_GBK" w:cs="方正仿宋_GBK"/>
          <w:color w:val="000000" w:themeColor="text1"/>
          <w:kern w:val="0"/>
          <w:sz w:val="32"/>
          <w:szCs w:val="32"/>
          <w:shd w:val="clear" w:fill="FFFFFF"/>
          <w:lang w:eastAsia="zh-CN"/>
          <w14:textFill>
            <w14:solidFill>
              <w14:schemeClr w14:val="tx1"/>
            </w14:solidFill>
          </w14:textFill>
        </w:rPr>
        <w:t>单位</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以外的同级单位取得的经费、从非本级财政</w:t>
      </w:r>
      <w:r>
        <w:rPr>
          <w:rFonts w:hint="eastAsia" w:ascii="Times New Roman" w:hAnsi="Times New Roman" w:eastAsia="方正仿宋_GBK" w:cs="方正仿宋_GBK"/>
          <w:color w:val="000000" w:themeColor="text1"/>
          <w:kern w:val="0"/>
          <w:sz w:val="32"/>
          <w:szCs w:val="32"/>
          <w:shd w:val="clear" w:fill="FFFFFF"/>
          <w:lang w:eastAsia="zh-CN"/>
          <w14:textFill>
            <w14:solidFill>
              <w14:schemeClr w14:val="tx1"/>
            </w14:solidFill>
          </w14:textFill>
        </w:rPr>
        <w:t>单位</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取得的经费，以及行政单位收到的财政专户管理资金反映在本项内。</w:t>
      </w:r>
    </w:p>
    <w:p w14:paraId="6A626E21">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（五）使用非财政拨款结余：</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指单位在当年的“财政拨款收入”、“事业收入”、“经营收入”、“其他收入”等不足以安排当年支出的情况下，使用以前年度积累的非财政拨款结余弥补本年度收支缺口的资金。</w:t>
      </w:r>
    </w:p>
    <w:p w14:paraId="0074D90F">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（六）年初结转和结余：</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指单位上年结转本年使用的基本支出结转、项目支出结转和结余、经营结余。</w:t>
      </w:r>
    </w:p>
    <w:p w14:paraId="043D00B2">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（七）结余分配：</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指单位按照国家有关规定，缴纳所得税、提取专用基金、转入非财政拨款结余等当年结余的分配情况。</w:t>
      </w:r>
    </w:p>
    <w:p w14:paraId="2004BE0B">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（八）年末结转和结余：</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指单位结转下年的基本支出结转、项目支出结转和结余、经营结余。</w:t>
      </w:r>
    </w:p>
    <w:p w14:paraId="1EC45BF1">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（九）基本支出：</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A412EE1">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（十）项目支出：</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指在基本支出之外为完成特定行政任务和事业发展目标所发生的支出。</w:t>
      </w:r>
    </w:p>
    <w:p w14:paraId="1731C3A1">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（十一）经营支出：</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指事业单位在专业业务活动及其辅助活动之外开展非独立核算经营活动发生的支出。</w:t>
      </w:r>
    </w:p>
    <w:p w14:paraId="7178958A">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（十二）“三公”经费：</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08D9136">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（十三）机关运行经费：</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DB7F952">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（十四）工资福利支出（支出经济分类科目类级）：</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反映单位开支的在职职工和编制外长期聘用人员的各类劳动报酬，以及为上述人员缴纳的各项社会保险费等。</w:t>
      </w:r>
    </w:p>
    <w:p w14:paraId="35803CF7">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（十五）商品和服务支出（支出经济分类科目类级）：</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反映单位购买商品和服务的支出（不包括用于购置固定资产的支出、战略性和应急储备支出）。</w:t>
      </w:r>
    </w:p>
    <w:p w14:paraId="2631FB6D">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（十六）对个人和家庭的补助（支出经济分类科目类级）：</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反映用于对个人和家庭的补助支出。</w:t>
      </w:r>
    </w:p>
    <w:p w14:paraId="76E071D2">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（十七）其他资本性支出（支出经济分类科目类级）：</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反映非各级发展与改革</w:t>
      </w:r>
      <w:r>
        <w:rPr>
          <w:rFonts w:hint="eastAsia" w:ascii="Times New Roman" w:hAnsi="Times New Roman" w:eastAsia="方正仿宋_GBK" w:cs="方正仿宋_GBK"/>
          <w:color w:val="000000" w:themeColor="text1"/>
          <w:kern w:val="0"/>
          <w:sz w:val="32"/>
          <w:szCs w:val="32"/>
          <w:shd w:val="clear" w:fill="FFFFFF"/>
          <w:lang w:eastAsia="zh-CN"/>
          <w14:textFill>
            <w14:solidFill>
              <w14:schemeClr w14:val="tx1"/>
            </w14:solidFill>
          </w14:textFill>
        </w:rPr>
        <w:t>单位</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集中安排的用于购置固定资产、战略性和应急性储备、土地和无形资产，以及构建基础设施、大型修缮和财政支持企业更新改造所发生的支出。</w:t>
      </w:r>
    </w:p>
    <w:p w14:paraId="4C53E7C0">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黑体_GBK" w:cs="方正黑体_GBK"/>
          <w:b w:val="0"/>
          <w:bCs/>
          <w:color w:val="000000" w:themeColor="text1"/>
          <w:kern w:val="0"/>
          <w:sz w:val="32"/>
          <w:szCs w:val="32"/>
          <w14:textFill>
            <w14:solidFill>
              <w14:schemeClr w14:val="tx1"/>
            </w14:solidFill>
          </w14:textFill>
        </w:rPr>
      </w:pPr>
      <w:r>
        <w:rPr>
          <w:rStyle w:val="11"/>
          <w:rFonts w:hint="eastAsia" w:ascii="Times New Roman" w:hAnsi="Times New Roman" w:eastAsia="方正黑体_GBK" w:cs="方正黑体_GBK"/>
          <w:b w:val="0"/>
          <w:bCs/>
          <w:color w:val="000000" w:themeColor="text1"/>
          <w:sz w:val="32"/>
          <w:szCs w:val="32"/>
          <w:shd w:val="clear" w:color="auto" w:fill="FFFFFF"/>
          <w:lang w:val="en-US" w:eastAsia="zh-CN" w:bidi="ar-SA"/>
          <w14:textFill>
            <w14:solidFill>
              <w14:schemeClr w14:val="tx1"/>
            </w14:solidFill>
          </w14:textFill>
        </w:rPr>
        <w:t>七、决算公开联系方式及信息反馈渠道</w:t>
      </w:r>
    </w:p>
    <w:p w14:paraId="5F756EF2">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本单位决算公开信息反馈和联系方式：</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023-</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68611724</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w:t>
      </w:r>
    </w:p>
    <w:p w14:paraId="4EDF02A2">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left"/>
        <w:textAlignment w:val="auto"/>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pPr>
    </w:p>
    <w:p w14:paraId="203FDC6E">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left"/>
        <w:textAlignment w:val="auto"/>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t>附件：1.收入支出决算总表</w:t>
      </w:r>
    </w:p>
    <w:p w14:paraId="068A1E75">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t>2.收入决算表</w:t>
      </w:r>
    </w:p>
    <w:p w14:paraId="393A0C2F">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t>3.支出决算表</w:t>
      </w:r>
    </w:p>
    <w:p w14:paraId="36C77649">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t>4.财政拨款收入支出决算总表</w:t>
      </w:r>
    </w:p>
    <w:p w14:paraId="3CC303FF">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t>5.一般公共预算财政拨款支出决算表</w:t>
      </w:r>
    </w:p>
    <w:p w14:paraId="6E11445B">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t>6.一般公共预算财政拨款基本支出决算表</w:t>
      </w:r>
    </w:p>
    <w:p w14:paraId="0B1D43CF">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t>7.政府性基金预算财政拨款收入支出决算表</w:t>
      </w:r>
    </w:p>
    <w:p w14:paraId="550A136C">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t>8.国有资本经营预算财政拨款支出决算表</w:t>
      </w:r>
    </w:p>
    <w:p w14:paraId="6BC1B49D">
      <w:pPr>
        <w:pStyle w:val="12"/>
        <w:keepNext w:val="0"/>
        <w:keepLines w:val="0"/>
        <w:pageBreakBefore w:val="0"/>
        <w:widowControl/>
        <w:kinsoku/>
        <w:wordWrap/>
        <w:overflowPunct/>
        <w:topLinePunct w:val="0"/>
        <w:autoSpaceDE w:val="0"/>
        <w:autoSpaceDN/>
        <w:bidi w:val="0"/>
        <w:adjustRightInd/>
        <w:snapToGrid/>
        <w:spacing w:beforeAutospacing="0" w:afterAutospacing="0" w:line="594" w:lineRule="exact"/>
        <w:ind w:left="0" w:leftChars="0" w:firstLine="1600" w:firstLineChars="500"/>
        <w:jc w:val="both"/>
        <w:textAlignment w:val="auto"/>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t>9.机构运行信息表</w:t>
      </w:r>
    </w:p>
    <w:p w14:paraId="0638E812">
      <w:pPr>
        <w:pStyle w:val="12"/>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1600" w:firstLineChars="500"/>
        <w:jc w:val="both"/>
        <w:textAlignment w:val="auto"/>
        <w:rPr>
          <w:rFonts w:hint="eastAsia" w:ascii="方正仿宋_GBK" w:hAnsi="方正仿宋_GBK" w:eastAsia="方正仿宋_GBK" w:cs="方正仿宋_GBK"/>
          <w:kern w:val="0"/>
          <w:sz w:val="32"/>
          <w:szCs w:val="32"/>
          <w:shd w:val="clear" w:fill="FFFFFF"/>
          <w:lang w:val="en-US" w:eastAsia="zh-CN" w:bidi="ar-SA"/>
        </w:rPr>
      </w:pPr>
    </w:p>
    <w:p w14:paraId="33A88BBD">
      <w:pPr>
        <w:pStyle w:val="12"/>
        <w:autoSpaceDE w:val="0"/>
        <w:spacing w:line="596" w:lineRule="exact"/>
        <w:ind w:firstLine="640"/>
        <w:jc w:val="both"/>
        <w:rPr>
          <w:rStyle w:val="11"/>
          <w:rFonts w:ascii="方正仿宋_GBK" w:hAnsi="方正仿宋_GBK" w:eastAsia="方正仿宋_GBK" w:cs="方正仿宋_GBK"/>
          <w:sz w:val="32"/>
          <w:szCs w:val="32"/>
          <w:shd w:val="clear" w:color="auto" w:fill="FFFF00"/>
        </w:rPr>
        <w:sectPr>
          <w:footerReference r:id="rId3" w:type="default"/>
          <w:pgSz w:w="11915" w:h="16840"/>
          <w:pgMar w:top="1984" w:right="1446" w:bottom="1644" w:left="1446" w:header="851" w:footer="1474" w:gutter="0"/>
          <w:pgNumType w:fmt="numberInDash"/>
          <w:cols w:space="720" w:num="1"/>
          <w:docGrid w:type="lines" w:linePitch="312" w:charSpace="0"/>
        </w:sectPr>
      </w:pPr>
    </w:p>
    <w:p w14:paraId="249C277A">
      <w:pPr>
        <w:rPr>
          <w:rFonts w:hint="default" w:cs="宋体"/>
          <w:sz w:val="21"/>
          <w:szCs w:val="21"/>
        </w:r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4EA28B78">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2CA13214">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6ED4F672">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3B0E24B9">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6E1428F0">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47E18407">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1F5831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0B80D204">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58D81A6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重庆市九龙坡区石桥铺街道劳动就业和社会保障服务所</w:t>
            </w:r>
          </w:p>
        </w:tc>
        <w:tc>
          <w:tcPr>
            <w:tcW w:w="1372" w:type="pct"/>
            <w:tcBorders>
              <w:top w:val="nil"/>
              <w:left w:val="nil"/>
              <w:bottom w:val="nil"/>
              <w:right w:val="nil"/>
            </w:tcBorders>
            <w:shd w:val="clear" w:color="auto" w:fill="auto"/>
            <w:noWrap/>
            <w:tcMar>
              <w:top w:w="15" w:type="dxa"/>
              <w:left w:w="15" w:type="dxa"/>
              <w:right w:w="15" w:type="dxa"/>
            </w:tcMar>
            <w:vAlign w:val="bottom"/>
          </w:tcPr>
          <w:p w14:paraId="65E64C9B">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82EF6A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70BF2FE">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2E339">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7F426F8">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292857F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BFD0C">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388F2">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3110F">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08B97">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2F43956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FC282">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4DE9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133.31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97EDA">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043C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6053CA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15F7D">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087C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8D110">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4E2C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C584E9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3DAF5">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242D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FCCD9">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0B9F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A0E2F5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E7973">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3D3C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CE712">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2CE3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9C9BBD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67AF8">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AE13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5E052">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DEE9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B0F5B2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AAB7C">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E220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CD85A">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57FC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F5DD1D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E69AB">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4DA4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B4853">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DC3B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F3700B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8DCB9">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3559DE3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48C95">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DE09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123.25</w:t>
            </w:r>
            <w:r>
              <w:rPr>
                <w:rFonts w:ascii="Times New Roman" w:hAnsi="Times New Roman"/>
                <w:color w:val="000000"/>
                <w:sz w:val="20"/>
                <w:u w:color="auto"/>
              </w:rPr>
              <w:t xml:space="preserve"> </w:t>
            </w:r>
          </w:p>
        </w:tc>
      </w:tr>
      <w:tr w14:paraId="7A0135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4C8B8">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F9502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3FB49">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9A39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r>
      <w:tr w14:paraId="1651D28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E539E">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63CA4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71BC0">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3BC8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B4A628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BAD68">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1EF3D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88DEC">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3F73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BA07EE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1111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A52A3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B924A">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E99F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AADDF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19BC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DB50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E6E48">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C7D3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7747B1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F134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E1B5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59375">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7D76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877E74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63B1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E622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05EAB">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F3EF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B895C9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E6D8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EDA5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6584C">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4AE5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B79938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0257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F0DA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23FA0">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A791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C53FEC9">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9460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291D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62EE8">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9EE0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477B97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1704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EE73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A1EBB">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4272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6.70</w:t>
            </w:r>
            <w:r>
              <w:rPr>
                <w:rFonts w:ascii="Times New Roman" w:hAnsi="Times New Roman"/>
                <w:color w:val="000000"/>
                <w:sz w:val="20"/>
                <w:u w:color="auto"/>
              </w:rPr>
              <w:t xml:space="preserve"> </w:t>
            </w:r>
          </w:p>
        </w:tc>
      </w:tr>
      <w:tr w14:paraId="54B0152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2DCE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D8FD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797DE">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2D7C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82749B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D7A5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5550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181C0">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0FE7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8ABBC3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29FF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A5DA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D1FF4">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215F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6B4659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92DE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A6CB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4BA7E">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A50E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EE9479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70191">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68DD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389DD">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DF8E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D9DE62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1D9E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87AA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BF9A9">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1C4D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EF442B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46C4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5851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9722E">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5E80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8E7837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A706C">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8EFD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133.31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41E7F">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976C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133.31</w:t>
            </w:r>
            <w:r>
              <w:rPr>
                <w:rFonts w:ascii="Times New Roman" w:hAnsi="Times New Roman"/>
                <w:color w:val="000000"/>
                <w:sz w:val="20"/>
                <w:u w:color="auto"/>
              </w:rPr>
              <w:t xml:space="preserve"> </w:t>
            </w:r>
          </w:p>
        </w:tc>
      </w:tr>
      <w:tr w14:paraId="42E080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E1BF1">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DB17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FD8AF">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8112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34A3EA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EEB45">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EB1B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39765">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849E5D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BCA2F8A">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C89F0">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ADA4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133.31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65323DB">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D78D9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133.31</w:t>
            </w:r>
            <w:r>
              <w:rPr>
                <w:rFonts w:ascii="Times New Roman" w:hAnsi="Times New Roman"/>
                <w:color w:val="000000"/>
                <w:sz w:val="20"/>
                <w:u w:color="auto"/>
              </w:rPr>
              <w:t xml:space="preserve"> </w:t>
            </w:r>
          </w:p>
        </w:tc>
      </w:tr>
    </w:tbl>
    <w:p w14:paraId="7DF6F0E0">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EEEF1A9">
      <w:pPr>
        <w:rPr>
          <w:rFonts w:hint="default" w:cs="宋体"/>
          <w:sz w:val="21"/>
          <w:szCs w:val="21"/>
        </w:rPr>
      </w:pPr>
    </w:p>
    <w:tbl>
      <w:tblPr>
        <w:tblStyle w:val="9"/>
        <w:tblW w:w="5059" w:type="pct"/>
        <w:tblInd w:w="0" w:type="dxa"/>
        <w:tblLayout w:type="fixed"/>
        <w:tblCellMar>
          <w:top w:w="0" w:type="dxa"/>
          <w:left w:w="0" w:type="dxa"/>
          <w:bottom w:w="0" w:type="dxa"/>
          <w:right w:w="0" w:type="dxa"/>
        </w:tblCellMar>
      </w:tblPr>
      <w:tblGrid>
        <w:gridCol w:w="1430"/>
        <w:gridCol w:w="2917"/>
        <w:gridCol w:w="1583"/>
        <w:gridCol w:w="1451"/>
        <w:gridCol w:w="1255"/>
        <w:gridCol w:w="1440"/>
        <w:gridCol w:w="1458"/>
        <w:gridCol w:w="1296"/>
        <w:gridCol w:w="1351"/>
        <w:gridCol w:w="1322"/>
      </w:tblGrid>
      <w:tr w14:paraId="4934C634">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5F1751C7">
            <w:pPr>
              <w:jc w:val="center"/>
              <w:textAlignment w:val="bottom"/>
              <w:rPr>
                <w:rFonts w:hint="default" w:cs="宋体"/>
                <w:b/>
                <w:color w:val="000000"/>
                <w:sz w:val="32"/>
                <w:szCs w:val="32"/>
              </w:rPr>
            </w:pPr>
            <w:r>
              <w:rPr>
                <w:rFonts w:cs="宋体"/>
                <w:b/>
                <w:color w:val="000000"/>
                <w:sz w:val="32"/>
                <w:szCs w:val="32"/>
              </w:rPr>
              <w:t>收入决算表</w:t>
            </w:r>
          </w:p>
        </w:tc>
      </w:tr>
      <w:tr w14:paraId="5AB935AF">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7CD5BBC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重庆市九龙坡区石桥铺街道劳动就业和社会保障服务所</w:t>
            </w:r>
          </w:p>
        </w:tc>
        <w:tc>
          <w:tcPr>
            <w:tcW w:w="467" w:type="pct"/>
            <w:tcBorders>
              <w:top w:val="nil"/>
              <w:left w:val="nil"/>
              <w:bottom w:val="nil"/>
              <w:right w:val="nil"/>
            </w:tcBorders>
            <w:shd w:val="clear" w:color="auto" w:fill="auto"/>
            <w:noWrap/>
            <w:tcMar>
              <w:top w:w="15" w:type="dxa"/>
              <w:left w:w="15" w:type="dxa"/>
              <w:right w:w="15" w:type="dxa"/>
            </w:tcMar>
            <w:vAlign w:val="bottom"/>
          </w:tcPr>
          <w:p w14:paraId="285E29EF">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E3DF17E">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033CA36">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361BE38E">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57F85239">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274B361E">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7DC62BA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3B08420A">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1C34339D">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5E9BEC32">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04EFBF4">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953B0AB">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359E2D25">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1C17C82B">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E223CDB">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525501C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076E3A9">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7E33567">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BF22B">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3DFF0">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327F4">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43C2FF">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B586A">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B5DB0">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C23FB">
            <w:pPr>
              <w:jc w:val="center"/>
              <w:textAlignment w:val="center"/>
              <w:rPr>
                <w:rFonts w:hint="default" w:cs="宋体"/>
                <w:b/>
                <w:color w:val="000000"/>
                <w:sz w:val="20"/>
                <w:szCs w:val="20"/>
              </w:rPr>
            </w:pPr>
            <w:r>
              <w:rPr>
                <w:rFonts w:cs="宋体"/>
                <w:b/>
                <w:color w:val="000000"/>
                <w:sz w:val="20"/>
                <w:szCs w:val="20"/>
              </w:rPr>
              <w:t>其他收入</w:t>
            </w:r>
          </w:p>
        </w:tc>
      </w:tr>
      <w:tr w14:paraId="0FFE8D0F">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7F77A">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E277C6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3A291">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219B1">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95854">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79E38">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E6C5A">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B2F72">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76420">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3C61E">
            <w:pPr>
              <w:jc w:val="center"/>
              <w:rPr>
                <w:rFonts w:hint="default" w:cs="宋体"/>
                <w:b/>
                <w:color w:val="000000"/>
                <w:sz w:val="20"/>
                <w:szCs w:val="20"/>
              </w:rPr>
            </w:pPr>
          </w:p>
        </w:tc>
      </w:tr>
      <w:tr w14:paraId="177B989A">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F88B1">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420A682">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A5BA2">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C5F8C">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5EBB6">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81D24">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D3C6B">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080E4">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94CF8">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B633B">
            <w:pPr>
              <w:jc w:val="center"/>
              <w:rPr>
                <w:rFonts w:hint="default" w:cs="宋体"/>
                <w:b/>
                <w:color w:val="000000"/>
                <w:sz w:val="20"/>
                <w:szCs w:val="20"/>
              </w:rPr>
            </w:pPr>
          </w:p>
        </w:tc>
      </w:tr>
      <w:tr w14:paraId="2BDF4656">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260E0">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48E17C1">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0B82A">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31472">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8A258">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5D5D8">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58CF3">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EAB41">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9B815">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B4BA7">
            <w:pPr>
              <w:jc w:val="center"/>
              <w:rPr>
                <w:rFonts w:hint="default" w:cs="宋体"/>
                <w:b/>
                <w:color w:val="000000"/>
                <w:sz w:val="20"/>
                <w:szCs w:val="20"/>
              </w:rPr>
            </w:pPr>
          </w:p>
        </w:tc>
      </w:tr>
      <w:tr w14:paraId="10C2E97A">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C3824">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7DE29F3">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FC711">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3839B">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08F0D">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9566F">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7A95E">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76352">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081CC">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04D8B">
            <w:pPr>
              <w:jc w:val="center"/>
              <w:rPr>
                <w:rFonts w:hint="default" w:cs="宋体"/>
                <w:b/>
                <w:color w:val="000000"/>
                <w:sz w:val="20"/>
                <w:szCs w:val="20"/>
              </w:rPr>
            </w:pPr>
          </w:p>
        </w:tc>
      </w:tr>
      <w:tr w14:paraId="30DF2BFA">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B5D13">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D405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133.31</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B017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133.31</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35EA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D98B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1022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46E0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5105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380C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49D549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E370D">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84D26">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70E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123.25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3F1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123.25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1C7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11B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E74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7B1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4BD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D86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FE96A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1E11F">
            <w:pPr>
              <w:textAlignment w:val="center"/>
              <w:rPr>
                <w:rFonts w:hint="default" w:cs="宋体"/>
                <w:color w:val="000000"/>
                <w:sz w:val="20"/>
                <w:szCs w:val="20"/>
              </w:rPr>
            </w:pPr>
            <w:r>
              <w:rPr>
                <w:rFonts w:cs="宋体"/>
                <w:b/>
                <w:color w:val="000000"/>
                <w:sz w:val="20"/>
                <w:szCs w:val="20"/>
              </w:rPr>
              <w:t>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69522">
            <w:pPr>
              <w:textAlignment w:val="center"/>
              <w:rPr>
                <w:rFonts w:hint="default" w:cs="宋体"/>
                <w:color w:val="000000"/>
                <w:sz w:val="20"/>
                <w:szCs w:val="20"/>
              </w:rPr>
            </w:pPr>
            <w:r>
              <w:rPr>
                <w:rFonts w:cs="宋体"/>
                <w:b/>
                <w:color w:val="000000"/>
                <w:sz w:val="20"/>
                <w:szCs w:val="20"/>
              </w:rPr>
              <w:t>人力资源和社会保障管理事务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40A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78.78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11F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78.78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AE4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F92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AC9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F43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615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1C2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2E540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2B1FC">
            <w:pPr>
              <w:textAlignment w:val="center"/>
              <w:rPr>
                <w:rFonts w:hint="default" w:cs="宋体"/>
                <w:color w:val="000000"/>
                <w:sz w:val="20"/>
                <w:szCs w:val="20"/>
              </w:rPr>
            </w:pPr>
            <w:r>
              <w:rPr>
                <w:rFonts w:cs="宋体"/>
                <w:color w:val="000000"/>
                <w:sz w:val="20"/>
                <w:szCs w:val="20"/>
              </w:rPr>
              <w:t>2080199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3A8AB">
            <w:pPr>
              <w:textAlignment w:val="center"/>
              <w:rPr>
                <w:rFonts w:hint="default" w:cs="宋体"/>
                <w:color w:val="000000"/>
                <w:sz w:val="20"/>
                <w:szCs w:val="20"/>
              </w:rPr>
            </w:pPr>
            <w:r>
              <w:rPr>
                <w:rFonts w:cs="宋体"/>
                <w:color w:val="000000"/>
                <w:sz w:val="20"/>
                <w:szCs w:val="20"/>
              </w:rPr>
              <w:t>其他人力资源和社会保障管理事务支出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D62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78.78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9C2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78.78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F44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FE1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51A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782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FC5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E22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7D4EF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6FB19">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7231C">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2A2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343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87C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DC4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A78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F6A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78D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963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A31DC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7F197">
            <w:pPr>
              <w:textAlignment w:val="center"/>
              <w:rPr>
                <w:rFonts w:hint="default" w:cs="宋体"/>
                <w:color w:val="000000"/>
                <w:sz w:val="20"/>
                <w:szCs w:val="20"/>
              </w:rPr>
            </w:pPr>
            <w:r>
              <w:rPr>
                <w:rFonts w:cs="宋体"/>
                <w:color w:val="000000"/>
                <w:sz w:val="20"/>
                <w:szCs w:val="20"/>
              </w:rPr>
              <w:t>2080502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76084">
            <w:pPr>
              <w:textAlignment w:val="center"/>
              <w:rPr>
                <w:rFonts w:hint="default" w:cs="宋体"/>
                <w:color w:val="000000"/>
                <w:sz w:val="20"/>
                <w:szCs w:val="20"/>
              </w:rPr>
            </w:pPr>
            <w:r>
              <w:rPr>
                <w:rFonts w:cs="宋体"/>
                <w:color w:val="000000"/>
                <w:sz w:val="20"/>
                <w:szCs w:val="20"/>
              </w:rPr>
              <w:t>事业单位离退休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C8B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36B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C67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C94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A5E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FC0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05A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36F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FA30B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02793">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53F45">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FAC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C99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AFF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AA6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1D2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822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C07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E7A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72B5C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4703D">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6B92A">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164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702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F91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FF7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99E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9F5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16C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10A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1BA55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E7D23">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6048A">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496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E6C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611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58B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2AE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629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D4D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0DB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EE642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EA066">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5E03F">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A9D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D65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1AE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258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209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384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78A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0F6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A5FFE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5AA03">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68EC4">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185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E83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A9F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AA8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18B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8F6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0A9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A05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1BFCA7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51A0D">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FE623">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0CB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CDB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EA2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0C9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44B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36D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1CE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8A1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3F481B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92596">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513BE">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09C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2B8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60A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718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F95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3C6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FD1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FBD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A208D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2FD40">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6F045">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058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DC8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651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77D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ED6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FE4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AC3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97C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57B47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38D6F">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40D10">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D88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610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38E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3DC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8E6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641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9DD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A52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3AC4C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79FD0">
            <w:pPr>
              <w:textAlignment w:val="center"/>
              <w:rPr>
                <w:rFonts w:hint="default" w:cs="宋体"/>
                <w:color w:val="000000"/>
                <w:sz w:val="20"/>
                <w:szCs w:val="20"/>
              </w:rPr>
            </w:pPr>
            <w:r>
              <w:rPr>
                <w:rFonts w:cs="宋体"/>
                <w:color w:val="000000"/>
                <w:sz w:val="20"/>
                <w:szCs w:val="20"/>
              </w:rPr>
              <w:t>2210203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F6F63">
            <w:pPr>
              <w:textAlignment w:val="center"/>
              <w:rPr>
                <w:rFonts w:hint="default" w:cs="宋体"/>
                <w:color w:val="000000"/>
                <w:sz w:val="20"/>
                <w:szCs w:val="20"/>
              </w:rPr>
            </w:pPr>
            <w:r>
              <w:rPr>
                <w:rFonts w:cs="宋体"/>
                <w:color w:val="000000"/>
                <w:sz w:val="20"/>
                <w:szCs w:val="20"/>
              </w:rPr>
              <w:t>购房补贴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3E2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C4A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C81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5B3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46B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CEF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8DF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8B8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4F49725">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2CE69CC9">
      <w:pPr>
        <w:rPr>
          <w:rFonts w:hint="default" w:cs="宋体"/>
          <w:sz w:val="20"/>
          <w:szCs w:val="20"/>
        </w:rPr>
      </w:pPr>
      <w:r>
        <w:rPr>
          <w:rFonts w:cs="宋体"/>
          <w:sz w:val="20"/>
          <w:szCs w:val="20"/>
        </w:rPr>
        <w:br w:type="page"/>
      </w:r>
    </w:p>
    <w:tbl>
      <w:tblPr>
        <w:tblStyle w:val="9"/>
        <w:tblW w:w="5000" w:type="pct"/>
        <w:tblInd w:w="0" w:type="dxa"/>
        <w:tblLayout w:type="fixed"/>
        <w:tblCellMar>
          <w:top w:w="0" w:type="dxa"/>
          <w:left w:w="0" w:type="dxa"/>
          <w:bottom w:w="0" w:type="dxa"/>
          <w:right w:w="0" w:type="dxa"/>
        </w:tblCellMar>
      </w:tblPr>
      <w:tblGrid>
        <w:gridCol w:w="1292"/>
        <w:gridCol w:w="3602"/>
        <w:gridCol w:w="1840"/>
        <w:gridCol w:w="1767"/>
        <w:gridCol w:w="1625"/>
        <w:gridCol w:w="1557"/>
        <w:gridCol w:w="1693"/>
        <w:gridCol w:w="1947"/>
      </w:tblGrid>
      <w:tr w14:paraId="7354F259">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C40E5A2">
            <w:pPr>
              <w:jc w:val="center"/>
              <w:textAlignment w:val="bottom"/>
              <w:rPr>
                <w:rFonts w:hint="default" w:cs="宋体"/>
                <w:b/>
                <w:color w:val="000000"/>
                <w:sz w:val="32"/>
                <w:szCs w:val="32"/>
              </w:rPr>
            </w:pPr>
            <w:r>
              <w:rPr>
                <w:rFonts w:cs="宋体"/>
                <w:b/>
                <w:color w:val="000000"/>
                <w:sz w:val="32"/>
                <w:szCs w:val="32"/>
              </w:rPr>
              <w:t>支出决算表</w:t>
            </w:r>
          </w:p>
        </w:tc>
      </w:tr>
      <w:tr w14:paraId="3FEE04C6">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0C0D1C37">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重庆市九龙坡区石桥铺街道劳动就业和社会保障服务所 </w:t>
            </w:r>
          </w:p>
        </w:tc>
        <w:tc>
          <w:tcPr>
            <w:tcW w:w="575" w:type="pct"/>
            <w:tcBorders>
              <w:top w:val="nil"/>
              <w:left w:val="nil"/>
              <w:bottom w:val="nil"/>
              <w:right w:val="nil"/>
            </w:tcBorders>
            <w:shd w:val="clear" w:color="auto" w:fill="auto"/>
            <w:noWrap/>
            <w:tcMar>
              <w:top w:w="15" w:type="dxa"/>
              <w:left w:w="15" w:type="dxa"/>
              <w:right w:w="15" w:type="dxa"/>
            </w:tcMar>
            <w:vAlign w:val="bottom"/>
          </w:tcPr>
          <w:p w14:paraId="059A8945">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18AD54CA">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23E567BC">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1706BE31">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7B21223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64306604">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621118E4">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73CF875">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2B9327B">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0A30A6C4">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490BD628">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D24ACD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7ADF46C">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CF65E8">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9A606">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468E4">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8634B">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5F456">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C43CA">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BCDF9">
            <w:pPr>
              <w:jc w:val="center"/>
              <w:textAlignment w:val="center"/>
              <w:rPr>
                <w:rFonts w:hint="default" w:cs="宋体"/>
                <w:b/>
                <w:color w:val="000000"/>
                <w:sz w:val="20"/>
                <w:szCs w:val="20"/>
              </w:rPr>
            </w:pPr>
            <w:r>
              <w:rPr>
                <w:rFonts w:cs="宋体"/>
                <w:b/>
                <w:color w:val="000000"/>
                <w:sz w:val="20"/>
                <w:szCs w:val="20"/>
              </w:rPr>
              <w:t>对附属单位补助支出</w:t>
            </w:r>
          </w:p>
        </w:tc>
      </w:tr>
      <w:tr w14:paraId="691B14D1">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4F2C4">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ED9A76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AF1EC">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12D98">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E1DF9">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E1F3F">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A1FD3">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33BD9">
            <w:pPr>
              <w:jc w:val="center"/>
              <w:rPr>
                <w:rFonts w:hint="default" w:cs="宋体"/>
                <w:b/>
                <w:color w:val="000000"/>
                <w:sz w:val="20"/>
                <w:szCs w:val="20"/>
              </w:rPr>
            </w:pPr>
          </w:p>
        </w:tc>
      </w:tr>
      <w:tr w14:paraId="60E42ECF">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1F835">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1A7591C">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750E4">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900C0">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A3AF0">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77948">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BC8D3">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D75D5">
            <w:pPr>
              <w:jc w:val="center"/>
              <w:rPr>
                <w:rFonts w:hint="default" w:cs="宋体"/>
                <w:b/>
                <w:color w:val="000000"/>
                <w:sz w:val="20"/>
                <w:szCs w:val="20"/>
              </w:rPr>
            </w:pPr>
          </w:p>
        </w:tc>
      </w:tr>
      <w:tr w14:paraId="0872F1A7">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E7174">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1D261A8">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934A2">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FD9B1">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87F1D">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9E79F">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06C66">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A0144">
            <w:pPr>
              <w:jc w:val="center"/>
              <w:rPr>
                <w:rFonts w:hint="default" w:cs="宋体"/>
                <w:b/>
                <w:color w:val="000000"/>
                <w:sz w:val="20"/>
                <w:szCs w:val="20"/>
              </w:rPr>
            </w:pPr>
          </w:p>
        </w:tc>
      </w:tr>
      <w:tr w14:paraId="5A2A74AD">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A82C3">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E0F3458">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8E2A0">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BCDBB">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8DBDD">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934F0">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5EBAF">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42A7A">
            <w:pPr>
              <w:jc w:val="center"/>
              <w:rPr>
                <w:rFonts w:hint="default" w:cs="宋体"/>
                <w:b/>
                <w:color w:val="000000"/>
                <w:sz w:val="20"/>
                <w:szCs w:val="20"/>
              </w:rPr>
            </w:pPr>
          </w:p>
        </w:tc>
      </w:tr>
      <w:tr w14:paraId="68F5C60F">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BD196">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6148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133.31</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193A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133.31</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C037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51B9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8902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BAE3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A86E38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DC1EE">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9CEFA">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D2A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123.25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FC9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123.25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E06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539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8D8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2C3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0DB2E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99BFD">
            <w:pPr>
              <w:textAlignment w:val="center"/>
              <w:rPr>
                <w:rFonts w:hint="default" w:cs="宋体"/>
                <w:color w:val="000000"/>
                <w:sz w:val="20"/>
                <w:szCs w:val="20"/>
              </w:rPr>
            </w:pPr>
            <w:r>
              <w:rPr>
                <w:rFonts w:cs="宋体"/>
                <w:b/>
                <w:color w:val="000000"/>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033BE">
            <w:pPr>
              <w:textAlignment w:val="center"/>
              <w:rPr>
                <w:rFonts w:hint="default" w:cs="宋体"/>
                <w:color w:val="000000"/>
                <w:sz w:val="20"/>
                <w:szCs w:val="20"/>
              </w:rPr>
            </w:pPr>
            <w:r>
              <w:rPr>
                <w:rFonts w:cs="宋体"/>
                <w:b/>
                <w:color w:val="000000"/>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F22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78.78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173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78.78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50B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A0E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360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EFA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A620F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6DAE5">
            <w:pPr>
              <w:textAlignment w:val="center"/>
              <w:rPr>
                <w:rFonts w:hint="default" w:cs="宋体"/>
                <w:color w:val="000000"/>
                <w:sz w:val="20"/>
                <w:szCs w:val="20"/>
              </w:rPr>
            </w:pPr>
            <w:r>
              <w:rPr>
                <w:rFonts w:cs="宋体"/>
                <w:color w:val="000000"/>
                <w:sz w:val="20"/>
                <w:szCs w:val="20"/>
              </w:rPr>
              <w:t>2080199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466D8">
            <w:pPr>
              <w:textAlignment w:val="center"/>
              <w:rPr>
                <w:rFonts w:hint="default" w:cs="宋体"/>
                <w:color w:val="000000"/>
                <w:sz w:val="20"/>
                <w:szCs w:val="20"/>
              </w:rPr>
            </w:pPr>
            <w:r>
              <w:rPr>
                <w:rFonts w:cs="宋体"/>
                <w:color w:val="000000"/>
                <w:sz w:val="20"/>
                <w:szCs w:val="20"/>
              </w:rPr>
              <w:t>其他人力资源和社会保障管理事务支出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946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78.78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6F4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78.78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897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549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524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291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CBBD8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A87C3">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39633">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8F6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B55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3BC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2ED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B52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087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6736E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93F88">
            <w:pPr>
              <w:textAlignment w:val="center"/>
              <w:rPr>
                <w:rFonts w:hint="default" w:cs="宋体"/>
                <w:color w:val="000000"/>
                <w:sz w:val="20"/>
                <w:szCs w:val="20"/>
              </w:rPr>
            </w:pPr>
            <w:r>
              <w:rPr>
                <w:rFonts w:cs="宋体"/>
                <w:color w:val="000000"/>
                <w:sz w:val="20"/>
                <w:szCs w:val="20"/>
              </w:rPr>
              <w:t>2080502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15C9A">
            <w:pPr>
              <w:textAlignment w:val="center"/>
              <w:rPr>
                <w:rFonts w:hint="default" w:cs="宋体"/>
                <w:color w:val="000000"/>
                <w:sz w:val="20"/>
                <w:szCs w:val="20"/>
              </w:rPr>
            </w:pPr>
            <w:r>
              <w:rPr>
                <w:rFonts w:cs="宋体"/>
                <w:color w:val="000000"/>
                <w:sz w:val="20"/>
                <w:szCs w:val="20"/>
              </w:rPr>
              <w:t>事业单位离退休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D5A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348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3F1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B44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1F3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CED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E7049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48F74">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4C2CF">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48F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D8D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3CF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F30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500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1FA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6F354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CE7C9">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7FA09">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23B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A97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4BF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9C2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8C2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C70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06F47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8354E">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7D7F7">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A43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A9B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5C5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E15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CC7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C5A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B1DA4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DFE50">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D0FE1">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763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885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5A7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79A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80A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520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BDF33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48D06">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CF9BA">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3BF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380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BC7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B17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BF6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BA1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1D8FB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670AD">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6DBCD">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A6B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146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B75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FF5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403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0C0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7338D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11C6A">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09A71">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A4A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4E2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88E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8C3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050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69D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A353D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66A7B">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DDC4C">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D7D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DB5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3AE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E2F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C93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03A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846FA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ACB43">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3788C">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1EB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918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441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43D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22E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532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41C26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F763B">
            <w:pPr>
              <w:textAlignment w:val="center"/>
              <w:rPr>
                <w:rFonts w:hint="default" w:cs="宋体"/>
                <w:color w:val="000000"/>
                <w:sz w:val="20"/>
                <w:szCs w:val="20"/>
              </w:rPr>
            </w:pPr>
            <w:r>
              <w:rPr>
                <w:rFonts w:cs="宋体"/>
                <w:color w:val="000000"/>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952E9">
            <w:pPr>
              <w:textAlignment w:val="center"/>
              <w:rPr>
                <w:rFonts w:hint="default" w:cs="宋体"/>
                <w:color w:val="000000"/>
                <w:sz w:val="20"/>
                <w:szCs w:val="20"/>
              </w:rPr>
            </w:pPr>
            <w:r>
              <w:rPr>
                <w:rFonts w:cs="宋体"/>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721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8B3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151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D3C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8AD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053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EDEF9C6">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AFFAB26">
      <w:pPr>
        <w:rPr>
          <w:rFonts w:hint="default" w:cs="宋体"/>
          <w:sz w:val="21"/>
          <w:szCs w:val="21"/>
        </w:rPr>
      </w:pPr>
      <w:r>
        <w:rPr>
          <w:rFonts w:cs="宋体"/>
          <w:sz w:val="21"/>
          <w:szCs w:val="21"/>
        </w:rPr>
        <w:br w:type="page"/>
      </w:r>
    </w:p>
    <w:p w14:paraId="127CC919">
      <w:pPr>
        <w:rPr>
          <w:rFonts w:hint="default" w:cs="宋体"/>
          <w:sz w:val="21"/>
          <w:szCs w:val="21"/>
        </w:rPr>
      </w:pPr>
    </w:p>
    <w:tbl>
      <w:tblPr>
        <w:tblStyle w:val="9"/>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1DD5E87F">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3F29576">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3F6F40C8">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29209C7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重庆市九龙坡区石桥铺街道劳动就业和社会保障服务所</w:t>
            </w:r>
          </w:p>
        </w:tc>
        <w:tc>
          <w:tcPr>
            <w:tcW w:w="577" w:type="pct"/>
            <w:tcBorders>
              <w:top w:val="nil"/>
              <w:left w:val="nil"/>
              <w:bottom w:val="nil"/>
              <w:right w:val="nil"/>
            </w:tcBorders>
            <w:shd w:val="clear" w:color="auto" w:fill="auto"/>
            <w:noWrap/>
            <w:tcMar>
              <w:top w:w="15" w:type="dxa"/>
              <w:left w:w="15" w:type="dxa"/>
              <w:right w:w="15" w:type="dxa"/>
            </w:tcMar>
            <w:vAlign w:val="bottom"/>
          </w:tcPr>
          <w:p w14:paraId="6B171137">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6478B6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BED12C6">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F7CBB24">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13FF2EA5">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5C9033B3">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3D03AC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BD53A4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CB92F5A">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C2E5D3F">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CB4107C">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BD406">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31D82">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6863A9F7">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CFDAB">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85370">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8A819D">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7B7C5">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7759425C">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642C4">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23101">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820EEC">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24B07">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96E69">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BDFC2">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80CBC">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6C77528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EC75F">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C1A5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133.31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D6C6E">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785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5B1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556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1D6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05C9A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ED4F8">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21C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84D8A">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3E4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DD2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E57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CDD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F139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E2155">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09A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40507">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50E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43B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134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EC7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66E50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8F1F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B6151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8E3BF">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D52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0E2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952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71E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BA1B0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1BB8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151BB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DBF68">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0A4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8DC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1F9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1EA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9BBB2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03EE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339E6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16577">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AC0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DF4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4C4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22D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2A0BE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523A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75C46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21227">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D10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A0E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C75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113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561E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22A9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0377D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ACCE5">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F795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123.25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ABED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123.25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E15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F08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3E17E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9533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C5A42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59F61">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D626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D057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444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5FC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15423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A8D7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4756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9E775">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173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B80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487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86C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67DFE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DB06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2F84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75F27">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68C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F04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7B8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93E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92053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7D6D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D5F8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CAA4E">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CE8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EE6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23A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08B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386F2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A0AB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B04B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BAACF">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CAD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F1E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511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539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9CA1D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9625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0EBF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CFACE">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6F0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63D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C45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F8E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64C97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8E40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89CA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DC33A">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179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52A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9C0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93D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E13F9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597B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0CDE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B22C7">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671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E95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352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FA7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F47A6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D3D3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6DEC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CBEB8">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2B9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6A6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E5F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55D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446E9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63CA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BF50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F8A72">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AF2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DD6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5E3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E2B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E11E7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E21D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64CC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9735B">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BC06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FC1E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919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3EC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628A0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D74E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08F2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92989">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1EF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2DD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6F3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CFF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A0539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6E2D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6955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2932F">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D0F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30C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3AC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87C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0D161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3B8F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AFC2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D22DB">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A17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CE0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704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D8C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BE16C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1ACA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D23A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F9777">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E91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869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E0C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FB7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1B2B9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EB7D7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64E0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DB725">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0F1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2DB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014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0D8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7F0FA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0504C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CD3A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8E8D7">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F67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E93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8A7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E90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8123C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6CF4C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8931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88382">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A02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847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2F6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F17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29CC3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9697B">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4362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133.31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351DE">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7F4A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133.31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B004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133.31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340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AF6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38D8B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81E40">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D9A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5F19D">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8D3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AD4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78D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A34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FC57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9EF85">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809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2EA7F4">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969918">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F62101">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3341A4">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1DC794">
            <w:pPr>
              <w:spacing w:line="200" w:lineRule="exact"/>
              <w:rPr>
                <w:rFonts w:hint="default" w:ascii="Times New Roman" w:hAnsi="Times New Roman"/>
                <w:color w:val="000000"/>
                <w:sz w:val="18"/>
                <w:szCs w:val="18"/>
              </w:rPr>
            </w:pPr>
          </w:p>
        </w:tc>
      </w:tr>
      <w:tr w14:paraId="5D89BB9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813EE">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0E2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6016A">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C18FD">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73E68">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4BC95">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C79FD">
            <w:pPr>
              <w:spacing w:line="200" w:lineRule="exact"/>
              <w:jc w:val="right"/>
              <w:rPr>
                <w:rFonts w:hint="default" w:ascii="Times New Roman" w:hAnsi="Times New Roman"/>
                <w:color w:val="000000"/>
                <w:sz w:val="18"/>
                <w:szCs w:val="18"/>
              </w:rPr>
            </w:pPr>
          </w:p>
        </w:tc>
      </w:tr>
      <w:tr w14:paraId="41BF31D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81BE5">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5FC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5D690">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965B0">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5EAE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18915">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40092">
            <w:pPr>
              <w:spacing w:line="200" w:lineRule="exact"/>
              <w:jc w:val="right"/>
              <w:rPr>
                <w:rFonts w:hint="default" w:ascii="Times New Roman" w:hAnsi="Times New Roman"/>
                <w:color w:val="000000"/>
                <w:sz w:val="18"/>
                <w:szCs w:val="18"/>
              </w:rPr>
            </w:pPr>
          </w:p>
        </w:tc>
      </w:tr>
      <w:tr w14:paraId="204214C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30364">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DAE0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133.31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4228D">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AD2F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133.31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A552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133.31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E1B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B7E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7DB0DE42">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05"/>
        <w:gridCol w:w="4073"/>
        <w:gridCol w:w="3307"/>
        <w:gridCol w:w="3296"/>
        <w:gridCol w:w="3341"/>
      </w:tblGrid>
      <w:tr w14:paraId="0099FCEC">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29E233D">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1CAEF29D">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36AD190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重庆市九龙坡区石桥铺街道劳动就业和社会保障服务所</w:t>
            </w:r>
          </w:p>
        </w:tc>
        <w:tc>
          <w:tcPr>
            <w:tcW w:w="1076" w:type="pct"/>
            <w:tcBorders>
              <w:top w:val="nil"/>
              <w:left w:val="nil"/>
              <w:bottom w:val="nil"/>
              <w:right w:val="nil"/>
            </w:tcBorders>
            <w:shd w:val="clear" w:color="auto" w:fill="auto"/>
            <w:noWrap/>
            <w:tcMar>
              <w:top w:w="15" w:type="dxa"/>
              <w:left w:w="15" w:type="dxa"/>
              <w:right w:w="15" w:type="dxa"/>
            </w:tcMar>
            <w:vAlign w:val="bottom"/>
          </w:tcPr>
          <w:p w14:paraId="071713BB">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270A62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7D489AB8">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1CFD8C24">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4F7EAA0B">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12EBC33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69106EB">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FCE08">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9175899">
            <w:pPr>
              <w:jc w:val="center"/>
              <w:textAlignment w:val="center"/>
              <w:rPr>
                <w:rFonts w:hint="default" w:cs="宋体"/>
                <w:b/>
                <w:color w:val="000000"/>
                <w:sz w:val="20"/>
                <w:szCs w:val="20"/>
              </w:rPr>
            </w:pPr>
            <w:r>
              <w:rPr>
                <w:rFonts w:cs="宋体"/>
                <w:b/>
                <w:color w:val="000000"/>
                <w:sz w:val="20"/>
                <w:szCs w:val="20"/>
              </w:rPr>
              <w:t>本年支出</w:t>
            </w:r>
          </w:p>
        </w:tc>
      </w:tr>
      <w:tr w14:paraId="4C04179E">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F3BA4">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BAC48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DE671D">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D4395F">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8C04B4">
            <w:pPr>
              <w:jc w:val="center"/>
              <w:textAlignment w:val="center"/>
              <w:rPr>
                <w:rFonts w:hint="default" w:cs="宋体"/>
                <w:b/>
                <w:color w:val="000000"/>
                <w:sz w:val="20"/>
                <w:szCs w:val="20"/>
              </w:rPr>
            </w:pPr>
            <w:r>
              <w:rPr>
                <w:rFonts w:cs="宋体"/>
                <w:b/>
                <w:color w:val="000000"/>
                <w:sz w:val="20"/>
                <w:szCs w:val="20"/>
              </w:rPr>
              <w:t>项目支出</w:t>
            </w:r>
          </w:p>
        </w:tc>
      </w:tr>
      <w:tr w14:paraId="5C863441">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5A7A4">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E6760C">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B925D4">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AF142C">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C41156">
            <w:pPr>
              <w:jc w:val="center"/>
              <w:rPr>
                <w:rFonts w:hint="default" w:cs="宋体"/>
                <w:b/>
                <w:color w:val="000000"/>
                <w:sz w:val="20"/>
                <w:szCs w:val="20"/>
              </w:rPr>
            </w:pPr>
          </w:p>
        </w:tc>
      </w:tr>
      <w:tr w14:paraId="0917E92B">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A80E7">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C17783">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8EB2D4">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52A14B">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A8B598">
            <w:pPr>
              <w:jc w:val="center"/>
              <w:rPr>
                <w:rFonts w:hint="default" w:cs="宋体"/>
                <w:b/>
                <w:color w:val="000000"/>
                <w:sz w:val="20"/>
                <w:szCs w:val="20"/>
              </w:rPr>
            </w:pPr>
          </w:p>
        </w:tc>
      </w:tr>
      <w:tr w14:paraId="55DD8FBA">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2810F">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2F84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133.31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FB57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133.31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9636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547708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0ACD5">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96C43">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661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123.25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2CB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123.25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CF7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2BAD5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27D0E">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B7CB8">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563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78.78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ED0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78.78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037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E338C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56A3C">
            <w:pPr>
              <w:textAlignment w:val="center"/>
              <w:rPr>
                <w:rFonts w:hint="default" w:cs="宋体"/>
                <w:color w:val="000000"/>
                <w:sz w:val="20"/>
                <w:szCs w:val="20"/>
              </w:rPr>
            </w:pPr>
            <w:r>
              <w:rPr>
                <w:rFonts w:cs="宋体"/>
                <w:color w:val="000000"/>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4D540">
            <w:pPr>
              <w:textAlignment w:val="center"/>
              <w:rPr>
                <w:rFonts w:hint="default" w:cs="宋体"/>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9FB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78.78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436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78.78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52C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BE939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CC1C6">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BA553">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028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44.47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759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44.47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20B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967936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E7F86">
            <w:pPr>
              <w:textAlignment w:val="center"/>
              <w:rPr>
                <w:rFonts w:hint="default" w:cs="宋体"/>
                <w:color w:val="000000"/>
                <w:sz w:val="20"/>
                <w:szCs w:val="20"/>
              </w:rPr>
            </w:pPr>
            <w:r>
              <w:rPr>
                <w:rFonts w:cs="宋体"/>
                <w:color w:val="000000"/>
                <w:sz w:val="20"/>
                <w:szCs w:val="20"/>
              </w:rPr>
              <w:t>2080502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05572">
            <w:pPr>
              <w:textAlignment w:val="center"/>
              <w:rPr>
                <w:rFonts w:hint="default" w:cs="宋体"/>
                <w:color w:val="000000"/>
                <w:sz w:val="20"/>
                <w:szCs w:val="20"/>
              </w:rPr>
            </w:pPr>
            <w:r>
              <w:rPr>
                <w:rFonts w:cs="宋体"/>
                <w:color w:val="000000"/>
                <w:sz w:val="20"/>
                <w:szCs w:val="20"/>
              </w:rPr>
              <w:t>事业单位离退休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B06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1CF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263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5D85E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FFDDD">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07E2C">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440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712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EA3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01DCF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FEEA1">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8799C">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1DB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51B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63B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7F0ACD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DDCAB">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F49F4">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F23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CE0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FB4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26005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C951C">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3F563">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B7A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51C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CA4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E7E82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A1E28">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ACBF0">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354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B69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C5C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527FE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9577B">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EF236">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77A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647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F0F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CC788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EF07E">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C30A8">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D9B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E07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F6C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3F163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03AD7">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F482F">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0CB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F50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8A5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E9CA9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5E0E2">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9B7F2">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550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295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D1B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7ED0B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A6053">
            <w:pPr>
              <w:textAlignment w:val="center"/>
              <w:rPr>
                <w:rFonts w:hint="default" w:cs="宋体"/>
                <w:color w:val="000000"/>
                <w:sz w:val="20"/>
                <w:szCs w:val="20"/>
              </w:rPr>
            </w:pPr>
            <w:r>
              <w:rPr>
                <w:rFonts w:cs="宋体"/>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B5710">
            <w:pPr>
              <w:textAlignment w:val="center"/>
              <w:rPr>
                <w:rFonts w:hint="default" w:cs="宋体"/>
                <w:color w:val="000000"/>
                <w:sz w:val="20"/>
                <w:szCs w:val="20"/>
              </w:rPr>
            </w:pPr>
            <w:r>
              <w:rPr>
                <w:rFonts w:cs="宋体"/>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494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190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9FD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E109BE4">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9E1B82C">
      <w:pPr>
        <w:ind w:firstLine="630" w:firstLineChars="300"/>
        <w:rPr>
          <w:rFonts w:hint="default" w:cs="宋体"/>
          <w:sz w:val="21"/>
          <w:szCs w:val="21"/>
        </w:rPr>
      </w:pPr>
      <w:r>
        <w:rPr>
          <w:rFonts w:cs="宋体"/>
          <w:sz w:val="21"/>
          <w:szCs w:val="21"/>
        </w:rPr>
        <w:br w:type="page"/>
      </w:r>
    </w:p>
    <w:tbl>
      <w:tblPr>
        <w:tblStyle w:val="9"/>
        <w:tblW w:w="4994" w:type="pct"/>
        <w:tblInd w:w="0" w:type="dxa"/>
        <w:tblLayout w:type="fixed"/>
        <w:tblCellMar>
          <w:top w:w="0" w:type="dxa"/>
          <w:left w:w="0" w:type="dxa"/>
          <w:bottom w:w="0" w:type="dxa"/>
          <w:right w:w="0" w:type="dxa"/>
        </w:tblCellMar>
      </w:tblPr>
      <w:tblGrid>
        <w:gridCol w:w="802"/>
        <w:gridCol w:w="2809"/>
        <w:gridCol w:w="1541"/>
        <w:gridCol w:w="873"/>
        <w:gridCol w:w="2031"/>
        <w:gridCol w:w="1417"/>
        <w:gridCol w:w="873"/>
        <w:gridCol w:w="3465"/>
        <w:gridCol w:w="1492"/>
      </w:tblGrid>
      <w:tr w14:paraId="1548A17E">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499365D0">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6542CD25">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27728EA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重庆市九龙坡区石桥铺街道劳动就业和社会保障服务所</w:t>
            </w:r>
          </w:p>
        </w:tc>
        <w:tc>
          <w:tcPr>
            <w:tcW w:w="463" w:type="pct"/>
            <w:tcBorders>
              <w:top w:val="nil"/>
              <w:left w:val="nil"/>
              <w:bottom w:val="nil"/>
              <w:right w:val="nil"/>
            </w:tcBorders>
            <w:shd w:val="clear" w:color="auto" w:fill="auto"/>
            <w:noWrap/>
            <w:tcMar>
              <w:top w:w="15" w:type="dxa"/>
              <w:left w:w="15" w:type="dxa"/>
              <w:right w:w="15" w:type="dxa"/>
            </w:tcMar>
            <w:vAlign w:val="bottom"/>
          </w:tcPr>
          <w:p w14:paraId="1D7CE3E3">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16E3D8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C5AE8C3">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3B17A4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4C9E250E">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32390CC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3EE2EF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46A345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4EE60183">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6BE724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F8485B0">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3154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84C55F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6E9A6A53">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298B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07D1E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FA8A1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B30F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4BB4D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EC3F5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EDBA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05562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2B999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5E9A959C">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99D3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E2C36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C9395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ABEA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31928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CF82E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D9F3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57B68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06A09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2ADD95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A7F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552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5C3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80.25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5DB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F2C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731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355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ECC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1CF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023F5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055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1CF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D4B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B55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DA9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7F29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4E0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165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974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F4286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D06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880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21C6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1DD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95F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6B7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F18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9D2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A2F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16330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E70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5CD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B52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8E8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8F7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64A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2FF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A45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CC4F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25188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99C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ADD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B43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C8B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9E3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E8F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5E8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E67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00B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5C1B5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D71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F5E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830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31C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6DD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FA10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AF1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F2B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D27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411CE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40B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013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BFA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12B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F1C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3A6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21F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563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D69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31B69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272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C42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0511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C72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864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80D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187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6BD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C50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1CF32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D75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5E0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6A7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807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9C5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74C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DA9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CB1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56F0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7445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790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38B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461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30A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58D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EA0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D66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65F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CB9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16930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FB4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886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366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CA9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9C8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C3D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7D5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902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3D9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66A3F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E2C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8A1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68D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1D9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B9C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2E6B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671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4EE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7CBF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97EB7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BD3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16D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859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A3D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872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6E0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689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792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299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082FF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A17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546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4B4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5C3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274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7DD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7A7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06C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95C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2C7E9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F0B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D1B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3AE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32.86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D8D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1A2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F898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73D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2EC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41F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DA2C8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C4A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5A7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A71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D92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841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C97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6AF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607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16B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6F65E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F8D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0DE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2A7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54A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8F1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3F7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A17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674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2B6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5C19F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353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93B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8E1B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F2E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626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C30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88F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172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D22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484AE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CF9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1E9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78C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C88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791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350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150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23B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5CB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015F0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2AE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455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2BA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AE4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1D1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94D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C93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2D0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A85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BF66F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170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3AF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79A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C7A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E2A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8200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649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120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114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44A60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2B2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3D1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3A9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92A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3B9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349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8C1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660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47E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20B87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AB9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4FF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1EF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13C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A4C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0FF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1EE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6DD6B">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1E5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F9FBA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943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339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D31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EB2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53A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3FC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496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58D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3776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54B51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420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420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9D3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A55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69E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FE7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929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4FF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402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D5689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EC7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E2E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22B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768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857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4E5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5F4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D0B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4F9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0EFEB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A21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A1B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DA47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565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BC0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E58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2A0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E24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1A9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C92CA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9F8B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DB42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426AA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0D2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D8D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76F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E07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4F5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B9F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66520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5374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426C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A8500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5CD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F10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2CE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674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18A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2E9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E9193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DB55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54F2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40029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D4B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8E9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FB1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AC9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E79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372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F42E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6ADE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E509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18B16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40A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2CD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F16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B286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DB04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2BAA4">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AA9F0C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6366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ADA6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D2CEC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9B9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BA8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791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41E8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9264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8A19E">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0942A4D1">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7B35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F559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E1460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F36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89F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CA0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CA20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C191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25E91">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4803887C">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FC5E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337C87">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113.11</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E1B8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1F0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20.20</w:t>
            </w:r>
            <w:r>
              <w:rPr>
                <w:rFonts w:ascii="Times New Roman" w:hAnsi="Times New Roman"/>
                <w:color w:val="000000"/>
                <w:sz w:val="18"/>
                <w:u w:color="auto"/>
              </w:rPr>
              <w:t xml:space="preserve"> </w:t>
            </w:r>
          </w:p>
        </w:tc>
      </w:tr>
    </w:tbl>
    <w:p w14:paraId="26028B75">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14:paraId="75AAD773">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7E1FA2C">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5A85BC7A">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755DD25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重庆市九龙坡区石桥铺街道劳动就业和社会保障服务所</w:t>
            </w:r>
          </w:p>
        </w:tc>
        <w:tc>
          <w:tcPr>
            <w:tcW w:w="555" w:type="pct"/>
            <w:tcBorders>
              <w:top w:val="nil"/>
              <w:left w:val="nil"/>
              <w:bottom w:val="nil"/>
              <w:right w:val="nil"/>
            </w:tcBorders>
            <w:shd w:val="clear" w:color="auto" w:fill="auto"/>
            <w:noWrap/>
            <w:tcMar>
              <w:top w:w="15" w:type="dxa"/>
              <w:left w:w="15" w:type="dxa"/>
              <w:right w:w="15" w:type="dxa"/>
            </w:tcMar>
            <w:vAlign w:val="bottom"/>
          </w:tcPr>
          <w:p w14:paraId="6E4C4D90">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D8E11C7">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724CF84">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7C15BD7">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95996A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26204DAB">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7ED56FC1">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0DF1520">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2C60C40">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0F2D339">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2195BB9">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EB69DB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660A204">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7231A">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50D452C">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A9984">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E5AEAF">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7D496">
            <w:pPr>
              <w:jc w:val="center"/>
              <w:textAlignment w:val="center"/>
              <w:rPr>
                <w:rFonts w:hint="default" w:cs="宋体"/>
                <w:b/>
                <w:color w:val="000000"/>
                <w:sz w:val="20"/>
                <w:szCs w:val="20"/>
              </w:rPr>
            </w:pPr>
            <w:r>
              <w:rPr>
                <w:rFonts w:cs="宋体"/>
                <w:b/>
                <w:color w:val="000000"/>
                <w:sz w:val="20"/>
                <w:szCs w:val="20"/>
              </w:rPr>
              <w:t>年末结转和结余</w:t>
            </w:r>
          </w:p>
        </w:tc>
      </w:tr>
      <w:tr w14:paraId="6763EB5F">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5D44B">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C7FD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42987FC">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AE16B">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F7829B">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A08AE2">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9AD271">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98564">
            <w:pPr>
              <w:jc w:val="center"/>
              <w:rPr>
                <w:rFonts w:hint="default" w:cs="宋体"/>
                <w:b/>
                <w:color w:val="000000"/>
                <w:sz w:val="20"/>
                <w:szCs w:val="20"/>
              </w:rPr>
            </w:pPr>
          </w:p>
        </w:tc>
      </w:tr>
      <w:tr w14:paraId="23C7514B">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065FB">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6E0BB">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91AE34E">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FA019">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96E720">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4DA286">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9578F0">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4D9CC">
            <w:pPr>
              <w:jc w:val="center"/>
              <w:rPr>
                <w:rFonts w:hint="default" w:cs="宋体"/>
                <w:b/>
                <w:color w:val="000000"/>
                <w:sz w:val="20"/>
                <w:szCs w:val="20"/>
              </w:rPr>
            </w:pPr>
          </w:p>
        </w:tc>
      </w:tr>
      <w:tr w14:paraId="68208B41">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C0A78">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1A7F2">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C9B8374">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0F819">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D43F89">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076056">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E1A34B">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A7DE8">
            <w:pPr>
              <w:jc w:val="center"/>
              <w:rPr>
                <w:rFonts w:hint="default" w:cs="宋体"/>
                <w:b/>
                <w:color w:val="000000"/>
                <w:sz w:val="20"/>
                <w:szCs w:val="20"/>
              </w:rPr>
            </w:pPr>
          </w:p>
        </w:tc>
      </w:tr>
      <w:tr w14:paraId="0E2F73D1">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3586C">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5F04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E2E2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B4F8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71C0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F997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5682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A0E952C">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6E105">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92EB4">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AB5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D03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757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ED4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830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93C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B79F6FC">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67343B44">
      <w:pPr>
        <w:rPr>
          <w:rFonts w:hint="default" w:cs="宋体"/>
          <w:sz w:val="21"/>
          <w:szCs w:val="21"/>
        </w:rPr>
      </w:pP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295"/>
        <w:gridCol w:w="3617"/>
        <w:gridCol w:w="3274"/>
        <w:gridCol w:w="189"/>
        <w:gridCol w:w="3462"/>
        <w:gridCol w:w="85"/>
        <w:gridCol w:w="3400"/>
      </w:tblGrid>
      <w:tr w14:paraId="55EDF9E2">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1F0FAC7">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0ED85A3F">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6DB9545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重庆市九龙坡区石桥铺街道劳动就业和社会保障服务所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E2E66B0">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454BB0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390DE150">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22ED9707">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8EA4626">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E52EC2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6F921D8">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9A1727">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057A94">
            <w:pPr>
              <w:jc w:val="center"/>
              <w:textAlignment w:val="bottom"/>
              <w:rPr>
                <w:rFonts w:hint="default" w:cs="宋体"/>
                <w:b/>
                <w:color w:val="000000"/>
                <w:sz w:val="20"/>
                <w:szCs w:val="20"/>
              </w:rPr>
            </w:pPr>
            <w:r>
              <w:rPr>
                <w:rFonts w:cs="宋体"/>
                <w:b/>
                <w:color w:val="000000"/>
                <w:sz w:val="20"/>
                <w:szCs w:val="20"/>
              </w:rPr>
              <w:t>本年支出</w:t>
            </w:r>
          </w:p>
        </w:tc>
      </w:tr>
      <w:tr w14:paraId="4E186553">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71445">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F0502D">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F414A">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9891D6">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14991D">
            <w:pPr>
              <w:jc w:val="center"/>
              <w:textAlignment w:val="center"/>
              <w:rPr>
                <w:rFonts w:hint="default" w:cs="宋体"/>
                <w:b/>
                <w:color w:val="000000"/>
                <w:sz w:val="20"/>
                <w:szCs w:val="20"/>
              </w:rPr>
            </w:pPr>
            <w:r>
              <w:rPr>
                <w:rFonts w:cs="宋体"/>
                <w:b/>
                <w:color w:val="000000"/>
                <w:sz w:val="20"/>
                <w:szCs w:val="20"/>
              </w:rPr>
              <w:t>项目支出</w:t>
            </w:r>
          </w:p>
        </w:tc>
      </w:tr>
      <w:tr w14:paraId="16487631">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6457D">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701FB6">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C81FF">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F80559">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D6D152">
            <w:pPr>
              <w:jc w:val="center"/>
              <w:rPr>
                <w:rFonts w:hint="default" w:cs="宋体"/>
                <w:b/>
                <w:color w:val="000000"/>
                <w:sz w:val="20"/>
                <w:szCs w:val="20"/>
              </w:rPr>
            </w:pPr>
          </w:p>
        </w:tc>
      </w:tr>
      <w:tr w14:paraId="36175A09">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50F01">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C98728">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0DD3E">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AD24F2">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EEDB98">
            <w:pPr>
              <w:jc w:val="center"/>
              <w:rPr>
                <w:rFonts w:hint="default" w:cs="宋体"/>
                <w:b/>
                <w:color w:val="000000"/>
                <w:sz w:val="20"/>
                <w:szCs w:val="20"/>
              </w:rPr>
            </w:pPr>
          </w:p>
        </w:tc>
      </w:tr>
      <w:tr w14:paraId="4B3AAE36">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1FAE3">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653CE7">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30C8B">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DBB93B">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3241A8">
            <w:pPr>
              <w:jc w:val="center"/>
              <w:rPr>
                <w:rFonts w:hint="default" w:cs="宋体"/>
                <w:b/>
                <w:color w:val="000000"/>
                <w:sz w:val="20"/>
                <w:szCs w:val="20"/>
              </w:rPr>
            </w:pPr>
          </w:p>
        </w:tc>
      </w:tr>
      <w:tr w14:paraId="1A8AADC3">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8BF2C">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B178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CC764">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6DE7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203926F">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B700C">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087B0">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D21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DEFA5">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175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73907692">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249FFBDD">
      <w:pPr>
        <w:rPr>
          <w:rFonts w:hint="default" w:cs="宋体"/>
          <w:sz w:val="21"/>
          <w:szCs w:val="21"/>
        </w:rPr>
      </w:pPr>
      <w:r>
        <w:rPr>
          <w:rFonts w:hint="default" w:cs="宋体"/>
          <w:sz w:val="21"/>
          <w:szCs w:val="21"/>
        </w:rPr>
        <w:br w:type="page"/>
      </w:r>
    </w:p>
    <w:tbl>
      <w:tblPr>
        <w:tblStyle w:val="9"/>
        <w:tblW w:w="4611" w:type="pct"/>
        <w:tblInd w:w="0" w:type="dxa"/>
        <w:tblLayout w:type="fixed"/>
        <w:tblCellMar>
          <w:top w:w="0" w:type="dxa"/>
          <w:left w:w="170" w:type="dxa"/>
          <w:bottom w:w="0" w:type="dxa"/>
          <w:right w:w="170" w:type="dxa"/>
        </w:tblCellMar>
      </w:tblPr>
      <w:tblGrid>
        <w:gridCol w:w="3179"/>
        <w:gridCol w:w="2415"/>
        <w:gridCol w:w="2376"/>
        <w:gridCol w:w="3674"/>
        <w:gridCol w:w="2486"/>
      </w:tblGrid>
      <w:tr w14:paraId="3A0C225A">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55BEBC87">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0FE67E9D">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17875D11">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68850085">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1B1D7899">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72CACCA7">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2A296B20">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085F1131">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09E567E">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重庆市九龙坡区石桥铺街道劳动就业和社会保障服务所</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78FE6869">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16AF084B">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3D8710EE">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0EE45C00">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F7ED4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DF720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37D93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6A55C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85245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3B21E377">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1FFD4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AE9E8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94A88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89FB4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7BFCD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5927B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030B0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4541B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A2B2E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050F7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A751D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1141F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57084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D7876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76804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BCF6B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3E3A7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8E929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DAB02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E609D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05075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75042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2B3E1D">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A5F111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5F77C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BD65D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A69EA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8FF85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5D5AC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DEB7D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74FD9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2DE45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F5110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E958E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E932D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42D13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67192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6A87B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5FA15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AD4CA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D60FB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A8E61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12537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2E142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20201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99631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D47A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88750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5AF2C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7ACDE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EB4A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FA1CD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93A0C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AB651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2D4F1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A1D6A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B135A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3C34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D5B4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BCD78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0253A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DA9E4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B5F88F">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E0073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5120C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CBCA5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29292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C4A05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EFD80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E4B1C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91C50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94A5F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50E0C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249FA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172BB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8EB9E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23E62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79EB1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3A920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9F678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D9101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5A260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4A605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D034B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04959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BE144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4F532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3CC2D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00C847">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A0E587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D1867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49C76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70A44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E9825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5E2AD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215ED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C859B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E7192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BE51E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331AA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9E0B5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40163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C0E2B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2CB7A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33F5B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8A498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953C4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7302C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72533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D7245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8248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A8F82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DE8D6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FC455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35D76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3855A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9F193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0944A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739B2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72EB6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F7725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7F868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AE2A2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02F0E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E1947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B3E2D5">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D12AE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7D8F3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5E9A7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051891">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220537">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572B8A87">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663B3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A4B03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178CF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5.36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3EA147">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0EC338">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5CE961B9">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AF646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B335B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F642C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C3F736">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2D0E1A">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633E0D97">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bookmarkStart w:id="0" w:name="_GoBack"/>
      <w:bookmarkEnd w:id="0"/>
    </w:p>
    <w:p w14:paraId="51AE266B">
      <w:pPr>
        <w:pStyle w:val="12"/>
        <w:keepNext w:val="0"/>
        <w:keepLines w:val="0"/>
        <w:pageBreakBefore w:val="0"/>
        <w:widowControl/>
        <w:kinsoku/>
        <w:wordWrap/>
        <w:overflowPunct/>
        <w:topLinePunct w:val="0"/>
        <w:autoSpaceDE w:val="0"/>
        <w:autoSpaceDN/>
        <w:bidi w:val="0"/>
        <w:adjustRightInd/>
        <w:snapToGrid/>
        <w:spacing w:beforeAutospacing="0" w:afterAutospacing="0" w:line="596" w:lineRule="exact"/>
        <w:ind w:left="0" w:leftChars="0" w:firstLine="0" w:firstLineChars="0"/>
        <w:jc w:val="both"/>
        <w:textAlignment w:val="auto"/>
        <w:rPr>
          <w:rFonts w:hint="default" w:ascii="方正仿宋_GBK" w:hAnsi="方正仿宋_GBK" w:eastAsia="方正仿宋_GBK" w:cs="方正仿宋_GBK"/>
          <w:kern w:val="0"/>
          <w:sz w:val="32"/>
          <w:szCs w:val="32"/>
          <w:shd w:val="clear" w:fill="FFFFFF"/>
          <w:lang w:val="en-US" w:eastAsia="zh-CN" w:bidi="ar-SA"/>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ECF7F51-C6C5-4044-AF56-238C6C68FA71}"/>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embedRegular r:id="rId2" w:fontKey="{AEBAD69E-B7D2-40BB-8800-58E488CF0F8C}"/>
  </w:font>
  <w:font w:name="方正黑体_GBK">
    <w:panose1 w:val="03000509000000000000"/>
    <w:charset w:val="86"/>
    <w:family w:val="script"/>
    <w:pitch w:val="default"/>
    <w:sig w:usb0="00000001" w:usb1="080E0000" w:usb2="00000000" w:usb3="00000000" w:csb0="00040000" w:csb1="00000000"/>
    <w:embedRegular r:id="rId3" w:fontKey="{0418D7F9-93A1-48AB-9388-1C207ECE94ED}"/>
  </w:font>
  <w:font w:name="方正楷体_GBK">
    <w:panose1 w:val="03000509000000000000"/>
    <w:charset w:val="86"/>
    <w:family w:val="auto"/>
    <w:pitch w:val="default"/>
    <w:sig w:usb0="00000001" w:usb1="080E0000" w:usb2="00000000" w:usb3="00000000" w:csb0="00040000" w:csb1="00000000"/>
    <w:embedRegular r:id="rId4" w:fontKey="{342B0C69-C6E9-4AF1-ADB3-710AB06B0D3B}"/>
  </w:font>
  <w:font w:name="方正仿宋_GBK">
    <w:panose1 w:val="03000509000000000000"/>
    <w:charset w:val="86"/>
    <w:family w:val="script"/>
    <w:pitch w:val="default"/>
    <w:sig w:usb0="00000001" w:usb1="080E0000" w:usb2="00000000" w:usb3="00000000" w:csb0="00040000" w:csb1="00000000"/>
    <w:embedRegular r:id="rId5" w:fontKey="{6976F40B-1C41-479A-B294-FF9734B47B1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4BC2E">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809D074">
                          <w:pPr>
                            <w:pStyle w:val="4"/>
                            <w:rPr>
                              <w:rFonts w:hint="default"/>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- 21 -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809D074">
                    <w:pPr>
                      <w:pStyle w:val="4"/>
                      <w:rPr>
                        <w:rFonts w:hint="default"/>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- 21 -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A68A9">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D0DA3A1">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D0DA3A1">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B53F443">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B53F443">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41D4C">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63"/>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D7BCC"/>
    <w:rsid w:val="00550ABE"/>
    <w:rsid w:val="007B419D"/>
    <w:rsid w:val="009B67B8"/>
    <w:rsid w:val="00B03CCD"/>
    <w:rsid w:val="01474EBF"/>
    <w:rsid w:val="019020B1"/>
    <w:rsid w:val="01F3521E"/>
    <w:rsid w:val="02056D00"/>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8042EC"/>
    <w:rsid w:val="089469AB"/>
    <w:rsid w:val="08BA052C"/>
    <w:rsid w:val="08D51B22"/>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193317C"/>
    <w:rsid w:val="22403BD3"/>
    <w:rsid w:val="23A64939"/>
    <w:rsid w:val="24AF1021"/>
    <w:rsid w:val="24B92327"/>
    <w:rsid w:val="24D3717D"/>
    <w:rsid w:val="2533755C"/>
    <w:rsid w:val="26396DF4"/>
    <w:rsid w:val="26505E27"/>
    <w:rsid w:val="266B763B"/>
    <w:rsid w:val="27167136"/>
    <w:rsid w:val="271F28D7"/>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FE029D7"/>
    <w:rsid w:val="2FF06E00"/>
    <w:rsid w:val="315F0B22"/>
    <w:rsid w:val="31BE24D6"/>
    <w:rsid w:val="31D84415"/>
    <w:rsid w:val="32285F6F"/>
    <w:rsid w:val="32770556"/>
    <w:rsid w:val="329C0913"/>
    <w:rsid w:val="3337290D"/>
    <w:rsid w:val="334B0167"/>
    <w:rsid w:val="35076329"/>
    <w:rsid w:val="352930DB"/>
    <w:rsid w:val="35573069"/>
    <w:rsid w:val="358C217E"/>
    <w:rsid w:val="359E7284"/>
    <w:rsid w:val="359F188C"/>
    <w:rsid w:val="36C9128A"/>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47FB0"/>
    <w:rsid w:val="4E9B0C57"/>
    <w:rsid w:val="4EA8523F"/>
    <w:rsid w:val="4ED97360"/>
    <w:rsid w:val="4F186D58"/>
    <w:rsid w:val="4F224836"/>
    <w:rsid w:val="4F231B40"/>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842572D"/>
    <w:rsid w:val="598A28E2"/>
    <w:rsid w:val="5A6279C1"/>
    <w:rsid w:val="5AD563E4"/>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0737CC"/>
    <w:rsid w:val="6C560CAE"/>
    <w:rsid w:val="6CD15296"/>
    <w:rsid w:val="6D903FF5"/>
    <w:rsid w:val="6DA955B8"/>
    <w:rsid w:val="6DE346AB"/>
    <w:rsid w:val="6FFB2E76"/>
    <w:rsid w:val="70AB70D6"/>
    <w:rsid w:val="70DE5507"/>
    <w:rsid w:val="71C34D91"/>
    <w:rsid w:val="71ED38AA"/>
    <w:rsid w:val="723F3B65"/>
    <w:rsid w:val="72DB435C"/>
    <w:rsid w:val="738549F4"/>
    <w:rsid w:val="740A5811"/>
    <w:rsid w:val="74ED1B1B"/>
    <w:rsid w:val="750837F0"/>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autoRedefine/>
    <w:unhideWhenUsed/>
    <w:qFormat/>
    <w:uiPriority w:val="1"/>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pacing w:before="100" w:beforeAutospacing="1" w:after="100" w:afterAutospacing="1"/>
    </w:pPr>
  </w:style>
  <w:style w:type="character" w:styleId="11">
    <w:name w:val="Strong"/>
    <w:autoRedefine/>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autoRedefine/>
    <w:qFormat/>
    <w:uiPriority w:val="0"/>
    <w:rPr>
      <w:rFonts w:hint="default" w:ascii="Wingdings" w:hAnsi="Wingdings" w:cs="Wingdings"/>
      <w:b/>
      <w:bCs/>
    </w:rPr>
  </w:style>
  <w:style w:type="paragraph" w:customStyle="1" w:styleId="15">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8745</Words>
  <Characters>10868</Characters>
  <Lines>161</Lines>
  <Paragraphs>45</Paragraphs>
  <TotalTime>123</TotalTime>
  <ScaleCrop>false</ScaleCrop>
  <LinksUpToDate>false</LinksUpToDate>
  <CharactersWithSpaces>11877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阿呆</cp:lastModifiedBy>
  <cp:lastPrinted>2025-10-24T04:38:00Z</cp:lastPrinted>
  <dcterms:modified xsi:type="dcterms:W3CDTF">2025-10-28T03:09:24Z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82900C8C7C52476B89CF9CB86885BF87_13</vt:lpwstr>
  </property>
  <property fmtid="{D5CDD505-2E9C-101B-9397-08002B2CF9AE}" pid="4" name="KSOTemplateDocerSaveRecord">
    <vt:lpwstr>eyJoZGlkIjoiMTA5MDEwZjhmNTNkMDczZDQyZjE2YTc1OGZlMDk1ZDIiLCJ1c2VySWQiOiI0NDgxMTkzNzgifQ==</vt:lpwstr>
  </property>
</Properties>
</file>