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A9735">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p>
    <w:p w14:paraId="6FD7D6C5">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重庆市九龙坡区石桥铺街道社会管理信息服务中心</w:t>
      </w:r>
      <w:r>
        <w:rPr>
          <w:rFonts w:hint="eastAsia" w:ascii="Times New Roman" w:hAnsi="Times New Roman" w:eastAsia="方正小标宋_GBK" w:cs="方正小标宋_GBK"/>
          <w:b w:val="0"/>
          <w:bCs w:val="0"/>
          <w:sz w:val="44"/>
          <w:szCs w:val="44"/>
          <w:shd w:val="clear" w:color="auto" w:fill="FFFFFF"/>
        </w:rPr>
        <w:t>2024年度决算公开说明</w:t>
      </w:r>
    </w:p>
    <w:p w14:paraId="17F6053A">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6DCAB94E">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eastAsia" w:ascii="Times New Roman" w:hAnsi="Times New Roman" w:eastAsia="方正黑体_GBK" w:cs="方正黑体_GBK"/>
          <w:b w:val="0"/>
          <w:bCs/>
          <w:kern w:val="0"/>
          <w:sz w:val="32"/>
          <w:szCs w:val="32"/>
        </w:rPr>
      </w:pPr>
      <w:r>
        <w:rPr>
          <w:rFonts w:hint="eastAsia" w:ascii="Times New Roman" w:hAnsi="Times New Roman" w:eastAsia="方正黑体_GBK" w:cs="方正黑体_GBK"/>
          <w:b w:val="0"/>
          <w:bCs/>
          <w:kern w:val="0"/>
          <w:sz w:val="32"/>
          <w:szCs w:val="32"/>
        </w:rPr>
        <w:t>一、</w:t>
      </w:r>
      <w:r>
        <w:rPr>
          <w:rFonts w:hint="eastAsia" w:ascii="Times New Roman" w:hAnsi="Times New Roman" w:eastAsia="方正黑体_GBK" w:cs="方正黑体_GBK"/>
          <w:b w:val="0"/>
          <w:bCs/>
          <w:kern w:val="0"/>
          <w:sz w:val="32"/>
          <w:szCs w:val="32"/>
          <w:lang w:eastAsia="zh-CN"/>
        </w:rPr>
        <w:t>单位</w:t>
      </w:r>
      <w:r>
        <w:rPr>
          <w:rFonts w:hint="eastAsia" w:ascii="Times New Roman" w:hAnsi="Times New Roman" w:eastAsia="方正黑体_GBK" w:cs="方正黑体_GBK"/>
          <w:b w:val="0"/>
          <w:bCs/>
          <w:kern w:val="0"/>
          <w:sz w:val="32"/>
          <w:szCs w:val="32"/>
        </w:rPr>
        <w:t>基本情况</w:t>
      </w:r>
    </w:p>
    <w:p w14:paraId="66427CFE">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sz w:val="32"/>
          <w:szCs w:val="32"/>
        </w:rPr>
      </w:pPr>
      <w:r>
        <w:rPr>
          <w:rStyle w:val="11"/>
          <w:rFonts w:hint="eastAsia" w:ascii="Times New Roman" w:hAnsi="Times New Roman" w:eastAsia="方正楷体_GBK" w:cs="方正楷体_GBK"/>
          <w:b w:val="0"/>
          <w:bCs w:val="0"/>
          <w:sz w:val="32"/>
          <w:szCs w:val="32"/>
          <w:shd w:val="clear" w:color="auto" w:fill="FFFFFF"/>
        </w:rPr>
        <w:t>（一）职能职责</w:t>
      </w:r>
    </w:p>
    <w:p w14:paraId="00601FC6">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集中管理维护综治、信访、维稳、生态环境、城市管理、“两违”整治、应急管理等网格化信息系统，协调、指导、推动辖区内网格化管理工作落实；承办公共安全隐患排查治理体系和风险预防控制体系信息化建设任务，对辖区内群众有关社会管理方面的求助、投诉受理、处理、督办、反馈；依托网格化信息系统，开展对社会管理信息的筛查研判、动态监测，并提出工作建议意见；承担社会管理信息收集、排查、调度、上报等工作。</w:t>
      </w:r>
    </w:p>
    <w:p w14:paraId="644413AB">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（二）机构设置</w:t>
      </w:r>
    </w:p>
    <w:p w14:paraId="177E84E2">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社会管理信息服务中心编制2人，实有2人。</w:t>
      </w:r>
    </w:p>
    <w:p w14:paraId="2A5C7A5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二、</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单位</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决算</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收支</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情况说明</w:t>
      </w:r>
    </w:p>
    <w:p w14:paraId="670B2F8F">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bookmarkStart w:id="0" w:name="_GoBack"/>
      <w:bookmarkEnd w:id="0"/>
    </w:p>
    <w:p w14:paraId="279D1F08">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度收入总计47.85万元，支出总计</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万元。收、支与2023年度相比，增加1.88万元，增长4.1%，主要原因是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BCD1839">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度收入合计47.85万元，与2023年度相比，增加1.88万元，增长4.1%，主要原因是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100.00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70BB4D8D">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万元，与2023年度相比，增加1.88万元，增长4.1%，主要原因是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361199C5">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6CB90125">
      <w:pPr>
        <w:pStyle w:val="8"/>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14906C9E">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度财政拨款收、支总计47.85万元。与202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年相比，财政拨款收、支总计各增加1.88万元，增长4.1%。主要原因是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603E84F2">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（三）一般公共预算财政拨款收入支出决算情况说明</w:t>
      </w:r>
    </w:p>
    <w:p w14:paraId="7D559A22">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万元，与2023年度相比，增加1.88万元，增长4.1%。主要原因是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。较年初预算数减少4.52万元，下降8.6%。主要原因是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D12D1F8">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万元，与2023年度相比，增加1.88万元，增长4.1%。主要原因是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。较年初预算数减少4.52万元，下降8.6%。主要原因是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93A57C5">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540765C6">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highlight w:val="cyan"/>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4.比较情况。</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7CA71049">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（1）一般公共服务支出</w:t>
      </w:r>
      <w:r>
        <w:rPr>
          <w:rFonts w:hint="eastAsia" w:ascii="Times New Roman" w:hAnsi="Times New Roman" w:eastAsia="方正仿宋_GBK" w:cs="方正仿宋_GBK"/>
          <w:color w:val="000000" w:themeColor="text1"/>
          <w:sz w:val="32"/>
          <w:szCs w:val="32"/>
          <w14:textFill>
            <w14:solidFill>
              <w14:schemeClr w14:val="tx1"/>
            </w14:solidFill>
          </w14:textFill>
        </w:rPr>
        <w:t>34.76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72.64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%，较年初预算数减少6.13万元，下降15.0%，主要原因是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19F7D56">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hint="eastAsia" w:ascii="Times New Roman" w:hAnsi="Times New Roman" w:eastAsia="方正仿宋_GBK" w:cs="方正仿宋_GBK"/>
          <w:color w:val="000000" w:themeColor="text1"/>
          <w:sz w:val="32"/>
          <w:szCs w:val="32"/>
          <w14:textFill>
            <w14:solidFill>
              <w14:schemeClr w14:val="tx1"/>
            </w14:solidFill>
          </w14:textFill>
        </w:rPr>
        <w:t>6.47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13.53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%，较年初预算数增加1.91万元，增长41.9%，主要原因是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591A779">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hint="eastAsia" w:ascii="Times New Roman" w:hAnsi="Times New Roman" w:eastAsia="方正仿宋_GBK" w:cs="方正仿宋_GBK"/>
          <w:color w:val="000000" w:themeColor="text1"/>
          <w:sz w:val="32"/>
          <w:szCs w:val="32"/>
          <w14:textFill>
            <w14:solidFill>
              <w14:schemeClr w14:val="tx1"/>
            </w14:solidFill>
          </w14:textFill>
        </w:rPr>
        <w:t>2.52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5.27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5DE9639">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住房保障支出4.10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8.57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%，较年初预算数减少0.30万元，下降6.8%，主要原因是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778768BF">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（四）一般公共预算财政拨款基本支出决算情况说明</w:t>
      </w:r>
    </w:p>
    <w:p w14:paraId="3AF3F0EA">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hint="eastAsia" w:ascii="Times New Roman" w:hAnsi="Times New Roman" w:eastAsia="方正仿宋_GBK" w:cs="方正仿宋_GBK"/>
          <w:color w:val="000000" w:themeColor="text1"/>
          <w:sz w:val="32"/>
          <w:szCs w:val="32"/>
          <w14:textFill>
            <w14:solidFill>
              <w14:schemeClr w14:val="tx1"/>
            </w14:solidFill>
          </w14:textFill>
        </w:rPr>
        <w:t>47.85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hint="eastAsia" w:ascii="Times New Roman" w:hAnsi="Times New Roman" w:eastAsia="方正仿宋_GBK" w:cs="方正仿宋_GBK"/>
          <w:color w:val="000000" w:themeColor="text1"/>
          <w:sz w:val="32"/>
          <w:szCs w:val="32"/>
          <w14:textFill>
            <w14:solidFill>
              <w14:schemeClr w14:val="tx1"/>
            </w14:solidFill>
          </w14:textFill>
        </w:rPr>
        <w:t>44.28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万元，与2023年度相比，增加6.40万元，增长16.9%，主要原因是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。人员经费用途主要包括人员经费用途主要包括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基本工资、津贴补贴、奖金、社会保障缴费等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hint="eastAsia" w:ascii="Times New Roman" w:hAnsi="Times New Roman" w:eastAsia="方正仿宋_GBK" w:cs="方正仿宋_GBK"/>
          <w:color w:val="000000" w:themeColor="text1"/>
          <w:sz w:val="32"/>
          <w:szCs w:val="32"/>
          <w14:textFill>
            <w14:solidFill>
              <w14:schemeClr w14:val="tx1"/>
            </w14:solidFill>
          </w14:textFill>
        </w:rPr>
        <w:t>3.57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万元，与2023年度相比，减少4.51万元，下降55.8%，主要原因是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办公费、印刷费等支出减少</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48F6C674">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（五）政府性基金预算收支决算情况说明</w:t>
      </w:r>
    </w:p>
    <w:p w14:paraId="40EAD3AA">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2D2B0746">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（六）国有资本经营预算财政拨款支出决算情况说明</w:t>
      </w:r>
    </w:p>
    <w:p w14:paraId="39E873E3">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2024年度无国有资本经营预算财政拨款支出。</w:t>
      </w:r>
    </w:p>
    <w:p w14:paraId="48A4042F">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w:t>
      </w:r>
      <w:r>
        <w:rPr>
          <w:rStyle w:val="11"/>
          <w:rFonts w:hint="eastAsia" w:ascii="Times New Roman" w:hAnsi="Times New Roman" w:eastAsia="方正黑体_GBK" w:cs="方正黑体_GBK"/>
          <w:b w:val="0"/>
          <w:bCs/>
          <w:color w:val="000000" w:themeColor="text1"/>
          <w:sz w:val="32"/>
          <w:szCs w:val="32"/>
          <w:shd w:val="clear" w:color="auto" w:fill="FFFFFF"/>
          <w:lang w:eastAsia="zh-CN"/>
          <w14:textFill>
            <w14:solidFill>
              <w14:schemeClr w14:val="tx1"/>
            </w14:solidFill>
          </w14:textFill>
        </w:rPr>
        <w:t>财政拨款</w:t>
      </w: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“三公”经费情况说明</w:t>
      </w:r>
    </w:p>
    <w:p w14:paraId="33F207CA">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（一）“三公”经费支出总体情况说明</w:t>
      </w:r>
    </w:p>
    <w:p w14:paraId="34D6DAB6">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2A1EEAFC">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（二）“三公”经费分项支出情况</w:t>
      </w:r>
    </w:p>
    <w:p w14:paraId="0295AA55">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hint="eastAsia" w:ascii="Times New Roman" w:hAnsi="Times New Roman" w:eastAsia="方正仿宋_GBK" w:cs="方正仿宋_GBK"/>
          <w:bCs/>
          <w:color w:val="000000" w:themeColor="text1"/>
          <w:sz w:val="32"/>
          <w:szCs w:val="32"/>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9D11038">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购置公务车</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3B8EC90">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68F67223">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万元，主要用于接待</w:t>
      </w:r>
      <w:r>
        <w:rPr>
          <w:rFonts w:hint="eastAsia"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F1314E0">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（三）“三公”经费实物量情况</w:t>
      </w:r>
    </w:p>
    <w:p w14:paraId="0E143443">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6F54444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14:textFill>
            <w14:solidFill>
              <w14:schemeClr w14:val="tx1"/>
            </w14:solidFill>
          </w14:textFill>
        </w:rPr>
        <w:t>四、其他需要说明的事项</w:t>
      </w:r>
    </w:p>
    <w:p w14:paraId="3B5351D0">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（一）财政拨款会议费和培训费情况说明</w:t>
      </w:r>
    </w:p>
    <w:p w14:paraId="5473A76D">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万元，与2023年度相比，无增减，主要原因是本单位本年度未发生会议费。本年度培训费支出</w:t>
      </w:r>
      <w:r>
        <w:rPr>
          <w:rFonts w:hint="eastAsia" w:ascii="Times New Roman" w:hAnsi="Times New Roman" w:eastAsia="方正仿宋_GBK" w:cs="方正仿宋_GBK"/>
          <w:color w:val="000000" w:themeColor="text1"/>
          <w:sz w:val="32"/>
          <w:szCs w:val="32"/>
          <w14:textFill>
            <w14:solidFill>
              <w14:schemeClr w14:val="tx1"/>
            </w14:solidFill>
          </w14:textFill>
        </w:rPr>
        <w:t>0.24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万元，与2023年度相比，增加0.15万元，增长166.7%，主要原因是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培训次数增加。</w:t>
      </w:r>
    </w:p>
    <w:p w14:paraId="46E1CC5F">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（二）机关运行经费情况说明</w:t>
      </w:r>
    </w:p>
    <w:p w14:paraId="3B0DEE7E">
      <w:pPr>
        <w:pStyle w:val="8"/>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万元，机关运行经费主要用于开支</w:t>
      </w:r>
      <w:r>
        <w:rPr>
          <w:rFonts w:hint="eastAsia" w:ascii="Times New Roman" w:hAnsi="Times New Roman" w:eastAsia="方正仿宋_GBK" w:cs="方正仿宋_GBK"/>
          <w:bCs/>
          <w:color w:val="000000" w:themeColor="text1"/>
          <w:sz w:val="32"/>
          <w:szCs w:val="32"/>
          <w14:textFill>
            <w14:solidFill>
              <w14:schemeClr w14:val="tx1"/>
            </w14:solidFill>
          </w14:textFill>
        </w:rPr>
        <w:t>电费、劳务费、办公费、印刷费、物业管理、食堂等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。机关运行经费较上年支出数无增减，主要原因是</w:t>
      </w:r>
      <w:r>
        <w:rPr>
          <w:rFonts w:hint="eastAsia" w:ascii="Times New Roman" w:hAnsi="Times New Roman" w:eastAsia="方正仿宋_GBK" w:cs="方正仿宋_GBK"/>
          <w:color w:val="000000" w:themeColor="text1"/>
          <w:sz w:val="32"/>
          <w:szCs w:val="32"/>
          <w14:textFill>
            <w14:solidFill>
              <w14:schemeClr w14:val="tx1"/>
            </w14:solidFill>
          </w14:textFill>
        </w:rPr>
        <w:t>按照</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14:textFill>
            <w14:solidFill>
              <w14:schemeClr w14:val="tx1"/>
            </w14:solidFill>
          </w14:textFill>
        </w:rPr>
        <w:t>决算列报口径，我单位不在机关运行经费统计范围之内。</w:t>
      </w:r>
    </w:p>
    <w:p w14:paraId="0927A1E6">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（三）国有资产占用情况说明</w:t>
      </w:r>
    </w:p>
    <w:p w14:paraId="1A00189A">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73F06CBF">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（四）政府采购支出情况说明</w:t>
      </w:r>
    </w:p>
    <w:p w14:paraId="35283328">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0.00万</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7CE8812D">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11009A3A">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楷体_GBK" w:cs="方正楷体_GBK"/>
          <w:b w:val="0"/>
          <w:bCs/>
          <w:color w:val="000000" w:themeColor="text1"/>
          <w:kern w:val="0"/>
          <w:sz w:val="32"/>
          <w:szCs w:val="32"/>
          <w:shd w:val="clear" w:fill="FFFFFF"/>
          <w14:textFill>
            <w14:solidFill>
              <w14:schemeClr w14:val="tx1"/>
            </w14:solidFill>
          </w14:textFill>
        </w:rPr>
      </w:pPr>
      <w:r>
        <w:rPr>
          <w:rFonts w:hint="eastAsia" w:ascii="Times New Roman" w:hAnsi="Times New Roman" w:eastAsia="方正楷体_GBK" w:cs="方正楷体_GBK"/>
          <w:b w:val="0"/>
          <w:bCs/>
          <w:color w:val="000000" w:themeColor="text1"/>
          <w:kern w:val="0"/>
          <w:sz w:val="32"/>
          <w:szCs w:val="32"/>
          <w:shd w:val="clear" w:fill="FFFFFF"/>
          <w14:textFill>
            <w14:solidFill>
              <w14:schemeClr w14:val="tx1"/>
            </w14:solidFill>
          </w14:textFill>
        </w:rPr>
        <w:t>（一）预算绩效管理工作开展情况</w:t>
      </w:r>
    </w:p>
    <w:p w14:paraId="7B8C805E">
      <w:pPr>
        <w:pStyle w:val="13"/>
        <w:keepNext w:val="0"/>
        <w:keepLines w:val="0"/>
        <w:pageBreakBefore w:val="0"/>
        <w:widowControl/>
        <w:kinsoku/>
        <w:wordWrap/>
        <w:overflowPunct/>
        <w:topLinePunct w:val="0"/>
        <w:autoSpaceDE w:val="0"/>
        <w:autoSpaceDN/>
        <w:bidi w:val="0"/>
        <w:adjustRightInd/>
        <w:spacing w:before="0"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highlight w:val="yellow"/>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73AC14C8">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（二）单位绩效评价情况</w:t>
      </w:r>
    </w:p>
    <w:p w14:paraId="3E2789AB">
      <w:pPr>
        <w:pStyle w:val="13"/>
        <w:keepNext w:val="0"/>
        <w:keepLines w:val="0"/>
        <w:pageBreakBefore w:val="0"/>
        <w:widowControl/>
        <w:kinsoku/>
        <w:wordWrap/>
        <w:overflowPunct/>
        <w:topLinePunct w:val="0"/>
        <w:autoSpaceDE w:val="0"/>
        <w:autoSpaceDN/>
        <w:bidi w:val="0"/>
        <w:adjustRightInd/>
        <w:spacing w:before="0"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我单位未组织开展绩效评价。</w:t>
      </w:r>
    </w:p>
    <w:p w14:paraId="22F65DBF">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4AA6E7A7">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7574DAC3">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4"/>
          <w:rFonts w:hint="eastAsia" w:ascii="Times New Roman" w:hAnsi="Times New Roman" w:eastAsia="方正黑体_GBK" w:cs="方正黑体_GBK"/>
          <w:b w:val="0"/>
          <w:bCs/>
          <w:color w:val="000000" w:themeColor="text1"/>
          <w:sz w:val="32"/>
          <w:szCs w:val="32"/>
          <w:shd w:val="clear" w:fill="FFFFFF"/>
          <w:lang w:val="en-US" w:eastAsia="zh-CN" w:bidi="ar-SA"/>
          <w14:textFill>
            <w14:solidFill>
              <w14:schemeClr w14:val="tx1"/>
            </w14:solidFill>
          </w14:textFill>
        </w:rPr>
        <w:t>六、专业名词解释</w:t>
      </w:r>
    </w:p>
    <w:p w14:paraId="23C589E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01B7AAE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399B84C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6C14DC9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0C5B510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1393A64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2560480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2B9988A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518DA54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3CC68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2DE772C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7BBBB3A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84BC64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B5DA1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5A302FB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2751EC4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183D32A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61D1A123">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5F756EF2">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本单位决算公开信息反馈和联系方式：</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023-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68611724</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14:paraId="685AA617">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5BE90014">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附件：1.收入支出决算总表</w:t>
      </w:r>
    </w:p>
    <w:p w14:paraId="118454A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2.收入决算表</w:t>
      </w:r>
    </w:p>
    <w:p w14:paraId="4854F85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3.支出决算表</w:t>
      </w:r>
    </w:p>
    <w:p w14:paraId="37F7D40A">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4.财政拨款收入支出决算总表</w:t>
      </w:r>
    </w:p>
    <w:p w14:paraId="24CD04B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5.一般公共预算财政拨款支出决算表</w:t>
      </w:r>
    </w:p>
    <w:p w14:paraId="6281038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6.一般公共预算财政拨款基本支出决算表</w:t>
      </w:r>
    </w:p>
    <w:p w14:paraId="3B56693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7.政府性基金预算财政拨款收入支出决算表</w:t>
      </w:r>
    </w:p>
    <w:p w14:paraId="0D50775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8.国有资本经营预算财政拨款支出决算表</w:t>
      </w:r>
    </w:p>
    <w:p w14:paraId="37E317DF">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9.机构运行信息表</w:t>
      </w:r>
    </w:p>
    <w:p w14:paraId="6E8DAE23">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381A2959">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1" w:footer="1474" w:gutter="0"/>
          <w:pgNumType w:fmt="numberInDash"/>
          <w:cols w:space="720" w:num="1"/>
          <w:docGrid w:type="lines" w:linePitch="312" w:charSpace="0"/>
        </w:sectPr>
      </w:pPr>
    </w:p>
    <w:p w14:paraId="3F131B16">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5D07D5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14BD57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B2F6FD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EE755D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97036B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53FD172">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3BE163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91A7A3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80BDD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重庆市九龙坡区石桥铺街道社会管理信息服务中心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4051AA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419F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DE3E6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07A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72520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A183B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D93C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82DC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8B3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C425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41B0A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78B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997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23B8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91B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r>
      <w:tr w14:paraId="3D2E3C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236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7F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97BA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1E8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D31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672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91D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982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E2C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D97C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2719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950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8389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7FC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76DAE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3B5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DB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8C69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AA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0335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4CA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D0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6DAD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B25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8970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8E1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C5D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5737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458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84704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FA3C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CFA48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F4B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D4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w:t>
            </w:r>
            <w:r>
              <w:rPr>
                <w:rFonts w:ascii="Times New Roman" w:hAnsi="Times New Roman"/>
                <w:color w:val="000000"/>
                <w:sz w:val="20"/>
                <w:u w:color="auto"/>
              </w:rPr>
              <w:t xml:space="preserve"> </w:t>
            </w:r>
          </w:p>
        </w:tc>
      </w:tr>
      <w:tr w14:paraId="2CB96E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640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FC3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151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CB1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r>
      <w:tr w14:paraId="1376FF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875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6494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341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98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99EF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87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61E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1DE0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D79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4D05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479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3BD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0A6F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D78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5A09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00C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52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929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FC0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FA59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231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6CE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5ADD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43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FA51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746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22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EFBC6">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DD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2B74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F4E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549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40B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CA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2976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E79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6A6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1E6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57D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673BD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DE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8B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FA9E1">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B5F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D64C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A2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35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662F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F46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r>
      <w:tr w14:paraId="33B681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51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67D8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A5D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53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DD58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AB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06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D32D1">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B75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38AC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81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C8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D7F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850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B920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FB2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4FB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BED1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EE5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7D06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537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7AC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F8BA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4B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145F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82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0A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3A96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BE7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66F9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662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3C1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316B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02C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C390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D23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B60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48B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632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r>
      <w:tr w14:paraId="2589E1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07EF">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B8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FE4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A05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ED9F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B86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D14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1F44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8AC0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DB3F6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6D0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0C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0DF84F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034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w:t>
            </w:r>
            <w:r>
              <w:rPr>
                <w:rFonts w:ascii="Times New Roman" w:hAnsi="Times New Roman"/>
                <w:color w:val="000000"/>
                <w:sz w:val="20"/>
                <w:u w:color="auto"/>
              </w:rPr>
              <w:t xml:space="preserve"> </w:t>
            </w:r>
          </w:p>
        </w:tc>
      </w:tr>
    </w:tbl>
    <w:p w14:paraId="2F142FF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717725A">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21A161E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2329A96">
            <w:pPr>
              <w:jc w:val="center"/>
              <w:textAlignment w:val="bottom"/>
              <w:rPr>
                <w:rFonts w:hint="default" w:cs="宋体"/>
                <w:b/>
                <w:color w:val="000000"/>
                <w:sz w:val="32"/>
                <w:szCs w:val="32"/>
              </w:rPr>
            </w:pPr>
            <w:r>
              <w:rPr>
                <w:rFonts w:cs="宋体"/>
                <w:b/>
                <w:color w:val="000000"/>
                <w:sz w:val="32"/>
                <w:szCs w:val="32"/>
              </w:rPr>
              <w:t>收入决算表</w:t>
            </w:r>
          </w:p>
        </w:tc>
      </w:tr>
      <w:tr w14:paraId="7D7DDC8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8C1649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重庆市九龙坡区石桥铺街道社会管理信息服务中心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E891A8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EB1D39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0365E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9CDD758">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AB46B2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5261E6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D1A72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EE941D4">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A20233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4C02DE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83391F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0C1ECA3">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5DB151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81F3C5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BEED7D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495CB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ED0F84">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23FD4A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F49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0B1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CD6D">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26FEE6">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39563">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60B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2FF92">
            <w:pPr>
              <w:jc w:val="center"/>
              <w:textAlignment w:val="center"/>
              <w:rPr>
                <w:rFonts w:hint="default" w:cs="宋体"/>
                <w:b/>
                <w:color w:val="000000"/>
                <w:sz w:val="20"/>
                <w:szCs w:val="20"/>
              </w:rPr>
            </w:pPr>
            <w:r>
              <w:rPr>
                <w:rFonts w:cs="宋体"/>
                <w:b/>
                <w:color w:val="000000"/>
                <w:sz w:val="20"/>
                <w:szCs w:val="20"/>
              </w:rPr>
              <w:t>其他收入</w:t>
            </w:r>
          </w:p>
        </w:tc>
      </w:tr>
      <w:tr w14:paraId="6E9870B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E3EB">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B380B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09C2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451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01FD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0731">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6531D">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FC73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B319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AC7D">
            <w:pPr>
              <w:jc w:val="center"/>
              <w:rPr>
                <w:rFonts w:hint="default" w:cs="宋体"/>
                <w:b/>
                <w:color w:val="000000"/>
                <w:sz w:val="20"/>
                <w:szCs w:val="20"/>
              </w:rPr>
            </w:pPr>
          </w:p>
        </w:tc>
      </w:tr>
      <w:tr w14:paraId="326A6CD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512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C10609">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97FD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FEA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C9F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2F7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7A5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4B4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837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7FDAA">
            <w:pPr>
              <w:jc w:val="center"/>
              <w:rPr>
                <w:rFonts w:hint="default" w:cs="宋体"/>
                <w:b/>
                <w:color w:val="000000"/>
                <w:sz w:val="20"/>
                <w:szCs w:val="20"/>
              </w:rPr>
            </w:pPr>
          </w:p>
        </w:tc>
      </w:tr>
      <w:tr w14:paraId="2E2CA51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82E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CBBF7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694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B75B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890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B85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5857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08F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38D3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16D2">
            <w:pPr>
              <w:jc w:val="center"/>
              <w:rPr>
                <w:rFonts w:hint="default" w:cs="宋体"/>
                <w:b/>
                <w:color w:val="000000"/>
                <w:sz w:val="20"/>
                <w:szCs w:val="20"/>
              </w:rPr>
            </w:pPr>
          </w:p>
        </w:tc>
      </w:tr>
      <w:tr w14:paraId="00907CB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87E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DEA2D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193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7CE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643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5D4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E10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AB73">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6212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3A30">
            <w:pPr>
              <w:jc w:val="center"/>
              <w:rPr>
                <w:rFonts w:hint="default" w:cs="宋体"/>
                <w:b/>
                <w:color w:val="000000"/>
                <w:sz w:val="20"/>
                <w:szCs w:val="20"/>
              </w:rPr>
            </w:pPr>
          </w:p>
        </w:tc>
      </w:tr>
      <w:tr w14:paraId="43595CA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2470">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343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1C2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CEF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16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F73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409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23B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05F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C0DDF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31BF">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F18C7">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4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3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0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6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2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F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F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D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086E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5790">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566F">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B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9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4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5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8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E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3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6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3A304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39AD">
            <w:pPr>
              <w:textAlignment w:val="center"/>
              <w:rPr>
                <w:rFonts w:hint="default" w:cs="宋体"/>
                <w:color w:val="000000"/>
                <w:sz w:val="20"/>
                <w:szCs w:val="20"/>
              </w:rPr>
            </w:pPr>
            <w:r>
              <w:rPr>
                <w:rFonts w:cs="宋体"/>
                <w:color w:val="000000"/>
                <w:sz w:val="20"/>
                <w:szCs w:val="20"/>
              </w:rPr>
              <w:t>2010350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7B0B">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D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6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5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04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8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E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D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5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E920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4FA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81414">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A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C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4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B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F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7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F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A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F508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699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84D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E3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4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9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3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8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7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8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8D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9D32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6EE5">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1290">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D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0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E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9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CF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7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0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3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7E661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B802">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F286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E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F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B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C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C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7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5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C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CE9D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1DA7">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4CF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40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7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8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7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8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1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22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C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269A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4E1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1E88">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9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3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4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2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8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A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D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CF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CB2F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99D8">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7C01">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B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A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6E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D6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2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4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5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7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725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4FF6">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419C3">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0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F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6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7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0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8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61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6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F7A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7E31">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557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F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47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3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D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9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4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F8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F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BDC2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E98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FEA00">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4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EB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C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73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9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3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F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A2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06C1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DC220">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43B8">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92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5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1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E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A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3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8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D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CD6A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50BA">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56E04">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0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2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7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0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B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7D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A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A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973C2CC">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76943E89">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37CEA6D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E204539">
            <w:pPr>
              <w:jc w:val="center"/>
              <w:textAlignment w:val="bottom"/>
              <w:rPr>
                <w:rFonts w:hint="default" w:cs="宋体"/>
                <w:b/>
                <w:color w:val="000000"/>
                <w:sz w:val="32"/>
                <w:szCs w:val="32"/>
              </w:rPr>
            </w:pPr>
            <w:r>
              <w:rPr>
                <w:rFonts w:cs="宋体"/>
                <w:b/>
                <w:color w:val="000000"/>
                <w:sz w:val="32"/>
                <w:szCs w:val="32"/>
              </w:rPr>
              <w:t>支出决算表</w:t>
            </w:r>
          </w:p>
        </w:tc>
      </w:tr>
      <w:tr w14:paraId="43A492B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DC2A67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重庆市九龙坡区石桥铺街道社会管理信息服务中心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6C1E776">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0DCD43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89AB9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D2E2C0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AADAD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609BAE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0850E4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2999F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781D98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E5E2B6A">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88DD3B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3D8FA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0530F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46116D">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07A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D03D">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10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9C6C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2E21">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79C2">
            <w:pPr>
              <w:jc w:val="center"/>
              <w:textAlignment w:val="center"/>
              <w:rPr>
                <w:rFonts w:hint="default" w:cs="宋体"/>
                <w:b/>
                <w:color w:val="000000"/>
                <w:sz w:val="20"/>
                <w:szCs w:val="20"/>
              </w:rPr>
            </w:pPr>
            <w:r>
              <w:rPr>
                <w:rFonts w:cs="宋体"/>
                <w:b/>
                <w:color w:val="000000"/>
                <w:sz w:val="20"/>
                <w:szCs w:val="20"/>
              </w:rPr>
              <w:t>对附属单位补助支出</w:t>
            </w:r>
          </w:p>
        </w:tc>
      </w:tr>
      <w:tr w14:paraId="1CBED02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03AB">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268B0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535E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048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0DA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A07A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968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F61A8">
            <w:pPr>
              <w:jc w:val="center"/>
              <w:rPr>
                <w:rFonts w:hint="default" w:cs="宋体"/>
                <w:b/>
                <w:color w:val="000000"/>
                <w:sz w:val="20"/>
                <w:szCs w:val="20"/>
              </w:rPr>
            </w:pPr>
          </w:p>
        </w:tc>
      </w:tr>
      <w:tr w14:paraId="60FDC8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476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287D6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B374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6E30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A6B0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AAE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C7C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575A9">
            <w:pPr>
              <w:jc w:val="center"/>
              <w:rPr>
                <w:rFonts w:hint="default" w:cs="宋体"/>
                <w:b/>
                <w:color w:val="000000"/>
                <w:sz w:val="20"/>
                <w:szCs w:val="20"/>
              </w:rPr>
            </w:pPr>
          </w:p>
        </w:tc>
      </w:tr>
      <w:tr w14:paraId="2DB9C69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CC9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68939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1AF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B9D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80B1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9479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D92D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998A9">
            <w:pPr>
              <w:jc w:val="center"/>
              <w:rPr>
                <w:rFonts w:hint="default" w:cs="宋体"/>
                <w:b/>
                <w:color w:val="000000"/>
                <w:sz w:val="20"/>
                <w:szCs w:val="20"/>
              </w:rPr>
            </w:pPr>
          </w:p>
        </w:tc>
      </w:tr>
      <w:tr w14:paraId="106F6F2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606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97C35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2B1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514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8DF2A">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D50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7223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2EE8">
            <w:pPr>
              <w:jc w:val="center"/>
              <w:rPr>
                <w:rFonts w:hint="default" w:cs="宋体"/>
                <w:b/>
                <w:color w:val="000000"/>
                <w:sz w:val="20"/>
                <w:szCs w:val="20"/>
              </w:rPr>
            </w:pPr>
          </w:p>
        </w:tc>
      </w:tr>
      <w:tr w14:paraId="52C32BC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6CD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0EBC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A8C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E4B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1FD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A96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06A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96CC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D665">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DA9C6">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C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4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A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1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A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9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551C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F90B">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0491">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E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2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F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0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7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B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CC4B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A985">
            <w:pPr>
              <w:textAlignment w:val="center"/>
              <w:rPr>
                <w:rFonts w:hint="default" w:cs="宋体"/>
                <w:color w:val="000000"/>
                <w:sz w:val="20"/>
                <w:szCs w:val="20"/>
              </w:rPr>
            </w:pPr>
            <w:r>
              <w:rPr>
                <w:rFonts w:cs="宋体"/>
                <w:color w:val="000000"/>
                <w:sz w:val="20"/>
                <w:szCs w:val="20"/>
              </w:rPr>
              <w:t>2010350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0E483">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D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3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4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8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9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49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67A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CE18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5ED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A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4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C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7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C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8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7B76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404F">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07BCA">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CA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3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1C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8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4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5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E64C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D9F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2204">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0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B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7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C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7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F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EA87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802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536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3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F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96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1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4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3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CB57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B82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1BE1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64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F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8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1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6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2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232F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DD0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CE0A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2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F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4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9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7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F1DF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85EA">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D9A59">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A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E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C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2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3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96F4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EE5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7161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8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947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E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E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1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3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2728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812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7E43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D2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F3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9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0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1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1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2D24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AC2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042B0">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E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B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9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C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4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7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C0D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FC8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5EA4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4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A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6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4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8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6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D6FA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5FBF">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3E68">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2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7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7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3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6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B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BCA9AB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504F83EC">
      <w:pPr>
        <w:rPr>
          <w:rFonts w:hint="default" w:cs="宋体"/>
          <w:sz w:val="21"/>
          <w:szCs w:val="21"/>
        </w:rPr>
      </w:pPr>
      <w:r>
        <w:rPr>
          <w:rFonts w:cs="宋体"/>
          <w:sz w:val="21"/>
          <w:szCs w:val="21"/>
        </w:rPr>
        <w:br w:type="page"/>
      </w:r>
    </w:p>
    <w:p w14:paraId="7735C574">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4AE7E6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809D10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9FFE50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734162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重庆市九龙坡区石桥铺街道社会管理信息服务中心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DD7171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1956C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107F5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92C04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E3AABA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9B5394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4C24A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4C865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7446D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B1EFDD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DA753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977C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DD6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2C9A78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948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F20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34BF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602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1DA915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68B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A03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888E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F433">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84A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DDB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DA6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C9ECC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83D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D1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325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76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90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8E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9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32A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9DB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6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E48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7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9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95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2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0FE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FBA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7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3A53">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5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21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97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E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65F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11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926AD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F270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B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14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F4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7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104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B1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98E4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727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D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D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F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0CC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86F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CE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6114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A43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4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4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45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6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E02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81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9F73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6FB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6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C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5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8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D23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00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6BC09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BA94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FF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26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1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E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4D87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569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B1590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696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70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48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64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7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FB0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05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6F6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AC9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F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9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12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F2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A0B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21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D99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AC7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E1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CD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6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81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60E7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E0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4B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878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6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4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6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D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302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73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16E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456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2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8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30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C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FD6B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82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B7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BE8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B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F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5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C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6DD9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7D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54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33D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D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3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9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4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B90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3F3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D6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CF5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22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C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4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B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C583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81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AF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A5B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0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E1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8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AC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B473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2D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E3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091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0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B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3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B0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ECB3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D3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39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558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44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84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5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FA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1C4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D4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88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1F4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1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64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E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C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F2E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51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9DD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B647">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B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4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B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F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C23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75C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59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2379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40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08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5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6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7C24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61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357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940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3D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83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D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6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2E2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458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73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2FE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6C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D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84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12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DCF7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F45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44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F024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A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7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D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C5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B63C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E1A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84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D111">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2B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D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643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6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AB8F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EA4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58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49B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0B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70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25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1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BE3F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CA7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A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AE0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5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B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4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9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547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023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D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270E3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7D2D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945D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D81F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14C3B">
            <w:pPr>
              <w:spacing w:line="200" w:lineRule="exact"/>
              <w:rPr>
                <w:rFonts w:hint="default" w:ascii="Times New Roman" w:hAnsi="Times New Roman"/>
                <w:color w:val="000000"/>
                <w:sz w:val="18"/>
                <w:szCs w:val="18"/>
              </w:rPr>
            </w:pPr>
          </w:p>
        </w:tc>
      </w:tr>
      <w:tr w14:paraId="054510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81B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5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6B1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25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04F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B7B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68BC">
            <w:pPr>
              <w:spacing w:line="200" w:lineRule="exact"/>
              <w:jc w:val="right"/>
              <w:rPr>
                <w:rFonts w:hint="default" w:ascii="Times New Roman" w:hAnsi="Times New Roman"/>
                <w:color w:val="000000"/>
                <w:sz w:val="18"/>
                <w:szCs w:val="18"/>
              </w:rPr>
            </w:pPr>
          </w:p>
        </w:tc>
      </w:tr>
      <w:tr w14:paraId="4E7AA6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B4D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D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357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A92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380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89A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8B08F">
            <w:pPr>
              <w:spacing w:line="200" w:lineRule="exact"/>
              <w:jc w:val="right"/>
              <w:rPr>
                <w:rFonts w:hint="default" w:ascii="Times New Roman" w:hAnsi="Times New Roman"/>
                <w:color w:val="000000"/>
                <w:sz w:val="18"/>
                <w:szCs w:val="18"/>
              </w:rPr>
            </w:pPr>
          </w:p>
        </w:tc>
      </w:tr>
      <w:tr w14:paraId="6AED78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364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55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99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93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D3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3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9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8D20AB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EAD96F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AEFB61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061B46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05412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重庆市九龙坡区石桥铺街道社会管理信息服务中心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FD1D5B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73CBDE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512B83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B6D0463">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E3710B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BC384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79DC8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48CA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456F2">
            <w:pPr>
              <w:jc w:val="center"/>
              <w:textAlignment w:val="center"/>
              <w:rPr>
                <w:rFonts w:hint="default" w:cs="宋体"/>
                <w:b/>
                <w:color w:val="000000"/>
                <w:sz w:val="20"/>
                <w:szCs w:val="20"/>
              </w:rPr>
            </w:pPr>
            <w:r>
              <w:rPr>
                <w:rFonts w:cs="宋体"/>
                <w:b/>
                <w:color w:val="000000"/>
                <w:sz w:val="20"/>
                <w:szCs w:val="20"/>
              </w:rPr>
              <w:t>本年支出</w:t>
            </w:r>
          </w:p>
        </w:tc>
      </w:tr>
      <w:tr w14:paraId="7768CC6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953E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8712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4580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D51B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D3F89">
            <w:pPr>
              <w:jc w:val="center"/>
              <w:textAlignment w:val="center"/>
              <w:rPr>
                <w:rFonts w:hint="default" w:cs="宋体"/>
                <w:b/>
                <w:color w:val="000000"/>
                <w:sz w:val="20"/>
                <w:szCs w:val="20"/>
              </w:rPr>
            </w:pPr>
            <w:r>
              <w:rPr>
                <w:rFonts w:cs="宋体"/>
                <w:b/>
                <w:color w:val="000000"/>
                <w:sz w:val="20"/>
                <w:szCs w:val="20"/>
              </w:rPr>
              <w:t>项目支出</w:t>
            </w:r>
          </w:p>
        </w:tc>
      </w:tr>
      <w:tr w14:paraId="4708B27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D16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29D6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C8B4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B3D1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6B4BD">
            <w:pPr>
              <w:jc w:val="center"/>
              <w:rPr>
                <w:rFonts w:hint="default" w:cs="宋体"/>
                <w:b/>
                <w:color w:val="000000"/>
                <w:sz w:val="20"/>
                <w:szCs w:val="20"/>
              </w:rPr>
            </w:pPr>
          </w:p>
        </w:tc>
      </w:tr>
      <w:tr w14:paraId="0D1405DA">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5E20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2741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9FCC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3C93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89A96">
            <w:pPr>
              <w:jc w:val="center"/>
              <w:rPr>
                <w:rFonts w:hint="default" w:cs="宋体"/>
                <w:b/>
                <w:color w:val="000000"/>
                <w:sz w:val="20"/>
                <w:szCs w:val="20"/>
              </w:rPr>
            </w:pPr>
          </w:p>
        </w:tc>
      </w:tr>
      <w:tr w14:paraId="70B1FDAC">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AA4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EC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31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34E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FFEB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3031">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DA45E">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0BF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6B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C97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310C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CA9C">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F4DD9">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14C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25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1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531F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859B">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0B18B">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065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A0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DC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448C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D95D">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516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6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B77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E3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EFBB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FDF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DB3C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3C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6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010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AD3E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3C9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4537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11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4F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2D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EB2F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EE1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21E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961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63C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A9E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7D19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C63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9BFF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7CE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8C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0DB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E6FE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BE7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38D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A16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6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4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7DA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2012">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753F">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6CB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1CA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1E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08B3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064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23A5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74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C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F85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65B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B19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283E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7A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9AC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C0E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7B32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054F">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1F4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4AE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F7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C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D9F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9B90">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9052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8F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BD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04A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2D5D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B190">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81F7A">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663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3DF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901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71588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0E25D12">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0D3F4B5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52312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56F6BC3">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37B26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重庆市九龙坡区石桥铺街道社会管理信息服务中心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53A1205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BFEC97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E5CEC9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424F8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94B465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03C8EF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32C3BD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E7A777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E08965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B2B61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50D51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F6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A7D5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233E31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5DF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B47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7F3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3B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29A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07E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47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43E5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E2A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68D994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ADF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0FE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C42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CB0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2D9E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9C4A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DC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DA03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37F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4EA88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E4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4D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0B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E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6C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B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3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EB4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A5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475E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F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5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CA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6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87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1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5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2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C9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A34D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F8C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3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1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55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0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1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C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2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B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D12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3C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DC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3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2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A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FB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A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1A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AA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4AAA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7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A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3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4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0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6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C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B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2E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1DF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7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C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AE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6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C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22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5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9C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09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397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E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A4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DF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A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F3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8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C3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6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D4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785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1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7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65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D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3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72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EB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D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AB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6F06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2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F3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7A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5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E7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7A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8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2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99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2AEA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C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A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63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6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D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62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E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63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29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C4B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2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3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BE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6F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A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F7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E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24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50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B1B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3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1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EF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8E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D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3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2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7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00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17B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0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2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08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8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FA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59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97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2FF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2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A3D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C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BE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9C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C7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C6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BE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6C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4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7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28D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9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A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6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B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7D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A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4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8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A7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BDB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A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D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A2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1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AC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6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B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6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BD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9344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3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C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2F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AB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1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E2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D8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F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6F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DC2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7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C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E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E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7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51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5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F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2A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82E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5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C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03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D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9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9F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8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0D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D6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ADB2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C6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F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14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1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E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B2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75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1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45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C7BA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C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7A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D5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2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B9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E4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F3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E4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8B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D569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A5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7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4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8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66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35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26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3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3A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83B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A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A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FE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7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D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1CA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A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1B7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01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85A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64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5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A5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41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8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74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40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2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A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4AB5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E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D3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A9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9E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1AD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64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3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C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F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B16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1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7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B7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16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64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AF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7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B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BF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365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C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F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D4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0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9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215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9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2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13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94D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64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F7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D91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A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EC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EB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2D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BD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78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91D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746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720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8DF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3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9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05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6B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0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E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A5C8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C1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C0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E2A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51F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B8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4C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2A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E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31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8AC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50F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97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2B2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02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88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D4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0F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5C5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D0F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8F2C5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38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145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9F25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9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F3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6B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CF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DA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912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86DFD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9A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64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99C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7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1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32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1F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31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2DE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918DD8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6C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2B6D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44.28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A1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DC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w:t>
            </w:r>
            <w:r>
              <w:rPr>
                <w:rFonts w:ascii="Times New Roman" w:hAnsi="Times New Roman"/>
                <w:color w:val="000000"/>
                <w:sz w:val="18"/>
                <w:u w:color="auto"/>
              </w:rPr>
              <w:t xml:space="preserve"> </w:t>
            </w:r>
          </w:p>
        </w:tc>
      </w:tr>
    </w:tbl>
    <w:p w14:paraId="34CE806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6C2BA0F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63869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3F709A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E0124C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重庆市九龙坡区石桥铺街道社会管理信息服务中心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2F6773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D2F59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65F3F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E7313C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03600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A99505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A177B3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7A390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08AE5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746F5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0E297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A652F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28308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09CBA">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31DDC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559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6DA2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70652">
            <w:pPr>
              <w:jc w:val="center"/>
              <w:textAlignment w:val="center"/>
              <w:rPr>
                <w:rFonts w:hint="default" w:cs="宋体"/>
                <w:b/>
                <w:color w:val="000000"/>
                <w:sz w:val="20"/>
                <w:szCs w:val="20"/>
              </w:rPr>
            </w:pPr>
            <w:r>
              <w:rPr>
                <w:rFonts w:cs="宋体"/>
                <w:b/>
                <w:color w:val="000000"/>
                <w:sz w:val="20"/>
                <w:szCs w:val="20"/>
              </w:rPr>
              <w:t>年末结转和结余</w:t>
            </w:r>
          </w:p>
        </w:tc>
      </w:tr>
      <w:tr w14:paraId="53E8F0B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1A86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832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AEA20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4A8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FFD7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CAC86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010F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4F91C">
            <w:pPr>
              <w:jc w:val="center"/>
              <w:rPr>
                <w:rFonts w:hint="default" w:cs="宋体"/>
                <w:b/>
                <w:color w:val="000000"/>
                <w:sz w:val="20"/>
                <w:szCs w:val="20"/>
              </w:rPr>
            </w:pPr>
          </w:p>
        </w:tc>
      </w:tr>
      <w:tr w14:paraId="3E01488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810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5F7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4B08B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388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A0B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6D25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9D72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E8E2">
            <w:pPr>
              <w:jc w:val="center"/>
              <w:rPr>
                <w:rFonts w:hint="default" w:cs="宋体"/>
                <w:b/>
                <w:color w:val="000000"/>
                <w:sz w:val="20"/>
                <w:szCs w:val="20"/>
              </w:rPr>
            </w:pPr>
          </w:p>
        </w:tc>
      </w:tr>
      <w:tr w14:paraId="4B2C8340">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770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731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CD95A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BF8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3E34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06075">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C966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C228">
            <w:pPr>
              <w:jc w:val="center"/>
              <w:rPr>
                <w:rFonts w:hint="default" w:cs="宋体"/>
                <w:b/>
                <w:color w:val="000000"/>
                <w:sz w:val="20"/>
                <w:szCs w:val="20"/>
              </w:rPr>
            </w:pPr>
          </w:p>
        </w:tc>
      </w:tr>
      <w:tr w14:paraId="4C14D15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6A4C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CF5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06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07E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FD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34F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46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406893">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3EC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EEB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89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4F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E5E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E9A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30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4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0418CFD">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AD4C3AA">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2EE7EEE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CEE037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1B4184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C68D4E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重庆市九龙坡区石桥铺街道社会管理信息服务中心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3CAF00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58E3A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236572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A83EF3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4CA139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24111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C5869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BAEF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68370E">
            <w:pPr>
              <w:jc w:val="center"/>
              <w:textAlignment w:val="bottom"/>
              <w:rPr>
                <w:rFonts w:hint="default" w:cs="宋体"/>
                <w:b/>
                <w:color w:val="000000"/>
                <w:sz w:val="20"/>
                <w:szCs w:val="20"/>
              </w:rPr>
            </w:pPr>
            <w:r>
              <w:rPr>
                <w:rFonts w:cs="宋体"/>
                <w:b/>
                <w:color w:val="000000"/>
                <w:sz w:val="20"/>
                <w:szCs w:val="20"/>
              </w:rPr>
              <w:t>本年支出</w:t>
            </w:r>
          </w:p>
        </w:tc>
      </w:tr>
      <w:tr w14:paraId="074223A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4070">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3A05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F52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8EC5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505EF">
            <w:pPr>
              <w:jc w:val="center"/>
              <w:textAlignment w:val="center"/>
              <w:rPr>
                <w:rFonts w:hint="default" w:cs="宋体"/>
                <w:b/>
                <w:color w:val="000000"/>
                <w:sz w:val="20"/>
                <w:szCs w:val="20"/>
              </w:rPr>
            </w:pPr>
            <w:r>
              <w:rPr>
                <w:rFonts w:cs="宋体"/>
                <w:b/>
                <w:color w:val="000000"/>
                <w:sz w:val="20"/>
                <w:szCs w:val="20"/>
              </w:rPr>
              <w:t>项目支出</w:t>
            </w:r>
          </w:p>
        </w:tc>
      </w:tr>
      <w:tr w14:paraId="7DD4B3A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CF0E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7BE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B84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39ED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7F470">
            <w:pPr>
              <w:jc w:val="center"/>
              <w:rPr>
                <w:rFonts w:hint="default" w:cs="宋体"/>
                <w:b/>
                <w:color w:val="000000"/>
                <w:sz w:val="20"/>
                <w:szCs w:val="20"/>
              </w:rPr>
            </w:pPr>
          </w:p>
        </w:tc>
      </w:tr>
      <w:tr w14:paraId="063DBF8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9C1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1713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C5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ECD5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D7642">
            <w:pPr>
              <w:jc w:val="center"/>
              <w:rPr>
                <w:rFonts w:hint="default" w:cs="宋体"/>
                <w:b/>
                <w:color w:val="000000"/>
                <w:sz w:val="20"/>
                <w:szCs w:val="20"/>
              </w:rPr>
            </w:pPr>
          </w:p>
        </w:tc>
      </w:tr>
      <w:tr w14:paraId="1001A16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5B0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F537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2FFE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FEFE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CED91">
            <w:pPr>
              <w:jc w:val="center"/>
              <w:rPr>
                <w:rFonts w:hint="default" w:cs="宋体"/>
                <w:b/>
                <w:color w:val="000000"/>
                <w:sz w:val="20"/>
                <w:szCs w:val="20"/>
              </w:rPr>
            </w:pPr>
          </w:p>
        </w:tc>
      </w:tr>
      <w:tr w14:paraId="17266CF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25B83">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237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E953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99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74116B">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45E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D5DA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44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12C8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11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0E15F6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6553890">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1DD53CD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945064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A29BA7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9B8B44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2FCCF7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CD1DF2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F01AEF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712244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B68238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60442A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重庆市九龙坡区石桥铺街道社会管理信息服务中心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FAFE4B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3C57260">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C2B529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89AEA2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ADC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166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8F1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6B5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DF77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301D4D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60B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CE0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8F5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038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AE8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D327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6E99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68B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280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76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7C1B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381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EA2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4E42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904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9D74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364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D0C5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A2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57D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06A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40B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F169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FC45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D67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EEA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2B6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225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2F0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A95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0AD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372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998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160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3FE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3BB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1F28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FCE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E40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D86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CFB8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DFB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472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10C9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C56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0B4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C2A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D48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B17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E3A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04C1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C80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66E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E3D9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5AB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03C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748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50D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C85D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DDC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75A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151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A158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042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3EB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820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9BC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E9F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4B3C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D2B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166D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7F4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649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F45C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9571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073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D0A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CE00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796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127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990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03C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B2C5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3FB8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6B8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5DA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9EB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592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40A3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E64E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0AD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BE1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065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2D9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225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ED3C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2C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CA5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226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4D2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E61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875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3AB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022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45B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A51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2782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E68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29DC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EE9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F43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9DE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E436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BD9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A6B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159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887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16E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911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FE1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0E8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09F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66C4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260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CEA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32F9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1F0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E63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9526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025C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7C4DB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07B86D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B86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384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F0A8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FA8A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FF9A1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16064D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96C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D47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E1E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0674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5A57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CA73B20">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14:paraId="6233098C">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2481">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61DF5">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661DF5">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BEB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0C7AD0">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50C7AD0">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8FCDCC">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E8FCDCC">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5F3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415188"/>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AE2C42"/>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0D55A3"/>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129D5"/>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BD94E69"/>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341A7B"/>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E1230B3"/>
    <w:rsid w:val="6FFB2E76"/>
    <w:rsid w:val="70AB70D6"/>
    <w:rsid w:val="70DE5507"/>
    <w:rsid w:val="71C34D91"/>
    <w:rsid w:val="71ED38AA"/>
    <w:rsid w:val="723F3B65"/>
    <w:rsid w:val="72DB435C"/>
    <w:rsid w:val="738549F4"/>
    <w:rsid w:val="7432684E"/>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5051</Words>
  <Characters>5533</Characters>
  <Lines>161</Lines>
  <Paragraphs>45</Paragraphs>
  <TotalTime>24</TotalTime>
  <ScaleCrop>false</ScaleCrop>
  <LinksUpToDate>false</LinksUpToDate>
  <CharactersWithSpaces>5585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2025-10-24T04:27:00Z</cp:lastPrinted>
  <dcterms:modified xsi:type="dcterms:W3CDTF">2025-10-28T02:25:05Z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8A1700E2CC0148F7A5ACB85B811A6D4C_13</vt:lpwstr>
  </property>
  <property fmtid="{D5CDD505-2E9C-101B-9397-08002B2CF9AE}" pid="4" name="KSOTemplateDocerSaveRecord">
    <vt:lpwstr>eyJoZGlkIjoiMTA5MDEwZjhmNTNkMDczZDQyZjE2YTc1OGZlMDk1ZDIiLCJ1c2VySWQiOiI0NDgxMTkzNzgifQ==</vt:lpwstr>
  </property>
</Properties>
</file>