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6C1A6D">
      <w:pPr>
        <w:pStyle w:val="8"/>
        <w:keepNext w:val="0"/>
        <w:keepLines w:val="0"/>
        <w:pageBreakBefore w:val="0"/>
        <w:widowControl/>
        <w:kinsoku/>
        <w:wordWrap/>
        <w:overflowPunct/>
        <w:topLinePunct w:val="0"/>
        <w:autoSpaceDN/>
        <w:bidi w:val="0"/>
        <w:spacing w:before="0" w:beforeAutospacing="0" w:after="0" w:afterAutospacing="0" w:line="594" w:lineRule="exact"/>
        <w:jc w:val="center"/>
        <w:textAlignment w:val="auto"/>
        <w:rPr>
          <w:rFonts w:ascii="方正小标宋_GBK" w:hAnsi="方正小标宋_GBK" w:eastAsia="方正小标宋_GBK" w:cs="方正小标宋_GBK"/>
          <w:b w:val="0"/>
          <w:bCs w:val="0"/>
          <w:sz w:val="44"/>
          <w:szCs w:val="44"/>
        </w:rPr>
      </w:pPr>
    </w:p>
    <w:p w14:paraId="2F3DE05A">
      <w:pPr>
        <w:pStyle w:val="8"/>
        <w:keepNext w:val="0"/>
        <w:keepLines w:val="0"/>
        <w:pageBreakBefore w:val="0"/>
        <w:widowControl/>
        <w:kinsoku/>
        <w:wordWrap/>
        <w:overflowPunct/>
        <w:topLinePunct w:val="0"/>
        <w:autoSpaceDN/>
        <w:bidi w:val="0"/>
        <w:spacing w:before="0" w:beforeAutospacing="0" w:after="0" w:afterAutospacing="0" w:line="594" w:lineRule="exact"/>
        <w:jc w:val="center"/>
        <w:textAlignment w:val="auto"/>
        <w:rPr>
          <w:rFonts w:ascii="Times New Roman" w:hAnsi="Times New Roman" w:eastAsia="方正小标宋_GBK" w:cs="方正小标宋_GBK"/>
          <w:b w:val="0"/>
          <w:bCs w:val="0"/>
          <w:sz w:val="44"/>
          <w:szCs w:val="44"/>
          <w:shd w:val="clear" w:color="auto" w:fill="FFFFFF"/>
        </w:rPr>
      </w:pPr>
      <w:r>
        <w:rPr>
          <w:rFonts w:ascii="Times New Roman" w:hAnsi="Times New Roman" w:eastAsia="方正小标宋_GBK" w:cs="方正小标宋_GBK"/>
          <w:b w:val="0"/>
          <w:bCs w:val="0"/>
          <w:sz w:val="44"/>
          <w:szCs w:val="44"/>
        </w:rPr>
        <w:t>重庆市九龙坡区石桥铺街道物业管理服务中心</w:t>
      </w:r>
      <w:r>
        <w:rPr>
          <w:rFonts w:hint="default" w:ascii="Times New Roman" w:hAnsi="Times New Roman" w:eastAsia="方正小标宋_GBK"/>
          <w:b w:val="0"/>
          <w:bCs w:val="0"/>
          <w:sz w:val="44"/>
          <w:szCs w:val="44"/>
          <w:shd w:val="clear" w:color="auto" w:fill="FFFFFF"/>
        </w:rPr>
        <w:t>2024</w:t>
      </w:r>
      <w:r>
        <w:rPr>
          <w:rFonts w:ascii="Times New Roman" w:hAnsi="Times New Roman" w:eastAsia="方正小标宋_GBK" w:cs="方正小标宋_GBK"/>
          <w:b w:val="0"/>
          <w:bCs w:val="0"/>
          <w:sz w:val="44"/>
          <w:szCs w:val="44"/>
          <w:shd w:val="clear" w:color="auto" w:fill="FFFFFF"/>
        </w:rPr>
        <w:t>年度决算公开说明</w:t>
      </w:r>
    </w:p>
    <w:p w14:paraId="6C5599F9">
      <w:pPr>
        <w:pStyle w:val="8"/>
        <w:keepNext w:val="0"/>
        <w:keepLines w:val="0"/>
        <w:pageBreakBefore w:val="0"/>
        <w:widowControl/>
        <w:kinsoku/>
        <w:wordWrap/>
        <w:overflowPunct/>
        <w:topLinePunct w:val="0"/>
        <w:autoSpaceDN/>
        <w:bidi w:val="0"/>
        <w:spacing w:before="0" w:beforeAutospacing="0" w:after="0" w:afterAutospacing="0" w:line="594" w:lineRule="exact"/>
        <w:jc w:val="center"/>
        <w:textAlignment w:val="auto"/>
        <w:rPr>
          <w:rFonts w:hint="eastAsia" w:ascii="Times New Roman" w:hAnsi="Times New Roman" w:eastAsia="方正小标宋_GBK" w:cs="方正小标宋_GBK"/>
          <w:b w:val="0"/>
          <w:bCs w:val="0"/>
          <w:sz w:val="44"/>
          <w:szCs w:val="44"/>
          <w:shd w:val="clear" w:color="auto" w:fill="FFFFFF"/>
        </w:rPr>
      </w:pPr>
    </w:p>
    <w:p w14:paraId="3214C536">
      <w:pPr>
        <w:keepNext w:val="0"/>
        <w:keepLines w:val="0"/>
        <w:pageBreakBefore w:val="0"/>
        <w:widowControl/>
        <w:kinsoku/>
        <w:wordWrap/>
        <w:overflowPunct/>
        <w:topLinePunct w:val="0"/>
        <w:autoSpaceDN/>
        <w:bidi w:val="0"/>
        <w:spacing w:beforeAutospacing="0" w:afterAutospacing="0" w:line="594" w:lineRule="exact"/>
        <w:ind w:firstLine="640" w:firstLineChars="200"/>
        <w:jc w:val="left"/>
        <w:textAlignment w:val="auto"/>
        <w:rPr>
          <w:rFonts w:hint="eastAsia" w:ascii="Times New Roman" w:hAnsi="Times New Roman" w:eastAsia="方正黑体_GBK" w:cs="方正黑体_GBK"/>
          <w:b/>
          <w:color w:val="000000" w:themeColor="text1"/>
          <w:kern w:val="0"/>
          <w:sz w:val="32"/>
          <w:szCs w:val="32"/>
          <w14:textFill>
            <w14:solidFill>
              <w14:schemeClr w14:val="tx1"/>
            </w14:solidFill>
          </w14:textFill>
        </w:rPr>
      </w:pPr>
      <w:r>
        <w:rPr>
          <w:rFonts w:hint="eastAsia" w:ascii="Times New Roman" w:hAnsi="Times New Roman" w:eastAsia="方正黑体_GBK" w:cs="方正黑体_GBK"/>
          <w:bCs/>
          <w:color w:val="000000" w:themeColor="text1"/>
          <w:kern w:val="0"/>
          <w:sz w:val="32"/>
          <w:szCs w:val="32"/>
          <w14:textFill>
            <w14:solidFill>
              <w14:schemeClr w14:val="tx1"/>
            </w14:solidFill>
          </w14:textFill>
        </w:rPr>
        <w:t>一、</w:t>
      </w:r>
      <w:r>
        <w:rPr>
          <w:rFonts w:hint="eastAsia" w:ascii="Times New Roman" w:hAnsi="Times New Roman" w:eastAsia="方正黑体_GBK" w:cs="方正黑体_GBK"/>
          <w:bCs/>
          <w:color w:val="000000" w:themeColor="text1"/>
          <w:kern w:val="0"/>
          <w:sz w:val="32"/>
          <w:szCs w:val="32"/>
          <w:lang w:eastAsia="zh-CN"/>
          <w14:textFill>
            <w14:solidFill>
              <w14:schemeClr w14:val="tx1"/>
            </w14:solidFill>
          </w14:textFill>
        </w:rPr>
        <w:t>单位</w:t>
      </w:r>
      <w:r>
        <w:rPr>
          <w:rFonts w:hint="eastAsia" w:ascii="Times New Roman" w:hAnsi="Times New Roman" w:eastAsia="方正黑体_GBK" w:cs="方正黑体_GBK"/>
          <w:bCs/>
          <w:color w:val="000000" w:themeColor="text1"/>
          <w:kern w:val="0"/>
          <w:sz w:val="32"/>
          <w:szCs w:val="32"/>
          <w14:textFill>
            <w14:solidFill>
              <w14:schemeClr w14:val="tx1"/>
            </w14:solidFill>
          </w14:textFill>
        </w:rPr>
        <w:t>基本情况</w:t>
      </w:r>
    </w:p>
    <w:p w14:paraId="7FAD6738">
      <w:pPr>
        <w:pStyle w:val="8"/>
        <w:keepNext w:val="0"/>
        <w:keepLines w:val="0"/>
        <w:pageBreakBefore w:val="0"/>
        <w:widowControl/>
        <w:shd w:val="clear" w:color="auto" w:fill="FFFFFF"/>
        <w:kinsoku/>
        <w:wordWrap/>
        <w:overflowPunct/>
        <w:topLinePunct w:val="0"/>
        <w:autoSpaceDN/>
        <w:bidi w:val="0"/>
        <w:spacing w:beforeAutospacing="0" w:afterAutospacing="0" w:line="594" w:lineRule="exact"/>
        <w:ind w:firstLine="640" w:firstLineChars="200"/>
        <w:textAlignment w:val="auto"/>
        <w:rPr>
          <w:rFonts w:hint="eastAsia" w:ascii="Times New Roman" w:hAnsi="Times New Roman" w:eastAsia="方正楷体_GB2312" w:cs="方正楷体_GB2312"/>
          <w:b w:val="0"/>
          <w:bCs/>
          <w:color w:val="000000" w:themeColor="text1"/>
          <w:sz w:val="32"/>
          <w:szCs w:val="32"/>
          <w14:textFill>
            <w14:solidFill>
              <w14:schemeClr w14:val="tx1"/>
            </w14:solidFill>
          </w14:textFill>
        </w:rPr>
      </w:pPr>
      <w:r>
        <w:rPr>
          <w:rStyle w:val="11"/>
          <w:rFonts w:hint="eastAsia" w:ascii="Times New Roman" w:hAnsi="Times New Roman" w:eastAsia="方正楷体_GBK" w:cs="方正楷体_GBK"/>
          <w:b w:val="0"/>
          <w:bCs/>
          <w:color w:val="000000" w:themeColor="text1"/>
          <w:sz w:val="32"/>
          <w:szCs w:val="32"/>
          <w:shd w:val="clear" w:color="auto" w:fill="FFFFFF"/>
          <w14:textFill>
            <w14:solidFill>
              <w14:schemeClr w14:val="tx1"/>
            </w14:solidFill>
          </w14:textFill>
        </w:rPr>
        <w:t>（一）职能职责</w:t>
      </w:r>
    </w:p>
    <w:p w14:paraId="2FCBD808">
      <w:pPr>
        <w:keepNext w:val="0"/>
        <w:keepLines w:val="0"/>
        <w:pageBreakBefore w:val="0"/>
        <w:widowControl/>
        <w:kinsoku/>
        <w:wordWrap/>
        <w:overflowPunct/>
        <w:topLinePunct w:val="0"/>
        <w:autoSpaceDN/>
        <w:bidi w:val="0"/>
        <w:spacing w:beforeAutospacing="0" w:afterAutospacing="0" w:line="594" w:lineRule="exact"/>
        <w:ind w:firstLine="640" w:firstLineChars="200"/>
        <w:textAlignment w:val="auto"/>
        <w:rPr>
          <w:rFonts w:hint="default" w:ascii="Times New Roman" w:hAnsi="Times New Roman" w:eastAsia="方正仿宋_GBK" w:cs="方正仿宋_GBK"/>
          <w:color w:val="000000" w:themeColor="text1"/>
          <w:sz w:val="32"/>
          <w:szCs w:val="32"/>
          <w14:textFill>
            <w14:solidFill>
              <w14:schemeClr w14:val="tx1"/>
            </w14:solidFill>
          </w14:textFill>
        </w:rPr>
      </w:pPr>
      <w:r>
        <w:rPr>
          <w:rFonts w:ascii="Times New Roman" w:hAnsi="Times New Roman" w:eastAsia="方正仿宋_GBK" w:cs="方正仿宋_GBK"/>
          <w:color w:val="000000" w:themeColor="text1"/>
          <w:sz w:val="32"/>
          <w:szCs w:val="32"/>
          <w14:textFill>
            <w14:solidFill>
              <w14:schemeClr w14:val="tx1"/>
            </w14:solidFill>
          </w14:textFill>
        </w:rPr>
        <w:t>负责指导本辖区内业主大会成立及业主委员会的选举工作，监督业主大会和业主委员会依法履行职责；调解物业管理纠纷，负责调解处理辖区内物业管理纠纷，建立投诉、信访受理机制，协调处理物业管理方面的投诉、信访案件；组织召集物业管理联席会议，协调物业管理与社区建设的关系，指导居民委员会做好物业管理相关工作。</w:t>
      </w:r>
    </w:p>
    <w:p w14:paraId="23DA0D28">
      <w:pPr>
        <w:pStyle w:val="8"/>
        <w:keepNext w:val="0"/>
        <w:keepLines w:val="0"/>
        <w:pageBreakBefore w:val="0"/>
        <w:widowControl/>
        <w:shd w:val="clear" w:color="auto" w:fill="FFFFFF"/>
        <w:kinsoku/>
        <w:wordWrap/>
        <w:overflowPunct/>
        <w:topLinePunct w:val="0"/>
        <w:autoSpaceDN/>
        <w:bidi w:val="0"/>
        <w:spacing w:beforeAutospacing="0" w:afterAutospacing="0" w:line="594" w:lineRule="exact"/>
        <w:ind w:firstLine="640" w:firstLineChars="200"/>
        <w:textAlignment w:val="auto"/>
        <w:rPr>
          <w:rFonts w:hint="eastAsia" w:ascii="Times New Roman" w:hAnsi="Times New Roman" w:eastAsia="方正楷体_GB2312" w:cs="方正楷体_GB2312"/>
          <w:b w:val="0"/>
          <w:bCs/>
          <w:color w:val="000000" w:themeColor="text1"/>
          <w:sz w:val="32"/>
          <w:szCs w:val="32"/>
          <w14:textFill>
            <w14:solidFill>
              <w14:schemeClr w14:val="tx1"/>
            </w14:solidFill>
          </w14:textFill>
        </w:rPr>
      </w:pPr>
      <w:r>
        <w:rPr>
          <w:rStyle w:val="11"/>
          <w:rFonts w:hint="eastAsia" w:ascii="Times New Roman" w:hAnsi="Times New Roman" w:eastAsia="方正楷体_GBK" w:cs="方正楷体_GBK"/>
          <w:b w:val="0"/>
          <w:bCs/>
          <w:color w:val="000000" w:themeColor="text1"/>
          <w:sz w:val="32"/>
          <w:szCs w:val="32"/>
          <w:shd w:val="clear" w:color="auto" w:fill="FFFFFF"/>
          <w14:textFill>
            <w14:solidFill>
              <w14:schemeClr w14:val="tx1"/>
            </w14:solidFill>
          </w14:textFill>
        </w:rPr>
        <w:t>（二）机构设置</w:t>
      </w:r>
    </w:p>
    <w:p w14:paraId="5C0F8003">
      <w:pPr>
        <w:keepNext w:val="0"/>
        <w:keepLines w:val="0"/>
        <w:pageBreakBefore w:val="0"/>
        <w:widowControl/>
        <w:kinsoku/>
        <w:wordWrap/>
        <w:overflowPunct/>
        <w:topLinePunct w:val="0"/>
        <w:autoSpaceDN/>
        <w:bidi w:val="0"/>
        <w:spacing w:beforeAutospacing="0" w:afterAutospacing="0" w:line="594" w:lineRule="exact"/>
        <w:ind w:firstLine="640" w:firstLineChars="200"/>
        <w:textAlignment w:val="auto"/>
        <w:rPr>
          <w:rFonts w:hint="default" w:ascii="Times New Roman" w:hAnsi="Times New Roman" w:eastAsia="方正仿宋_GBK" w:cs="方正仿宋_GBK"/>
          <w:bCs/>
          <w:color w:val="000000" w:themeColor="text1"/>
          <w:sz w:val="32"/>
          <w:szCs w:val="32"/>
          <w14:textFill>
            <w14:solidFill>
              <w14:schemeClr w14:val="tx1"/>
            </w14:solidFill>
          </w14:textFill>
        </w:rPr>
      </w:pPr>
      <w:r>
        <w:rPr>
          <w:rFonts w:ascii="Times New Roman" w:hAnsi="Times New Roman" w:eastAsia="方正仿宋_GBK" w:cs="方正仿宋_GBK"/>
          <w:color w:val="000000" w:themeColor="text1"/>
          <w:sz w:val="32"/>
          <w:szCs w:val="32"/>
          <w14:textFill>
            <w14:solidFill>
              <w14:schemeClr w14:val="tx1"/>
            </w14:solidFill>
          </w14:textFill>
        </w:rPr>
        <w:t>物业管理服务中心编制4人，实有4人。</w:t>
      </w:r>
    </w:p>
    <w:p w14:paraId="3AFF15B1">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11"/>
          <w:rFonts w:hint="eastAsia" w:ascii="Times New Roman" w:hAnsi="Times New Roman" w:eastAsia="方正黑体_GBK" w:cs="方正黑体_GBK"/>
          <w:b w:val="0"/>
          <w:bCs/>
          <w:color w:val="000000" w:themeColor="text1"/>
          <w:sz w:val="32"/>
          <w:szCs w:val="32"/>
          <w:shd w:val="clear" w:color="auto" w:fill="FFFFFF"/>
          <w14:textFill>
            <w14:solidFill>
              <w14:schemeClr w14:val="tx1"/>
            </w14:solidFill>
          </w14:textFill>
        </w:rPr>
      </w:pPr>
      <w:r>
        <w:rPr>
          <w:rStyle w:val="11"/>
          <w:rFonts w:hint="eastAsia" w:ascii="Times New Roman" w:hAnsi="Times New Roman" w:eastAsia="方正黑体_GBK" w:cs="方正黑体_GBK"/>
          <w:b w:val="0"/>
          <w:bCs/>
          <w:color w:val="000000" w:themeColor="text1"/>
          <w:sz w:val="32"/>
          <w:szCs w:val="32"/>
          <w:shd w:val="clear" w:color="auto" w:fill="FFFFFF"/>
          <w14:textFill>
            <w14:solidFill>
              <w14:schemeClr w14:val="tx1"/>
            </w14:solidFill>
          </w14:textFill>
        </w:rPr>
        <w:t>二、</w:t>
      </w:r>
      <w:r>
        <w:rPr>
          <w:rStyle w:val="11"/>
          <w:rFonts w:hint="eastAsia" w:ascii="Times New Roman" w:hAnsi="Times New Roman" w:eastAsia="方正黑体_GBK" w:cs="方正黑体_GBK"/>
          <w:b w:val="0"/>
          <w:bCs/>
          <w:color w:val="000000" w:themeColor="text1"/>
          <w:sz w:val="32"/>
          <w:szCs w:val="32"/>
          <w:shd w:val="clear" w:color="auto" w:fill="FFFFFF"/>
          <w:lang w:eastAsia="zh-CN"/>
          <w14:textFill>
            <w14:solidFill>
              <w14:schemeClr w14:val="tx1"/>
            </w14:solidFill>
          </w14:textFill>
        </w:rPr>
        <w:t>单位</w:t>
      </w:r>
      <w:r>
        <w:rPr>
          <w:rStyle w:val="11"/>
          <w:rFonts w:hint="eastAsia" w:ascii="Times New Roman" w:hAnsi="Times New Roman" w:eastAsia="方正黑体_GBK" w:cs="方正黑体_GBK"/>
          <w:b w:val="0"/>
          <w:bCs/>
          <w:color w:val="000000" w:themeColor="text1"/>
          <w:sz w:val="32"/>
          <w:szCs w:val="32"/>
          <w:shd w:val="clear" w:color="auto" w:fill="FFFFFF"/>
          <w14:textFill>
            <w14:solidFill>
              <w14:schemeClr w14:val="tx1"/>
            </w14:solidFill>
          </w14:textFill>
        </w:rPr>
        <w:t>决算</w:t>
      </w:r>
      <w:r>
        <w:rPr>
          <w:rStyle w:val="11"/>
          <w:rFonts w:hint="eastAsia" w:ascii="Times New Roman" w:hAnsi="Times New Roman" w:eastAsia="方正黑体_GBK" w:cs="方正黑体_GBK"/>
          <w:b w:val="0"/>
          <w:bCs/>
          <w:color w:val="000000" w:themeColor="text1"/>
          <w:sz w:val="32"/>
          <w:szCs w:val="32"/>
          <w:shd w:val="clear" w:color="auto" w:fill="FFFFFF"/>
          <w:lang w:eastAsia="zh-CN"/>
          <w14:textFill>
            <w14:solidFill>
              <w14:schemeClr w14:val="tx1"/>
            </w14:solidFill>
          </w14:textFill>
        </w:rPr>
        <w:t>收支</w:t>
      </w:r>
      <w:r>
        <w:rPr>
          <w:rStyle w:val="11"/>
          <w:rFonts w:hint="eastAsia" w:ascii="Times New Roman" w:hAnsi="Times New Roman" w:eastAsia="方正黑体_GBK" w:cs="方正黑体_GBK"/>
          <w:b w:val="0"/>
          <w:bCs/>
          <w:color w:val="000000" w:themeColor="text1"/>
          <w:sz w:val="32"/>
          <w:szCs w:val="32"/>
          <w:shd w:val="clear" w:color="auto" w:fill="FFFFFF"/>
          <w14:textFill>
            <w14:solidFill>
              <w14:schemeClr w14:val="tx1"/>
            </w14:solidFill>
          </w14:textFill>
        </w:rPr>
        <w:t>情况说明</w:t>
      </w:r>
    </w:p>
    <w:p w14:paraId="5502D6DF">
      <w:pPr>
        <w:pStyle w:val="12"/>
        <w:keepNext w:val="0"/>
        <w:keepLines w:val="0"/>
        <w:pageBreakBefore w:val="0"/>
        <w:widowControl/>
        <w:kinsoku/>
        <w:wordWrap/>
        <w:overflowPunct/>
        <w:topLinePunct w:val="0"/>
        <w:autoSpaceDE w:val="0"/>
        <w:autoSpaceDN/>
        <w:bidi w:val="0"/>
        <w:spacing w:beforeAutospacing="0" w:afterAutospacing="0" w:line="594" w:lineRule="exact"/>
        <w:ind w:firstLine="640" w:firstLineChars="200"/>
        <w:textAlignment w:val="auto"/>
        <w:rPr>
          <w:rFonts w:hint="eastAsia" w:ascii="Times New Roman" w:hAnsi="Times New Roman" w:eastAsia="方正楷体_GBK" w:cs="方正楷体_GBK"/>
          <w:b w:val="0"/>
          <w:bCs/>
          <w:color w:val="000000" w:themeColor="text1"/>
          <w:sz w:val="32"/>
          <w:szCs w:val="32"/>
          <w:shd w:val="clear" w:color="auto" w:fill="FFFFFF"/>
          <w14:textFill>
            <w14:solidFill>
              <w14:schemeClr w14:val="tx1"/>
            </w14:solidFill>
          </w14:textFill>
        </w:rPr>
      </w:pPr>
      <w:r>
        <w:rPr>
          <w:rFonts w:hint="eastAsia" w:ascii="Times New Roman" w:hAnsi="Times New Roman" w:eastAsia="方正楷体_GBK" w:cs="方正楷体_GBK"/>
          <w:b w:val="0"/>
          <w:bCs/>
          <w:color w:val="000000" w:themeColor="text1"/>
          <w:sz w:val="32"/>
          <w:szCs w:val="32"/>
          <w:shd w:val="clear" w:color="auto" w:fill="FFFFFF"/>
          <w14:textFill>
            <w14:solidFill>
              <w14:schemeClr w14:val="tx1"/>
            </w14:solidFill>
          </w14:textFill>
        </w:rPr>
        <w:t>（一）收入支出决算总体情况说明。</w:t>
      </w:r>
    </w:p>
    <w:p w14:paraId="4CD82F06">
      <w:pPr>
        <w:keepNext w:val="0"/>
        <w:keepLines w:val="0"/>
        <w:pageBreakBefore w:val="0"/>
        <w:widowControl/>
        <w:kinsoku/>
        <w:wordWrap/>
        <w:overflowPunct/>
        <w:topLinePunct w:val="0"/>
        <w:autoSpaceDN/>
        <w:bidi w:val="0"/>
        <w:spacing w:beforeAutospacing="0" w:afterAutospacing="0" w:line="594" w:lineRule="exact"/>
        <w:ind w:firstLine="643" w:firstLineChars="200"/>
        <w:jc w:val="left"/>
        <w:textAlignment w:val="auto"/>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pPr>
      <w:r>
        <w:rPr>
          <w:rStyle w:val="11"/>
          <w:rFonts w:ascii="Times New Roman" w:hAnsi="Times New Roman" w:eastAsia="方正仿宋_GBK" w:cs="方正仿宋_GBK"/>
          <w:color w:val="000000" w:themeColor="text1"/>
          <w:sz w:val="32"/>
          <w:szCs w:val="32"/>
          <w:shd w:val="clear" w:color="auto" w:fill="FFFFFF"/>
          <w14:textFill>
            <w14:solidFill>
              <w14:schemeClr w14:val="tx1"/>
            </w14:solidFill>
          </w14:textFill>
        </w:rPr>
        <w:t>1.总体情况。</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2024年</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度收入总计94.63万元，支出总计</w:t>
      </w:r>
      <w:r>
        <w:rPr>
          <w:rFonts w:ascii="Times New Roman" w:hAnsi="Times New Roman" w:eastAsia="方正仿宋_GBK" w:cs="方正仿宋_GBK"/>
          <w:color w:val="000000" w:themeColor="text1"/>
          <w:sz w:val="32"/>
          <w:szCs w:val="32"/>
          <w14:textFill>
            <w14:solidFill>
              <w14:schemeClr w14:val="tx1"/>
            </w14:solidFill>
          </w14:textFill>
        </w:rPr>
        <w:t>94.63</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万元。收、支与2023年度相比，增加11.69万元，增长14.1%，主要原因是</w:t>
      </w:r>
      <w:r>
        <w:rPr>
          <w:rFonts w:hint="eastAsia" w:ascii="Times New Roman" w:hAnsi="Times New Roman" w:eastAsia="方正仿宋_GBK" w:cs="方正仿宋_GBK"/>
          <w:bCs/>
          <w:color w:val="000000" w:themeColor="text1"/>
          <w:sz w:val="32"/>
          <w:szCs w:val="32"/>
          <w14:textFill>
            <w14:solidFill>
              <w14:schemeClr w14:val="tx1"/>
            </w14:solidFill>
          </w14:textFill>
        </w:rPr>
        <w:t>人员工资、保险调标等</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w:t>
      </w:r>
    </w:p>
    <w:p w14:paraId="159A5783">
      <w:pPr>
        <w:keepNext w:val="0"/>
        <w:keepLines w:val="0"/>
        <w:pageBreakBefore w:val="0"/>
        <w:widowControl/>
        <w:kinsoku/>
        <w:wordWrap/>
        <w:overflowPunct/>
        <w:topLinePunct w:val="0"/>
        <w:autoSpaceDN/>
        <w:bidi w:val="0"/>
        <w:spacing w:beforeAutospacing="0" w:afterAutospacing="0" w:line="594" w:lineRule="exact"/>
        <w:ind w:firstLine="643" w:firstLineChars="200"/>
        <w:jc w:val="left"/>
        <w:textAlignment w:val="auto"/>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pPr>
      <w:r>
        <w:rPr>
          <w:rStyle w:val="11"/>
          <w:rFonts w:ascii="Times New Roman" w:hAnsi="Times New Roman" w:eastAsia="方正仿宋_GBK" w:cs="方正仿宋_GBK"/>
          <w:color w:val="000000" w:themeColor="text1"/>
          <w:sz w:val="32"/>
          <w:szCs w:val="32"/>
          <w:shd w:val="clear" w:color="auto" w:fill="FFFFFF"/>
          <w14:textFill>
            <w14:solidFill>
              <w14:schemeClr w14:val="tx1"/>
            </w14:solidFill>
          </w14:textFill>
        </w:rPr>
        <w:t>2.收入情况。</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2024年</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度收入合计94.63万元，与2023年度相比，增加11.69万元，增长14.1%，主要原因是</w:t>
      </w:r>
      <w:r>
        <w:rPr>
          <w:rFonts w:hint="eastAsia" w:ascii="Times New Roman" w:hAnsi="Times New Roman" w:eastAsia="方正仿宋_GBK" w:cs="方正仿宋_GBK"/>
          <w:bCs/>
          <w:color w:val="000000" w:themeColor="text1"/>
          <w:sz w:val="32"/>
          <w:szCs w:val="32"/>
          <w14:textFill>
            <w14:solidFill>
              <w14:schemeClr w14:val="tx1"/>
            </w14:solidFill>
          </w14:textFill>
        </w:rPr>
        <w:t>人员工资、保险调标等</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。其中：财政拨款收入</w:t>
      </w:r>
      <w:r>
        <w:rPr>
          <w:rFonts w:ascii="Times New Roman" w:hAnsi="Times New Roman" w:eastAsia="方正仿宋_GBK" w:cs="方正仿宋_GBK"/>
          <w:color w:val="000000" w:themeColor="text1"/>
          <w:sz w:val="32"/>
          <w:szCs w:val="32"/>
          <w14:textFill>
            <w14:solidFill>
              <w14:schemeClr w14:val="tx1"/>
            </w14:solidFill>
          </w14:textFill>
        </w:rPr>
        <w:t>94.63</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万元，占</w:t>
      </w:r>
      <w:r>
        <w:rPr>
          <w:rFonts w:ascii="Times New Roman" w:hAnsi="Times New Roman" w:eastAsia="方正仿宋_GBK" w:cs="方正仿宋_GBK"/>
          <w:color w:val="000000" w:themeColor="text1"/>
          <w:sz w:val="32"/>
          <w:szCs w:val="32"/>
          <w14:textFill>
            <w14:solidFill>
              <w14:schemeClr w14:val="tx1"/>
            </w14:solidFill>
          </w14:textFill>
        </w:rPr>
        <w:t>100.00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%；事业收入</w:t>
      </w:r>
      <w:r>
        <w:rPr>
          <w:rFonts w:ascii="Times New Roman" w:hAnsi="Times New Roman" w:eastAsia="方正仿宋_GBK" w:cs="方正仿宋_GBK"/>
          <w:color w:val="000000" w:themeColor="text1"/>
          <w:sz w:val="32"/>
          <w:szCs w:val="32"/>
          <w14:textFill>
            <w14:solidFill>
              <w14:schemeClr w14:val="tx1"/>
            </w14:solidFill>
          </w14:textFill>
        </w:rPr>
        <w:t>0.00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万元，占0.00%；经营收入</w:t>
      </w:r>
      <w:r>
        <w:rPr>
          <w:rFonts w:ascii="Times New Roman" w:hAnsi="Times New Roman" w:eastAsia="方正仿宋_GBK" w:cs="方正仿宋_GBK"/>
          <w:color w:val="000000" w:themeColor="text1"/>
          <w:sz w:val="32"/>
          <w:szCs w:val="32"/>
          <w14:textFill>
            <w14:solidFill>
              <w14:schemeClr w14:val="tx1"/>
            </w14:solidFill>
          </w14:textFill>
        </w:rPr>
        <w:t>0.00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万元，占0.00%；其他收入</w:t>
      </w:r>
      <w:r>
        <w:rPr>
          <w:rFonts w:ascii="Times New Roman" w:hAnsi="Times New Roman" w:eastAsia="方正仿宋_GBK" w:cs="方正仿宋_GBK"/>
          <w:color w:val="000000" w:themeColor="text1"/>
          <w:sz w:val="32"/>
          <w:szCs w:val="32"/>
          <w14:textFill>
            <w14:solidFill>
              <w14:schemeClr w14:val="tx1"/>
            </w14:solidFill>
          </w14:textFill>
        </w:rPr>
        <w:t>0.00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万元，占0.00%。此外，使用非财政拨款结余和专用结余</w:t>
      </w:r>
      <w:r>
        <w:rPr>
          <w:rFonts w:ascii="Times New Roman" w:hAnsi="Times New Roman" w:eastAsia="方正仿宋_GBK" w:cs="方正仿宋_GBK"/>
          <w:color w:val="000000" w:themeColor="text1"/>
          <w:sz w:val="32"/>
          <w:szCs w:val="32"/>
          <w14:textFill>
            <w14:solidFill>
              <w14:schemeClr w14:val="tx1"/>
            </w14:solidFill>
          </w14:textFill>
        </w:rPr>
        <w:t>0.00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万元，年初结转和结余</w:t>
      </w:r>
      <w:r>
        <w:rPr>
          <w:rFonts w:ascii="Times New Roman" w:hAnsi="Times New Roman" w:eastAsia="方正仿宋_GBK" w:cs="方正仿宋_GBK"/>
          <w:color w:val="000000" w:themeColor="text1"/>
          <w:sz w:val="32"/>
          <w:szCs w:val="32"/>
          <w14:textFill>
            <w14:solidFill>
              <w14:schemeClr w14:val="tx1"/>
            </w14:solidFill>
          </w14:textFill>
        </w:rPr>
        <w:t>0.00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万元。</w:t>
      </w:r>
    </w:p>
    <w:p w14:paraId="5CD39F1E">
      <w:pPr>
        <w:keepNext w:val="0"/>
        <w:keepLines w:val="0"/>
        <w:pageBreakBefore w:val="0"/>
        <w:widowControl/>
        <w:kinsoku/>
        <w:wordWrap/>
        <w:overflowPunct/>
        <w:topLinePunct w:val="0"/>
        <w:autoSpaceDN/>
        <w:bidi w:val="0"/>
        <w:spacing w:beforeAutospacing="0" w:afterAutospacing="0" w:line="594" w:lineRule="exact"/>
        <w:ind w:firstLine="643" w:firstLineChars="200"/>
        <w:jc w:val="left"/>
        <w:textAlignment w:val="auto"/>
        <w:rPr>
          <w:rFonts w:hint="default" w:ascii="Times New Roman" w:hAnsi="Times New Roman" w:eastAsia="方正仿宋_GBK" w:cs="方正仿宋_GBK"/>
          <w:color w:val="000000" w:themeColor="text1"/>
          <w:sz w:val="32"/>
          <w:szCs w:val="32"/>
          <w14:textFill>
            <w14:solidFill>
              <w14:schemeClr w14:val="tx1"/>
            </w14:solidFill>
          </w14:textFill>
        </w:rPr>
      </w:pPr>
      <w:r>
        <w:rPr>
          <w:rStyle w:val="11"/>
          <w:rFonts w:ascii="Times New Roman" w:hAnsi="Times New Roman" w:eastAsia="方正仿宋_GBK" w:cs="方正仿宋_GBK"/>
          <w:color w:val="000000" w:themeColor="text1"/>
          <w:sz w:val="32"/>
          <w:szCs w:val="32"/>
          <w:shd w:val="clear" w:color="auto" w:fill="FFFFFF"/>
          <w14:textFill>
            <w14:solidFill>
              <w14:schemeClr w14:val="tx1"/>
            </w14:solidFill>
          </w14:textFill>
        </w:rPr>
        <w:t>3.支出情况。</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2024年</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度支出合计</w:t>
      </w:r>
      <w:r>
        <w:rPr>
          <w:rFonts w:ascii="Times New Roman" w:hAnsi="Times New Roman" w:eastAsia="方正仿宋_GBK" w:cs="方正仿宋_GBK"/>
          <w:color w:val="000000" w:themeColor="text1"/>
          <w:sz w:val="32"/>
          <w:szCs w:val="32"/>
          <w14:textFill>
            <w14:solidFill>
              <w14:schemeClr w14:val="tx1"/>
            </w14:solidFill>
          </w14:textFill>
        </w:rPr>
        <w:t>94.63</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万元，与2023年度相比，增加11.69万元，增长14.1%，主要原因是</w:t>
      </w:r>
      <w:r>
        <w:rPr>
          <w:rFonts w:hint="eastAsia" w:ascii="Times New Roman" w:hAnsi="Times New Roman" w:eastAsia="方正仿宋_GBK" w:cs="方正仿宋_GBK"/>
          <w:bCs/>
          <w:color w:val="000000" w:themeColor="text1"/>
          <w:sz w:val="32"/>
          <w:szCs w:val="32"/>
          <w14:textFill>
            <w14:solidFill>
              <w14:schemeClr w14:val="tx1"/>
            </w14:solidFill>
          </w14:textFill>
        </w:rPr>
        <w:t>人员工资、保险调标等</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。其中：基本支出</w:t>
      </w:r>
      <w:r>
        <w:rPr>
          <w:rFonts w:ascii="Times New Roman" w:hAnsi="Times New Roman" w:eastAsia="方正仿宋_GBK" w:cs="方正仿宋_GBK"/>
          <w:color w:val="000000" w:themeColor="text1"/>
          <w:sz w:val="32"/>
          <w:szCs w:val="32"/>
          <w14:textFill>
            <w14:solidFill>
              <w14:schemeClr w14:val="tx1"/>
            </w14:solidFill>
          </w14:textFill>
        </w:rPr>
        <w:t>94.63</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万元，占100.00%；项目支出</w:t>
      </w:r>
      <w:r>
        <w:rPr>
          <w:rFonts w:ascii="Times New Roman" w:hAnsi="Times New Roman" w:eastAsia="方正仿宋_GBK" w:cs="方正仿宋_GBK"/>
          <w:color w:val="000000" w:themeColor="text1"/>
          <w:sz w:val="32"/>
          <w:szCs w:val="32"/>
          <w14:textFill>
            <w14:solidFill>
              <w14:schemeClr w14:val="tx1"/>
            </w14:solidFill>
          </w14:textFill>
        </w:rPr>
        <w:t>0.00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万元，占0.00%；经营支出</w:t>
      </w:r>
      <w:r>
        <w:rPr>
          <w:rFonts w:ascii="Times New Roman" w:hAnsi="Times New Roman" w:eastAsia="方正仿宋_GBK" w:cs="方正仿宋_GBK"/>
          <w:color w:val="000000" w:themeColor="text1"/>
          <w:sz w:val="32"/>
          <w:szCs w:val="32"/>
          <w14:textFill>
            <w14:solidFill>
              <w14:schemeClr w14:val="tx1"/>
            </w14:solidFill>
          </w14:textFill>
        </w:rPr>
        <w:t>0.00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万元，占0.00%。此外，结余分配</w:t>
      </w:r>
      <w:r>
        <w:rPr>
          <w:rFonts w:ascii="Times New Roman" w:hAnsi="Times New Roman" w:eastAsia="方正仿宋_GBK" w:cs="方正仿宋_GBK"/>
          <w:color w:val="000000" w:themeColor="text1"/>
          <w:sz w:val="32"/>
          <w:szCs w:val="32"/>
          <w14:textFill>
            <w14:solidFill>
              <w14:schemeClr w14:val="tx1"/>
            </w14:solidFill>
          </w14:textFill>
        </w:rPr>
        <w:t>0.00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万元。</w:t>
      </w:r>
    </w:p>
    <w:p w14:paraId="433FC341">
      <w:pPr>
        <w:pStyle w:val="8"/>
        <w:keepNext w:val="0"/>
        <w:keepLines w:val="0"/>
        <w:pageBreakBefore w:val="0"/>
        <w:widowControl/>
        <w:numPr>
          <w:ilvl w:val="0"/>
          <w:numId w:val="0"/>
        </w:numPr>
        <w:kinsoku/>
        <w:wordWrap/>
        <w:overflowPunct/>
        <w:topLinePunct w:val="0"/>
        <w:autoSpaceDN/>
        <w:bidi w:val="0"/>
        <w:snapToGrid w:val="0"/>
        <w:spacing w:before="0" w:beforeAutospacing="0" w:after="0" w:afterAutospacing="0" w:line="594" w:lineRule="exact"/>
        <w:ind w:firstLine="643" w:firstLineChars="200"/>
        <w:jc w:val="both"/>
        <w:textAlignment w:val="auto"/>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pPr>
      <w:r>
        <w:rPr>
          <w:rStyle w:val="11"/>
          <w:rFonts w:ascii="Times New Roman" w:hAnsi="Times New Roman" w:eastAsia="方正仿宋_GBK" w:cs="方正仿宋_GBK"/>
          <w:color w:val="000000" w:themeColor="text1"/>
          <w:sz w:val="32"/>
          <w:szCs w:val="32"/>
          <w:shd w:val="clear" w:color="auto" w:fill="FFFFFF"/>
          <w14:textFill>
            <w14:solidFill>
              <w14:schemeClr w14:val="tx1"/>
            </w14:solidFill>
          </w14:textFill>
        </w:rPr>
        <w:t>4.结转结余情况。</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2024年</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度年末结转和结余</w:t>
      </w:r>
      <w:r>
        <w:rPr>
          <w:rFonts w:ascii="Times New Roman" w:hAnsi="Times New Roman" w:eastAsia="方正仿宋_GBK" w:cs="方正仿宋_GBK"/>
          <w:color w:val="000000" w:themeColor="text1"/>
          <w:sz w:val="32"/>
          <w:szCs w:val="32"/>
          <w14:textFill>
            <w14:solidFill>
              <w14:schemeClr w14:val="tx1"/>
            </w14:solidFill>
          </w14:textFill>
        </w:rPr>
        <w:t>0.00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万元，与2023年度相比，无增减，主要原因是</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无结转结余。</w:t>
      </w:r>
    </w:p>
    <w:p w14:paraId="4D223351">
      <w:pPr>
        <w:pStyle w:val="12"/>
        <w:keepNext w:val="0"/>
        <w:keepLines w:val="0"/>
        <w:pageBreakBefore w:val="0"/>
        <w:widowControl/>
        <w:kinsoku/>
        <w:wordWrap/>
        <w:overflowPunct/>
        <w:topLinePunct w:val="0"/>
        <w:autoSpaceDE w:val="0"/>
        <w:autoSpaceDN/>
        <w:bidi w:val="0"/>
        <w:spacing w:beforeAutospacing="0" w:afterAutospacing="0" w:line="594" w:lineRule="exact"/>
        <w:ind w:firstLine="640" w:firstLineChars="200"/>
        <w:textAlignment w:val="auto"/>
        <w:rPr>
          <w:rFonts w:hint="eastAsia" w:ascii="Times New Roman" w:hAnsi="Times New Roman" w:eastAsia="方正楷体_GBK" w:cs="方正楷体_GBK"/>
          <w:b w:val="0"/>
          <w:bCs/>
          <w:color w:val="000000" w:themeColor="text1"/>
          <w:sz w:val="32"/>
          <w:szCs w:val="32"/>
          <w:shd w:val="clear" w:color="auto" w:fill="FFFFFF"/>
          <w14:textFill>
            <w14:solidFill>
              <w14:schemeClr w14:val="tx1"/>
            </w14:solidFill>
          </w14:textFill>
        </w:rPr>
      </w:pPr>
      <w:r>
        <w:rPr>
          <w:rFonts w:hint="eastAsia" w:ascii="Times New Roman" w:hAnsi="Times New Roman" w:eastAsia="方正楷体_GBK" w:cs="方正楷体_GBK"/>
          <w:b w:val="0"/>
          <w:bCs/>
          <w:color w:val="000000" w:themeColor="text1"/>
          <w:sz w:val="32"/>
          <w:szCs w:val="32"/>
          <w:shd w:val="clear" w:color="auto" w:fill="FFFFFF"/>
          <w14:textFill>
            <w14:solidFill>
              <w14:schemeClr w14:val="tx1"/>
            </w14:solidFill>
          </w14:textFill>
        </w:rPr>
        <w:t>（二）财政拨款收入支出决算总体情况说明</w:t>
      </w:r>
    </w:p>
    <w:p w14:paraId="03548D43">
      <w:pPr>
        <w:keepNext w:val="0"/>
        <w:keepLines w:val="0"/>
        <w:pageBreakBefore w:val="0"/>
        <w:widowControl/>
        <w:kinsoku/>
        <w:wordWrap/>
        <w:overflowPunct/>
        <w:topLinePunct w:val="0"/>
        <w:autoSpaceDN/>
        <w:bidi w:val="0"/>
        <w:spacing w:beforeAutospacing="0" w:afterAutospacing="0" w:line="594" w:lineRule="exact"/>
        <w:ind w:firstLine="640" w:firstLineChars="200"/>
        <w:jc w:val="left"/>
        <w:textAlignment w:val="auto"/>
        <w:rPr>
          <w:rFonts w:hint="default" w:ascii="Times New Roman" w:hAnsi="Times New Roman" w:eastAsia="方正仿宋_GBK" w:cs="方正仿宋_GBK"/>
          <w:color w:val="000000" w:themeColor="text1"/>
          <w:sz w:val="32"/>
          <w:szCs w:val="32"/>
          <w14:textFill>
            <w14:solidFill>
              <w14:schemeClr w14:val="tx1"/>
            </w14:solidFill>
          </w14:textFill>
        </w:rPr>
      </w:pP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2024年</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度财政拨款收、支总计94.63万元。与202</w:t>
      </w:r>
      <w:r>
        <w:rPr>
          <w:rFonts w:hint="eastAsia" w:ascii="Times New Roman" w:hAnsi="Times New Roman" w:eastAsia="方正仿宋_GBK" w:cs="方正仿宋_GBK"/>
          <w:color w:val="000000" w:themeColor="text1"/>
          <w:sz w:val="32"/>
          <w:szCs w:val="32"/>
          <w:shd w:val="clear" w:color="auto" w:fill="FFFFFF"/>
          <w:lang w:val="en-US" w:eastAsia="zh-CN"/>
          <w14:textFill>
            <w14:solidFill>
              <w14:schemeClr w14:val="tx1"/>
            </w14:solidFill>
          </w14:textFill>
        </w:rPr>
        <w:t>3</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年相比，财政拨款收、支总计各增加11.69万元，增长14.1%。主要原因是</w:t>
      </w:r>
      <w:r>
        <w:rPr>
          <w:rFonts w:hint="eastAsia" w:ascii="Times New Roman" w:hAnsi="Times New Roman" w:eastAsia="方正仿宋_GBK" w:cs="方正仿宋_GBK"/>
          <w:bCs/>
          <w:color w:val="000000" w:themeColor="text1"/>
          <w:sz w:val="32"/>
          <w:szCs w:val="32"/>
          <w14:textFill>
            <w14:solidFill>
              <w14:schemeClr w14:val="tx1"/>
            </w14:solidFill>
          </w14:textFill>
        </w:rPr>
        <w:t>人员工资、保险调标等</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w:t>
      </w:r>
    </w:p>
    <w:p w14:paraId="3852788C">
      <w:pPr>
        <w:pStyle w:val="12"/>
        <w:keepNext w:val="0"/>
        <w:keepLines w:val="0"/>
        <w:pageBreakBefore w:val="0"/>
        <w:widowControl/>
        <w:kinsoku/>
        <w:wordWrap/>
        <w:overflowPunct/>
        <w:topLinePunct w:val="0"/>
        <w:autoSpaceDE w:val="0"/>
        <w:autoSpaceDN/>
        <w:bidi w:val="0"/>
        <w:spacing w:beforeAutospacing="0" w:afterAutospacing="0" w:line="594" w:lineRule="exact"/>
        <w:ind w:firstLine="640" w:firstLineChars="200"/>
        <w:textAlignment w:val="auto"/>
        <w:rPr>
          <w:rFonts w:hint="eastAsia" w:ascii="Times New Roman" w:hAnsi="Times New Roman" w:eastAsia="方正楷体_GBK" w:cs="方正楷体_GBK"/>
          <w:b w:val="0"/>
          <w:bCs/>
          <w:color w:val="000000" w:themeColor="text1"/>
          <w:sz w:val="32"/>
          <w:szCs w:val="32"/>
          <w:shd w:val="clear" w:color="auto" w:fill="FFFFFF"/>
          <w14:textFill>
            <w14:solidFill>
              <w14:schemeClr w14:val="tx1"/>
            </w14:solidFill>
          </w14:textFill>
        </w:rPr>
      </w:pPr>
      <w:r>
        <w:rPr>
          <w:rFonts w:hint="eastAsia" w:ascii="Times New Roman" w:hAnsi="Times New Roman" w:eastAsia="方正楷体_GBK" w:cs="方正楷体_GBK"/>
          <w:b w:val="0"/>
          <w:bCs/>
          <w:color w:val="000000" w:themeColor="text1"/>
          <w:sz w:val="32"/>
          <w:szCs w:val="32"/>
          <w:shd w:val="clear" w:color="auto" w:fill="FFFFFF"/>
          <w14:textFill>
            <w14:solidFill>
              <w14:schemeClr w14:val="tx1"/>
            </w14:solidFill>
          </w14:textFill>
        </w:rPr>
        <w:t>（三）一般公共预算财政拨款收入支出决算情况说明</w:t>
      </w:r>
    </w:p>
    <w:p w14:paraId="7E4593C6">
      <w:pPr>
        <w:pStyle w:val="8"/>
        <w:keepNext w:val="0"/>
        <w:keepLines w:val="0"/>
        <w:pageBreakBefore w:val="0"/>
        <w:widowControl/>
        <w:kinsoku/>
        <w:wordWrap/>
        <w:overflowPunct/>
        <w:topLinePunct w:val="0"/>
        <w:autoSpaceDN/>
        <w:bidi w:val="0"/>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方正仿宋_GBK"/>
          <w:color w:val="000000" w:themeColor="text1"/>
          <w:sz w:val="32"/>
          <w:szCs w:val="32"/>
          <w14:textFill>
            <w14:solidFill>
              <w14:schemeClr w14:val="tx1"/>
            </w14:solidFill>
          </w14:textFill>
        </w:rPr>
      </w:pPr>
      <w:r>
        <w:rPr>
          <w:rStyle w:val="11"/>
          <w:rFonts w:ascii="Times New Roman" w:hAnsi="Times New Roman" w:eastAsia="方正仿宋_GBK" w:cs="方正仿宋_GBK"/>
          <w:color w:val="000000" w:themeColor="text1"/>
          <w:sz w:val="32"/>
          <w:szCs w:val="32"/>
          <w:shd w:val="clear" w:color="auto" w:fill="FFFFFF"/>
          <w14:textFill>
            <w14:solidFill>
              <w14:schemeClr w14:val="tx1"/>
            </w14:solidFill>
          </w14:textFill>
        </w:rPr>
        <w:t>1.收入情况。</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2024年</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度一般公共预算财政拨款收入</w:t>
      </w:r>
      <w:r>
        <w:rPr>
          <w:rFonts w:ascii="Times New Roman" w:hAnsi="Times New Roman" w:eastAsia="方正仿宋_GBK" w:cs="方正仿宋_GBK"/>
          <w:color w:val="000000" w:themeColor="text1"/>
          <w:sz w:val="32"/>
          <w:szCs w:val="32"/>
          <w14:textFill>
            <w14:solidFill>
              <w14:schemeClr w14:val="tx1"/>
            </w14:solidFill>
          </w14:textFill>
        </w:rPr>
        <w:t>94.63</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万元，与2023年度相比，增加11.69万元，增长14.1%。主要原因是</w:t>
      </w:r>
      <w:r>
        <w:rPr>
          <w:rFonts w:hint="eastAsia" w:ascii="Times New Roman" w:hAnsi="Times New Roman" w:eastAsia="方正仿宋_GBK" w:cs="方正仿宋_GBK"/>
          <w:bCs/>
          <w:color w:val="000000" w:themeColor="text1"/>
          <w:sz w:val="32"/>
          <w:szCs w:val="32"/>
          <w14:textFill>
            <w14:solidFill>
              <w14:schemeClr w14:val="tx1"/>
            </w14:solidFill>
          </w14:textFill>
        </w:rPr>
        <w:t>人员工资、保险调标等</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。较年初预算数减少6.81万元，下降6.7%。主要原因是</w:t>
      </w:r>
      <w:r>
        <w:rPr>
          <w:rFonts w:hint="eastAsia" w:ascii="Times New Roman" w:hAnsi="Times New Roman" w:eastAsia="方正仿宋_GBK" w:cs="方正仿宋_GBK"/>
          <w:bCs/>
          <w:color w:val="000000" w:themeColor="text1"/>
          <w:sz w:val="32"/>
          <w:szCs w:val="32"/>
          <w14:textFill>
            <w14:solidFill>
              <w14:schemeClr w14:val="tx1"/>
            </w14:solidFill>
          </w14:textFill>
        </w:rPr>
        <w:t>人员工资、保险调标等</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。此外，年初财政拨款结转和结余</w:t>
      </w:r>
      <w:r>
        <w:rPr>
          <w:rFonts w:ascii="Times New Roman" w:hAnsi="Times New Roman" w:eastAsia="方正仿宋_GBK" w:cs="方正仿宋_GBK"/>
          <w:color w:val="000000" w:themeColor="text1"/>
          <w:sz w:val="32"/>
          <w:szCs w:val="32"/>
          <w14:textFill>
            <w14:solidFill>
              <w14:schemeClr w14:val="tx1"/>
            </w14:solidFill>
          </w14:textFill>
        </w:rPr>
        <w:t>0.00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万元。</w:t>
      </w:r>
    </w:p>
    <w:p w14:paraId="3A6F2487">
      <w:pPr>
        <w:pStyle w:val="8"/>
        <w:keepNext w:val="0"/>
        <w:keepLines w:val="0"/>
        <w:pageBreakBefore w:val="0"/>
        <w:widowControl/>
        <w:kinsoku/>
        <w:wordWrap/>
        <w:overflowPunct/>
        <w:topLinePunct w:val="0"/>
        <w:autoSpaceDN/>
        <w:bidi w:val="0"/>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方正仿宋_GBK"/>
          <w:color w:val="000000" w:themeColor="text1"/>
          <w:sz w:val="32"/>
          <w:szCs w:val="32"/>
          <w14:textFill>
            <w14:solidFill>
              <w14:schemeClr w14:val="tx1"/>
            </w14:solidFill>
          </w14:textFill>
        </w:rPr>
      </w:pPr>
      <w:r>
        <w:rPr>
          <w:rStyle w:val="11"/>
          <w:rFonts w:ascii="Times New Roman" w:hAnsi="Times New Roman" w:eastAsia="方正仿宋_GBK" w:cs="方正仿宋_GBK"/>
          <w:color w:val="000000" w:themeColor="text1"/>
          <w:sz w:val="32"/>
          <w:szCs w:val="32"/>
          <w:shd w:val="clear" w:color="auto" w:fill="FFFFFF"/>
          <w14:textFill>
            <w14:solidFill>
              <w14:schemeClr w14:val="tx1"/>
            </w14:solidFill>
          </w14:textFill>
        </w:rPr>
        <w:t>2.支出情况。</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2024年</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度一般公共预算财政拨款支出</w:t>
      </w:r>
      <w:r>
        <w:rPr>
          <w:rFonts w:ascii="Times New Roman" w:hAnsi="Times New Roman" w:eastAsia="方正仿宋_GBK" w:cs="方正仿宋_GBK"/>
          <w:color w:val="000000" w:themeColor="text1"/>
          <w:sz w:val="32"/>
          <w:szCs w:val="32"/>
          <w14:textFill>
            <w14:solidFill>
              <w14:schemeClr w14:val="tx1"/>
            </w14:solidFill>
          </w14:textFill>
        </w:rPr>
        <w:t>94.63</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万元，与2023年度相比，增加11.69万元，增长14.1%。主要原因是</w:t>
      </w:r>
      <w:r>
        <w:rPr>
          <w:rFonts w:hint="eastAsia" w:ascii="Times New Roman" w:hAnsi="Times New Roman" w:eastAsia="方正仿宋_GBK" w:cs="方正仿宋_GBK"/>
          <w:bCs/>
          <w:color w:val="000000" w:themeColor="text1"/>
          <w:sz w:val="32"/>
          <w:szCs w:val="32"/>
          <w14:textFill>
            <w14:solidFill>
              <w14:schemeClr w14:val="tx1"/>
            </w14:solidFill>
          </w14:textFill>
        </w:rPr>
        <w:t>人员工资、保险调标等</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。较年初预算数减少6.81万元，下降6.7%。主要原因是</w:t>
      </w:r>
      <w:r>
        <w:rPr>
          <w:rFonts w:hint="eastAsia" w:ascii="Times New Roman" w:hAnsi="Times New Roman" w:eastAsia="方正仿宋_GBK" w:cs="方正仿宋_GBK"/>
          <w:bCs/>
          <w:color w:val="000000" w:themeColor="text1"/>
          <w:sz w:val="32"/>
          <w:szCs w:val="32"/>
          <w14:textFill>
            <w14:solidFill>
              <w14:schemeClr w14:val="tx1"/>
            </w14:solidFill>
          </w14:textFill>
        </w:rPr>
        <w:t>人员工资、保险调标等</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w:t>
      </w:r>
    </w:p>
    <w:p w14:paraId="46323D82">
      <w:pPr>
        <w:pStyle w:val="8"/>
        <w:keepNext w:val="0"/>
        <w:keepLines w:val="0"/>
        <w:pageBreakBefore w:val="0"/>
        <w:widowControl/>
        <w:kinsoku/>
        <w:wordWrap/>
        <w:overflowPunct/>
        <w:topLinePunct w:val="0"/>
        <w:autoSpaceDN/>
        <w:bidi w:val="0"/>
        <w:snapToGrid w:val="0"/>
        <w:spacing w:before="0" w:beforeAutospacing="0" w:after="0" w:afterAutospacing="0" w:line="594" w:lineRule="exact"/>
        <w:ind w:firstLine="643" w:firstLineChars="200"/>
        <w:jc w:val="both"/>
        <w:textAlignment w:val="auto"/>
        <w:rPr>
          <w:rFonts w:hint="eastAsia" w:ascii="Times New Roman" w:hAnsi="Times New Roman" w:eastAsia="方正仿宋_GBK" w:cs="方正仿宋_GBK"/>
          <w:color w:val="000000" w:themeColor="text1"/>
          <w:sz w:val="32"/>
          <w:szCs w:val="32"/>
          <w:lang w:eastAsia="zh-CN"/>
          <w14:textFill>
            <w14:solidFill>
              <w14:schemeClr w14:val="tx1"/>
            </w14:solidFill>
          </w14:textFill>
        </w:rPr>
      </w:pPr>
      <w:r>
        <w:rPr>
          <w:rStyle w:val="11"/>
          <w:rFonts w:ascii="Times New Roman" w:hAnsi="Times New Roman" w:eastAsia="方正仿宋_GBK" w:cs="方正仿宋_GBK"/>
          <w:color w:val="000000" w:themeColor="text1"/>
          <w:sz w:val="32"/>
          <w:szCs w:val="32"/>
          <w:shd w:val="clear" w:color="auto" w:fill="FFFFFF"/>
          <w14:textFill>
            <w14:solidFill>
              <w14:schemeClr w14:val="tx1"/>
            </w14:solidFill>
          </w14:textFill>
        </w:rPr>
        <w:t>3.结转结余情况。</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2024年</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度年末一般公共预算财政拨款结转和结余</w:t>
      </w:r>
      <w:r>
        <w:rPr>
          <w:rFonts w:ascii="Times New Roman" w:hAnsi="Times New Roman" w:eastAsia="方正仿宋_GBK" w:cs="方正仿宋_GBK"/>
          <w:color w:val="000000" w:themeColor="text1"/>
          <w:sz w:val="32"/>
          <w:szCs w:val="32"/>
          <w14:textFill>
            <w14:solidFill>
              <w14:schemeClr w14:val="tx1"/>
            </w14:solidFill>
          </w14:textFill>
        </w:rPr>
        <w:t>0.00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万元，与2023年度相比，无增减，主要原因是</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无结转结余。</w:t>
      </w:r>
    </w:p>
    <w:p w14:paraId="2498EFAD">
      <w:pPr>
        <w:pStyle w:val="8"/>
        <w:keepNext w:val="0"/>
        <w:keepLines w:val="0"/>
        <w:pageBreakBefore w:val="0"/>
        <w:widowControl/>
        <w:kinsoku/>
        <w:wordWrap/>
        <w:overflowPunct/>
        <w:topLinePunct w:val="0"/>
        <w:autoSpaceDN/>
        <w:bidi w:val="0"/>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方正仿宋_GBK"/>
          <w:color w:val="000000" w:themeColor="text1"/>
          <w:sz w:val="32"/>
          <w:szCs w:val="32"/>
          <w:highlight w:val="cyan"/>
          <w:shd w:val="clear" w:color="auto" w:fill="FFFFFF"/>
          <w14:textFill>
            <w14:solidFill>
              <w14:schemeClr w14:val="tx1"/>
            </w14:solidFill>
          </w14:textFill>
        </w:rPr>
      </w:pPr>
      <w:r>
        <w:rPr>
          <w:rStyle w:val="11"/>
          <w:rFonts w:ascii="Times New Roman" w:hAnsi="Times New Roman" w:eastAsia="方正仿宋_GBK" w:cs="方正仿宋_GBK"/>
          <w:color w:val="000000" w:themeColor="text1"/>
          <w:sz w:val="32"/>
          <w:szCs w:val="32"/>
          <w:shd w:val="clear" w:color="auto" w:fill="FFFFFF"/>
          <w14:textFill>
            <w14:solidFill>
              <w14:schemeClr w14:val="tx1"/>
            </w14:solidFill>
          </w14:textFill>
        </w:rPr>
        <w:t xml:space="preserve"> 4.比较情况。</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本</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单位2024年</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度一般公共预算财政拨款支出主要用于以下几个方面：</w:t>
      </w:r>
    </w:p>
    <w:p w14:paraId="144B6D70">
      <w:pPr>
        <w:pStyle w:val="8"/>
        <w:keepNext w:val="0"/>
        <w:keepLines w:val="0"/>
        <w:pageBreakBefore w:val="0"/>
        <w:widowControl/>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color w:val="000000" w:themeColor="text1"/>
          <w:sz w:val="32"/>
          <w:szCs w:val="32"/>
          <w14:textFill>
            <w14:solidFill>
              <w14:schemeClr w14:val="tx1"/>
            </w14:solidFill>
          </w14:textFill>
        </w:rPr>
      </w:pP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（1）一般公共服务支出</w:t>
      </w:r>
      <w:r>
        <w:rPr>
          <w:rFonts w:ascii="Times New Roman" w:hAnsi="Times New Roman" w:eastAsia="方正仿宋_GBK" w:cs="方正仿宋_GBK"/>
          <w:color w:val="000000" w:themeColor="text1"/>
          <w:sz w:val="32"/>
          <w:szCs w:val="32"/>
          <w14:textFill>
            <w14:solidFill>
              <w14:schemeClr w14:val="tx1"/>
            </w14:solidFill>
          </w14:textFill>
        </w:rPr>
        <w:t>74.62</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万元，占</w:t>
      </w:r>
      <w:r>
        <w:rPr>
          <w:rFonts w:ascii="Times New Roman" w:hAnsi="Times New Roman" w:eastAsia="方正仿宋_GBK" w:cs="方正仿宋_GBK"/>
          <w:color w:val="000000" w:themeColor="text1"/>
          <w:sz w:val="32"/>
          <w:szCs w:val="32"/>
          <w14:textFill>
            <w14:solidFill>
              <w14:schemeClr w14:val="tx1"/>
            </w14:solidFill>
          </w14:textFill>
        </w:rPr>
        <w:t>78.85</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%，较年初预算数减少5.39万元，下降6.7%，主要原因是</w:t>
      </w:r>
      <w:r>
        <w:rPr>
          <w:rFonts w:hint="eastAsia" w:ascii="Times New Roman" w:hAnsi="Times New Roman" w:eastAsia="方正仿宋_GBK" w:cs="方正仿宋_GBK"/>
          <w:bCs/>
          <w:color w:val="000000" w:themeColor="text1"/>
          <w:sz w:val="32"/>
          <w:szCs w:val="32"/>
          <w14:textFill>
            <w14:solidFill>
              <w14:schemeClr w14:val="tx1"/>
            </w14:solidFill>
          </w14:textFill>
        </w:rPr>
        <w:t>人员工资、保险调标等</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w:t>
      </w:r>
    </w:p>
    <w:p w14:paraId="04D52C5A">
      <w:pPr>
        <w:pStyle w:val="8"/>
        <w:keepNext w:val="0"/>
        <w:keepLines w:val="0"/>
        <w:pageBreakBefore w:val="0"/>
        <w:widowControl/>
        <w:kinsoku/>
        <w:wordWrap/>
        <w:overflowPunct/>
        <w:topLinePunct w:val="0"/>
        <w:autoSpaceDN/>
        <w:bidi w:val="0"/>
        <w:snapToGrid w:val="0"/>
        <w:spacing w:before="0" w:beforeAutospacing="0" w:after="0" w:afterAutospacing="0" w:line="594" w:lineRule="exact"/>
        <w:ind w:firstLine="640" w:firstLineChars="200"/>
        <w:jc w:val="both"/>
        <w:textAlignment w:val="auto"/>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pP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w:t>
      </w:r>
      <w:r>
        <w:rPr>
          <w:rFonts w:hint="eastAsia" w:ascii="Times New Roman" w:hAnsi="Times New Roman" w:eastAsia="方正仿宋_GBK" w:cs="方正仿宋_GBK"/>
          <w:color w:val="000000" w:themeColor="text1"/>
          <w:sz w:val="32"/>
          <w:szCs w:val="32"/>
          <w:shd w:val="clear" w:color="auto" w:fill="FFFFFF"/>
          <w:lang w:val="en-US" w:eastAsia="zh-CN"/>
          <w14:textFill>
            <w14:solidFill>
              <w14:schemeClr w14:val="tx1"/>
            </w14:solidFill>
          </w14:textFill>
        </w:rPr>
        <w:t>2</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）社会保障与就业支出</w:t>
      </w:r>
      <w:r>
        <w:rPr>
          <w:rFonts w:ascii="Times New Roman" w:hAnsi="Times New Roman" w:eastAsia="方正仿宋_GBK" w:cs="方正仿宋_GBK"/>
          <w:color w:val="000000" w:themeColor="text1"/>
          <w:sz w:val="32"/>
          <w:szCs w:val="32"/>
          <w14:textFill>
            <w14:solidFill>
              <w14:schemeClr w14:val="tx1"/>
            </w14:solidFill>
          </w14:textFill>
        </w:rPr>
        <w:t>8.87</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万元，占</w:t>
      </w:r>
      <w:r>
        <w:rPr>
          <w:rFonts w:ascii="Times New Roman" w:hAnsi="Times New Roman" w:eastAsia="方正仿宋_GBK" w:cs="方正仿宋_GBK"/>
          <w:color w:val="000000" w:themeColor="text1"/>
          <w:sz w:val="32"/>
          <w:szCs w:val="32"/>
          <w14:textFill>
            <w14:solidFill>
              <w14:schemeClr w14:val="tx1"/>
            </w14:solidFill>
          </w14:textFill>
        </w:rPr>
        <w:t>9.37</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%，较年初预算数增加0.14万元，增长1.6%，主要原因是</w:t>
      </w:r>
      <w:r>
        <w:rPr>
          <w:rFonts w:hint="eastAsia" w:ascii="Times New Roman" w:hAnsi="Times New Roman" w:eastAsia="方正仿宋_GBK" w:cs="方正仿宋_GBK"/>
          <w:bCs/>
          <w:color w:val="000000" w:themeColor="text1"/>
          <w:sz w:val="32"/>
          <w:szCs w:val="32"/>
          <w14:textFill>
            <w14:solidFill>
              <w14:schemeClr w14:val="tx1"/>
            </w14:solidFill>
          </w14:textFill>
        </w:rPr>
        <w:t>人员工资、保险调标等</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w:t>
      </w:r>
    </w:p>
    <w:p w14:paraId="411B00D1">
      <w:pPr>
        <w:pStyle w:val="8"/>
        <w:keepNext w:val="0"/>
        <w:keepLines w:val="0"/>
        <w:pageBreakBefore w:val="0"/>
        <w:widowControl/>
        <w:kinsoku/>
        <w:wordWrap/>
        <w:overflowPunct/>
        <w:topLinePunct w:val="0"/>
        <w:autoSpaceDN/>
        <w:bidi w:val="0"/>
        <w:snapToGrid w:val="0"/>
        <w:spacing w:before="0" w:beforeAutospacing="0" w:after="0" w:afterAutospacing="0" w:line="594" w:lineRule="exact"/>
        <w:ind w:firstLine="640" w:firstLineChars="200"/>
        <w:jc w:val="both"/>
        <w:textAlignment w:val="auto"/>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pP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w:t>
      </w:r>
      <w:r>
        <w:rPr>
          <w:rFonts w:hint="eastAsia" w:ascii="Times New Roman" w:hAnsi="Times New Roman" w:eastAsia="方正仿宋_GBK" w:cs="方正仿宋_GBK"/>
          <w:color w:val="000000" w:themeColor="text1"/>
          <w:sz w:val="32"/>
          <w:szCs w:val="32"/>
          <w:shd w:val="clear" w:color="auto" w:fill="FFFFFF"/>
          <w:lang w:val="en-US" w:eastAsia="zh-CN"/>
          <w14:textFill>
            <w14:solidFill>
              <w14:schemeClr w14:val="tx1"/>
            </w14:solidFill>
          </w14:textFill>
        </w:rPr>
        <w:t>3</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）卫生健康支出</w:t>
      </w:r>
      <w:r>
        <w:rPr>
          <w:rFonts w:ascii="Times New Roman" w:hAnsi="Times New Roman" w:eastAsia="方正仿宋_GBK" w:cs="方正仿宋_GBK"/>
          <w:color w:val="000000" w:themeColor="text1"/>
          <w:sz w:val="32"/>
          <w:szCs w:val="32"/>
          <w14:textFill>
            <w14:solidFill>
              <w14:schemeClr w14:val="tx1"/>
            </w14:solidFill>
          </w14:textFill>
        </w:rPr>
        <w:t>3.44</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万元，占</w:t>
      </w:r>
      <w:r>
        <w:rPr>
          <w:rFonts w:ascii="Times New Roman" w:hAnsi="Times New Roman" w:eastAsia="方正仿宋_GBK" w:cs="方正仿宋_GBK"/>
          <w:color w:val="000000" w:themeColor="text1"/>
          <w:sz w:val="32"/>
          <w:szCs w:val="32"/>
          <w14:textFill>
            <w14:solidFill>
              <w14:schemeClr w14:val="tx1"/>
            </w14:solidFill>
          </w14:textFill>
        </w:rPr>
        <w:t>3.64</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%，较年初预算数减少1.44万元，下降29.5%，主要原因是</w:t>
      </w:r>
      <w:r>
        <w:rPr>
          <w:rFonts w:hint="eastAsia" w:ascii="Times New Roman" w:hAnsi="Times New Roman" w:eastAsia="方正仿宋_GBK" w:cs="方正仿宋_GBK"/>
          <w:bCs/>
          <w:color w:val="000000" w:themeColor="text1"/>
          <w:sz w:val="32"/>
          <w:szCs w:val="32"/>
          <w14:textFill>
            <w14:solidFill>
              <w14:schemeClr w14:val="tx1"/>
            </w14:solidFill>
          </w14:textFill>
        </w:rPr>
        <w:t>人员工资、保险调标等</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w:t>
      </w:r>
    </w:p>
    <w:p w14:paraId="7C339B3D">
      <w:pPr>
        <w:keepNext w:val="0"/>
        <w:keepLines w:val="0"/>
        <w:pageBreakBefore w:val="0"/>
        <w:widowControl/>
        <w:kinsoku/>
        <w:wordWrap/>
        <w:overflowPunct/>
        <w:topLinePunct w:val="0"/>
        <w:autoSpaceDN/>
        <w:bidi w:val="0"/>
        <w:spacing w:beforeAutospacing="0" w:afterAutospacing="0" w:line="594" w:lineRule="exact"/>
        <w:ind w:firstLine="640" w:firstLineChars="200"/>
        <w:textAlignment w:val="auto"/>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pP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w:t>
      </w:r>
      <w:r>
        <w:rPr>
          <w:rFonts w:hint="eastAsia" w:ascii="Times New Roman" w:hAnsi="Times New Roman" w:eastAsia="方正仿宋_GBK" w:cs="方正仿宋_GBK"/>
          <w:color w:val="000000" w:themeColor="text1"/>
          <w:sz w:val="32"/>
          <w:szCs w:val="32"/>
          <w:shd w:val="clear" w:color="auto" w:fill="FFFFFF"/>
          <w:lang w:val="en-US" w:eastAsia="zh-CN"/>
          <w14:textFill>
            <w14:solidFill>
              <w14:schemeClr w14:val="tx1"/>
            </w14:solidFill>
          </w14:textFill>
        </w:rPr>
        <w:t>4</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w:t>
      </w:r>
      <w:r>
        <w:rPr>
          <w:rFonts w:ascii="Times New Roman" w:hAnsi="Times New Roman" w:eastAsia="方正仿宋_GBK" w:cs="方正仿宋_GBK"/>
          <w:color w:val="000000" w:themeColor="text1"/>
          <w:sz w:val="32"/>
          <w:szCs w:val="32"/>
          <w14:textFill>
            <w14:solidFill>
              <w14:schemeClr w14:val="tx1"/>
            </w14:solidFill>
          </w14:textFill>
        </w:rPr>
        <w:t>住房保障支出7.70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万元，占</w:t>
      </w:r>
      <w:r>
        <w:rPr>
          <w:rFonts w:ascii="Times New Roman" w:hAnsi="Times New Roman" w:eastAsia="方正仿宋_GBK" w:cs="方正仿宋_GBK"/>
          <w:color w:val="000000" w:themeColor="text1"/>
          <w:sz w:val="32"/>
          <w:szCs w:val="32"/>
          <w14:textFill>
            <w14:solidFill>
              <w14:schemeClr w14:val="tx1"/>
            </w14:solidFill>
          </w14:textFill>
        </w:rPr>
        <w:t>8.14</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%，较年初预算数减少0.11万元，下降1.4%，主要原因是</w:t>
      </w:r>
      <w:r>
        <w:rPr>
          <w:rFonts w:hint="eastAsia" w:ascii="Times New Roman" w:hAnsi="Times New Roman" w:eastAsia="方正仿宋_GBK" w:cs="方正仿宋_GBK"/>
          <w:bCs/>
          <w:color w:val="000000" w:themeColor="text1"/>
          <w:sz w:val="32"/>
          <w:szCs w:val="32"/>
          <w14:textFill>
            <w14:solidFill>
              <w14:schemeClr w14:val="tx1"/>
            </w14:solidFill>
          </w14:textFill>
        </w:rPr>
        <w:t>人员工资、保险调标等</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w:t>
      </w:r>
    </w:p>
    <w:p w14:paraId="5775D544">
      <w:pPr>
        <w:pStyle w:val="12"/>
        <w:keepNext w:val="0"/>
        <w:keepLines w:val="0"/>
        <w:pageBreakBefore w:val="0"/>
        <w:widowControl/>
        <w:kinsoku/>
        <w:wordWrap/>
        <w:overflowPunct/>
        <w:topLinePunct w:val="0"/>
        <w:autoSpaceDE w:val="0"/>
        <w:autoSpaceDN/>
        <w:bidi w:val="0"/>
        <w:spacing w:beforeAutospacing="0" w:afterAutospacing="0" w:line="594" w:lineRule="exact"/>
        <w:ind w:firstLine="640" w:firstLineChars="200"/>
        <w:textAlignment w:val="auto"/>
        <w:rPr>
          <w:rFonts w:hint="eastAsia" w:ascii="Times New Roman" w:hAnsi="Times New Roman" w:eastAsia="方正楷体_GBK" w:cs="方正楷体_GBK"/>
          <w:b w:val="0"/>
          <w:bCs/>
          <w:color w:val="000000" w:themeColor="text1"/>
          <w:sz w:val="32"/>
          <w:szCs w:val="32"/>
          <w:shd w:val="clear" w:color="auto" w:fill="FFFFFF"/>
          <w14:textFill>
            <w14:solidFill>
              <w14:schemeClr w14:val="tx1"/>
            </w14:solidFill>
          </w14:textFill>
        </w:rPr>
      </w:pPr>
      <w:r>
        <w:rPr>
          <w:rFonts w:hint="eastAsia" w:ascii="Times New Roman" w:hAnsi="Times New Roman" w:eastAsia="方正楷体_GBK" w:cs="方正楷体_GBK"/>
          <w:b w:val="0"/>
          <w:bCs/>
          <w:color w:val="000000" w:themeColor="text1"/>
          <w:sz w:val="32"/>
          <w:szCs w:val="32"/>
          <w:shd w:val="clear" w:color="auto" w:fill="FFFFFF"/>
          <w14:textFill>
            <w14:solidFill>
              <w14:schemeClr w14:val="tx1"/>
            </w14:solidFill>
          </w14:textFill>
        </w:rPr>
        <w:t>（四）一般公共预算财政拨款基本支出决算情况说明</w:t>
      </w:r>
    </w:p>
    <w:p w14:paraId="0E7DF1C8">
      <w:pPr>
        <w:pStyle w:val="8"/>
        <w:keepNext w:val="0"/>
        <w:keepLines w:val="0"/>
        <w:pageBreakBefore w:val="0"/>
        <w:widowControl/>
        <w:kinsoku/>
        <w:wordWrap/>
        <w:overflowPunct/>
        <w:topLinePunct w:val="0"/>
        <w:autoSpaceDN/>
        <w:bidi w:val="0"/>
        <w:snapToGrid w:val="0"/>
        <w:spacing w:before="0" w:beforeAutospacing="0" w:after="0" w:afterAutospacing="0" w:line="594" w:lineRule="exact"/>
        <w:ind w:firstLine="640" w:firstLineChars="200"/>
        <w:jc w:val="both"/>
        <w:textAlignment w:val="auto"/>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pP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 </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2024年</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度一般公共财政拨款基本支出</w:t>
      </w:r>
      <w:r>
        <w:rPr>
          <w:rFonts w:ascii="Times New Roman" w:hAnsi="Times New Roman" w:eastAsia="方正仿宋_GBK" w:cs="方正仿宋_GBK"/>
          <w:color w:val="000000" w:themeColor="text1"/>
          <w:sz w:val="32"/>
          <w:szCs w:val="32"/>
          <w14:textFill>
            <w14:solidFill>
              <w14:schemeClr w14:val="tx1"/>
            </w14:solidFill>
          </w14:textFill>
        </w:rPr>
        <w:t>94.63</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万元。其中：人员经费</w:t>
      </w:r>
      <w:r>
        <w:rPr>
          <w:rFonts w:ascii="Times New Roman" w:hAnsi="Times New Roman" w:eastAsia="方正仿宋_GBK" w:cs="方正仿宋_GBK"/>
          <w:color w:val="000000" w:themeColor="text1"/>
          <w:sz w:val="32"/>
          <w:szCs w:val="32"/>
          <w14:textFill>
            <w14:solidFill>
              <w14:schemeClr w14:val="tx1"/>
            </w14:solidFill>
          </w14:textFill>
        </w:rPr>
        <w:t>80.87</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万元，与2023年度相比，增加10.56万元，增长15.0%，</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主要原因是</w:t>
      </w:r>
      <w:r>
        <w:rPr>
          <w:rFonts w:hint="eastAsia" w:ascii="Times New Roman" w:hAnsi="Times New Roman" w:eastAsia="方正仿宋_GBK" w:cs="方正仿宋_GBK"/>
          <w:bCs/>
          <w:color w:val="000000" w:themeColor="text1"/>
          <w:sz w:val="32"/>
          <w:szCs w:val="32"/>
          <w14:textFill>
            <w14:solidFill>
              <w14:schemeClr w14:val="tx1"/>
            </w14:solidFill>
          </w14:textFill>
        </w:rPr>
        <w:t>人员工资、保险调标等</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。人员经费用途主要包括人员经费用途主要包括</w:t>
      </w:r>
      <w:r>
        <w:rPr>
          <w:rFonts w:ascii="Times New Roman" w:hAnsi="Times New Roman" w:eastAsia="方正仿宋_GBK" w:cs="方正仿宋_GBK"/>
          <w:bCs/>
          <w:color w:val="000000" w:themeColor="text1"/>
          <w:sz w:val="32"/>
          <w:szCs w:val="32"/>
          <w14:textFill>
            <w14:solidFill>
              <w14:schemeClr w14:val="tx1"/>
            </w14:solidFill>
          </w14:textFill>
        </w:rPr>
        <w:t>基本工资、津贴补贴、奖金、社会保障缴费等</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。公用经费</w:t>
      </w:r>
      <w:r>
        <w:rPr>
          <w:rFonts w:ascii="Times New Roman" w:hAnsi="Times New Roman" w:eastAsia="方正仿宋_GBK" w:cs="方正仿宋_GBK"/>
          <w:color w:val="000000" w:themeColor="text1"/>
          <w:sz w:val="32"/>
          <w:szCs w:val="32"/>
          <w14:textFill>
            <w14:solidFill>
              <w14:schemeClr w14:val="tx1"/>
            </w14:solidFill>
          </w14:textFill>
        </w:rPr>
        <w:t>13.76</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万元，与2023年度相比，增加1.13万元，增长9.0%，主要原因是</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办公费、印刷费等支出增加</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。公用经费用途主要包括</w:t>
      </w:r>
      <w:r>
        <w:rPr>
          <w:rFonts w:ascii="Times New Roman" w:hAnsi="Times New Roman" w:eastAsia="方正仿宋_GBK" w:cs="方正仿宋_GBK"/>
          <w:bCs/>
          <w:color w:val="000000" w:themeColor="text1"/>
          <w:sz w:val="32"/>
          <w:szCs w:val="32"/>
          <w14:textFill>
            <w14:solidFill>
              <w14:schemeClr w14:val="tx1"/>
            </w14:solidFill>
          </w14:textFill>
        </w:rPr>
        <w:t>办公费、印刷费、咨询费、手续费等</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w:t>
      </w:r>
    </w:p>
    <w:p w14:paraId="0E5B64CB">
      <w:pPr>
        <w:pStyle w:val="8"/>
        <w:keepNext w:val="0"/>
        <w:keepLines w:val="0"/>
        <w:pageBreakBefore w:val="0"/>
        <w:widowControl/>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eastAsia" w:ascii="Times New Roman" w:hAnsi="Times New Roman" w:eastAsia="方正楷体_GBK" w:cs="方正楷体_GBK"/>
          <w:b w:val="0"/>
          <w:bCs/>
          <w:color w:val="000000" w:themeColor="text1"/>
          <w:sz w:val="32"/>
          <w:szCs w:val="32"/>
          <w:shd w:val="clear" w:color="auto" w:fill="FFFFFF"/>
          <w14:textFill>
            <w14:solidFill>
              <w14:schemeClr w14:val="tx1"/>
            </w14:solidFill>
          </w14:textFill>
        </w:rPr>
      </w:pPr>
      <w:r>
        <w:rPr>
          <w:rFonts w:hint="eastAsia" w:ascii="Times New Roman" w:hAnsi="Times New Roman" w:eastAsia="方正楷体_GBK" w:cs="方正楷体_GBK"/>
          <w:b w:val="0"/>
          <w:bCs/>
          <w:color w:val="000000" w:themeColor="text1"/>
          <w:sz w:val="32"/>
          <w:szCs w:val="32"/>
          <w:shd w:val="clear" w:color="auto" w:fill="FFFFFF"/>
          <w14:textFill>
            <w14:solidFill>
              <w14:schemeClr w14:val="tx1"/>
            </w14:solidFill>
          </w14:textFill>
        </w:rPr>
        <w:t>（五）政府性基金预算收支决算情况说明</w:t>
      </w:r>
    </w:p>
    <w:p w14:paraId="47912664">
      <w:pPr>
        <w:pStyle w:val="8"/>
        <w:keepNext w:val="0"/>
        <w:keepLines w:val="0"/>
        <w:pageBreakBefore w:val="0"/>
        <w:widowControl/>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color w:val="000000" w:themeColor="text1"/>
          <w:sz w:val="32"/>
          <w:szCs w:val="32"/>
          <w14:textFill>
            <w14:solidFill>
              <w14:schemeClr w14:val="tx1"/>
            </w14:solidFill>
          </w14:textFill>
        </w:rPr>
      </w:pP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2024年</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度政府性基金预算财政拨款年初结转结余</w:t>
      </w:r>
      <w:r>
        <w:rPr>
          <w:rFonts w:ascii="Times New Roman" w:hAnsi="Times New Roman" w:eastAsia="方正仿宋_GBK" w:cs="方正仿宋_GBK"/>
          <w:color w:val="000000" w:themeColor="text1"/>
          <w:sz w:val="32"/>
          <w:szCs w:val="32"/>
          <w14:textFill>
            <w14:solidFill>
              <w14:schemeClr w14:val="tx1"/>
            </w14:solidFill>
          </w14:textFill>
        </w:rPr>
        <w:t>0.00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万元，年末结转结余</w:t>
      </w:r>
      <w:r>
        <w:rPr>
          <w:rFonts w:ascii="Times New Roman" w:hAnsi="Times New Roman" w:eastAsia="方正仿宋_GBK" w:cs="方正仿宋_GBK"/>
          <w:color w:val="000000" w:themeColor="text1"/>
          <w:sz w:val="32"/>
          <w:szCs w:val="32"/>
          <w14:textFill>
            <w14:solidFill>
              <w14:schemeClr w14:val="tx1"/>
            </w14:solidFill>
          </w14:textFill>
        </w:rPr>
        <w:t>0.00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万元。本年收入</w:t>
      </w:r>
      <w:r>
        <w:rPr>
          <w:rFonts w:ascii="Times New Roman" w:hAnsi="Times New Roman" w:eastAsia="方正仿宋_GBK" w:cs="方正仿宋_GBK"/>
          <w:color w:val="000000" w:themeColor="text1"/>
          <w:sz w:val="32"/>
          <w:szCs w:val="32"/>
          <w14:textFill>
            <w14:solidFill>
              <w14:schemeClr w14:val="tx1"/>
            </w14:solidFill>
          </w14:textFill>
        </w:rPr>
        <w:t>0.00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万元，与2023年度相比，无增减，主要原因是</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本单位</w:t>
      </w:r>
      <w:r>
        <w:rPr>
          <w:rFonts w:hint="eastAsia" w:ascii="Times New Roman" w:hAnsi="Times New Roman" w:eastAsia="方正仿宋_GBK" w:cs="方正仿宋_GBK"/>
          <w:color w:val="000000" w:themeColor="text1"/>
          <w:sz w:val="32"/>
          <w:szCs w:val="32"/>
          <w:shd w:val="clear" w:color="auto" w:fill="FFFFFF"/>
          <w:lang w:val="en-US" w:eastAsia="zh-CN"/>
          <w14:textFill>
            <w14:solidFill>
              <w14:schemeClr w14:val="tx1"/>
            </w14:solidFill>
          </w14:textFill>
        </w:rPr>
        <w:t>2024年度无政府性基金预算财政拨款收支。</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本年支出</w:t>
      </w:r>
      <w:r>
        <w:rPr>
          <w:rFonts w:ascii="Times New Roman" w:hAnsi="Times New Roman" w:eastAsia="方正仿宋_GBK" w:cs="方正仿宋_GBK"/>
          <w:color w:val="000000" w:themeColor="text1"/>
          <w:sz w:val="32"/>
          <w:szCs w:val="32"/>
          <w14:textFill>
            <w14:solidFill>
              <w14:schemeClr w14:val="tx1"/>
            </w14:solidFill>
          </w14:textFill>
        </w:rPr>
        <w:t>0.00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万元，与2023年度相比，无增减，主要原因是</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本单位</w:t>
      </w:r>
      <w:r>
        <w:rPr>
          <w:rFonts w:hint="eastAsia" w:ascii="Times New Roman" w:hAnsi="Times New Roman" w:eastAsia="方正仿宋_GBK" w:cs="方正仿宋_GBK"/>
          <w:color w:val="000000" w:themeColor="text1"/>
          <w:sz w:val="32"/>
          <w:szCs w:val="32"/>
          <w:shd w:val="clear" w:color="auto" w:fill="FFFFFF"/>
          <w:lang w:val="en-US" w:eastAsia="zh-CN"/>
          <w14:textFill>
            <w14:solidFill>
              <w14:schemeClr w14:val="tx1"/>
            </w14:solidFill>
          </w14:textFill>
        </w:rPr>
        <w:t>2024年度无政府性基金预算财政拨款收支。</w:t>
      </w:r>
    </w:p>
    <w:p w14:paraId="31A928EA">
      <w:pPr>
        <w:pStyle w:val="12"/>
        <w:keepNext w:val="0"/>
        <w:keepLines w:val="0"/>
        <w:pageBreakBefore w:val="0"/>
        <w:widowControl/>
        <w:kinsoku/>
        <w:wordWrap/>
        <w:overflowPunct/>
        <w:topLinePunct w:val="0"/>
        <w:autoSpaceDE w:val="0"/>
        <w:autoSpaceDN/>
        <w:bidi w:val="0"/>
        <w:spacing w:beforeAutospacing="0" w:afterAutospacing="0" w:line="594" w:lineRule="exact"/>
        <w:ind w:firstLine="640" w:firstLineChars="200"/>
        <w:textAlignment w:val="auto"/>
        <w:rPr>
          <w:rFonts w:hint="eastAsia" w:ascii="Times New Roman" w:hAnsi="Times New Roman" w:eastAsia="方正楷体_GBK" w:cs="方正楷体_GBK"/>
          <w:b w:val="0"/>
          <w:bCs/>
          <w:color w:val="000000" w:themeColor="text1"/>
          <w:sz w:val="32"/>
          <w:szCs w:val="32"/>
          <w:shd w:val="clear" w:color="auto" w:fill="FFFFFF"/>
          <w14:textFill>
            <w14:solidFill>
              <w14:schemeClr w14:val="tx1"/>
            </w14:solidFill>
          </w14:textFill>
        </w:rPr>
      </w:pPr>
      <w:r>
        <w:rPr>
          <w:rFonts w:hint="eastAsia" w:ascii="Times New Roman" w:hAnsi="Times New Roman" w:eastAsia="方正楷体_GBK" w:cs="方正楷体_GBK"/>
          <w:b w:val="0"/>
          <w:bCs/>
          <w:color w:val="000000" w:themeColor="text1"/>
          <w:sz w:val="32"/>
          <w:szCs w:val="32"/>
          <w:shd w:val="clear" w:color="auto" w:fill="FFFFFF"/>
          <w14:textFill>
            <w14:solidFill>
              <w14:schemeClr w14:val="tx1"/>
            </w14:solidFill>
          </w14:textFill>
        </w:rPr>
        <w:t>（六）国有资本经营预算财政拨款支出决算情况说明</w:t>
      </w:r>
    </w:p>
    <w:p w14:paraId="35F62609">
      <w:pPr>
        <w:pStyle w:val="8"/>
        <w:keepNext w:val="0"/>
        <w:keepLines w:val="0"/>
        <w:pageBreakBefore w:val="0"/>
        <w:widowControl/>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eastAsia" w:ascii="Times New Roman" w:hAnsi="Times New Roman" w:eastAsia="方正仿宋_GBK" w:cs="方正仿宋_GBK"/>
          <w:color w:val="000000" w:themeColor="text1"/>
          <w:sz w:val="32"/>
          <w:szCs w:val="32"/>
          <w:shd w:val="clear" w:color="auto" w:fill="FFFFFF"/>
          <w:lang w:val="en-US" w:eastAsia="zh-CN"/>
          <w14:textFill>
            <w14:solidFill>
              <w14:schemeClr w14:val="tx1"/>
            </w14:solidFill>
          </w14:textFill>
        </w:rPr>
      </w:pP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2024年</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度国有资本经营预算财政</w:t>
      </w:r>
      <w:bookmarkStart w:id="0" w:name="_GoBack"/>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拨</w:t>
      </w:r>
      <w:bookmarkEnd w:id="0"/>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本年支出</w:t>
      </w:r>
      <w:r>
        <w:rPr>
          <w:rFonts w:ascii="Times New Roman" w:hAnsi="Times New Roman" w:eastAsia="方正仿宋_GBK" w:cs="方正仿宋_GBK"/>
          <w:color w:val="000000" w:themeColor="text1"/>
          <w:sz w:val="32"/>
          <w:szCs w:val="32"/>
          <w14:textFill>
            <w14:solidFill>
              <w14:schemeClr w14:val="tx1"/>
            </w14:solidFill>
          </w14:textFill>
        </w:rPr>
        <w:t>0.00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万元，基本支出</w:t>
      </w:r>
      <w:r>
        <w:rPr>
          <w:rFonts w:ascii="Times New Roman" w:hAnsi="Times New Roman" w:eastAsia="方正仿宋_GBK" w:cs="方正仿宋_GBK"/>
          <w:color w:val="000000" w:themeColor="text1"/>
          <w:sz w:val="32"/>
          <w:szCs w:val="32"/>
          <w14:textFill>
            <w14:solidFill>
              <w14:schemeClr w14:val="tx1"/>
            </w14:solidFill>
          </w14:textFill>
        </w:rPr>
        <w:t>0.00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万元，项目支出</w:t>
      </w:r>
      <w:r>
        <w:rPr>
          <w:rFonts w:ascii="Times New Roman" w:hAnsi="Times New Roman" w:eastAsia="方正仿宋_GBK" w:cs="方正仿宋_GBK"/>
          <w:color w:val="000000" w:themeColor="text1"/>
          <w:sz w:val="32"/>
          <w:szCs w:val="32"/>
          <w14:textFill>
            <w14:solidFill>
              <w14:schemeClr w14:val="tx1"/>
            </w14:solidFill>
          </w14:textFill>
        </w:rPr>
        <w:t>0.00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万元，主要用途用于</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本单位</w:t>
      </w:r>
      <w:r>
        <w:rPr>
          <w:rFonts w:hint="eastAsia" w:ascii="Times New Roman" w:hAnsi="Times New Roman" w:eastAsia="方正仿宋_GBK" w:cs="方正仿宋_GBK"/>
          <w:color w:val="000000" w:themeColor="text1"/>
          <w:sz w:val="32"/>
          <w:szCs w:val="32"/>
          <w:shd w:val="clear" w:color="auto" w:fill="FFFFFF"/>
          <w:lang w:val="en-US" w:eastAsia="zh-CN"/>
          <w14:textFill>
            <w14:solidFill>
              <w14:schemeClr w14:val="tx1"/>
            </w14:solidFill>
          </w14:textFill>
        </w:rPr>
        <w:t>2024年度无国有资本经营预算财政拨款支出。</w:t>
      </w:r>
    </w:p>
    <w:p w14:paraId="6152CE4C">
      <w:pPr>
        <w:pStyle w:val="8"/>
        <w:keepNext w:val="0"/>
        <w:keepLines w:val="0"/>
        <w:pageBreakBefore w:val="0"/>
        <w:widowControl/>
        <w:kinsoku/>
        <w:wordWrap/>
        <w:overflowPunct/>
        <w:topLinePunct w:val="0"/>
        <w:autoSpaceDN/>
        <w:bidi w:val="0"/>
        <w:snapToGrid w:val="0"/>
        <w:spacing w:before="0" w:beforeAutospacing="0" w:after="0" w:afterAutospacing="0" w:line="594" w:lineRule="exact"/>
        <w:ind w:firstLine="640" w:firstLineChars="200"/>
        <w:jc w:val="both"/>
        <w:textAlignment w:val="auto"/>
        <w:rPr>
          <w:rStyle w:val="11"/>
          <w:rFonts w:hint="eastAsia" w:ascii="Times New Roman" w:hAnsi="Times New Roman" w:eastAsia="方正黑体_GBK" w:cs="方正黑体_GBK"/>
          <w:b w:val="0"/>
          <w:bCs/>
          <w:color w:val="000000" w:themeColor="text1"/>
          <w:sz w:val="32"/>
          <w:szCs w:val="32"/>
          <w:shd w:val="clear" w:color="auto" w:fill="FFFFFF"/>
          <w14:textFill>
            <w14:solidFill>
              <w14:schemeClr w14:val="tx1"/>
            </w14:solidFill>
          </w14:textFill>
        </w:rPr>
      </w:pPr>
      <w:r>
        <w:rPr>
          <w:rStyle w:val="11"/>
          <w:rFonts w:hint="eastAsia" w:ascii="Times New Roman" w:hAnsi="Times New Roman" w:eastAsia="方正黑体_GBK" w:cs="方正黑体_GBK"/>
          <w:b w:val="0"/>
          <w:bCs/>
          <w:color w:val="000000" w:themeColor="text1"/>
          <w:sz w:val="32"/>
          <w:szCs w:val="32"/>
          <w:shd w:val="clear" w:color="auto" w:fill="FFFFFF"/>
          <w14:textFill>
            <w14:solidFill>
              <w14:schemeClr w14:val="tx1"/>
            </w14:solidFill>
          </w14:textFill>
        </w:rPr>
        <w:t>三、</w:t>
      </w:r>
      <w:r>
        <w:rPr>
          <w:rStyle w:val="11"/>
          <w:rFonts w:hint="eastAsia" w:ascii="Times New Roman" w:hAnsi="Times New Roman" w:eastAsia="方正黑体_GBK" w:cs="方正黑体_GBK"/>
          <w:b w:val="0"/>
          <w:bCs/>
          <w:color w:val="000000" w:themeColor="text1"/>
          <w:sz w:val="32"/>
          <w:szCs w:val="32"/>
          <w:shd w:val="clear" w:color="auto" w:fill="FFFFFF"/>
          <w:lang w:eastAsia="zh-CN"/>
          <w14:textFill>
            <w14:solidFill>
              <w14:schemeClr w14:val="tx1"/>
            </w14:solidFill>
          </w14:textFill>
        </w:rPr>
        <w:t>财政拨款</w:t>
      </w:r>
      <w:r>
        <w:rPr>
          <w:rStyle w:val="11"/>
          <w:rFonts w:hint="eastAsia" w:ascii="Times New Roman" w:hAnsi="Times New Roman" w:eastAsia="方正黑体_GBK" w:cs="方正黑体_GBK"/>
          <w:b w:val="0"/>
          <w:bCs/>
          <w:color w:val="000000" w:themeColor="text1"/>
          <w:sz w:val="32"/>
          <w:szCs w:val="32"/>
          <w:shd w:val="clear" w:color="auto" w:fill="FFFFFF"/>
          <w14:textFill>
            <w14:solidFill>
              <w14:schemeClr w14:val="tx1"/>
            </w14:solidFill>
          </w14:textFill>
        </w:rPr>
        <w:t>“三公”经费情况说明</w:t>
      </w:r>
    </w:p>
    <w:p w14:paraId="3A483449">
      <w:pPr>
        <w:pStyle w:val="12"/>
        <w:keepNext w:val="0"/>
        <w:keepLines w:val="0"/>
        <w:pageBreakBefore w:val="0"/>
        <w:widowControl/>
        <w:kinsoku/>
        <w:wordWrap/>
        <w:overflowPunct/>
        <w:topLinePunct w:val="0"/>
        <w:autoSpaceDE w:val="0"/>
        <w:autoSpaceDN/>
        <w:bidi w:val="0"/>
        <w:spacing w:beforeAutospacing="0" w:afterAutospacing="0" w:line="594" w:lineRule="exact"/>
        <w:ind w:firstLine="640" w:firstLineChars="200"/>
        <w:textAlignment w:val="auto"/>
        <w:rPr>
          <w:rFonts w:hint="eastAsia" w:ascii="Times New Roman" w:hAnsi="Times New Roman" w:eastAsia="方正楷体_GBK" w:cs="方正楷体_GBK"/>
          <w:b w:val="0"/>
          <w:bCs/>
          <w:color w:val="000000" w:themeColor="text1"/>
          <w:sz w:val="32"/>
          <w:szCs w:val="32"/>
          <w:shd w:val="clear" w:color="auto" w:fill="FFFFFF"/>
          <w14:textFill>
            <w14:solidFill>
              <w14:schemeClr w14:val="tx1"/>
            </w14:solidFill>
          </w14:textFill>
        </w:rPr>
      </w:pPr>
      <w:r>
        <w:rPr>
          <w:rFonts w:hint="eastAsia" w:ascii="Times New Roman" w:hAnsi="Times New Roman" w:eastAsia="方正楷体_GBK" w:cs="方正楷体_GBK"/>
          <w:b w:val="0"/>
          <w:bCs/>
          <w:color w:val="000000" w:themeColor="text1"/>
          <w:sz w:val="32"/>
          <w:szCs w:val="32"/>
          <w:shd w:val="clear" w:color="auto" w:fill="FFFFFF"/>
          <w14:textFill>
            <w14:solidFill>
              <w14:schemeClr w14:val="tx1"/>
            </w14:solidFill>
          </w14:textFill>
        </w:rPr>
        <w:t>（一）“三公”经费支出总体情况说明</w:t>
      </w:r>
    </w:p>
    <w:p w14:paraId="22055E28">
      <w:pPr>
        <w:pStyle w:val="8"/>
        <w:keepNext w:val="0"/>
        <w:keepLines w:val="0"/>
        <w:pageBreakBefore w:val="0"/>
        <w:widowControl/>
        <w:kinsoku/>
        <w:wordWrap/>
        <w:overflowPunct/>
        <w:topLinePunct w:val="0"/>
        <w:autoSpaceDN/>
        <w:bidi w:val="0"/>
        <w:snapToGrid w:val="0"/>
        <w:spacing w:before="0" w:beforeAutospacing="0" w:after="0" w:afterAutospacing="0" w:line="594" w:lineRule="exact"/>
        <w:ind w:firstLine="640" w:firstLineChars="200"/>
        <w:jc w:val="both"/>
        <w:textAlignment w:val="auto"/>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pP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2024年</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度“三公”经费支出共计</w:t>
      </w:r>
      <w:r>
        <w:rPr>
          <w:rFonts w:ascii="Times New Roman" w:hAnsi="Times New Roman" w:eastAsia="方正仿宋_GBK" w:cs="方正仿宋_GBK"/>
          <w:color w:val="000000" w:themeColor="text1"/>
          <w:sz w:val="32"/>
          <w:szCs w:val="32"/>
          <w14:textFill>
            <w14:solidFill>
              <w14:schemeClr w14:val="tx1"/>
            </w14:solidFill>
          </w14:textFill>
        </w:rPr>
        <w:t>0.00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万元，较年初预算数无增减，主要原因是本单位本年度无“三公”经费支出。较上年支出数无增减，主要原因是本单位本年度无“三公”经费支出。</w:t>
      </w:r>
    </w:p>
    <w:p w14:paraId="5D91E801">
      <w:pPr>
        <w:pStyle w:val="8"/>
        <w:keepNext w:val="0"/>
        <w:keepLines w:val="0"/>
        <w:pageBreakBefore w:val="0"/>
        <w:widowControl/>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eastAsia" w:ascii="Times New Roman" w:hAnsi="Times New Roman" w:eastAsia="方正楷体_GBK" w:cs="方正楷体_GBK"/>
          <w:b w:val="0"/>
          <w:bCs/>
          <w:color w:val="000000" w:themeColor="text1"/>
          <w:sz w:val="32"/>
          <w:szCs w:val="32"/>
          <w:shd w:val="clear" w:color="auto" w:fill="FFFFFF"/>
          <w14:textFill>
            <w14:solidFill>
              <w14:schemeClr w14:val="tx1"/>
            </w14:solidFill>
          </w14:textFill>
        </w:rPr>
      </w:pPr>
      <w:r>
        <w:rPr>
          <w:rFonts w:hint="eastAsia" w:ascii="Times New Roman" w:hAnsi="Times New Roman" w:eastAsia="方正楷体_GBK" w:cs="方正楷体_GBK"/>
          <w:b w:val="0"/>
          <w:bCs/>
          <w:color w:val="000000" w:themeColor="text1"/>
          <w:sz w:val="32"/>
          <w:szCs w:val="32"/>
          <w:shd w:val="clear" w:color="auto" w:fill="FFFFFF"/>
          <w14:textFill>
            <w14:solidFill>
              <w14:schemeClr w14:val="tx1"/>
            </w14:solidFill>
          </w14:textFill>
        </w:rPr>
        <w:t>（二）“三公”经费分项支出情况</w:t>
      </w:r>
    </w:p>
    <w:p w14:paraId="0295AA55">
      <w:pPr>
        <w:pStyle w:val="8"/>
        <w:keepNext w:val="0"/>
        <w:keepLines w:val="0"/>
        <w:pageBreakBefore w:val="0"/>
        <w:widowControl/>
        <w:kinsoku/>
        <w:wordWrap/>
        <w:overflowPunct/>
        <w:topLinePunct w:val="0"/>
        <w:autoSpaceDN/>
        <w:bidi w:val="0"/>
        <w:snapToGrid w:val="0"/>
        <w:spacing w:before="0" w:beforeAutospacing="0" w:after="0" w:afterAutospacing="0" w:line="594" w:lineRule="exact"/>
        <w:ind w:firstLine="640" w:firstLineChars="200"/>
        <w:jc w:val="both"/>
        <w:textAlignment w:val="auto"/>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pP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2024年</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度本</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单位</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因公出国（境）费用</w:t>
      </w:r>
      <w:r>
        <w:rPr>
          <w:rFonts w:ascii="Times New Roman" w:hAnsi="Times New Roman" w:eastAsia="方正仿宋_GBK" w:cs="方正仿宋_GBK"/>
          <w:color w:val="000000" w:themeColor="text1"/>
          <w:sz w:val="32"/>
          <w:szCs w:val="32"/>
          <w14:textFill>
            <w14:solidFill>
              <w14:schemeClr w14:val="tx1"/>
            </w14:solidFill>
          </w14:textFill>
        </w:rPr>
        <w:t>0.00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万元，主要是用于</w:t>
      </w:r>
      <w:r>
        <w:rPr>
          <w:rFonts w:ascii="Times New Roman" w:hAnsi="Times New Roman" w:eastAsia="方正仿宋_GBK" w:cs="方正仿宋_GBK"/>
          <w:bCs/>
          <w:color w:val="000000" w:themeColor="text1"/>
          <w:sz w:val="32"/>
          <w:szCs w:val="32"/>
          <w14:textFill>
            <w14:solidFill>
              <w14:schemeClr w14:val="tx1"/>
            </w14:solidFill>
          </w14:textFill>
        </w:rPr>
        <w:t>因公出国（境）费用</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。费用支出较年初预算数无增减，主要原因是本单位本年度</w:t>
      </w:r>
      <w:r>
        <w:rPr>
          <w:rFonts w:ascii="Times New Roman" w:hAnsi="Times New Roman" w:eastAsia="方正仿宋_GBK" w:cs="方正仿宋_GBK"/>
          <w:bCs/>
          <w:color w:val="000000" w:themeColor="text1"/>
          <w:sz w:val="32"/>
          <w:szCs w:val="32"/>
          <w14:textFill>
            <w14:solidFill>
              <w14:schemeClr w14:val="tx1"/>
            </w14:solidFill>
          </w14:textFill>
        </w:rPr>
        <w:t>未发生因公出国（境）支出</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。较上年支出数无增减，主要原因是本单位本年度</w:t>
      </w:r>
      <w:r>
        <w:rPr>
          <w:rFonts w:ascii="Times New Roman" w:hAnsi="Times New Roman" w:eastAsia="方正仿宋_GBK" w:cs="方正仿宋_GBK"/>
          <w:bCs/>
          <w:color w:val="000000" w:themeColor="text1"/>
          <w:sz w:val="32"/>
          <w:szCs w:val="32"/>
          <w14:textFill>
            <w14:solidFill>
              <w14:schemeClr w14:val="tx1"/>
            </w14:solidFill>
          </w14:textFill>
        </w:rPr>
        <w:t>未发生因公出国（境）支出</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w:t>
      </w:r>
    </w:p>
    <w:p w14:paraId="09D11038">
      <w:pPr>
        <w:pStyle w:val="8"/>
        <w:keepNext w:val="0"/>
        <w:keepLines w:val="0"/>
        <w:pageBreakBefore w:val="0"/>
        <w:widowControl/>
        <w:kinsoku/>
        <w:wordWrap/>
        <w:overflowPunct/>
        <w:topLinePunct w:val="0"/>
        <w:autoSpaceDN/>
        <w:bidi w:val="0"/>
        <w:snapToGrid w:val="0"/>
        <w:spacing w:before="0" w:beforeAutospacing="0" w:after="0" w:afterAutospacing="0" w:line="594" w:lineRule="exact"/>
        <w:ind w:firstLine="640" w:firstLineChars="200"/>
        <w:jc w:val="both"/>
        <w:textAlignment w:val="auto"/>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pP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公务车购置费</w:t>
      </w:r>
      <w:r>
        <w:rPr>
          <w:rFonts w:ascii="Times New Roman" w:hAnsi="Times New Roman" w:eastAsia="方正仿宋_GBK" w:cs="方正仿宋_GBK"/>
          <w:color w:val="000000" w:themeColor="text1"/>
          <w:sz w:val="32"/>
          <w:szCs w:val="32"/>
          <w14:textFill>
            <w14:solidFill>
              <w14:schemeClr w14:val="tx1"/>
            </w14:solidFill>
          </w14:textFill>
        </w:rPr>
        <w:t>0.00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万元，主要用于</w:t>
      </w:r>
      <w:r>
        <w:rPr>
          <w:rFonts w:ascii="Times New Roman" w:hAnsi="Times New Roman" w:eastAsia="方正仿宋_GBK" w:cs="方正仿宋_GBK"/>
          <w:bCs/>
          <w:color w:val="000000" w:themeColor="text1"/>
          <w:sz w:val="32"/>
          <w:szCs w:val="32"/>
          <w14:textFill>
            <w14:solidFill>
              <w14:schemeClr w14:val="tx1"/>
            </w14:solidFill>
          </w14:textFill>
        </w:rPr>
        <w:t>购置公务车</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。费用支出较年初预算数无增减，主要原因是</w:t>
      </w:r>
      <w:r>
        <w:rPr>
          <w:rFonts w:ascii="Times New Roman" w:hAnsi="Times New Roman" w:eastAsia="方正仿宋_GBK" w:cs="方正仿宋_GBK"/>
          <w:bCs/>
          <w:color w:val="000000" w:themeColor="text1"/>
          <w:sz w:val="32"/>
          <w:szCs w:val="32"/>
          <w14:textFill>
            <w14:solidFill>
              <w14:schemeClr w14:val="tx1"/>
            </w14:solidFill>
          </w14:textFill>
        </w:rPr>
        <w:t>本单位本年度未发生公务车购置费</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。较上年支出数无增减，主要原因是</w:t>
      </w:r>
      <w:r>
        <w:rPr>
          <w:rFonts w:ascii="Times New Roman" w:hAnsi="Times New Roman" w:eastAsia="方正仿宋_GBK" w:cs="方正仿宋_GBK"/>
          <w:bCs/>
          <w:color w:val="000000" w:themeColor="text1"/>
          <w:sz w:val="32"/>
          <w:szCs w:val="32"/>
          <w14:textFill>
            <w14:solidFill>
              <w14:schemeClr w14:val="tx1"/>
            </w14:solidFill>
          </w14:textFill>
        </w:rPr>
        <w:t>本单位本年度未发生公务车购置费</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w:t>
      </w:r>
    </w:p>
    <w:p w14:paraId="23B8EC90">
      <w:pPr>
        <w:pStyle w:val="8"/>
        <w:keepNext w:val="0"/>
        <w:keepLines w:val="0"/>
        <w:pageBreakBefore w:val="0"/>
        <w:widowControl/>
        <w:kinsoku/>
        <w:wordWrap/>
        <w:overflowPunct/>
        <w:topLinePunct w:val="0"/>
        <w:autoSpaceDN/>
        <w:bidi w:val="0"/>
        <w:snapToGrid w:val="0"/>
        <w:spacing w:before="0" w:beforeAutospacing="0" w:after="0" w:afterAutospacing="0" w:line="594" w:lineRule="exact"/>
        <w:ind w:firstLine="640" w:firstLineChars="200"/>
        <w:jc w:val="both"/>
        <w:textAlignment w:val="auto"/>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pP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公务车运行维护费</w:t>
      </w:r>
      <w:r>
        <w:rPr>
          <w:rFonts w:ascii="Times New Roman" w:hAnsi="Times New Roman" w:eastAsia="方正仿宋_GBK" w:cs="方正仿宋_GBK"/>
          <w:color w:val="000000" w:themeColor="text1"/>
          <w:sz w:val="32"/>
          <w:szCs w:val="32"/>
          <w14:textFill>
            <w14:solidFill>
              <w14:schemeClr w14:val="tx1"/>
            </w14:solidFill>
          </w14:textFill>
        </w:rPr>
        <w:t>0.00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万元，主要用于</w:t>
      </w:r>
      <w:r>
        <w:rPr>
          <w:rFonts w:ascii="Times New Roman" w:hAnsi="Times New Roman" w:eastAsia="方正仿宋_GBK" w:cs="方正仿宋_GBK"/>
          <w:bCs/>
          <w:color w:val="000000" w:themeColor="text1"/>
          <w:sz w:val="32"/>
          <w:szCs w:val="32"/>
          <w14:textFill>
            <w14:solidFill>
              <w14:schemeClr w14:val="tx1"/>
            </w14:solidFill>
          </w14:textFill>
        </w:rPr>
        <w:t>机要文件交换、市内因公出行、财政业务检查等工作所需车辆的燃料费、维修费、过桥过路费、保险费等</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。费用支出较年初预算数无增减，主要原因是</w:t>
      </w:r>
      <w:r>
        <w:rPr>
          <w:rFonts w:ascii="Times New Roman" w:hAnsi="Times New Roman" w:eastAsia="方正仿宋_GBK" w:cs="方正仿宋_GBK"/>
          <w:bCs/>
          <w:color w:val="000000" w:themeColor="text1"/>
          <w:sz w:val="32"/>
          <w:szCs w:val="32"/>
          <w14:textFill>
            <w14:solidFill>
              <w14:schemeClr w14:val="tx1"/>
            </w14:solidFill>
          </w14:textFill>
        </w:rPr>
        <w:t>本单位本年度无公务车运行维护</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。较上年支出数无增减，主要原因是</w:t>
      </w:r>
      <w:r>
        <w:rPr>
          <w:rFonts w:ascii="Times New Roman" w:hAnsi="Times New Roman" w:eastAsia="方正仿宋_GBK" w:cs="方正仿宋_GBK"/>
          <w:bCs/>
          <w:color w:val="000000" w:themeColor="text1"/>
          <w:sz w:val="32"/>
          <w:szCs w:val="32"/>
          <w14:textFill>
            <w14:solidFill>
              <w14:schemeClr w14:val="tx1"/>
            </w14:solidFill>
          </w14:textFill>
        </w:rPr>
        <w:t>本单位本年度无公务车运行维护</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w:t>
      </w:r>
    </w:p>
    <w:p w14:paraId="7B269891">
      <w:pPr>
        <w:pStyle w:val="8"/>
        <w:keepNext w:val="0"/>
        <w:keepLines w:val="0"/>
        <w:pageBreakBefore w:val="0"/>
        <w:widowControl/>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color w:val="000000" w:themeColor="text1"/>
          <w:sz w:val="32"/>
          <w:szCs w:val="32"/>
          <w14:textFill>
            <w14:solidFill>
              <w14:schemeClr w14:val="tx1"/>
            </w14:solidFill>
          </w14:textFill>
        </w:rPr>
      </w:pP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公务接待费</w:t>
      </w:r>
      <w:r>
        <w:rPr>
          <w:rFonts w:ascii="Times New Roman" w:hAnsi="Times New Roman" w:eastAsia="方正仿宋_GBK" w:cs="方正仿宋_GBK"/>
          <w:color w:val="000000" w:themeColor="text1"/>
          <w:sz w:val="32"/>
          <w:szCs w:val="32"/>
          <w14:textFill>
            <w14:solidFill>
              <w14:schemeClr w14:val="tx1"/>
            </w14:solidFill>
          </w14:textFill>
        </w:rPr>
        <w:t>0.00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万元，主要用于接待</w:t>
      </w:r>
      <w:r>
        <w:rPr>
          <w:rFonts w:ascii="Times New Roman" w:hAnsi="Times New Roman" w:eastAsia="方正仿宋_GBK" w:cs="方正仿宋_GBK"/>
          <w:bCs/>
          <w:color w:val="000000" w:themeColor="text1"/>
          <w:sz w:val="32"/>
          <w:szCs w:val="32"/>
          <w14:textFill>
            <w14:solidFill>
              <w14:schemeClr w14:val="tx1"/>
            </w14:solidFill>
          </w14:textFill>
        </w:rPr>
        <w:t>因工作需要的接待费用</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。费用支出较年初预算数无增减，主要原因是本单位本年度</w:t>
      </w:r>
      <w:r>
        <w:rPr>
          <w:rFonts w:ascii="Times New Roman" w:hAnsi="Times New Roman" w:eastAsia="方正仿宋_GBK" w:cs="方正仿宋_GBK"/>
          <w:bCs/>
          <w:color w:val="000000" w:themeColor="text1"/>
          <w:sz w:val="32"/>
          <w:szCs w:val="32"/>
          <w14:textFill>
            <w14:solidFill>
              <w14:schemeClr w14:val="tx1"/>
            </w14:solidFill>
          </w14:textFill>
        </w:rPr>
        <w:t>未发生因公接待费用</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。较上年支出数无增减，主要原因是本单位本年度</w:t>
      </w:r>
      <w:r>
        <w:rPr>
          <w:rFonts w:ascii="Times New Roman" w:hAnsi="Times New Roman" w:eastAsia="方正仿宋_GBK" w:cs="方正仿宋_GBK"/>
          <w:bCs/>
          <w:color w:val="000000" w:themeColor="text1"/>
          <w:sz w:val="32"/>
          <w:szCs w:val="32"/>
          <w14:textFill>
            <w14:solidFill>
              <w14:schemeClr w14:val="tx1"/>
            </w14:solidFill>
          </w14:textFill>
        </w:rPr>
        <w:t>未发生因公接待费用</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w:t>
      </w:r>
    </w:p>
    <w:p w14:paraId="7473A33F">
      <w:pPr>
        <w:pStyle w:val="12"/>
        <w:keepNext w:val="0"/>
        <w:keepLines w:val="0"/>
        <w:pageBreakBefore w:val="0"/>
        <w:widowControl/>
        <w:kinsoku/>
        <w:wordWrap/>
        <w:overflowPunct/>
        <w:topLinePunct w:val="0"/>
        <w:autoSpaceDE w:val="0"/>
        <w:autoSpaceDN/>
        <w:bidi w:val="0"/>
        <w:spacing w:beforeAutospacing="0" w:afterAutospacing="0" w:line="594" w:lineRule="exact"/>
        <w:ind w:firstLine="640" w:firstLineChars="200"/>
        <w:textAlignment w:val="auto"/>
        <w:rPr>
          <w:rFonts w:hint="eastAsia" w:ascii="Times New Roman" w:hAnsi="Times New Roman" w:eastAsia="方正楷体_GBK" w:cs="方正楷体_GBK"/>
          <w:b w:val="0"/>
          <w:bCs/>
          <w:color w:val="000000" w:themeColor="text1"/>
          <w:sz w:val="32"/>
          <w:szCs w:val="32"/>
          <w:shd w:val="clear" w:color="auto" w:fill="FFFFFF"/>
          <w14:textFill>
            <w14:solidFill>
              <w14:schemeClr w14:val="tx1"/>
            </w14:solidFill>
          </w14:textFill>
        </w:rPr>
      </w:pPr>
      <w:r>
        <w:rPr>
          <w:rFonts w:hint="eastAsia" w:ascii="Times New Roman" w:hAnsi="Times New Roman" w:eastAsia="方正楷体_GBK" w:cs="方正楷体_GBK"/>
          <w:b w:val="0"/>
          <w:bCs/>
          <w:color w:val="000000" w:themeColor="text1"/>
          <w:sz w:val="32"/>
          <w:szCs w:val="32"/>
          <w:shd w:val="clear" w:color="auto" w:fill="FFFFFF"/>
          <w14:textFill>
            <w14:solidFill>
              <w14:schemeClr w14:val="tx1"/>
            </w14:solidFill>
          </w14:textFill>
        </w:rPr>
        <w:t>（三）“三公”经费实物量情况</w:t>
      </w:r>
    </w:p>
    <w:p w14:paraId="2CE09B43">
      <w:pPr>
        <w:pStyle w:val="8"/>
        <w:keepNext w:val="0"/>
        <w:keepLines w:val="0"/>
        <w:pageBreakBefore w:val="0"/>
        <w:widowControl/>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color w:val="000000" w:themeColor="text1"/>
          <w:sz w:val="32"/>
          <w:szCs w:val="32"/>
          <w14:textFill>
            <w14:solidFill>
              <w14:schemeClr w14:val="tx1"/>
            </w14:solidFill>
          </w14:textFill>
        </w:rPr>
      </w:pP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 </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2024年</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度本</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单位</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因公出国（境）共计</w:t>
      </w:r>
      <w:r>
        <w:rPr>
          <w:rFonts w:ascii="Times New Roman" w:hAnsi="Times New Roman" w:eastAsia="方正仿宋_GBK" w:cs="方正仿宋_GBK"/>
          <w:color w:val="000000" w:themeColor="text1"/>
          <w:sz w:val="32"/>
          <w:szCs w:val="32"/>
          <w14:textFill>
            <w14:solidFill>
              <w14:schemeClr w14:val="tx1"/>
            </w14:solidFill>
          </w14:textFill>
        </w:rPr>
        <w:t>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个团组，</w:t>
      </w:r>
      <w:r>
        <w:rPr>
          <w:rFonts w:ascii="Times New Roman" w:hAnsi="Times New Roman" w:eastAsia="方正仿宋_GBK" w:cs="方正仿宋_GBK"/>
          <w:color w:val="000000" w:themeColor="text1"/>
          <w:sz w:val="32"/>
          <w:szCs w:val="32"/>
          <w14:textFill>
            <w14:solidFill>
              <w14:schemeClr w14:val="tx1"/>
            </w14:solidFill>
          </w14:textFill>
        </w:rPr>
        <w:t>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人；公务用车购置</w:t>
      </w:r>
      <w:r>
        <w:rPr>
          <w:rFonts w:ascii="Times New Roman" w:hAnsi="Times New Roman" w:eastAsia="方正仿宋_GBK" w:cs="方正仿宋_GBK"/>
          <w:color w:val="000000" w:themeColor="text1"/>
          <w:sz w:val="32"/>
          <w:szCs w:val="32"/>
          <w14:textFill>
            <w14:solidFill>
              <w14:schemeClr w14:val="tx1"/>
            </w14:solidFill>
          </w14:textFill>
        </w:rPr>
        <w:t>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辆，公务车保有量为</w:t>
      </w:r>
      <w:r>
        <w:rPr>
          <w:rFonts w:ascii="Times New Roman" w:hAnsi="Times New Roman" w:eastAsia="方正仿宋_GBK" w:cs="方正仿宋_GBK"/>
          <w:color w:val="000000" w:themeColor="text1"/>
          <w:sz w:val="32"/>
          <w:szCs w:val="32"/>
          <w14:textFill>
            <w14:solidFill>
              <w14:schemeClr w14:val="tx1"/>
            </w14:solidFill>
          </w14:textFill>
        </w:rPr>
        <w:t>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辆；国内公务接待</w:t>
      </w:r>
      <w:r>
        <w:rPr>
          <w:rFonts w:ascii="Times New Roman" w:hAnsi="Times New Roman" w:eastAsia="方正仿宋_GBK" w:cs="方正仿宋_GBK"/>
          <w:color w:val="000000" w:themeColor="text1"/>
          <w:sz w:val="32"/>
          <w:szCs w:val="32"/>
          <w14:textFill>
            <w14:solidFill>
              <w14:schemeClr w14:val="tx1"/>
            </w14:solidFill>
          </w14:textFill>
        </w:rPr>
        <w:t>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批次</w:t>
      </w:r>
      <w:r>
        <w:rPr>
          <w:rFonts w:ascii="Times New Roman" w:hAnsi="Times New Roman" w:eastAsia="方正仿宋_GBK" w:cs="方正仿宋_GBK"/>
          <w:color w:val="000000" w:themeColor="text1"/>
          <w:sz w:val="32"/>
          <w:szCs w:val="32"/>
          <w14:textFill>
            <w14:solidFill>
              <w14:schemeClr w14:val="tx1"/>
            </w14:solidFill>
          </w14:textFill>
        </w:rPr>
        <w:t>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人，其中：国内外事接待</w:t>
      </w:r>
      <w:r>
        <w:rPr>
          <w:rFonts w:ascii="Times New Roman" w:hAnsi="Times New Roman" w:eastAsia="方正仿宋_GBK" w:cs="方正仿宋_GBK"/>
          <w:color w:val="000000" w:themeColor="text1"/>
          <w:sz w:val="32"/>
          <w:szCs w:val="32"/>
          <w14:textFill>
            <w14:solidFill>
              <w14:schemeClr w14:val="tx1"/>
            </w14:solidFill>
          </w14:textFill>
        </w:rPr>
        <w:t>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批次，</w:t>
      </w:r>
      <w:r>
        <w:rPr>
          <w:rFonts w:ascii="Times New Roman" w:hAnsi="Times New Roman" w:eastAsia="方正仿宋_GBK" w:cs="方正仿宋_GBK"/>
          <w:color w:val="000000" w:themeColor="text1"/>
          <w:sz w:val="32"/>
          <w:szCs w:val="32"/>
          <w14:textFill>
            <w14:solidFill>
              <w14:schemeClr w14:val="tx1"/>
            </w14:solidFill>
          </w14:textFill>
        </w:rPr>
        <w:t>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人；国（境）外公务接待</w:t>
      </w:r>
      <w:r>
        <w:rPr>
          <w:rFonts w:ascii="Times New Roman" w:hAnsi="Times New Roman" w:eastAsia="方正仿宋_GBK" w:cs="方正仿宋_GBK"/>
          <w:color w:val="000000" w:themeColor="text1"/>
          <w:sz w:val="32"/>
          <w:szCs w:val="32"/>
          <w14:textFill>
            <w14:solidFill>
              <w14:schemeClr w14:val="tx1"/>
            </w14:solidFill>
          </w14:textFill>
        </w:rPr>
        <w:t>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批次，</w:t>
      </w:r>
      <w:r>
        <w:rPr>
          <w:rFonts w:ascii="Times New Roman" w:hAnsi="Times New Roman" w:eastAsia="方正仿宋_GBK" w:cs="方正仿宋_GBK"/>
          <w:color w:val="000000" w:themeColor="text1"/>
          <w:sz w:val="32"/>
          <w:szCs w:val="32"/>
          <w14:textFill>
            <w14:solidFill>
              <w14:schemeClr w14:val="tx1"/>
            </w14:solidFill>
          </w14:textFill>
        </w:rPr>
        <w:t>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人。</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2024年</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本</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单位</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人均接待费</w:t>
      </w:r>
      <w:r>
        <w:rPr>
          <w:rFonts w:ascii="Times New Roman" w:hAnsi="Times New Roman" w:eastAsia="方正仿宋_GBK" w:cs="方正仿宋_GBK"/>
          <w:color w:val="000000" w:themeColor="text1"/>
          <w:sz w:val="32"/>
          <w:szCs w:val="32"/>
          <w14:textFill>
            <w14:solidFill>
              <w14:schemeClr w14:val="tx1"/>
            </w14:solidFill>
          </w14:textFill>
        </w:rPr>
        <w:t>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元，车均购置费</w:t>
      </w:r>
      <w:r>
        <w:rPr>
          <w:rFonts w:ascii="Times New Roman" w:hAnsi="Times New Roman" w:eastAsia="方正仿宋_GBK" w:cs="方正仿宋_GBK"/>
          <w:color w:val="000000" w:themeColor="text1"/>
          <w:sz w:val="32"/>
          <w:szCs w:val="32"/>
          <w14:textFill>
            <w14:solidFill>
              <w14:schemeClr w14:val="tx1"/>
            </w14:solidFill>
          </w14:textFill>
        </w:rPr>
        <w:t>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万元，车均维护费</w:t>
      </w:r>
      <w:r>
        <w:rPr>
          <w:rFonts w:ascii="Times New Roman" w:hAnsi="Times New Roman" w:eastAsia="方正仿宋_GBK" w:cs="方正仿宋_GBK"/>
          <w:color w:val="000000" w:themeColor="text1"/>
          <w:sz w:val="32"/>
          <w:szCs w:val="32"/>
          <w14:textFill>
            <w14:solidFill>
              <w14:schemeClr w14:val="tx1"/>
            </w14:solidFill>
          </w14:textFill>
        </w:rPr>
        <w:t>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万元。</w:t>
      </w:r>
    </w:p>
    <w:p w14:paraId="180968F6">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11"/>
          <w:rFonts w:hint="eastAsia" w:ascii="Times New Roman" w:hAnsi="Times New Roman" w:eastAsia="方正黑体_GBK" w:cs="方正黑体_GBK"/>
          <w:b w:val="0"/>
          <w:bCs/>
          <w:color w:val="000000" w:themeColor="text1"/>
          <w:sz w:val="32"/>
          <w:szCs w:val="32"/>
          <w:shd w:val="clear" w:color="auto" w:fill="FFFFFF"/>
          <w14:textFill>
            <w14:solidFill>
              <w14:schemeClr w14:val="tx1"/>
            </w14:solidFill>
          </w14:textFill>
        </w:rPr>
      </w:pPr>
      <w:r>
        <w:rPr>
          <w:rStyle w:val="11"/>
          <w:rFonts w:hint="eastAsia" w:ascii="Times New Roman" w:hAnsi="Times New Roman" w:eastAsia="方正黑体_GBK" w:cs="方正黑体_GBK"/>
          <w:b w:val="0"/>
          <w:bCs/>
          <w:color w:val="000000" w:themeColor="text1"/>
          <w:sz w:val="32"/>
          <w:szCs w:val="32"/>
          <w:shd w:val="clear" w:color="auto" w:fill="FFFFFF"/>
          <w14:textFill>
            <w14:solidFill>
              <w14:schemeClr w14:val="tx1"/>
            </w14:solidFill>
          </w14:textFill>
        </w:rPr>
        <w:t>四、其他需要说明的事项</w:t>
      </w:r>
    </w:p>
    <w:p w14:paraId="228F1303">
      <w:pPr>
        <w:pStyle w:val="12"/>
        <w:keepNext w:val="0"/>
        <w:keepLines w:val="0"/>
        <w:pageBreakBefore w:val="0"/>
        <w:widowControl/>
        <w:kinsoku/>
        <w:wordWrap/>
        <w:overflowPunct/>
        <w:topLinePunct w:val="0"/>
        <w:autoSpaceDE w:val="0"/>
        <w:autoSpaceDN/>
        <w:bidi w:val="0"/>
        <w:spacing w:beforeAutospacing="0" w:afterAutospacing="0" w:line="594" w:lineRule="exact"/>
        <w:ind w:firstLine="640" w:firstLineChars="200"/>
        <w:textAlignment w:val="auto"/>
        <w:rPr>
          <w:rFonts w:hint="eastAsia" w:ascii="Times New Roman" w:hAnsi="Times New Roman" w:eastAsia="方正楷体_GBK" w:cs="方正楷体_GBK"/>
          <w:b w:val="0"/>
          <w:bCs/>
          <w:color w:val="000000" w:themeColor="text1"/>
          <w:sz w:val="32"/>
          <w:szCs w:val="32"/>
          <w:shd w:val="clear" w:color="auto" w:fill="FFFFFF"/>
          <w14:textFill>
            <w14:solidFill>
              <w14:schemeClr w14:val="tx1"/>
            </w14:solidFill>
          </w14:textFill>
        </w:rPr>
      </w:pPr>
      <w:r>
        <w:rPr>
          <w:rFonts w:hint="eastAsia" w:ascii="Times New Roman" w:hAnsi="Times New Roman" w:eastAsia="方正楷体_GBK" w:cs="方正楷体_GBK"/>
          <w:b w:val="0"/>
          <w:bCs/>
          <w:color w:val="000000" w:themeColor="text1"/>
          <w:sz w:val="32"/>
          <w:szCs w:val="32"/>
          <w:shd w:val="clear" w:color="auto" w:fill="FFFFFF"/>
          <w14:textFill>
            <w14:solidFill>
              <w14:schemeClr w14:val="tx1"/>
            </w14:solidFill>
          </w14:textFill>
        </w:rPr>
        <w:t> （一）财政拨款会议费和培训费情况说明</w:t>
      </w:r>
    </w:p>
    <w:p w14:paraId="0F7C04DA">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pP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本年度会议费支出</w:t>
      </w:r>
      <w:r>
        <w:rPr>
          <w:rFonts w:ascii="Times New Roman" w:hAnsi="Times New Roman" w:eastAsia="方正仿宋_GBK" w:cs="方正仿宋_GBK"/>
          <w:color w:val="000000" w:themeColor="text1"/>
          <w:sz w:val="32"/>
          <w:szCs w:val="32"/>
          <w14:textFill>
            <w14:solidFill>
              <w14:schemeClr w14:val="tx1"/>
            </w14:solidFill>
          </w14:textFill>
        </w:rPr>
        <w:t>0.00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万元，与2023年度相比，无增减，主要原因是本单位本年度未发生会议费。本年度培训费支出</w:t>
      </w:r>
      <w:r>
        <w:rPr>
          <w:rFonts w:ascii="Times New Roman" w:hAnsi="Times New Roman" w:eastAsia="方正仿宋_GBK" w:cs="方正仿宋_GBK"/>
          <w:color w:val="000000" w:themeColor="text1"/>
          <w:sz w:val="32"/>
          <w:szCs w:val="32"/>
          <w14:textFill>
            <w14:solidFill>
              <w14:schemeClr w14:val="tx1"/>
            </w14:solidFill>
          </w14:textFill>
        </w:rPr>
        <w:t>0.33</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万元，与2023年度相比，增加0.11万元，增长50.0%，主要原因是</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培训次数增加。</w:t>
      </w:r>
    </w:p>
    <w:p w14:paraId="56DEC480">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eastAsia" w:ascii="Times New Roman" w:hAnsi="Times New Roman" w:eastAsia="方正楷体_GBK" w:cs="方正楷体_GBK"/>
          <w:b w:val="0"/>
          <w:bCs/>
          <w:color w:val="000000" w:themeColor="text1"/>
          <w:sz w:val="32"/>
          <w:szCs w:val="32"/>
          <w:shd w:val="clear" w:color="auto" w:fill="FFFFFF"/>
          <w14:textFill>
            <w14:solidFill>
              <w14:schemeClr w14:val="tx1"/>
            </w14:solidFill>
          </w14:textFill>
        </w:rPr>
      </w:pPr>
      <w:r>
        <w:rPr>
          <w:rFonts w:hint="eastAsia" w:ascii="Times New Roman" w:hAnsi="Times New Roman" w:eastAsia="方正楷体_GBK" w:cs="方正楷体_GBK"/>
          <w:b w:val="0"/>
          <w:bCs/>
          <w:color w:val="000000" w:themeColor="text1"/>
          <w:sz w:val="32"/>
          <w:szCs w:val="32"/>
          <w:shd w:val="clear" w:color="auto" w:fill="FFFFFF"/>
          <w14:textFill>
            <w14:solidFill>
              <w14:schemeClr w14:val="tx1"/>
            </w14:solidFill>
          </w14:textFill>
        </w:rPr>
        <w:t>（二）机关运行经费情况说明</w:t>
      </w:r>
    </w:p>
    <w:p w14:paraId="3B0DEE7E">
      <w:pPr>
        <w:pStyle w:val="8"/>
        <w:keepNext w:val="0"/>
        <w:keepLines w:val="0"/>
        <w:pageBreakBefore w:val="0"/>
        <w:widowControl/>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color w:val="000000" w:themeColor="text1"/>
          <w:sz w:val="32"/>
          <w:szCs w:val="32"/>
          <w14:textFill>
            <w14:solidFill>
              <w14:schemeClr w14:val="tx1"/>
            </w14:solidFill>
          </w14:textFill>
        </w:rPr>
      </w:pP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2024年</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度本</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单位</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机关运行经费支出</w:t>
      </w:r>
      <w:r>
        <w:rPr>
          <w:rFonts w:ascii="Times New Roman" w:hAnsi="Times New Roman" w:eastAsia="方正仿宋_GBK" w:cs="方正仿宋_GBK"/>
          <w:color w:val="000000" w:themeColor="text1"/>
          <w:sz w:val="32"/>
          <w:szCs w:val="32"/>
          <w14:textFill>
            <w14:solidFill>
              <w14:schemeClr w14:val="tx1"/>
            </w14:solidFill>
          </w14:textFill>
        </w:rPr>
        <w:t>0.00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万元，机关运行经费主要用于开支</w:t>
      </w:r>
      <w:r>
        <w:rPr>
          <w:rFonts w:ascii="Times New Roman" w:hAnsi="Times New Roman" w:eastAsia="方正仿宋_GBK" w:cs="方正仿宋_GBK"/>
          <w:bCs/>
          <w:color w:val="000000" w:themeColor="text1"/>
          <w:sz w:val="32"/>
          <w:szCs w:val="32"/>
          <w14:textFill>
            <w14:solidFill>
              <w14:schemeClr w14:val="tx1"/>
            </w14:solidFill>
          </w14:textFill>
        </w:rPr>
        <w:t>电费、劳务费、办公费、印刷费、物业管理、食堂等</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。机关运行经费较上年支出数无增减，主要原因是</w:t>
      </w:r>
      <w:r>
        <w:rPr>
          <w:rFonts w:hint="default" w:ascii="Times New Roman" w:hAnsi="Times New Roman" w:eastAsia="方正仿宋_GBK" w:cs="方正仿宋_GBK"/>
          <w:color w:val="000000" w:themeColor="text1"/>
          <w:sz w:val="32"/>
          <w:szCs w:val="32"/>
          <w14:textFill>
            <w14:solidFill>
              <w14:schemeClr w14:val="tx1"/>
            </w14:solidFill>
          </w14:textFill>
        </w:rPr>
        <w:t>按照</w:t>
      </w:r>
      <w:r>
        <w:rPr>
          <w:rFonts w:hint="eastAsia" w:ascii="Times New Roman" w:hAnsi="Times New Roman" w:eastAsia="方正仿宋_GBK" w:cs="方正仿宋_GBK"/>
          <w:color w:val="000000" w:themeColor="text1"/>
          <w:sz w:val="32"/>
          <w:szCs w:val="32"/>
          <w:lang w:eastAsia="zh-CN"/>
          <w14:textFill>
            <w14:solidFill>
              <w14:schemeClr w14:val="tx1"/>
            </w14:solidFill>
          </w14:textFill>
        </w:rPr>
        <w:t>单位</w:t>
      </w:r>
      <w:r>
        <w:rPr>
          <w:rFonts w:hint="default" w:ascii="Times New Roman" w:hAnsi="Times New Roman" w:eastAsia="方正仿宋_GBK" w:cs="方正仿宋_GBK"/>
          <w:color w:val="000000" w:themeColor="text1"/>
          <w:sz w:val="32"/>
          <w:szCs w:val="32"/>
          <w14:textFill>
            <w14:solidFill>
              <w14:schemeClr w14:val="tx1"/>
            </w14:solidFill>
          </w14:textFill>
        </w:rPr>
        <w:t>决算列报口径，我单位不在机关运行经费统计范围之内。</w:t>
      </w:r>
    </w:p>
    <w:p w14:paraId="3B1C8CD5">
      <w:pPr>
        <w:pStyle w:val="12"/>
        <w:keepNext w:val="0"/>
        <w:keepLines w:val="0"/>
        <w:pageBreakBefore w:val="0"/>
        <w:widowControl/>
        <w:kinsoku/>
        <w:wordWrap/>
        <w:overflowPunct/>
        <w:topLinePunct w:val="0"/>
        <w:autoSpaceDE w:val="0"/>
        <w:autoSpaceDN/>
        <w:bidi w:val="0"/>
        <w:spacing w:beforeAutospacing="0" w:afterAutospacing="0" w:line="594" w:lineRule="exact"/>
        <w:ind w:firstLine="640" w:firstLineChars="200"/>
        <w:textAlignment w:val="auto"/>
        <w:rPr>
          <w:rFonts w:hint="eastAsia" w:ascii="Times New Roman" w:hAnsi="Times New Roman" w:eastAsia="方正楷体_GBK" w:cs="方正楷体_GBK"/>
          <w:b w:val="0"/>
          <w:bCs/>
          <w:color w:val="000000" w:themeColor="text1"/>
          <w:sz w:val="32"/>
          <w:szCs w:val="32"/>
          <w:shd w:val="clear" w:color="auto" w:fill="FFFFFF"/>
          <w14:textFill>
            <w14:solidFill>
              <w14:schemeClr w14:val="tx1"/>
            </w14:solidFill>
          </w14:textFill>
        </w:rPr>
      </w:pPr>
      <w:r>
        <w:rPr>
          <w:rFonts w:hint="eastAsia" w:ascii="Times New Roman" w:hAnsi="Times New Roman" w:eastAsia="方正楷体_GBK" w:cs="方正楷体_GBK"/>
          <w:b w:val="0"/>
          <w:bCs/>
          <w:color w:val="000000" w:themeColor="text1"/>
          <w:sz w:val="32"/>
          <w:szCs w:val="32"/>
          <w:shd w:val="clear" w:color="auto" w:fill="FFFFFF"/>
          <w14:textFill>
            <w14:solidFill>
              <w14:schemeClr w14:val="tx1"/>
            </w14:solidFill>
          </w14:textFill>
        </w:rPr>
        <w:t>（三）国有资产占用情况说明</w:t>
      </w:r>
    </w:p>
    <w:p w14:paraId="7289B24D">
      <w:pPr>
        <w:keepNext w:val="0"/>
        <w:keepLines w:val="0"/>
        <w:pageBreakBefore w:val="0"/>
        <w:widowControl/>
        <w:kinsoku/>
        <w:wordWrap/>
        <w:overflowPunct/>
        <w:topLinePunct w:val="0"/>
        <w:autoSpaceDN/>
        <w:bidi w:val="0"/>
        <w:spacing w:beforeAutospacing="0" w:afterAutospacing="0" w:line="594" w:lineRule="exact"/>
        <w:ind w:firstLine="640" w:firstLineChars="200"/>
        <w:jc w:val="left"/>
        <w:textAlignment w:val="auto"/>
        <w:rPr>
          <w:rFonts w:hint="default" w:ascii="Times New Roman" w:hAnsi="Times New Roman" w:eastAsia="方正仿宋_GBK" w:cs="方正仿宋_GBK"/>
          <w:color w:val="000000" w:themeColor="text1"/>
          <w:sz w:val="32"/>
          <w:szCs w:val="32"/>
          <w14:textFill>
            <w14:solidFill>
              <w14:schemeClr w14:val="tx1"/>
            </w14:solidFill>
          </w14:textFill>
        </w:rPr>
      </w:pP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截至</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2024年</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12月31日，本</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单位</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共有车辆</w:t>
      </w:r>
      <w:r>
        <w:rPr>
          <w:rFonts w:ascii="Times New Roman" w:hAnsi="Times New Roman" w:eastAsia="方正仿宋_GBK" w:cs="方正仿宋_GBK"/>
          <w:color w:val="000000" w:themeColor="text1"/>
          <w:sz w:val="32"/>
          <w:szCs w:val="32"/>
          <w14:textFill>
            <w14:solidFill>
              <w14:schemeClr w14:val="tx1"/>
            </w14:solidFill>
          </w14:textFill>
        </w:rPr>
        <w:t>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辆，其中，副部（省）级及以上领导用车</w:t>
      </w:r>
      <w:r>
        <w:rPr>
          <w:rFonts w:ascii="Times New Roman" w:hAnsi="Times New Roman" w:eastAsia="方正仿宋_GBK" w:cs="方正仿宋_GBK"/>
          <w:color w:val="000000" w:themeColor="text1"/>
          <w:sz w:val="32"/>
          <w:szCs w:val="32"/>
          <w14:textFill>
            <w14:solidFill>
              <w14:schemeClr w14:val="tx1"/>
            </w14:solidFill>
          </w14:textFill>
        </w:rPr>
        <w:t>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辆、主要负责人用车</w:t>
      </w:r>
      <w:r>
        <w:rPr>
          <w:rFonts w:ascii="Times New Roman" w:hAnsi="Times New Roman" w:eastAsia="方正仿宋_GBK" w:cs="方正仿宋_GBK"/>
          <w:color w:val="000000" w:themeColor="text1"/>
          <w:sz w:val="32"/>
          <w:szCs w:val="32"/>
          <w14:textFill>
            <w14:solidFill>
              <w14:schemeClr w14:val="tx1"/>
            </w14:solidFill>
          </w14:textFill>
        </w:rPr>
        <w:t>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辆、机要通信用车</w:t>
      </w:r>
      <w:r>
        <w:rPr>
          <w:rFonts w:ascii="Times New Roman" w:hAnsi="Times New Roman" w:eastAsia="方正仿宋_GBK" w:cs="方正仿宋_GBK"/>
          <w:color w:val="000000" w:themeColor="text1"/>
          <w:sz w:val="32"/>
          <w:szCs w:val="32"/>
          <w14:textFill>
            <w14:solidFill>
              <w14:schemeClr w14:val="tx1"/>
            </w14:solidFill>
          </w14:textFill>
        </w:rPr>
        <w:t>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辆、应急保障用车</w:t>
      </w:r>
      <w:r>
        <w:rPr>
          <w:rFonts w:ascii="Times New Roman" w:hAnsi="Times New Roman" w:eastAsia="方正仿宋_GBK" w:cs="方正仿宋_GBK"/>
          <w:color w:val="000000" w:themeColor="text1"/>
          <w:sz w:val="32"/>
          <w:szCs w:val="32"/>
          <w14:textFill>
            <w14:solidFill>
              <w14:schemeClr w14:val="tx1"/>
            </w14:solidFill>
          </w14:textFill>
        </w:rPr>
        <w:t>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辆、执法执勤用车</w:t>
      </w:r>
      <w:r>
        <w:rPr>
          <w:rFonts w:ascii="Times New Roman" w:hAnsi="Times New Roman" w:eastAsia="方正仿宋_GBK" w:cs="方正仿宋_GBK"/>
          <w:color w:val="000000" w:themeColor="text1"/>
          <w:sz w:val="32"/>
          <w:szCs w:val="32"/>
          <w14:textFill>
            <w14:solidFill>
              <w14:schemeClr w14:val="tx1"/>
            </w14:solidFill>
          </w14:textFill>
        </w:rPr>
        <w:t>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辆，特种专业技术用车</w:t>
      </w:r>
      <w:r>
        <w:rPr>
          <w:rFonts w:ascii="Times New Roman" w:hAnsi="Times New Roman" w:eastAsia="方正仿宋_GBK" w:cs="方正仿宋_GBK"/>
          <w:color w:val="000000" w:themeColor="text1"/>
          <w:sz w:val="32"/>
          <w:szCs w:val="32"/>
          <w14:textFill>
            <w14:solidFill>
              <w14:schemeClr w14:val="tx1"/>
            </w14:solidFill>
          </w14:textFill>
        </w:rPr>
        <w:t>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辆，离退休干部用车</w:t>
      </w:r>
      <w:r>
        <w:rPr>
          <w:rFonts w:ascii="Times New Roman" w:hAnsi="Times New Roman" w:eastAsia="方正仿宋_GBK" w:cs="方正仿宋_GBK"/>
          <w:color w:val="000000" w:themeColor="text1"/>
          <w:sz w:val="32"/>
          <w:szCs w:val="32"/>
          <w14:textFill>
            <w14:solidFill>
              <w14:schemeClr w14:val="tx1"/>
            </w14:solidFill>
          </w14:textFill>
        </w:rPr>
        <w:t>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辆。单价100万元（含）以上专用设备</w:t>
      </w:r>
      <w:r>
        <w:rPr>
          <w:rFonts w:ascii="Times New Roman" w:hAnsi="Times New Roman" w:eastAsia="方正仿宋_GBK" w:cs="方正仿宋_GBK"/>
          <w:color w:val="000000" w:themeColor="text1"/>
          <w:sz w:val="32"/>
          <w:szCs w:val="32"/>
          <w14:textFill>
            <w14:solidFill>
              <w14:schemeClr w14:val="tx1"/>
            </w14:solidFill>
          </w14:textFill>
        </w:rPr>
        <w:t>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台（套）。</w:t>
      </w:r>
    </w:p>
    <w:p w14:paraId="78805604">
      <w:pPr>
        <w:pStyle w:val="12"/>
        <w:keepNext w:val="0"/>
        <w:keepLines w:val="0"/>
        <w:pageBreakBefore w:val="0"/>
        <w:widowControl/>
        <w:kinsoku/>
        <w:wordWrap/>
        <w:overflowPunct/>
        <w:topLinePunct w:val="0"/>
        <w:autoSpaceDE w:val="0"/>
        <w:autoSpaceDN/>
        <w:bidi w:val="0"/>
        <w:spacing w:beforeAutospacing="0" w:afterAutospacing="0" w:line="594" w:lineRule="exact"/>
        <w:ind w:firstLine="640" w:firstLineChars="200"/>
        <w:textAlignment w:val="auto"/>
        <w:rPr>
          <w:rFonts w:hint="eastAsia" w:ascii="Times New Roman" w:hAnsi="Times New Roman" w:eastAsia="方正楷体_GBK" w:cs="方正楷体_GBK"/>
          <w:b w:val="0"/>
          <w:bCs/>
          <w:color w:val="000000" w:themeColor="text1"/>
          <w:sz w:val="32"/>
          <w:szCs w:val="32"/>
          <w:shd w:val="clear" w:color="auto" w:fill="FFFFFF"/>
          <w14:textFill>
            <w14:solidFill>
              <w14:schemeClr w14:val="tx1"/>
            </w14:solidFill>
          </w14:textFill>
        </w:rPr>
      </w:pPr>
      <w:r>
        <w:rPr>
          <w:rFonts w:hint="eastAsia" w:ascii="Times New Roman" w:hAnsi="Times New Roman" w:eastAsia="方正楷体_GBK" w:cs="方正楷体_GBK"/>
          <w:b w:val="0"/>
          <w:bCs/>
          <w:color w:val="000000" w:themeColor="text1"/>
          <w:sz w:val="32"/>
          <w:szCs w:val="32"/>
          <w:shd w:val="clear" w:color="auto" w:fill="FFFFFF"/>
          <w14:textFill>
            <w14:solidFill>
              <w14:schemeClr w14:val="tx1"/>
            </w14:solidFill>
          </w14:textFill>
        </w:rPr>
        <w:t>（四）政府采购支出情况说明</w:t>
      </w:r>
    </w:p>
    <w:p w14:paraId="11169263">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eastAsia" w:ascii="Times New Roman" w:hAnsi="Times New Roman" w:eastAsia="方正仿宋_GBK" w:cs="方正仿宋_GBK"/>
          <w:color w:val="000000" w:themeColor="text1"/>
          <w:sz w:val="32"/>
          <w:szCs w:val="32"/>
          <w:shd w:val="clear" w:color="auto" w:fill="FFFFFF"/>
          <w:lang w:val="en-US" w:eastAsia="zh-CN"/>
          <w14:textFill>
            <w14:solidFill>
              <w14:schemeClr w14:val="tx1"/>
            </w14:solidFill>
          </w14:textFill>
        </w:rPr>
      </w:pP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2024年</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度本</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单位</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政府采购支出总额</w:t>
      </w:r>
      <w:r>
        <w:rPr>
          <w:rFonts w:ascii="Times New Roman" w:hAnsi="Times New Roman" w:eastAsia="方正仿宋_GBK" w:cs="方正仿宋_GBK"/>
          <w:color w:val="000000" w:themeColor="text1"/>
          <w:sz w:val="32"/>
          <w:szCs w:val="32"/>
          <w14:textFill>
            <w14:solidFill>
              <w14:schemeClr w14:val="tx1"/>
            </w14:solidFill>
          </w14:textFill>
        </w:rPr>
        <w:t>0.00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万元，其中：政府采购货物支出</w:t>
      </w:r>
      <w:r>
        <w:rPr>
          <w:rFonts w:ascii="Times New Roman" w:hAnsi="Times New Roman" w:eastAsia="方正仿宋_GBK" w:cs="方正仿宋_GBK"/>
          <w:color w:val="000000" w:themeColor="text1"/>
          <w:sz w:val="32"/>
          <w:szCs w:val="32"/>
          <w14:textFill>
            <w14:solidFill>
              <w14:schemeClr w14:val="tx1"/>
            </w14:solidFill>
          </w14:textFill>
        </w:rPr>
        <w:t>0.00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万元、政府采购工程支出</w:t>
      </w:r>
      <w:r>
        <w:rPr>
          <w:rFonts w:ascii="Times New Roman" w:hAnsi="Times New Roman" w:eastAsia="方正仿宋_GBK" w:cs="方正仿宋_GBK"/>
          <w:color w:val="000000" w:themeColor="text1"/>
          <w:sz w:val="32"/>
          <w:szCs w:val="32"/>
          <w14:textFill>
            <w14:solidFill>
              <w14:schemeClr w14:val="tx1"/>
            </w14:solidFill>
          </w14:textFill>
        </w:rPr>
        <w:t>0.00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万元、政府采购服务支出</w:t>
      </w:r>
      <w:r>
        <w:rPr>
          <w:rFonts w:ascii="Times New Roman" w:hAnsi="Times New Roman" w:eastAsia="方正仿宋_GBK" w:cs="方正仿宋_GBK"/>
          <w:color w:val="000000" w:themeColor="text1"/>
          <w:sz w:val="32"/>
          <w:szCs w:val="32"/>
          <w14:textFill>
            <w14:solidFill>
              <w14:schemeClr w14:val="tx1"/>
            </w14:solidFill>
          </w14:textFill>
        </w:rPr>
        <w:t>0.00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万元。授予中小企业合同金额</w:t>
      </w:r>
      <w:r>
        <w:rPr>
          <w:rFonts w:ascii="Times New Roman" w:hAnsi="Times New Roman" w:eastAsia="方正仿宋_GBK" w:cs="方正仿宋_GBK"/>
          <w:color w:val="000000" w:themeColor="text1"/>
          <w:sz w:val="32"/>
          <w:szCs w:val="32"/>
          <w14:textFill>
            <w14:solidFill>
              <w14:schemeClr w14:val="tx1"/>
            </w14:solidFill>
          </w14:textFill>
        </w:rPr>
        <w:t>0.00万</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元，占政府采购支出总额的</w:t>
      </w:r>
      <w:r>
        <w:rPr>
          <w:rFonts w:ascii="Times New Roman" w:hAnsi="Times New Roman" w:eastAsia="方正仿宋_GBK" w:cs="方正仿宋_GBK"/>
          <w:color w:val="000000" w:themeColor="text1"/>
          <w:sz w:val="32"/>
          <w:szCs w:val="32"/>
          <w14:textFill>
            <w14:solidFill>
              <w14:schemeClr w14:val="tx1"/>
            </w14:solidFill>
          </w14:textFill>
        </w:rPr>
        <w:t>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%，其中：授予小微企业合同金额</w:t>
      </w:r>
      <w:r>
        <w:rPr>
          <w:rFonts w:ascii="Times New Roman" w:hAnsi="Times New Roman" w:eastAsia="方正仿宋_GBK" w:cs="方正仿宋_GBK"/>
          <w:color w:val="000000" w:themeColor="text1"/>
          <w:sz w:val="32"/>
          <w:szCs w:val="32"/>
          <w14:textFill>
            <w14:solidFill>
              <w14:schemeClr w14:val="tx1"/>
            </w14:solidFill>
          </w14:textFill>
        </w:rPr>
        <w:t>0.00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万元，占政府采购支出总额的</w:t>
      </w:r>
      <w:r>
        <w:rPr>
          <w:rFonts w:ascii="Times New Roman" w:hAnsi="Times New Roman" w:eastAsia="方正仿宋_GBK" w:cs="方正仿宋_GBK"/>
          <w:color w:val="000000" w:themeColor="text1"/>
          <w:sz w:val="32"/>
          <w:szCs w:val="32"/>
          <w14:textFill>
            <w14:solidFill>
              <w14:schemeClr w14:val="tx1"/>
            </w14:solidFill>
          </w14:textFill>
        </w:rPr>
        <w:t>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 xml:space="preserve"> %。主要用于采购</w:t>
      </w:r>
      <w:r>
        <w:rPr>
          <w:rFonts w:hint="eastAsia" w:ascii="Times New Roman" w:hAnsi="Times New Roman" w:eastAsia="方正仿宋_GBK" w:cs="方正仿宋_GBK"/>
          <w:color w:val="000000" w:themeColor="text1"/>
          <w:sz w:val="32"/>
          <w:szCs w:val="32"/>
          <w:shd w:val="clear" w:color="auto" w:fill="FFFFFF"/>
          <w:lang w:val="en-US" w:eastAsia="zh-CN"/>
          <w14:textFill>
            <w14:solidFill>
              <w14:schemeClr w14:val="tx1"/>
            </w14:solidFill>
          </w14:textFill>
        </w:rPr>
        <w:t>2024年度我单位未发生政府采购事项，无相关经费支出。</w:t>
      </w:r>
    </w:p>
    <w:p w14:paraId="008E37DA">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Style w:val="11"/>
          <w:rFonts w:hint="eastAsia" w:ascii="Times New Roman" w:hAnsi="Times New Roman" w:eastAsia="方正黑体_GBK" w:cs="方正黑体_GBK"/>
          <w:b w:val="0"/>
          <w:bCs/>
          <w:color w:val="000000" w:themeColor="text1"/>
          <w:sz w:val="32"/>
          <w:szCs w:val="32"/>
          <w:shd w:val="clear" w:color="auto" w:fill="FFFFFF"/>
          <w:lang w:val="en-US" w:eastAsia="zh-CN" w:bidi="ar-SA"/>
          <w14:textFill>
            <w14:solidFill>
              <w14:schemeClr w14:val="tx1"/>
            </w14:solidFill>
          </w14:textFill>
        </w:rPr>
      </w:pPr>
      <w:r>
        <w:rPr>
          <w:rStyle w:val="11"/>
          <w:rFonts w:hint="eastAsia" w:ascii="Times New Roman" w:hAnsi="Times New Roman" w:eastAsia="方正黑体_GBK" w:cs="方正黑体_GBK"/>
          <w:b w:val="0"/>
          <w:bCs/>
          <w:color w:val="000000" w:themeColor="text1"/>
          <w:sz w:val="32"/>
          <w:szCs w:val="32"/>
          <w:shd w:val="clear" w:color="auto" w:fill="FFFFFF"/>
          <w:lang w:val="en-US" w:eastAsia="zh-CN" w:bidi="ar-SA"/>
          <w14:textFill>
            <w14:solidFill>
              <w14:schemeClr w14:val="tx1"/>
            </w14:solidFill>
          </w14:textFill>
        </w:rPr>
        <w:t>五、2024年度预算绩效管理情况说明</w:t>
      </w:r>
    </w:p>
    <w:p w14:paraId="60D635DE">
      <w:pPr>
        <w:pStyle w:val="13"/>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firstLine="640" w:firstLineChars="200"/>
        <w:jc w:val="left"/>
        <w:textAlignment w:val="auto"/>
        <w:rPr>
          <w:rFonts w:hint="eastAsia" w:ascii="Times New Roman" w:hAnsi="Times New Roman" w:eastAsia="方正楷体_GBK" w:cs="方正楷体_GBK"/>
          <w:b w:val="0"/>
          <w:bCs/>
          <w:color w:val="000000" w:themeColor="text1"/>
          <w:kern w:val="0"/>
          <w:sz w:val="32"/>
          <w:szCs w:val="32"/>
          <w:shd w:val="clear" w:fill="FFFFFF"/>
          <w14:textFill>
            <w14:solidFill>
              <w14:schemeClr w14:val="tx1"/>
            </w14:solidFill>
          </w14:textFill>
        </w:rPr>
      </w:pPr>
      <w:r>
        <w:rPr>
          <w:rFonts w:hint="eastAsia" w:ascii="Times New Roman" w:hAnsi="Times New Roman" w:eastAsia="方正楷体_GBK" w:cs="方正楷体_GBK"/>
          <w:b w:val="0"/>
          <w:bCs/>
          <w:color w:val="000000" w:themeColor="text1"/>
          <w:kern w:val="0"/>
          <w:sz w:val="32"/>
          <w:szCs w:val="32"/>
          <w:shd w:val="clear" w:fill="FFFFFF"/>
          <w14:textFill>
            <w14:solidFill>
              <w14:schemeClr w14:val="tx1"/>
            </w14:solidFill>
          </w14:textFill>
        </w:rPr>
        <w:t>（一）预算绩效管理工作开展情况</w:t>
      </w:r>
    </w:p>
    <w:p w14:paraId="5B794A63">
      <w:pPr>
        <w:pStyle w:val="13"/>
        <w:keepNext w:val="0"/>
        <w:keepLines w:val="0"/>
        <w:pageBreakBefore w:val="0"/>
        <w:widowControl/>
        <w:kinsoku/>
        <w:wordWrap/>
        <w:overflowPunct/>
        <w:topLinePunct w:val="0"/>
        <w:autoSpaceDE w:val="0"/>
        <w:autoSpaceDN/>
        <w:bidi w:val="0"/>
        <w:spacing w:before="0" w:beforeAutospacing="0" w:afterAutospacing="0" w:line="594" w:lineRule="exact"/>
        <w:ind w:firstLine="640" w:firstLineChars="200"/>
        <w:textAlignment w:val="auto"/>
        <w:rPr>
          <w:rFonts w:ascii="Times New Roman" w:hAnsi="Times New Roman" w:eastAsia="方正仿宋_GBK" w:cs="方正仿宋_GBK"/>
          <w:color w:val="000000" w:themeColor="text1"/>
          <w:sz w:val="32"/>
          <w:szCs w:val="32"/>
          <w:highlight w:val="yellow"/>
          <w:shd w:val="clear" w:color="auto" w:fill="FFFFFF"/>
          <w14:textFill>
            <w14:solidFill>
              <w14:schemeClr w14:val="tx1"/>
            </w14:solidFill>
          </w14:textFill>
        </w:rPr>
      </w:pP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根据预算绩效管理要求，我单位无项目支出，未开展绩效自评，涉及财政拨款项目支出资金0万元。</w:t>
      </w:r>
    </w:p>
    <w:p w14:paraId="7F25B682">
      <w:pPr>
        <w:pStyle w:val="12"/>
        <w:keepNext w:val="0"/>
        <w:keepLines w:val="0"/>
        <w:pageBreakBefore w:val="0"/>
        <w:widowControl/>
        <w:kinsoku/>
        <w:wordWrap/>
        <w:overflowPunct/>
        <w:topLinePunct w:val="0"/>
        <w:autoSpaceDE w:val="0"/>
        <w:autoSpaceDN/>
        <w:bidi w:val="0"/>
        <w:spacing w:beforeAutospacing="0" w:afterAutospacing="0" w:line="594" w:lineRule="exact"/>
        <w:ind w:firstLine="640" w:firstLineChars="200"/>
        <w:textAlignment w:val="auto"/>
        <w:rPr>
          <w:rFonts w:hint="eastAsia" w:ascii="Times New Roman" w:hAnsi="Times New Roman" w:eastAsia="方正楷体_GBK" w:cs="方正楷体_GBK"/>
          <w:b w:val="0"/>
          <w:bCs/>
          <w:color w:val="000000" w:themeColor="text1"/>
          <w:sz w:val="32"/>
          <w:szCs w:val="32"/>
          <w:shd w:val="clear" w:color="auto" w:fill="FFFFFF"/>
          <w14:textFill>
            <w14:solidFill>
              <w14:schemeClr w14:val="tx1"/>
            </w14:solidFill>
          </w14:textFill>
        </w:rPr>
      </w:pPr>
      <w:r>
        <w:rPr>
          <w:rFonts w:hint="eastAsia" w:ascii="Times New Roman" w:hAnsi="Times New Roman" w:eastAsia="方正楷体_GBK" w:cs="方正楷体_GBK"/>
          <w:b w:val="0"/>
          <w:bCs/>
          <w:color w:val="000000" w:themeColor="text1"/>
          <w:sz w:val="32"/>
          <w:szCs w:val="32"/>
          <w:shd w:val="clear" w:color="auto" w:fill="FFFFFF"/>
          <w14:textFill>
            <w14:solidFill>
              <w14:schemeClr w14:val="tx1"/>
            </w14:solidFill>
          </w14:textFill>
        </w:rPr>
        <w:t>（二）单位绩效评价情况</w:t>
      </w:r>
    </w:p>
    <w:p w14:paraId="26E55CA9">
      <w:pPr>
        <w:pStyle w:val="13"/>
        <w:keepNext w:val="0"/>
        <w:keepLines w:val="0"/>
        <w:pageBreakBefore w:val="0"/>
        <w:widowControl/>
        <w:kinsoku/>
        <w:wordWrap/>
        <w:overflowPunct/>
        <w:topLinePunct w:val="0"/>
        <w:autoSpaceDE w:val="0"/>
        <w:autoSpaceDN/>
        <w:bidi w:val="0"/>
        <w:spacing w:before="0" w:beforeAutospacing="0" w:afterAutospacing="0" w:line="594" w:lineRule="exact"/>
        <w:ind w:firstLine="640" w:firstLineChars="200"/>
        <w:textAlignment w:val="auto"/>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pP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我单位未组织开展绩效评价。</w:t>
      </w:r>
    </w:p>
    <w:p w14:paraId="54734789">
      <w:pPr>
        <w:keepNext w:val="0"/>
        <w:keepLines w:val="0"/>
        <w:pageBreakBefore w:val="0"/>
        <w:widowControl/>
        <w:tabs>
          <w:tab w:val="center" w:pos="4153"/>
          <w:tab w:val="left" w:pos="7275"/>
        </w:tabs>
        <w:kinsoku/>
        <w:wordWrap/>
        <w:overflowPunct/>
        <w:topLinePunct w:val="0"/>
        <w:autoSpaceDN/>
        <w:bidi w:val="0"/>
        <w:spacing w:beforeAutospacing="0" w:afterAutospacing="0" w:line="594" w:lineRule="exact"/>
        <w:ind w:firstLine="640" w:firstLineChars="200"/>
        <w:textAlignment w:val="auto"/>
        <w:rPr>
          <w:rStyle w:val="11"/>
          <w:rFonts w:hint="eastAsia" w:ascii="Times New Roman" w:hAnsi="Times New Roman" w:eastAsia="方正楷体_GBK" w:cs="方正楷体_GBK"/>
          <w:b w:val="0"/>
          <w:bCs/>
          <w:color w:val="000000" w:themeColor="text1"/>
          <w:sz w:val="32"/>
          <w:szCs w:val="32"/>
          <w:shd w:val="clear" w:color="auto" w:fill="FFFFFF"/>
          <w:lang w:val="en-US" w:eastAsia="zh-CN" w:bidi="ar-SA"/>
          <w14:textFill>
            <w14:solidFill>
              <w14:schemeClr w14:val="tx1"/>
            </w14:solidFill>
          </w14:textFill>
        </w:rPr>
      </w:pPr>
      <w:r>
        <w:rPr>
          <w:rStyle w:val="11"/>
          <w:rFonts w:hint="eastAsia" w:ascii="Times New Roman" w:hAnsi="Times New Roman" w:eastAsia="方正楷体_GBK" w:cs="方正楷体_GBK"/>
          <w:b w:val="0"/>
          <w:bCs/>
          <w:color w:val="000000" w:themeColor="text1"/>
          <w:sz w:val="32"/>
          <w:szCs w:val="32"/>
          <w:shd w:val="clear" w:color="auto" w:fill="FFFFFF"/>
          <w:lang w:val="en-US" w:eastAsia="zh-CN" w:bidi="ar-SA"/>
          <w14:textFill>
            <w14:solidFill>
              <w14:schemeClr w14:val="tx1"/>
            </w14:solidFill>
          </w14:textFill>
        </w:rPr>
        <w:t>（三）财政绩效评价情况</w:t>
      </w:r>
    </w:p>
    <w:p w14:paraId="4C43228A">
      <w:pPr>
        <w:keepNext w:val="0"/>
        <w:keepLines w:val="0"/>
        <w:pageBreakBefore w:val="0"/>
        <w:widowControl/>
        <w:tabs>
          <w:tab w:val="center" w:pos="4153"/>
          <w:tab w:val="left" w:pos="7275"/>
        </w:tabs>
        <w:kinsoku/>
        <w:wordWrap/>
        <w:overflowPunct/>
        <w:topLinePunct w:val="0"/>
        <w:autoSpaceDN/>
        <w:bidi w:val="0"/>
        <w:spacing w:beforeAutospacing="0" w:afterAutospacing="0" w:line="594" w:lineRule="exact"/>
        <w:ind w:firstLine="640" w:firstLineChars="200"/>
        <w:textAlignment w:val="auto"/>
        <w:rPr>
          <w:rFonts w:hint="eastAsia" w:ascii="Times New Roman" w:hAnsi="Times New Roman" w:eastAsia="方正仿宋_GBK" w:cs="方正仿宋_GBK"/>
          <w:color w:val="000000" w:themeColor="text1"/>
          <w:kern w:val="0"/>
          <w:sz w:val="32"/>
          <w:szCs w:val="32"/>
          <w:shd w:val="clear" w:fill="FFFFFF"/>
          <w:lang w:val="en-US" w:eastAsia="zh-CN" w:bidi="ar-SA"/>
          <w14:textFill>
            <w14:solidFill>
              <w14:schemeClr w14:val="tx1"/>
            </w14:solidFill>
          </w14:textFill>
        </w:rPr>
      </w:pPr>
      <w:r>
        <w:rPr>
          <w:rFonts w:hint="eastAsia" w:ascii="Times New Roman" w:hAnsi="Times New Roman" w:eastAsia="方正仿宋_GBK" w:cs="方正仿宋_GBK"/>
          <w:color w:val="000000" w:themeColor="text1"/>
          <w:kern w:val="0"/>
          <w:sz w:val="32"/>
          <w:szCs w:val="32"/>
          <w:shd w:val="clear" w:fill="FFFFFF"/>
          <w:lang w:val="en-US" w:eastAsia="zh-CN" w:bidi="ar-SA"/>
          <w14:textFill>
            <w14:solidFill>
              <w14:schemeClr w14:val="tx1"/>
            </w14:solidFill>
          </w14:textFill>
        </w:rPr>
        <w:t>因财政重点绩效评价工作暂未结束，后续由区财政局统一公开。</w:t>
      </w:r>
    </w:p>
    <w:p w14:paraId="233400C7">
      <w:pPr>
        <w:keepNext w:val="0"/>
        <w:keepLines w:val="0"/>
        <w:pageBreakBefore w:val="0"/>
        <w:widowControl/>
        <w:tabs>
          <w:tab w:val="center" w:pos="4153"/>
          <w:tab w:val="left" w:pos="7275"/>
        </w:tabs>
        <w:kinsoku/>
        <w:wordWrap/>
        <w:overflowPunct/>
        <w:topLinePunct w:val="0"/>
        <w:autoSpaceDN/>
        <w:bidi w:val="0"/>
        <w:spacing w:beforeAutospacing="0" w:afterAutospacing="0" w:line="594" w:lineRule="exact"/>
        <w:ind w:firstLine="640" w:firstLineChars="200"/>
        <w:textAlignment w:val="auto"/>
        <w:rPr>
          <w:rFonts w:hint="eastAsia" w:ascii="Times New Roman" w:hAnsi="Times New Roman" w:eastAsia="方正黑体_GBK" w:cs="方正黑体_GBK"/>
          <w:b w:val="0"/>
          <w:bCs w:val="0"/>
          <w:color w:val="000000" w:themeColor="text1"/>
          <w:kern w:val="0"/>
          <w:sz w:val="32"/>
          <w:szCs w:val="32"/>
          <w14:textFill>
            <w14:solidFill>
              <w14:schemeClr w14:val="tx1"/>
            </w14:solidFill>
          </w14:textFill>
        </w:rPr>
      </w:pPr>
      <w:r>
        <w:rPr>
          <w:rStyle w:val="14"/>
          <w:rFonts w:hint="eastAsia" w:ascii="Times New Roman" w:hAnsi="Times New Roman" w:eastAsia="方正黑体_GBK" w:cs="方正黑体_GBK"/>
          <w:b w:val="0"/>
          <w:bCs w:val="0"/>
          <w:color w:val="000000" w:themeColor="text1"/>
          <w:sz w:val="32"/>
          <w:szCs w:val="32"/>
          <w:shd w:val="clear" w:fill="FFFFFF"/>
          <w:lang w:val="en-US" w:eastAsia="zh-CN" w:bidi="ar-SA"/>
          <w14:textFill>
            <w14:solidFill>
              <w14:schemeClr w14:val="tx1"/>
            </w14:solidFill>
          </w14:textFill>
        </w:rPr>
        <w:t>六、专业名词解释</w:t>
      </w:r>
    </w:p>
    <w:p w14:paraId="40F5567B">
      <w:pPr>
        <w:pStyle w:val="13"/>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color w:val="000000" w:themeColor="text1"/>
          <w:kern w:val="0"/>
          <w:sz w:val="32"/>
          <w:szCs w:val="32"/>
          <w14:textFill>
            <w14:solidFill>
              <w14:schemeClr w14:val="tx1"/>
            </w14:solidFill>
          </w14:textFill>
        </w:rPr>
      </w:pPr>
      <w:r>
        <w:rPr>
          <w:rStyle w:val="11"/>
          <w:rFonts w:hint="eastAsia" w:ascii="Times New Roman" w:hAnsi="Times New Roman" w:eastAsia="方正楷体_GBK" w:cs="方正楷体_GBK"/>
          <w:b w:val="0"/>
          <w:bCs/>
          <w:color w:val="000000" w:themeColor="text1"/>
          <w:sz w:val="32"/>
          <w:szCs w:val="32"/>
          <w:shd w:val="clear" w:color="auto" w:fill="FFFFFF"/>
          <w:lang w:val="en-US" w:eastAsia="zh-CN" w:bidi="ar-SA"/>
          <w14:textFill>
            <w14:solidFill>
              <w14:schemeClr w14:val="tx1"/>
            </w14:solidFill>
          </w14:textFill>
        </w:rPr>
        <w:t>（一）财政拨款收入：</w:t>
      </w:r>
      <w:r>
        <w:rPr>
          <w:rFonts w:hint="eastAsia" w:ascii="Times New Roman" w:hAnsi="Times New Roman" w:eastAsia="方正仿宋_GBK" w:cs="方正仿宋_GBK"/>
          <w:color w:val="000000" w:themeColor="text1"/>
          <w:kern w:val="0"/>
          <w:sz w:val="32"/>
          <w:szCs w:val="32"/>
          <w:shd w:val="clear" w:fill="FFFFFF"/>
          <w14:textFill>
            <w14:solidFill>
              <w14:schemeClr w14:val="tx1"/>
            </w14:solidFill>
          </w14:textFill>
        </w:rPr>
        <w:t>指本年度从本级财政</w:t>
      </w:r>
      <w:r>
        <w:rPr>
          <w:rFonts w:hint="eastAsia" w:ascii="Times New Roman" w:hAnsi="Times New Roman" w:eastAsia="方正仿宋_GBK" w:cs="方正仿宋_GBK"/>
          <w:color w:val="000000" w:themeColor="text1"/>
          <w:kern w:val="0"/>
          <w:sz w:val="32"/>
          <w:szCs w:val="32"/>
          <w:shd w:val="clear" w:fill="FFFFFF"/>
          <w:lang w:eastAsia="zh-CN"/>
          <w14:textFill>
            <w14:solidFill>
              <w14:schemeClr w14:val="tx1"/>
            </w14:solidFill>
          </w14:textFill>
        </w:rPr>
        <w:t>单位</w:t>
      </w:r>
      <w:r>
        <w:rPr>
          <w:rFonts w:hint="eastAsia" w:ascii="Times New Roman" w:hAnsi="Times New Roman" w:eastAsia="方正仿宋_GBK" w:cs="方正仿宋_GBK"/>
          <w:color w:val="000000" w:themeColor="text1"/>
          <w:kern w:val="0"/>
          <w:sz w:val="32"/>
          <w:szCs w:val="32"/>
          <w:shd w:val="clear" w:fill="FFFFFF"/>
          <w14:textFill>
            <w14:solidFill>
              <w14:schemeClr w14:val="tx1"/>
            </w14:solidFill>
          </w14:textFill>
        </w:rPr>
        <w:t>取得的财政拨款，包括一般公共预算财政拨款和政府性基金预算财政拨款。</w:t>
      </w:r>
    </w:p>
    <w:p w14:paraId="03C1566D">
      <w:pPr>
        <w:pStyle w:val="13"/>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color w:val="000000" w:themeColor="text1"/>
          <w:kern w:val="0"/>
          <w:sz w:val="32"/>
          <w:szCs w:val="32"/>
          <w14:textFill>
            <w14:solidFill>
              <w14:schemeClr w14:val="tx1"/>
            </w14:solidFill>
          </w14:textFill>
        </w:rPr>
      </w:pPr>
      <w:r>
        <w:rPr>
          <w:rStyle w:val="11"/>
          <w:rFonts w:hint="eastAsia" w:ascii="Times New Roman" w:hAnsi="Times New Roman" w:eastAsia="方正楷体_GBK" w:cs="方正楷体_GBK"/>
          <w:b w:val="0"/>
          <w:bCs/>
          <w:color w:val="000000" w:themeColor="text1"/>
          <w:sz w:val="32"/>
          <w:szCs w:val="32"/>
          <w:shd w:val="clear" w:color="auto" w:fill="FFFFFF"/>
          <w:lang w:val="en-US" w:eastAsia="zh-CN" w:bidi="ar-SA"/>
          <w14:textFill>
            <w14:solidFill>
              <w14:schemeClr w14:val="tx1"/>
            </w14:solidFill>
          </w14:textFill>
        </w:rPr>
        <w:t>（二）事业收入：</w:t>
      </w:r>
      <w:r>
        <w:rPr>
          <w:rFonts w:hint="eastAsia" w:ascii="Times New Roman" w:hAnsi="Times New Roman" w:eastAsia="方正仿宋_GBK" w:cs="方正仿宋_GBK"/>
          <w:color w:val="000000" w:themeColor="text1"/>
          <w:kern w:val="0"/>
          <w:sz w:val="32"/>
          <w:szCs w:val="32"/>
          <w:shd w:val="clear" w:fill="FFFFFF"/>
          <w14:textFill>
            <w14:solidFill>
              <w14:schemeClr w14:val="tx1"/>
            </w14:solidFill>
          </w14:textFill>
        </w:rPr>
        <w:t>指事业单位开展专业业务活动及其辅助活动取得的现金流入；事业单位收到的财政专户实际核拨的教育收费等资金在此反映。</w:t>
      </w:r>
    </w:p>
    <w:p w14:paraId="7758DABA">
      <w:pPr>
        <w:pStyle w:val="13"/>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color w:val="000000" w:themeColor="text1"/>
          <w:kern w:val="0"/>
          <w:sz w:val="32"/>
          <w:szCs w:val="32"/>
          <w14:textFill>
            <w14:solidFill>
              <w14:schemeClr w14:val="tx1"/>
            </w14:solidFill>
          </w14:textFill>
        </w:rPr>
      </w:pPr>
      <w:r>
        <w:rPr>
          <w:rStyle w:val="11"/>
          <w:rFonts w:hint="eastAsia" w:ascii="Times New Roman" w:hAnsi="Times New Roman" w:eastAsia="方正楷体_GBK" w:cs="方正楷体_GBK"/>
          <w:b w:val="0"/>
          <w:bCs/>
          <w:color w:val="000000" w:themeColor="text1"/>
          <w:sz w:val="32"/>
          <w:szCs w:val="32"/>
          <w:shd w:val="clear" w:color="auto" w:fill="FFFFFF"/>
          <w:lang w:val="en-US" w:eastAsia="zh-CN" w:bidi="ar-SA"/>
          <w14:textFill>
            <w14:solidFill>
              <w14:schemeClr w14:val="tx1"/>
            </w14:solidFill>
          </w14:textFill>
        </w:rPr>
        <w:t>（三）经营收入：</w:t>
      </w:r>
      <w:r>
        <w:rPr>
          <w:rFonts w:hint="eastAsia" w:ascii="Times New Roman" w:hAnsi="Times New Roman" w:eastAsia="方正仿宋_GBK" w:cs="方正仿宋_GBK"/>
          <w:color w:val="000000" w:themeColor="text1"/>
          <w:kern w:val="0"/>
          <w:sz w:val="32"/>
          <w:szCs w:val="32"/>
          <w:shd w:val="clear" w:fill="FFFFFF"/>
          <w14:textFill>
            <w14:solidFill>
              <w14:schemeClr w14:val="tx1"/>
            </w14:solidFill>
          </w14:textFill>
        </w:rPr>
        <w:t>指事业单位在专业业务活动及其辅助活动之外开展非独立核算经营活动取得的现金流入。</w:t>
      </w:r>
    </w:p>
    <w:p w14:paraId="19DA101A">
      <w:pPr>
        <w:pStyle w:val="13"/>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kern w:val="0"/>
          <w:sz w:val="32"/>
          <w:szCs w:val="32"/>
        </w:rPr>
      </w:pPr>
      <w:r>
        <w:rPr>
          <w:rStyle w:val="11"/>
          <w:rFonts w:hint="eastAsia" w:ascii="Times New Roman" w:hAnsi="Times New Roman" w:eastAsia="方正楷体_GBK" w:cs="方正楷体_GBK"/>
          <w:b w:val="0"/>
          <w:bCs/>
          <w:color w:val="000000" w:themeColor="text1"/>
          <w:sz w:val="32"/>
          <w:szCs w:val="32"/>
          <w:shd w:val="clear" w:color="auto" w:fill="FFFFFF"/>
          <w:lang w:val="en-US" w:eastAsia="zh-CN" w:bidi="ar-SA"/>
          <w14:textFill>
            <w14:solidFill>
              <w14:schemeClr w14:val="tx1"/>
            </w14:solidFill>
          </w14:textFill>
        </w:rPr>
        <w:t>（四）其他收入：</w:t>
      </w:r>
      <w:r>
        <w:rPr>
          <w:rFonts w:hint="eastAsia" w:ascii="Times New Roman" w:hAnsi="Times New Roman" w:eastAsia="方正仿宋_GBK" w:cs="方正仿宋_GBK"/>
          <w:color w:val="000000" w:themeColor="text1"/>
          <w:kern w:val="0"/>
          <w:sz w:val="32"/>
          <w:szCs w:val="32"/>
          <w:shd w:val="clear" w:fill="FFFFFF"/>
          <w14:textFill>
            <w14:solidFill>
              <w14:schemeClr w14:val="tx1"/>
            </w14:solidFill>
          </w14:textFill>
        </w:rPr>
        <w:t>指单位取得的</w:t>
      </w:r>
      <w:r>
        <w:rPr>
          <w:rFonts w:hint="eastAsia" w:ascii="Times New Roman" w:hAnsi="Times New Roman" w:eastAsia="方正仿宋_GBK" w:cs="方正仿宋_GBK"/>
          <w:kern w:val="0"/>
          <w:sz w:val="32"/>
          <w:szCs w:val="32"/>
          <w:shd w:val="clear" w:fill="FFFFFF"/>
        </w:rPr>
        <w:t>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w:t>
      </w:r>
      <w:r>
        <w:rPr>
          <w:rFonts w:hint="eastAsia" w:ascii="Times New Roman" w:hAnsi="Times New Roman" w:eastAsia="方正仿宋_GBK" w:cs="方正仿宋_GBK"/>
          <w:kern w:val="0"/>
          <w:sz w:val="32"/>
          <w:szCs w:val="32"/>
          <w:shd w:val="clear" w:fill="FFFFFF"/>
          <w:lang w:eastAsia="zh-CN"/>
        </w:rPr>
        <w:t>单位</w:t>
      </w:r>
      <w:r>
        <w:rPr>
          <w:rFonts w:hint="eastAsia" w:ascii="Times New Roman" w:hAnsi="Times New Roman" w:eastAsia="方正仿宋_GBK" w:cs="方正仿宋_GBK"/>
          <w:kern w:val="0"/>
          <w:sz w:val="32"/>
          <w:szCs w:val="32"/>
          <w:shd w:val="clear" w:fill="FFFFFF"/>
        </w:rPr>
        <w:t>以外的同级单位取得的经费、从非本级财政</w:t>
      </w:r>
      <w:r>
        <w:rPr>
          <w:rFonts w:hint="eastAsia" w:ascii="Times New Roman" w:hAnsi="Times New Roman" w:eastAsia="方正仿宋_GBK" w:cs="方正仿宋_GBK"/>
          <w:kern w:val="0"/>
          <w:sz w:val="32"/>
          <w:szCs w:val="32"/>
          <w:shd w:val="clear" w:fill="FFFFFF"/>
          <w:lang w:eastAsia="zh-CN"/>
        </w:rPr>
        <w:t>单位</w:t>
      </w:r>
      <w:r>
        <w:rPr>
          <w:rFonts w:hint="eastAsia" w:ascii="Times New Roman" w:hAnsi="Times New Roman" w:eastAsia="方正仿宋_GBK" w:cs="方正仿宋_GBK"/>
          <w:kern w:val="0"/>
          <w:sz w:val="32"/>
          <w:szCs w:val="32"/>
          <w:shd w:val="clear" w:fill="FFFFFF"/>
        </w:rPr>
        <w:t>取得的经费，以及行政单位收到的财政专户管理资金反映在本项内。</w:t>
      </w:r>
    </w:p>
    <w:p w14:paraId="32AC0472">
      <w:pPr>
        <w:pStyle w:val="13"/>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kern w:val="0"/>
          <w:sz w:val="32"/>
          <w:szCs w:val="32"/>
        </w:rPr>
      </w:pPr>
      <w:r>
        <w:rPr>
          <w:rStyle w:val="11"/>
          <w:rFonts w:hint="eastAsia" w:ascii="Times New Roman" w:hAnsi="Times New Roman" w:eastAsia="方正楷体_GBK" w:cs="方正楷体_GBK"/>
          <w:b w:val="0"/>
          <w:bCs/>
          <w:sz w:val="32"/>
          <w:szCs w:val="32"/>
          <w:shd w:val="clear" w:color="auto" w:fill="FFFFFF"/>
          <w:lang w:val="en-US" w:eastAsia="zh-CN" w:bidi="ar-SA"/>
        </w:rPr>
        <w:t>（五）使用非财政拨款结余：</w:t>
      </w:r>
      <w:r>
        <w:rPr>
          <w:rFonts w:hint="eastAsia" w:ascii="Times New Roman" w:hAnsi="Times New Roman"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14:paraId="38B3EB66">
      <w:pPr>
        <w:pStyle w:val="13"/>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kern w:val="0"/>
          <w:sz w:val="32"/>
          <w:szCs w:val="32"/>
        </w:rPr>
      </w:pPr>
      <w:r>
        <w:rPr>
          <w:rStyle w:val="11"/>
          <w:rFonts w:hint="eastAsia" w:ascii="Times New Roman" w:hAnsi="Times New Roman" w:eastAsia="方正楷体_GBK" w:cs="方正楷体_GBK"/>
          <w:b w:val="0"/>
          <w:bCs/>
          <w:sz w:val="32"/>
          <w:szCs w:val="32"/>
          <w:shd w:val="clear" w:color="auto" w:fill="FFFFFF"/>
          <w:lang w:val="en-US" w:eastAsia="zh-CN" w:bidi="ar-SA"/>
        </w:rPr>
        <w:t>（六）年初结转和结余：</w:t>
      </w:r>
      <w:r>
        <w:rPr>
          <w:rFonts w:hint="eastAsia" w:ascii="Times New Roman" w:hAnsi="Times New Roman" w:eastAsia="方正仿宋_GBK" w:cs="方正仿宋_GBK"/>
          <w:kern w:val="0"/>
          <w:sz w:val="32"/>
          <w:szCs w:val="32"/>
          <w:shd w:val="clear" w:fill="FFFFFF"/>
        </w:rPr>
        <w:t>指单位上年结转本年使用的基本支出结转、项目支出结转和结余、经营结余。</w:t>
      </w:r>
    </w:p>
    <w:p w14:paraId="7B086E12">
      <w:pPr>
        <w:pStyle w:val="13"/>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kern w:val="0"/>
          <w:sz w:val="32"/>
          <w:szCs w:val="32"/>
        </w:rPr>
      </w:pPr>
      <w:r>
        <w:rPr>
          <w:rStyle w:val="11"/>
          <w:rFonts w:hint="eastAsia" w:ascii="Times New Roman" w:hAnsi="Times New Roman" w:eastAsia="方正楷体_GBK" w:cs="方正楷体_GBK"/>
          <w:b w:val="0"/>
          <w:bCs/>
          <w:sz w:val="32"/>
          <w:szCs w:val="32"/>
          <w:shd w:val="clear" w:color="auto" w:fill="FFFFFF"/>
          <w:lang w:val="en-US" w:eastAsia="zh-CN" w:bidi="ar-SA"/>
        </w:rPr>
        <w:t>（七）结余分配：</w:t>
      </w:r>
      <w:r>
        <w:rPr>
          <w:rFonts w:hint="eastAsia" w:ascii="Times New Roman" w:hAnsi="Times New Roman" w:eastAsia="方正仿宋_GBK" w:cs="方正仿宋_GBK"/>
          <w:kern w:val="0"/>
          <w:sz w:val="32"/>
          <w:szCs w:val="32"/>
          <w:shd w:val="clear" w:fill="FFFFFF"/>
        </w:rPr>
        <w:t>指单位按照国家有关规定，缴纳所得税、提取专用基金、转入非财政拨款结余等当年结余的分配情况。</w:t>
      </w:r>
    </w:p>
    <w:p w14:paraId="6F534ADA">
      <w:pPr>
        <w:pStyle w:val="13"/>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kern w:val="0"/>
          <w:sz w:val="32"/>
          <w:szCs w:val="32"/>
        </w:rPr>
      </w:pPr>
      <w:r>
        <w:rPr>
          <w:rStyle w:val="11"/>
          <w:rFonts w:hint="eastAsia" w:ascii="Times New Roman" w:hAnsi="Times New Roman" w:eastAsia="方正楷体_GBK" w:cs="方正楷体_GBK"/>
          <w:b w:val="0"/>
          <w:bCs/>
          <w:sz w:val="32"/>
          <w:szCs w:val="32"/>
          <w:shd w:val="clear" w:color="auto" w:fill="FFFFFF"/>
          <w:lang w:val="en-US" w:eastAsia="zh-CN" w:bidi="ar-SA"/>
        </w:rPr>
        <w:t>（八）年末结转和结余：</w:t>
      </w:r>
      <w:r>
        <w:rPr>
          <w:rFonts w:hint="eastAsia" w:ascii="Times New Roman" w:hAnsi="Times New Roman" w:eastAsia="方正仿宋_GBK" w:cs="方正仿宋_GBK"/>
          <w:kern w:val="0"/>
          <w:sz w:val="32"/>
          <w:szCs w:val="32"/>
          <w:shd w:val="clear" w:fill="FFFFFF"/>
        </w:rPr>
        <w:t>指单位结转下年的基本支出结转、项目支出结转和结余、经营结余。</w:t>
      </w:r>
    </w:p>
    <w:p w14:paraId="62D7BF44">
      <w:pPr>
        <w:pStyle w:val="13"/>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kern w:val="0"/>
          <w:sz w:val="32"/>
          <w:szCs w:val="32"/>
        </w:rPr>
      </w:pPr>
      <w:r>
        <w:rPr>
          <w:rStyle w:val="11"/>
          <w:rFonts w:hint="eastAsia" w:ascii="Times New Roman" w:hAnsi="Times New Roman" w:eastAsia="方正楷体_GBK" w:cs="方正楷体_GBK"/>
          <w:b w:val="0"/>
          <w:bCs/>
          <w:sz w:val="32"/>
          <w:szCs w:val="32"/>
          <w:shd w:val="clear" w:color="auto" w:fill="FFFFFF"/>
          <w:lang w:val="en-US" w:eastAsia="zh-CN" w:bidi="ar-SA"/>
        </w:rPr>
        <w:t>（九）基本支出：</w:t>
      </w:r>
      <w:r>
        <w:rPr>
          <w:rFonts w:hint="eastAsia" w:ascii="Times New Roman" w:hAnsi="Times New Roman"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148DFC29">
      <w:pPr>
        <w:pStyle w:val="13"/>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kern w:val="0"/>
          <w:sz w:val="32"/>
          <w:szCs w:val="32"/>
        </w:rPr>
      </w:pPr>
      <w:r>
        <w:rPr>
          <w:rStyle w:val="11"/>
          <w:rFonts w:hint="eastAsia" w:ascii="Times New Roman" w:hAnsi="Times New Roman" w:eastAsia="方正楷体_GBK" w:cs="方正楷体_GBK"/>
          <w:b w:val="0"/>
          <w:bCs/>
          <w:sz w:val="32"/>
          <w:szCs w:val="32"/>
          <w:shd w:val="clear" w:color="auto" w:fill="FFFFFF"/>
          <w:lang w:val="en-US" w:eastAsia="zh-CN" w:bidi="ar-SA"/>
        </w:rPr>
        <w:t>（十）项目支出：</w:t>
      </w:r>
      <w:r>
        <w:rPr>
          <w:rFonts w:hint="eastAsia" w:ascii="Times New Roman" w:hAnsi="Times New Roman" w:eastAsia="方正仿宋_GBK" w:cs="方正仿宋_GBK"/>
          <w:kern w:val="0"/>
          <w:sz w:val="32"/>
          <w:szCs w:val="32"/>
          <w:shd w:val="clear" w:fill="FFFFFF"/>
        </w:rPr>
        <w:t>指在基本支出之外为完成特定行政任务和事业发展目标所发生的支出。</w:t>
      </w:r>
    </w:p>
    <w:p w14:paraId="7ED901CA">
      <w:pPr>
        <w:pStyle w:val="13"/>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kern w:val="0"/>
          <w:sz w:val="32"/>
          <w:szCs w:val="32"/>
        </w:rPr>
      </w:pPr>
      <w:r>
        <w:rPr>
          <w:rStyle w:val="11"/>
          <w:rFonts w:hint="eastAsia" w:ascii="Times New Roman" w:hAnsi="Times New Roman" w:eastAsia="方正楷体_GBK" w:cs="方正楷体_GBK"/>
          <w:b w:val="0"/>
          <w:bCs/>
          <w:sz w:val="32"/>
          <w:szCs w:val="32"/>
          <w:shd w:val="clear" w:color="auto" w:fill="FFFFFF"/>
          <w:lang w:val="en-US" w:eastAsia="zh-CN" w:bidi="ar-SA"/>
        </w:rPr>
        <w:t>（十一）经营支出：</w:t>
      </w:r>
      <w:r>
        <w:rPr>
          <w:rFonts w:hint="eastAsia" w:ascii="Times New Roman" w:hAnsi="Times New Roman" w:eastAsia="方正仿宋_GBK" w:cs="方正仿宋_GBK"/>
          <w:kern w:val="0"/>
          <w:sz w:val="32"/>
          <w:szCs w:val="32"/>
          <w:shd w:val="clear" w:fill="FFFFFF"/>
        </w:rPr>
        <w:t>指事业单位在专业业务活动及其辅助活动之外开展非独立核算经营活动发生的支出。</w:t>
      </w:r>
    </w:p>
    <w:p w14:paraId="1AF7C806">
      <w:pPr>
        <w:pStyle w:val="13"/>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kern w:val="0"/>
          <w:sz w:val="32"/>
          <w:szCs w:val="32"/>
        </w:rPr>
      </w:pPr>
      <w:r>
        <w:rPr>
          <w:rStyle w:val="11"/>
          <w:rFonts w:hint="eastAsia" w:ascii="Times New Roman" w:hAnsi="Times New Roman" w:eastAsia="方正楷体_GBK" w:cs="方正楷体_GBK"/>
          <w:b w:val="0"/>
          <w:bCs/>
          <w:sz w:val="32"/>
          <w:szCs w:val="32"/>
          <w:shd w:val="clear" w:color="auto" w:fill="FFFFFF"/>
          <w:lang w:val="en-US" w:eastAsia="zh-CN" w:bidi="ar-SA"/>
        </w:rPr>
        <w:t>（十二）“三公”经费：</w:t>
      </w:r>
      <w:r>
        <w:rPr>
          <w:rFonts w:hint="eastAsia" w:ascii="Times New Roman" w:hAnsi="Times New Roman"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62C2118D">
      <w:pPr>
        <w:pStyle w:val="13"/>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kern w:val="0"/>
          <w:sz w:val="32"/>
          <w:szCs w:val="32"/>
        </w:rPr>
      </w:pPr>
      <w:r>
        <w:rPr>
          <w:rStyle w:val="11"/>
          <w:rFonts w:hint="eastAsia" w:ascii="Times New Roman" w:hAnsi="Times New Roman" w:eastAsia="方正楷体_GBK" w:cs="方正楷体_GBK"/>
          <w:b w:val="0"/>
          <w:bCs/>
          <w:sz w:val="32"/>
          <w:szCs w:val="32"/>
          <w:shd w:val="clear" w:color="auto" w:fill="FFFFFF"/>
          <w:lang w:val="en-US" w:eastAsia="zh-CN" w:bidi="ar-SA"/>
        </w:rPr>
        <w:t>（十三）机关运行经费：</w:t>
      </w:r>
      <w:r>
        <w:rPr>
          <w:rFonts w:hint="eastAsia" w:ascii="Times New Roman" w:hAnsi="Times New Roman"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542ED186">
      <w:pPr>
        <w:pStyle w:val="13"/>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kern w:val="0"/>
          <w:sz w:val="32"/>
          <w:szCs w:val="32"/>
        </w:rPr>
      </w:pPr>
      <w:r>
        <w:rPr>
          <w:rStyle w:val="11"/>
          <w:rFonts w:hint="eastAsia" w:ascii="Times New Roman" w:hAnsi="Times New Roman" w:eastAsia="方正楷体_GBK" w:cs="方正楷体_GBK"/>
          <w:b w:val="0"/>
          <w:bCs/>
          <w:sz w:val="32"/>
          <w:szCs w:val="32"/>
          <w:shd w:val="clear" w:color="auto" w:fill="FFFFFF"/>
          <w:lang w:val="en-US" w:eastAsia="zh-CN" w:bidi="ar-SA"/>
        </w:rPr>
        <w:t>（十四）工资福利支出（支出经济分类科目类级）：</w:t>
      </w:r>
      <w:r>
        <w:rPr>
          <w:rFonts w:hint="eastAsia" w:ascii="Times New Roman" w:hAnsi="Times New Roman" w:eastAsia="方正仿宋_GBK" w:cs="方正仿宋_GBK"/>
          <w:kern w:val="0"/>
          <w:sz w:val="32"/>
          <w:szCs w:val="32"/>
          <w:shd w:val="clear" w:fill="FFFFFF"/>
        </w:rPr>
        <w:t>反映单位开支的在职职工和编制外长期聘用人员的各类劳动报酬，以及为上述人员缴纳的各项社会保险费等。</w:t>
      </w:r>
    </w:p>
    <w:p w14:paraId="7E5AC308">
      <w:pPr>
        <w:pStyle w:val="13"/>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kern w:val="0"/>
          <w:sz w:val="32"/>
          <w:szCs w:val="32"/>
        </w:rPr>
      </w:pPr>
      <w:r>
        <w:rPr>
          <w:rStyle w:val="11"/>
          <w:rFonts w:hint="eastAsia" w:ascii="Times New Roman" w:hAnsi="Times New Roman" w:eastAsia="方正楷体_GBK" w:cs="方正楷体_GBK"/>
          <w:b w:val="0"/>
          <w:bCs/>
          <w:sz w:val="32"/>
          <w:szCs w:val="32"/>
          <w:shd w:val="clear" w:color="auto" w:fill="FFFFFF"/>
          <w:lang w:val="en-US" w:eastAsia="zh-CN" w:bidi="ar-SA"/>
        </w:rPr>
        <w:t>（十五）商品和服务支出（支出经济分类科目类级）：</w:t>
      </w:r>
      <w:r>
        <w:rPr>
          <w:rFonts w:hint="eastAsia" w:ascii="Times New Roman" w:hAnsi="Times New Roman" w:eastAsia="方正仿宋_GBK" w:cs="方正仿宋_GBK"/>
          <w:kern w:val="0"/>
          <w:sz w:val="32"/>
          <w:szCs w:val="32"/>
          <w:shd w:val="clear" w:fill="FFFFFF"/>
        </w:rPr>
        <w:t>反映单位购买商品和服务的支出（不包括用于购置固定资产的支出、战略性和应急储备支出）。</w:t>
      </w:r>
    </w:p>
    <w:p w14:paraId="0D512997">
      <w:pPr>
        <w:pStyle w:val="13"/>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kern w:val="0"/>
          <w:sz w:val="32"/>
          <w:szCs w:val="32"/>
        </w:rPr>
      </w:pPr>
      <w:r>
        <w:rPr>
          <w:rStyle w:val="11"/>
          <w:rFonts w:hint="eastAsia" w:ascii="Times New Roman" w:hAnsi="Times New Roman" w:eastAsia="方正楷体_GBK" w:cs="方正楷体_GBK"/>
          <w:b w:val="0"/>
          <w:bCs/>
          <w:sz w:val="32"/>
          <w:szCs w:val="32"/>
          <w:shd w:val="clear" w:color="auto" w:fill="FFFFFF"/>
          <w:lang w:val="en-US" w:eastAsia="zh-CN" w:bidi="ar-SA"/>
        </w:rPr>
        <w:t>（十六）对个人和家庭的补助（支出经济分类科目类级）：</w:t>
      </w:r>
      <w:r>
        <w:rPr>
          <w:rFonts w:hint="eastAsia" w:ascii="Times New Roman" w:hAnsi="Times New Roman" w:eastAsia="方正仿宋_GBK" w:cs="方正仿宋_GBK"/>
          <w:kern w:val="0"/>
          <w:sz w:val="32"/>
          <w:szCs w:val="32"/>
          <w:shd w:val="clear" w:fill="FFFFFF"/>
        </w:rPr>
        <w:t>反映用于对个人和家庭的补助支出。</w:t>
      </w:r>
    </w:p>
    <w:p w14:paraId="50C781A8">
      <w:pPr>
        <w:pStyle w:val="13"/>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kern w:val="0"/>
          <w:sz w:val="32"/>
          <w:szCs w:val="32"/>
        </w:rPr>
      </w:pPr>
      <w:r>
        <w:rPr>
          <w:rStyle w:val="11"/>
          <w:rFonts w:hint="eastAsia" w:ascii="Times New Roman" w:hAnsi="Times New Roman" w:eastAsia="方正楷体_GBK" w:cs="方正楷体_GBK"/>
          <w:b w:val="0"/>
          <w:bCs/>
          <w:sz w:val="32"/>
          <w:szCs w:val="32"/>
          <w:shd w:val="clear" w:color="auto" w:fill="FFFFFF"/>
          <w:lang w:val="en-US" w:eastAsia="zh-CN" w:bidi="ar-SA"/>
        </w:rPr>
        <w:t>（十七）其他资本性支出（支出经济分类科目类级）：</w:t>
      </w:r>
      <w:r>
        <w:rPr>
          <w:rFonts w:hint="eastAsia" w:ascii="Times New Roman" w:hAnsi="Times New Roman" w:eastAsia="方正仿宋_GBK" w:cs="方正仿宋_GBK"/>
          <w:kern w:val="0"/>
          <w:sz w:val="32"/>
          <w:szCs w:val="32"/>
          <w:shd w:val="clear" w:fill="FFFFFF"/>
        </w:rPr>
        <w:t>反映非各级发展与改革</w:t>
      </w:r>
      <w:r>
        <w:rPr>
          <w:rFonts w:hint="eastAsia" w:ascii="Times New Roman" w:hAnsi="Times New Roman" w:eastAsia="方正仿宋_GBK" w:cs="方正仿宋_GBK"/>
          <w:kern w:val="0"/>
          <w:sz w:val="32"/>
          <w:szCs w:val="32"/>
          <w:shd w:val="clear" w:fill="FFFFFF"/>
          <w:lang w:eastAsia="zh-CN"/>
        </w:rPr>
        <w:t>单位</w:t>
      </w:r>
      <w:r>
        <w:rPr>
          <w:rFonts w:hint="eastAsia" w:ascii="Times New Roman" w:hAnsi="Times New Roman" w:eastAsia="方正仿宋_GBK" w:cs="方正仿宋_GBK"/>
          <w:kern w:val="0"/>
          <w:sz w:val="32"/>
          <w:szCs w:val="32"/>
          <w:shd w:val="clear" w:fill="FFFFFF"/>
        </w:rPr>
        <w:t>集中安排的用于购置固定资产、战略性和应急性储备、土地和无形资产，以及构建基础设施、大型修缮和财政支持企业更新改造所发生的支出。</w:t>
      </w:r>
    </w:p>
    <w:p w14:paraId="0B3FDF32">
      <w:pPr>
        <w:pStyle w:val="13"/>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黑体_GBK" w:cs="方正黑体_GBK"/>
          <w:b w:val="0"/>
          <w:bCs/>
          <w:kern w:val="0"/>
          <w:sz w:val="32"/>
          <w:szCs w:val="32"/>
        </w:rPr>
      </w:pPr>
      <w:r>
        <w:rPr>
          <w:rStyle w:val="11"/>
          <w:rFonts w:hint="eastAsia" w:ascii="Times New Roman" w:hAnsi="Times New Roman" w:eastAsia="方正黑体_GBK" w:cs="方正黑体_GBK"/>
          <w:b w:val="0"/>
          <w:bCs/>
          <w:sz w:val="32"/>
          <w:szCs w:val="32"/>
          <w:shd w:val="clear" w:color="auto" w:fill="FFFFFF"/>
          <w:lang w:val="en-US" w:eastAsia="zh-CN" w:bidi="ar-SA"/>
        </w:rPr>
        <w:t>七、决算公开联系方式及信息反馈渠道</w:t>
      </w:r>
    </w:p>
    <w:p w14:paraId="5F756EF2">
      <w:pPr>
        <w:pStyle w:val="12"/>
        <w:keepNext w:val="0"/>
        <w:keepLines w:val="0"/>
        <w:pageBreakBefore w:val="0"/>
        <w:widowControl/>
        <w:kinsoku/>
        <w:wordWrap/>
        <w:overflowPunct/>
        <w:topLinePunct w:val="0"/>
        <w:autoSpaceDE w:val="0"/>
        <w:autoSpaceDN/>
        <w:bidi w:val="0"/>
        <w:spacing w:beforeAutospacing="0" w:afterAutospacing="0" w:line="594" w:lineRule="exact"/>
        <w:ind w:firstLine="640" w:firstLineChars="200"/>
        <w:textAlignment w:val="auto"/>
        <w:rPr>
          <w:rFonts w:hint="eastAsia" w:ascii="Times New Roman" w:hAnsi="Times New Roman" w:eastAsia="方正仿宋_GBK" w:cs="方正仿宋_GBK"/>
          <w:sz w:val="32"/>
          <w:szCs w:val="32"/>
          <w:shd w:val="clear" w:color="auto" w:fill="FFFFFF"/>
          <w:lang w:eastAsia="zh-CN"/>
        </w:rPr>
      </w:pPr>
      <w:r>
        <w:rPr>
          <w:rFonts w:ascii="Times New Roman" w:hAnsi="Times New Roman" w:eastAsia="方正仿宋_GBK" w:cs="方正仿宋_GBK"/>
          <w:sz w:val="32"/>
          <w:szCs w:val="32"/>
          <w:shd w:val="clear" w:color="auto" w:fill="FFFFFF"/>
        </w:rPr>
        <w:t>本单位决算公开信息反馈和联系方式：</w:t>
      </w:r>
      <w:r>
        <w:rPr>
          <w:rFonts w:hint="eastAsia" w:ascii="Times New Roman" w:hAnsi="Times New Roman" w:eastAsia="方正仿宋_GBK" w:cs="方正仿宋_GBK"/>
          <w:sz w:val="32"/>
          <w:szCs w:val="32"/>
          <w:shd w:val="clear" w:color="auto" w:fill="FFFFFF"/>
          <w:lang w:val="en-US" w:eastAsia="zh-CN"/>
        </w:rPr>
        <w:t>023-</w:t>
      </w:r>
      <w:r>
        <w:rPr>
          <w:rFonts w:hint="eastAsia" w:ascii="Times New Roman" w:hAnsi="Times New Roman" w:eastAsia="方正仿宋_GBK" w:cs="方正仿宋_GBK"/>
          <w:sz w:val="32"/>
          <w:szCs w:val="32"/>
          <w:shd w:val="clear" w:color="auto" w:fill="FFFFFF"/>
        </w:rPr>
        <w:t>68611724</w:t>
      </w:r>
      <w:r>
        <w:rPr>
          <w:rFonts w:hint="eastAsia" w:ascii="Times New Roman" w:hAnsi="Times New Roman" w:eastAsia="方正仿宋_GBK" w:cs="方正仿宋_GBK"/>
          <w:sz w:val="32"/>
          <w:szCs w:val="32"/>
          <w:shd w:val="clear" w:color="auto" w:fill="FFFFFF"/>
          <w:lang w:eastAsia="zh-CN"/>
        </w:rPr>
        <w:t>。</w:t>
      </w:r>
    </w:p>
    <w:p w14:paraId="3946551D">
      <w:pPr>
        <w:pStyle w:val="12"/>
        <w:keepNext w:val="0"/>
        <w:keepLines w:val="0"/>
        <w:pageBreakBefore w:val="0"/>
        <w:widowControl/>
        <w:kinsoku/>
        <w:wordWrap/>
        <w:overflowPunct/>
        <w:topLinePunct w:val="0"/>
        <w:autoSpaceDE w:val="0"/>
        <w:autoSpaceDN/>
        <w:bidi w:val="0"/>
        <w:spacing w:beforeAutospacing="0" w:afterAutospacing="0" w:line="594" w:lineRule="exact"/>
        <w:ind w:firstLine="640" w:firstLineChars="200"/>
        <w:textAlignment w:val="auto"/>
        <w:rPr>
          <w:rFonts w:hint="eastAsia" w:ascii="Times New Roman" w:hAnsi="Times New Roman" w:eastAsia="方正仿宋_GBK" w:cs="方正仿宋_GBK"/>
          <w:sz w:val="32"/>
          <w:szCs w:val="32"/>
          <w:shd w:val="clear" w:color="auto" w:fill="FFFFFF"/>
        </w:rPr>
      </w:pPr>
    </w:p>
    <w:p w14:paraId="3DF678F5">
      <w:pPr>
        <w:keepNext w:val="0"/>
        <w:keepLines w:val="0"/>
        <w:pageBreakBefore w:val="0"/>
        <w:widowControl/>
        <w:kinsoku/>
        <w:wordWrap/>
        <w:overflowPunct/>
        <w:topLinePunct w:val="0"/>
        <w:autoSpaceDN/>
        <w:bidi w:val="0"/>
        <w:adjustRightInd w:val="0"/>
        <w:snapToGrid w:val="0"/>
        <w:spacing w:beforeAutospacing="0" w:afterAutospacing="0" w:line="594" w:lineRule="exact"/>
        <w:ind w:firstLine="640" w:firstLineChars="200"/>
        <w:jc w:val="left"/>
        <w:textAlignment w:val="auto"/>
        <w:rPr>
          <w:rFonts w:hint="eastAsia" w:ascii="Times New Roman" w:hAnsi="Times New Roman" w:eastAsia="方正仿宋_GBK" w:cs="方正仿宋_GBK"/>
          <w:kern w:val="0"/>
          <w:sz w:val="32"/>
          <w:szCs w:val="32"/>
          <w:shd w:val="clear" w:fill="FFFFFF"/>
          <w:lang w:val="en-US" w:eastAsia="zh-CN" w:bidi="ar-SA"/>
        </w:rPr>
      </w:pPr>
      <w:r>
        <w:rPr>
          <w:rFonts w:hint="eastAsia" w:ascii="Times New Roman" w:hAnsi="Times New Roman" w:eastAsia="方正仿宋_GBK" w:cs="方正仿宋_GBK"/>
          <w:kern w:val="0"/>
          <w:sz w:val="32"/>
          <w:szCs w:val="32"/>
          <w:shd w:val="clear" w:fill="FFFFFF"/>
          <w:lang w:val="en-US" w:eastAsia="zh-CN" w:bidi="ar-SA"/>
        </w:rPr>
        <w:t>附件：1.收入支出决算总表</w:t>
      </w:r>
    </w:p>
    <w:p w14:paraId="64848221">
      <w:pPr>
        <w:keepNext w:val="0"/>
        <w:keepLines w:val="0"/>
        <w:pageBreakBefore w:val="0"/>
        <w:widowControl/>
        <w:kinsoku/>
        <w:wordWrap/>
        <w:overflowPunct/>
        <w:topLinePunct w:val="0"/>
        <w:autoSpaceDN/>
        <w:bidi w:val="0"/>
        <w:adjustRightInd w:val="0"/>
        <w:snapToGrid w:val="0"/>
        <w:spacing w:beforeAutospacing="0" w:afterAutospacing="0" w:line="594" w:lineRule="exact"/>
        <w:ind w:firstLine="1600" w:firstLineChars="500"/>
        <w:jc w:val="left"/>
        <w:textAlignment w:val="auto"/>
        <w:rPr>
          <w:rFonts w:hint="eastAsia" w:ascii="Times New Roman" w:hAnsi="Times New Roman" w:eastAsia="方正仿宋_GBK" w:cs="方正仿宋_GBK"/>
          <w:kern w:val="0"/>
          <w:sz w:val="32"/>
          <w:szCs w:val="32"/>
          <w:shd w:val="clear" w:fill="FFFFFF"/>
          <w:lang w:val="en-US" w:eastAsia="zh-CN" w:bidi="ar-SA"/>
        </w:rPr>
      </w:pPr>
      <w:r>
        <w:rPr>
          <w:rFonts w:hint="eastAsia" w:ascii="Times New Roman" w:hAnsi="Times New Roman" w:eastAsia="方正仿宋_GBK" w:cs="方正仿宋_GBK"/>
          <w:kern w:val="0"/>
          <w:sz w:val="32"/>
          <w:szCs w:val="32"/>
          <w:shd w:val="clear" w:fill="FFFFFF"/>
          <w:lang w:val="en-US" w:eastAsia="zh-CN" w:bidi="ar-SA"/>
        </w:rPr>
        <w:t>2.收入决算表</w:t>
      </w:r>
    </w:p>
    <w:p w14:paraId="02053B60">
      <w:pPr>
        <w:keepNext w:val="0"/>
        <w:keepLines w:val="0"/>
        <w:pageBreakBefore w:val="0"/>
        <w:widowControl/>
        <w:kinsoku/>
        <w:wordWrap/>
        <w:overflowPunct/>
        <w:topLinePunct w:val="0"/>
        <w:autoSpaceDN/>
        <w:bidi w:val="0"/>
        <w:adjustRightInd w:val="0"/>
        <w:snapToGrid w:val="0"/>
        <w:spacing w:beforeAutospacing="0" w:afterAutospacing="0" w:line="594" w:lineRule="exact"/>
        <w:ind w:firstLine="1600" w:firstLineChars="500"/>
        <w:jc w:val="left"/>
        <w:textAlignment w:val="auto"/>
        <w:rPr>
          <w:rFonts w:hint="eastAsia" w:ascii="Times New Roman" w:hAnsi="Times New Roman" w:eastAsia="方正仿宋_GBK" w:cs="方正仿宋_GBK"/>
          <w:kern w:val="0"/>
          <w:sz w:val="32"/>
          <w:szCs w:val="32"/>
          <w:shd w:val="clear" w:fill="FFFFFF"/>
          <w:lang w:val="en-US" w:eastAsia="zh-CN" w:bidi="ar-SA"/>
        </w:rPr>
      </w:pPr>
      <w:r>
        <w:rPr>
          <w:rFonts w:hint="eastAsia" w:ascii="Times New Roman" w:hAnsi="Times New Roman" w:eastAsia="方正仿宋_GBK" w:cs="方正仿宋_GBK"/>
          <w:kern w:val="0"/>
          <w:sz w:val="32"/>
          <w:szCs w:val="32"/>
          <w:shd w:val="clear" w:fill="FFFFFF"/>
          <w:lang w:val="en-US" w:eastAsia="zh-CN" w:bidi="ar-SA"/>
        </w:rPr>
        <w:t>3.支出决算表</w:t>
      </w:r>
    </w:p>
    <w:p w14:paraId="1795E608">
      <w:pPr>
        <w:keepNext w:val="0"/>
        <w:keepLines w:val="0"/>
        <w:pageBreakBefore w:val="0"/>
        <w:widowControl/>
        <w:kinsoku/>
        <w:wordWrap/>
        <w:overflowPunct/>
        <w:topLinePunct w:val="0"/>
        <w:autoSpaceDN/>
        <w:bidi w:val="0"/>
        <w:adjustRightInd w:val="0"/>
        <w:snapToGrid w:val="0"/>
        <w:spacing w:beforeAutospacing="0" w:afterAutospacing="0" w:line="594" w:lineRule="exact"/>
        <w:ind w:firstLine="1600" w:firstLineChars="500"/>
        <w:jc w:val="left"/>
        <w:textAlignment w:val="auto"/>
        <w:rPr>
          <w:rFonts w:hint="eastAsia" w:ascii="Times New Roman" w:hAnsi="Times New Roman" w:eastAsia="方正仿宋_GBK" w:cs="方正仿宋_GBK"/>
          <w:kern w:val="0"/>
          <w:sz w:val="32"/>
          <w:szCs w:val="32"/>
          <w:shd w:val="clear" w:fill="FFFFFF"/>
          <w:lang w:val="en-US" w:eastAsia="zh-CN" w:bidi="ar-SA"/>
        </w:rPr>
      </w:pPr>
      <w:r>
        <w:rPr>
          <w:rFonts w:hint="eastAsia" w:ascii="Times New Roman" w:hAnsi="Times New Roman" w:eastAsia="方正仿宋_GBK" w:cs="方正仿宋_GBK"/>
          <w:kern w:val="0"/>
          <w:sz w:val="32"/>
          <w:szCs w:val="32"/>
          <w:shd w:val="clear" w:fill="FFFFFF"/>
          <w:lang w:val="en-US" w:eastAsia="zh-CN" w:bidi="ar-SA"/>
        </w:rPr>
        <w:t>4.财政拨款收入支出决算总表</w:t>
      </w:r>
    </w:p>
    <w:p w14:paraId="0708DEB0">
      <w:pPr>
        <w:keepNext w:val="0"/>
        <w:keepLines w:val="0"/>
        <w:pageBreakBefore w:val="0"/>
        <w:widowControl/>
        <w:kinsoku/>
        <w:wordWrap/>
        <w:overflowPunct/>
        <w:topLinePunct w:val="0"/>
        <w:autoSpaceDN/>
        <w:bidi w:val="0"/>
        <w:adjustRightInd w:val="0"/>
        <w:snapToGrid w:val="0"/>
        <w:spacing w:beforeAutospacing="0" w:afterAutospacing="0" w:line="594" w:lineRule="exact"/>
        <w:ind w:firstLine="1600" w:firstLineChars="500"/>
        <w:jc w:val="left"/>
        <w:textAlignment w:val="auto"/>
        <w:rPr>
          <w:rFonts w:hint="eastAsia" w:ascii="Times New Roman" w:hAnsi="Times New Roman" w:eastAsia="方正仿宋_GBK" w:cs="方正仿宋_GBK"/>
          <w:kern w:val="0"/>
          <w:sz w:val="32"/>
          <w:szCs w:val="32"/>
          <w:shd w:val="clear" w:fill="FFFFFF"/>
          <w:lang w:val="en-US" w:eastAsia="zh-CN" w:bidi="ar-SA"/>
        </w:rPr>
      </w:pPr>
      <w:r>
        <w:rPr>
          <w:rFonts w:hint="eastAsia" w:ascii="Times New Roman" w:hAnsi="Times New Roman" w:eastAsia="方正仿宋_GBK" w:cs="方正仿宋_GBK"/>
          <w:kern w:val="0"/>
          <w:sz w:val="32"/>
          <w:szCs w:val="32"/>
          <w:shd w:val="clear" w:fill="FFFFFF"/>
          <w:lang w:val="en-US" w:eastAsia="zh-CN" w:bidi="ar-SA"/>
        </w:rPr>
        <w:t>5.一般公共预算财政拨款支出决算表</w:t>
      </w:r>
    </w:p>
    <w:p w14:paraId="0E659788">
      <w:pPr>
        <w:keepNext w:val="0"/>
        <w:keepLines w:val="0"/>
        <w:pageBreakBefore w:val="0"/>
        <w:widowControl/>
        <w:kinsoku/>
        <w:wordWrap/>
        <w:overflowPunct/>
        <w:topLinePunct w:val="0"/>
        <w:autoSpaceDN/>
        <w:bidi w:val="0"/>
        <w:adjustRightInd w:val="0"/>
        <w:snapToGrid w:val="0"/>
        <w:spacing w:beforeAutospacing="0" w:afterAutospacing="0" w:line="594" w:lineRule="exact"/>
        <w:ind w:firstLine="1600" w:firstLineChars="500"/>
        <w:jc w:val="left"/>
        <w:textAlignment w:val="auto"/>
        <w:rPr>
          <w:rFonts w:hint="eastAsia" w:ascii="Times New Roman" w:hAnsi="Times New Roman" w:eastAsia="方正仿宋_GBK" w:cs="方正仿宋_GBK"/>
          <w:kern w:val="0"/>
          <w:sz w:val="32"/>
          <w:szCs w:val="32"/>
          <w:shd w:val="clear" w:fill="FFFFFF"/>
          <w:lang w:val="en-US" w:eastAsia="zh-CN" w:bidi="ar-SA"/>
        </w:rPr>
      </w:pPr>
      <w:r>
        <w:rPr>
          <w:rFonts w:hint="eastAsia" w:ascii="Times New Roman" w:hAnsi="Times New Roman" w:eastAsia="方正仿宋_GBK" w:cs="方正仿宋_GBK"/>
          <w:kern w:val="0"/>
          <w:sz w:val="32"/>
          <w:szCs w:val="32"/>
          <w:shd w:val="clear" w:fill="FFFFFF"/>
          <w:lang w:val="en-US" w:eastAsia="zh-CN" w:bidi="ar-SA"/>
        </w:rPr>
        <w:t>6.一般公共预算财政拨款基本支出决算表</w:t>
      </w:r>
    </w:p>
    <w:p w14:paraId="4AE46ABC">
      <w:pPr>
        <w:keepNext w:val="0"/>
        <w:keepLines w:val="0"/>
        <w:pageBreakBefore w:val="0"/>
        <w:widowControl/>
        <w:kinsoku/>
        <w:wordWrap/>
        <w:overflowPunct/>
        <w:topLinePunct w:val="0"/>
        <w:autoSpaceDN/>
        <w:bidi w:val="0"/>
        <w:adjustRightInd w:val="0"/>
        <w:snapToGrid w:val="0"/>
        <w:spacing w:beforeAutospacing="0" w:afterAutospacing="0" w:line="594" w:lineRule="exact"/>
        <w:ind w:firstLine="1600" w:firstLineChars="500"/>
        <w:jc w:val="left"/>
        <w:textAlignment w:val="auto"/>
        <w:rPr>
          <w:rFonts w:hint="eastAsia" w:ascii="Times New Roman" w:hAnsi="Times New Roman" w:eastAsia="方正仿宋_GBK" w:cs="方正仿宋_GBK"/>
          <w:kern w:val="0"/>
          <w:sz w:val="32"/>
          <w:szCs w:val="32"/>
          <w:shd w:val="clear" w:fill="FFFFFF"/>
          <w:lang w:val="en-US" w:eastAsia="zh-CN" w:bidi="ar-SA"/>
        </w:rPr>
      </w:pPr>
      <w:r>
        <w:rPr>
          <w:rFonts w:hint="eastAsia" w:ascii="Times New Roman" w:hAnsi="Times New Roman" w:eastAsia="方正仿宋_GBK" w:cs="方正仿宋_GBK"/>
          <w:kern w:val="0"/>
          <w:sz w:val="32"/>
          <w:szCs w:val="32"/>
          <w:shd w:val="clear" w:fill="FFFFFF"/>
          <w:lang w:val="en-US" w:eastAsia="zh-CN" w:bidi="ar-SA"/>
        </w:rPr>
        <w:t>7.政府性基金预算财政拨款收入支出决算表</w:t>
      </w:r>
    </w:p>
    <w:p w14:paraId="142FB21E">
      <w:pPr>
        <w:keepNext w:val="0"/>
        <w:keepLines w:val="0"/>
        <w:pageBreakBefore w:val="0"/>
        <w:widowControl/>
        <w:kinsoku/>
        <w:wordWrap/>
        <w:overflowPunct/>
        <w:topLinePunct w:val="0"/>
        <w:autoSpaceDN/>
        <w:bidi w:val="0"/>
        <w:adjustRightInd w:val="0"/>
        <w:snapToGrid w:val="0"/>
        <w:spacing w:beforeAutospacing="0" w:afterAutospacing="0" w:line="594" w:lineRule="exact"/>
        <w:ind w:firstLine="1600" w:firstLineChars="500"/>
        <w:jc w:val="left"/>
        <w:textAlignment w:val="auto"/>
        <w:rPr>
          <w:rFonts w:hint="eastAsia" w:ascii="Times New Roman" w:hAnsi="Times New Roman" w:eastAsia="方正仿宋_GBK" w:cs="方正仿宋_GBK"/>
          <w:kern w:val="0"/>
          <w:sz w:val="32"/>
          <w:szCs w:val="32"/>
          <w:shd w:val="clear" w:fill="FFFFFF"/>
          <w:lang w:val="en-US" w:eastAsia="zh-CN" w:bidi="ar-SA"/>
        </w:rPr>
      </w:pPr>
      <w:r>
        <w:rPr>
          <w:rFonts w:hint="eastAsia" w:ascii="Times New Roman" w:hAnsi="Times New Roman" w:eastAsia="方正仿宋_GBK" w:cs="方正仿宋_GBK"/>
          <w:kern w:val="0"/>
          <w:sz w:val="32"/>
          <w:szCs w:val="32"/>
          <w:shd w:val="clear" w:fill="FFFFFF"/>
          <w:lang w:val="en-US" w:eastAsia="zh-CN" w:bidi="ar-SA"/>
        </w:rPr>
        <w:t>8.国有资本经营预算财政拨款支出决算表</w:t>
      </w:r>
    </w:p>
    <w:p w14:paraId="5AE5E55E">
      <w:pPr>
        <w:pStyle w:val="12"/>
        <w:keepNext w:val="0"/>
        <w:keepLines w:val="0"/>
        <w:pageBreakBefore w:val="0"/>
        <w:widowControl/>
        <w:kinsoku/>
        <w:wordWrap/>
        <w:overflowPunct/>
        <w:topLinePunct w:val="0"/>
        <w:autoSpaceDE w:val="0"/>
        <w:autoSpaceDN/>
        <w:bidi w:val="0"/>
        <w:adjustRightInd/>
        <w:snapToGrid/>
        <w:spacing w:beforeAutospacing="0" w:afterAutospacing="0" w:line="594" w:lineRule="exact"/>
        <w:ind w:left="0" w:leftChars="0" w:firstLine="1600" w:firstLineChars="500"/>
        <w:jc w:val="both"/>
        <w:textAlignment w:val="auto"/>
        <w:rPr>
          <w:rFonts w:hint="eastAsia" w:ascii="Times New Roman" w:hAnsi="Times New Roman" w:eastAsia="方正仿宋_GBK" w:cs="方正仿宋_GBK"/>
          <w:kern w:val="0"/>
          <w:sz w:val="32"/>
          <w:szCs w:val="32"/>
          <w:shd w:val="clear" w:fill="FFFFFF"/>
          <w:lang w:val="en-US" w:eastAsia="zh-CN" w:bidi="ar-SA"/>
        </w:rPr>
      </w:pPr>
      <w:r>
        <w:rPr>
          <w:rFonts w:hint="eastAsia" w:ascii="Times New Roman" w:hAnsi="Times New Roman" w:eastAsia="方正仿宋_GBK" w:cs="方正仿宋_GBK"/>
          <w:kern w:val="0"/>
          <w:sz w:val="32"/>
          <w:szCs w:val="32"/>
          <w:shd w:val="clear" w:fill="FFFFFF"/>
          <w:lang w:val="en-US" w:eastAsia="zh-CN" w:bidi="ar-SA"/>
        </w:rPr>
        <w:t>9.机构运行信息表</w:t>
      </w:r>
    </w:p>
    <w:p w14:paraId="135A5608">
      <w:pPr>
        <w:pStyle w:val="12"/>
        <w:keepNext w:val="0"/>
        <w:keepLines w:val="0"/>
        <w:pageBreakBefore w:val="0"/>
        <w:widowControl/>
        <w:kinsoku/>
        <w:wordWrap/>
        <w:overflowPunct/>
        <w:topLinePunct w:val="0"/>
        <w:autoSpaceDE w:val="0"/>
        <w:autoSpaceDN/>
        <w:bidi w:val="0"/>
        <w:adjustRightInd/>
        <w:snapToGrid/>
        <w:spacing w:beforeAutospacing="0" w:afterAutospacing="0" w:line="594" w:lineRule="exact"/>
        <w:ind w:firstLine="640" w:firstLineChars="200"/>
        <w:jc w:val="both"/>
        <w:textAlignment w:val="auto"/>
        <w:rPr>
          <w:rFonts w:hint="eastAsia" w:ascii="方正仿宋_GBK" w:hAnsi="方正仿宋_GBK" w:eastAsia="方正仿宋_GBK" w:cs="方正仿宋_GBK"/>
          <w:kern w:val="0"/>
          <w:sz w:val="32"/>
          <w:szCs w:val="32"/>
          <w:shd w:val="clear" w:fill="FFFFFF"/>
          <w:lang w:val="en-US" w:eastAsia="zh-CN" w:bidi="ar-SA"/>
        </w:rPr>
      </w:pPr>
    </w:p>
    <w:p w14:paraId="2B32599C">
      <w:pPr>
        <w:pStyle w:val="12"/>
        <w:keepNext w:val="0"/>
        <w:keepLines w:val="0"/>
        <w:pageBreakBefore w:val="0"/>
        <w:widowControl/>
        <w:kinsoku/>
        <w:wordWrap/>
        <w:overflowPunct/>
        <w:topLinePunct w:val="0"/>
        <w:autoSpaceDE w:val="0"/>
        <w:autoSpaceDN/>
        <w:bidi w:val="0"/>
        <w:spacing w:line="594" w:lineRule="exact"/>
        <w:ind w:firstLine="643" w:firstLineChars="200"/>
        <w:jc w:val="both"/>
        <w:textAlignment w:val="auto"/>
        <w:rPr>
          <w:rStyle w:val="11"/>
          <w:rFonts w:ascii="方正仿宋_GBK" w:hAnsi="方正仿宋_GBK" w:eastAsia="方正仿宋_GBK" w:cs="方正仿宋_GBK"/>
          <w:sz w:val="32"/>
          <w:szCs w:val="32"/>
          <w:shd w:val="clear" w:color="auto" w:fill="FFFF00"/>
        </w:rPr>
        <w:sectPr>
          <w:footerReference r:id="rId3" w:type="default"/>
          <w:pgSz w:w="11915" w:h="16840"/>
          <w:pgMar w:top="1984" w:right="1446" w:bottom="1644" w:left="1446" w:header="851" w:footer="1474" w:gutter="0"/>
          <w:pgNumType w:fmt="numberInDash"/>
          <w:cols w:space="720" w:num="1"/>
          <w:docGrid w:type="lines" w:linePitch="312" w:charSpace="0"/>
        </w:sectPr>
      </w:pPr>
    </w:p>
    <w:p w14:paraId="529C6C7A">
      <w:pPr>
        <w:rPr>
          <w:rFonts w:hint="default" w:cs="宋体"/>
          <w:sz w:val="21"/>
          <w:szCs w:val="21"/>
        </w:rPr>
      </w:pPr>
    </w:p>
    <w:tbl>
      <w:tblPr>
        <w:tblStyle w:val="9"/>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13B15647">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756886BD">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28695D4B">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3319CB50">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2A524319">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7DDF7F8D">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00479364">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14:paraId="3EDC0232">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67B2D4B5">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重庆市九龙坡区石桥铺街道物业管理服务中心</w:t>
            </w:r>
          </w:p>
        </w:tc>
        <w:tc>
          <w:tcPr>
            <w:tcW w:w="1372" w:type="pct"/>
            <w:tcBorders>
              <w:top w:val="nil"/>
              <w:left w:val="nil"/>
              <w:bottom w:val="nil"/>
              <w:right w:val="nil"/>
            </w:tcBorders>
            <w:shd w:val="clear" w:color="auto" w:fill="auto"/>
            <w:noWrap/>
            <w:tcMar>
              <w:top w:w="15" w:type="dxa"/>
              <w:left w:w="15" w:type="dxa"/>
              <w:right w:w="15" w:type="dxa"/>
            </w:tcMar>
            <w:vAlign w:val="bottom"/>
          </w:tcPr>
          <w:p w14:paraId="25429197">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2E5E2DD8">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7147883">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A63E7">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404FC25">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36DA893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75EF5">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66B15F">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D1A435">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774068">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4BF11FA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5E3CA">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848FE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94.63</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8574CC">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B1625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74.62</w:t>
            </w:r>
            <w:r>
              <w:rPr>
                <w:rFonts w:ascii="Times New Roman" w:hAnsi="Times New Roman"/>
                <w:color w:val="000000"/>
                <w:sz w:val="20"/>
                <w:u w:color="auto"/>
              </w:rPr>
              <w:t xml:space="preserve"> </w:t>
            </w:r>
          </w:p>
        </w:tc>
      </w:tr>
      <w:tr w14:paraId="72CFC8F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7F892">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F31E8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6EEE65">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0230C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10CD70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31BF0">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54033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8BA344">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B0FD2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2F6189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B2211">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31384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D214AD">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A3153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DDB2F9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4D06D">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18EE2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C0D702">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196BC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DF840D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51E7C">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3EAE5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2487C4">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B7006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F7E5C5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83538">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F9555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EF1E83">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DA44F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1232B5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AB4FB">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2C477E6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81A3BC">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DAD09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8.87</w:t>
            </w:r>
            <w:r>
              <w:rPr>
                <w:rFonts w:ascii="Times New Roman" w:hAnsi="Times New Roman"/>
                <w:color w:val="000000"/>
                <w:sz w:val="20"/>
                <w:u w:color="auto"/>
              </w:rPr>
              <w:t xml:space="preserve"> </w:t>
            </w:r>
          </w:p>
        </w:tc>
      </w:tr>
      <w:tr w14:paraId="0875FEE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1B566">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5C15D3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EFAC64">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CE972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3.44</w:t>
            </w:r>
            <w:r>
              <w:rPr>
                <w:rFonts w:ascii="Times New Roman" w:hAnsi="Times New Roman"/>
                <w:color w:val="000000"/>
                <w:sz w:val="20"/>
                <w:u w:color="auto"/>
              </w:rPr>
              <w:t xml:space="preserve"> </w:t>
            </w:r>
          </w:p>
        </w:tc>
      </w:tr>
      <w:tr w14:paraId="4BF1A1A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C31C6">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42CC08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B48948">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83AC1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09EEEF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E7374">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81C9DC2">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5EF28C">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521E1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47301E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D576B">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C09881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8591FC">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FE02C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A913F4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4C0B3">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4A622">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600C4B">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0EB4C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E6EA80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F92DB">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3E7CE6">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2A8200">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12414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B13B25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65D08">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D308F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99E6A5">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A9D1C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0A15A1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E8C2B">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8B09C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23FBD6">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EFBD7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8F4553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3F1A7">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D8FF4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03EB03">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A0969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BF97410">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59E90">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A7B8D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D070B7">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84400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CF605A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667D7">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B05409">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0D38F6">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9005A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7.70</w:t>
            </w:r>
            <w:r>
              <w:rPr>
                <w:rFonts w:ascii="Times New Roman" w:hAnsi="Times New Roman"/>
                <w:color w:val="000000"/>
                <w:sz w:val="20"/>
                <w:u w:color="auto"/>
              </w:rPr>
              <w:t xml:space="preserve"> </w:t>
            </w:r>
          </w:p>
        </w:tc>
      </w:tr>
      <w:tr w14:paraId="3413C01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EBB7A">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BCA0FD">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2D8751">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E172F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E8D58B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3777A">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1B0D6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97014C">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74C23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F2247A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00483">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AF8AD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9A2EDF">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C1E1B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238131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C40C7">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CA5F3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8BF738">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08ACF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9F7E9D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4EF7E">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B47CFB">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B343E7">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C5BAD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5E32F0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EB984">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27E7AD">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8A0074">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620A9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B66B1B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48578">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777D62">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75E2A5">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DF7AF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33F72A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5C890">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DFE3B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94.63</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0E9F82">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6112B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94.63</w:t>
            </w:r>
            <w:r>
              <w:rPr>
                <w:rFonts w:ascii="Times New Roman" w:hAnsi="Times New Roman"/>
                <w:color w:val="000000"/>
                <w:sz w:val="20"/>
                <w:u w:color="auto"/>
              </w:rPr>
              <w:t xml:space="preserve"> </w:t>
            </w:r>
          </w:p>
        </w:tc>
      </w:tr>
      <w:tr w14:paraId="3D18675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0EDFD">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D429B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260ADD">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9B990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8A7391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5974E">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A6228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9AF88D">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6C787B0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8932F92">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EBE87">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365B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94.63</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769E39F0">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A337E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94.63</w:t>
            </w:r>
            <w:r>
              <w:rPr>
                <w:rFonts w:ascii="Times New Roman" w:hAnsi="Times New Roman"/>
                <w:color w:val="000000"/>
                <w:sz w:val="20"/>
                <w:u w:color="auto"/>
              </w:rPr>
              <w:t xml:space="preserve"> </w:t>
            </w:r>
          </w:p>
        </w:tc>
      </w:tr>
    </w:tbl>
    <w:p w14:paraId="3923F29B">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55FC637B">
      <w:pPr>
        <w:rPr>
          <w:rFonts w:hint="default" w:cs="宋体"/>
          <w:sz w:val="21"/>
          <w:szCs w:val="21"/>
        </w:rPr>
      </w:pPr>
    </w:p>
    <w:tbl>
      <w:tblPr>
        <w:tblStyle w:val="9"/>
        <w:tblW w:w="5059" w:type="pct"/>
        <w:tblInd w:w="0" w:type="dxa"/>
        <w:tblLayout w:type="fixed"/>
        <w:tblCellMar>
          <w:top w:w="0" w:type="dxa"/>
          <w:left w:w="0" w:type="dxa"/>
          <w:bottom w:w="0" w:type="dxa"/>
          <w:right w:w="0" w:type="dxa"/>
        </w:tblCellMar>
      </w:tblPr>
      <w:tblGrid>
        <w:gridCol w:w="1430"/>
        <w:gridCol w:w="2917"/>
        <w:gridCol w:w="1583"/>
        <w:gridCol w:w="1451"/>
        <w:gridCol w:w="1255"/>
        <w:gridCol w:w="1440"/>
        <w:gridCol w:w="1458"/>
        <w:gridCol w:w="1296"/>
        <w:gridCol w:w="1351"/>
        <w:gridCol w:w="1322"/>
      </w:tblGrid>
      <w:tr w14:paraId="6E5B7204">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05A14E27">
            <w:pPr>
              <w:jc w:val="center"/>
              <w:textAlignment w:val="bottom"/>
              <w:rPr>
                <w:rFonts w:hint="default" w:cs="宋体"/>
                <w:b/>
                <w:color w:val="000000"/>
                <w:sz w:val="32"/>
                <w:szCs w:val="32"/>
              </w:rPr>
            </w:pPr>
            <w:r>
              <w:rPr>
                <w:rFonts w:cs="宋体"/>
                <w:b/>
                <w:color w:val="000000"/>
                <w:sz w:val="32"/>
                <w:szCs w:val="32"/>
              </w:rPr>
              <w:t>收入决算表</w:t>
            </w:r>
          </w:p>
        </w:tc>
      </w:tr>
      <w:tr w14:paraId="0D543AFC">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14:paraId="21B6CFE5">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重庆市九龙坡区石桥铺街道物业管理服务中心</w:t>
            </w:r>
          </w:p>
        </w:tc>
        <w:tc>
          <w:tcPr>
            <w:tcW w:w="467" w:type="pct"/>
            <w:tcBorders>
              <w:top w:val="nil"/>
              <w:left w:val="nil"/>
              <w:bottom w:val="nil"/>
              <w:right w:val="nil"/>
            </w:tcBorders>
            <w:shd w:val="clear" w:color="auto" w:fill="auto"/>
            <w:noWrap/>
            <w:tcMar>
              <w:top w:w="15" w:type="dxa"/>
              <w:left w:w="15" w:type="dxa"/>
              <w:right w:w="15" w:type="dxa"/>
            </w:tcMar>
            <w:vAlign w:val="bottom"/>
          </w:tcPr>
          <w:p w14:paraId="7B92D24F">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448E7B6D">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26AC5DEE">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026E3596">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42DD503B">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789E8027">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7B113398">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14:paraId="219C5FA7">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14:paraId="6D9B6B34">
            <w:pPr>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14:paraId="4CD395B9">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258BCE16">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2CBE02B7">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42476F46">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0597AD08">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2CE6D6D2">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72321CE6">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8BF006D">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12E58252">
            <w:pPr>
              <w:jc w:val="center"/>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6FB04E">
            <w:pPr>
              <w:jc w:val="center"/>
              <w:textAlignment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867CD4">
            <w:pPr>
              <w:jc w:val="center"/>
              <w:textAlignment w:val="center"/>
              <w:rPr>
                <w:rFonts w:hint="default"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71A3B0">
            <w:pPr>
              <w:jc w:val="center"/>
              <w:textAlignment w:val="center"/>
              <w:rPr>
                <w:rFonts w:hint="default"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2859F36">
            <w:pPr>
              <w:jc w:val="center"/>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793106">
            <w:pPr>
              <w:jc w:val="center"/>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09D7DB">
            <w:pPr>
              <w:jc w:val="center"/>
              <w:textAlignment w:val="center"/>
              <w:rPr>
                <w:rFonts w:hint="default"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FF272C">
            <w:pPr>
              <w:jc w:val="center"/>
              <w:textAlignment w:val="center"/>
              <w:rPr>
                <w:rFonts w:hint="default" w:cs="宋体"/>
                <w:b/>
                <w:color w:val="000000"/>
                <w:sz w:val="20"/>
                <w:szCs w:val="20"/>
              </w:rPr>
            </w:pPr>
            <w:r>
              <w:rPr>
                <w:rFonts w:cs="宋体"/>
                <w:b/>
                <w:color w:val="000000"/>
                <w:sz w:val="20"/>
                <w:szCs w:val="20"/>
              </w:rPr>
              <w:t>其他收入</w:t>
            </w:r>
          </w:p>
        </w:tc>
      </w:tr>
      <w:tr w14:paraId="4BE5237C">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A184B">
            <w:pPr>
              <w:jc w:val="center"/>
              <w:textAlignment w:val="center"/>
              <w:rPr>
                <w:rFonts w:hint="default"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668089F3">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FDFD58">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EBE9AB">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AA21F2">
            <w:pPr>
              <w:jc w:val="center"/>
              <w:rPr>
                <w:rFonts w:hint="default"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89E8C1">
            <w:pPr>
              <w:jc w:val="center"/>
              <w:textAlignment w:val="center"/>
              <w:rPr>
                <w:rFonts w:hint="default"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A134F9">
            <w:pPr>
              <w:jc w:val="center"/>
              <w:textAlignment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A37F16">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E8FB21">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37F628">
            <w:pPr>
              <w:jc w:val="center"/>
              <w:rPr>
                <w:rFonts w:hint="default" w:cs="宋体"/>
                <w:b/>
                <w:color w:val="000000"/>
                <w:sz w:val="20"/>
                <w:szCs w:val="20"/>
              </w:rPr>
            </w:pPr>
          </w:p>
        </w:tc>
      </w:tr>
      <w:tr w14:paraId="05AAD9FC">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01DF8">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B1B2B83">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BF370B">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A4A177">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EC3158">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841E12">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4D3B0F">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CFB596">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7E1C95">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770AD8">
            <w:pPr>
              <w:jc w:val="center"/>
              <w:rPr>
                <w:rFonts w:hint="default" w:cs="宋体"/>
                <w:b/>
                <w:color w:val="000000"/>
                <w:sz w:val="20"/>
                <w:szCs w:val="20"/>
              </w:rPr>
            </w:pPr>
          </w:p>
        </w:tc>
      </w:tr>
      <w:tr w14:paraId="74FA0AF2">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FFD2F">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EDC920C">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7BF759">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AE9EB1">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29B056">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A4FCEE">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5970A7">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3D5137">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022D6A">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1E2082">
            <w:pPr>
              <w:jc w:val="center"/>
              <w:rPr>
                <w:rFonts w:hint="default" w:cs="宋体"/>
                <w:b/>
                <w:color w:val="000000"/>
                <w:sz w:val="20"/>
                <w:szCs w:val="20"/>
              </w:rPr>
            </w:pPr>
          </w:p>
        </w:tc>
      </w:tr>
      <w:tr w14:paraId="2B64F28B">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44902">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9510AE8">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B576AB">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B06F04">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136B7A">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98AC66">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652DB0">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757EC1">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F383E4">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5E9B40">
            <w:pPr>
              <w:jc w:val="center"/>
              <w:rPr>
                <w:rFonts w:hint="default" w:cs="宋体"/>
                <w:b/>
                <w:color w:val="000000"/>
                <w:sz w:val="20"/>
                <w:szCs w:val="20"/>
              </w:rPr>
            </w:pPr>
          </w:p>
        </w:tc>
      </w:tr>
      <w:tr w14:paraId="3E70F5D5">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5C010">
            <w:pPr>
              <w:jc w:val="center"/>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BB412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94.63</w:t>
            </w:r>
            <w:r>
              <w:rPr>
                <w:rFonts w:ascii="Times New Roman" w:hAnsi="Times New Roman"/>
                <w:b/>
                <w:color w:val="000000"/>
                <w:sz w:val="20"/>
                <w:u w:color="auto"/>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57A02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94.63</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2B258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8C385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EC1A8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93B79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AC0DA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D9F80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3ABE585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468A1">
            <w:pPr>
              <w:textAlignment w:val="center"/>
              <w:rPr>
                <w:rFonts w:hint="default" w:cs="宋体"/>
                <w:color w:val="000000"/>
                <w:sz w:val="20"/>
                <w:szCs w:val="20"/>
              </w:rPr>
            </w:pPr>
            <w:r>
              <w:rPr>
                <w:rFonts w:cs="宋体"/>
                <w:b/>
                <w:color w:val="000000"/>
                <w:sz w:val="20"/>
                <w:szCs w:val="20"/>
              </w:rPr>
              <w:t>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37A06D">
            <w:pPr>
              <w:textAlignment w:val="center"/>
              <w:rPr>
                <w:rFonts w:hint="default" w:cs="宋体"/>
                <w:color w:val="000000"/>
                <w:sz w:val="20"/>
                <w:szCs w:val="20"/>
              </w:rPr>
            </w:pPr>
            <w:r>
              <w:rPr>
                <w:rFonts w:cs="宋体"/>
                <w:b/>
                <w:color w:val="000000"/>
                <w:sz w:val="20"/>
                <w:szCs w:val="20"/>
              </w:rPr>
              <w:t>一般公共服务支出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172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74.62</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960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74.62</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CDC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737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A85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720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A4E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267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8B3739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EB432">
            <w:pPr>
              <w:textAlignment w:val="center"/>
              <w:rPr>
                <w:rFonts w:hint="default" w:cs="宋体"/>
                <w:color w:val="000000"/>
                <w:sz w:val="20"/>
                <w:szCs w:val="20"/>
              </w:rPr>
            </w:pPr>
            <w:r>
              <w:rPr>
                <w:rFonts w:cs="宋体"/>
                <w:b/>
                <w:color w:val="000000"/>
                <w:sz w:val="20"/>
                <w:szCs w:val="20"/>
              </w:rPr>
              <w:t>20103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310153">
            <w:pPr>
              <w:textAlignment w:val="center"/>
              <w:rPr>
                <w:rFonts w:hint="default" w:cs="宋体"/>
                <w:color w:val="000000"/>
                <w:sz w:val="20"/>
                <w:szCs w:val="20"/>
              </w:rPr>
            </w:pPr>
            <w:r>
              <w:rPr>
                <w:rFonts w:cs="宋体"/>
                <w:b/>
                <w:color w:val="000000"/>
                <w:sz w:val="20"/>
                <w:szCs w:val="20"/>
              </w:rPr>
              <w:t>政府办公厅（室）及相关机构事务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3F2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74.62</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DDF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74.62</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D5B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CBB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8E3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68A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9EC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1DB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31BB5B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41BE8">
            <w:pPr>
              <w:textAlignment w:val="center"/>
              <w:rPr>
                <w:rFonts w:hint="default" w:cs="宋体"/>
                <w:color w:val="000000"/>
                <w:sz w:val="20"/>
                <w:szCs w:val="20"/>
              </w:rPr>
            </w:pPr>
            <w:r>
              <w:rPr>
                <w:rFonts w:cs="宋体"/>
                <w:color w:val="000000"/>
                <w:sz w:val="20"/>
                <w:szCs w:val="20"/>
              </w:rPr>
              <w:t>2010350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781B94">
            <w:pPr>
              <w:textAlignment w:val="center"/>
              <w:rPr>
                <w:rFonts w:hint="default" w:cs="宋体"/>
                <w:color w:val="000000"/>
                <w:sz w:val="20"/>
                <w:szCs w:val="20"/>
              </w:rPr>
            </w:pPr>
            <w:r>
              <w:rPr>
                <w:rFonts w:cs="宋体"/>
                <w:color w:val="000000"/>
                <w:sz w:val="20"/>
                <w:szCs w:val="20"/>
              </w:rPr>
              <w:t>事业运行</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951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74.62</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1B7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74.62</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B10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4B2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1B7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4EE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B14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755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F9C594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2AEC8">
            <w:pPr>
              <w:textAlignment w:val="center"/>
              <w:rPr>
                <w:rFonts w:hint="default"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927A47">
            <w:pPr>
              <w:textAlignment w:val="center"/>
              <w:rPr>
                <w:rFonts w:hint="default"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563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8.87</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E23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8.87</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D97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75C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A88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3D4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F12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6CE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A14B11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DB243">
            <w:pPr>
              <w:textAlignment w:val="center"/>
              <w:rPr>
                <w:rFonts w:hint="default"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B2DBA6">
            <w:pPr>
              <w:textAlignment w:val="center"/>
              <w:rPr>
                <w:rFonts w:hint="default"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AF5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8.87</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FB7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8.87</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5DB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862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B8A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E93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7EA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688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D44F78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1CC1B">
            <w:pPr>
              <w:textAlignment w:val="center"/>
              <w:rPr>
                <w:rFonts w:hint="default"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E2EB1C">
            <w:pPr>
              <w:textAlignment w:val="center"/>
              <w:rPr>
                <w:rFonts w:hint="default"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915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A47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0B4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68A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6BB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268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7FC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A92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DCD405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801DF">
            <w:pPr>
              <w:textAlignment w:val="center"/>
              <w:rPr>
                <w:rFonts w:hint="default"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77FFD9">
            <w:pPr>
              <w:textAlignment w:val="center"/>
              <w:rPr>
                <w:rFonts w:hint="default"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59B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3.77</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6E1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3.77</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5B0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F0C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DCB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653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779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81C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6E8121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77CBF">
            <w:pPr>
              <w:textAlignment w:val="center"/>
              <w:rPr>
                <w:rFonts w:hint="default"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7B9252">
            <w:pPr>
              <w:textAlignment w:val="center"/>
              <w:rPr>
                <w:rFonts w:hint="default"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CDB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3.44</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D73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3.44</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79F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2DB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2CA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644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51B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E2C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8E4B7A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52F21">
            <w:pPr>
              <w:textAlignment w:val="center"/>
              <w:rPr>
                <w:rFonts w:hint="default"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B583E1">
            <w:pPr>
              <w:textAlignment w:val="center"/>
              <w:rPr>
                <w:rFonts w:hint="default"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84B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3.44</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F85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3.44</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F16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3F4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8CB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DEC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5CC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1F5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71909E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E4A85">
            <w:pPr>
              <w:textAlignment w:val="center"/>
              <w:rPr>
                <w:rFonts w:hint="default" w:cs="宋体"/>
                <w:color w:val="000000"/>
                <w:sz w:val="20"/>
                <w:szCs w:val="20"/>
              </w:rPr>
            </w:pPr>
            <w:r>
              <w:rPr>
                <w:rFonts w:cs="宋体"/>
                <w:color w:val="000000"/>
                <w:sz w:val="20"/>
                <w:szCs w:val="20"/>
              </w:rPr>
              <w:t>2101102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16162B">
            <w:pPr>
              <w:textAlignment w:val="center"/>
              <w:rPr>
                <w:rFonts w:hint="default" w:cs="宋体"/>
                <w:color w:val="000000"/>
                <w:sz w:val="20"/>
                <w:szCs w:val="20"/>
              </w:rPr>
            </w:pPr>
            <w:r>
              <w:rPr>
                <w:rFonts w:cs="宋体"/>
                <w:color w:val="000000"/>
                <w:sz w:val="20"/>
                <w:szCs w:val="20"/>
              </w:rPr>
              <w:t>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74D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3.02</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BE0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3.02</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8D5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E81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B34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8D6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DAB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325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30621D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818A6">
            <w:pPr>
              <w:textAlignment w:val="center"/>
              <w:rPr>
                <w:rFonts w:hint="default" w:cs="宋体"/>
                <w:color w:val="000000"/>
                <w:sz w:val="20"/>
                <w:szCs w:val="20"/>
              </w:rPr>
            </w:pPr>
            <w:r>
              <w:rPr>
                <w:rFonts w:cs="宋体"/>
                <w:color w:val="000000"/>
                <w:sz w:val="20"/>
                <w:szCs w:val="20"/>
              </w:rPr>
              <w:t>2101199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83385C">
            <w:pPr>
              <w:textAlignment w:val="center"/>
              <w:rPr>
                <w:rFonts w:hint="default" w:cs="宋体"/>
                <w:color w:val="000000"/>
                <w:sz w:val="20"/>
                <w:szCs w:val="20"/>
              </w:rPr>
            </w:pPr>
            <w:r>
              <w:rPr>
                <w:rFonts w:cs="宋体"/>
                <w:color w:val="000000"/>
                <w:sz w:val="20"/>
                <w:szCs w:val="20"/>
              </w:rPr>
              <w:t>其他行政事业单位医疗支出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180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0.42</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DA9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0.42</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CD1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0BC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CF9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719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18A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42D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0E73FE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0380E">
            <w:pPr>
              <w:textAlignment w:val="center"/>
              <w:rPr>
                <w:rFonts w:hint="default"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81704C">
            <w:pPr>
              <w:textAlignment w:val="center"/>
              <w:rPr>
                <w:rFonts w:hint="default"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3FD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7.70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F4D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7.70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887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B13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3AF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998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030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286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16132B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982F2">
            <w:pPr>
              <w:textAlignment w:val="center"/>
              <w:rPr>
                <w:rFonts w:hint="default"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F46396">
            <w:pPr>
              <w:textAlignment w:val="center"/>
              <w:rPr>
                <w:rFonts w:hint="default"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77B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7.70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1A5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7.70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621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BAD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B39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736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770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119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A7191C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FFBE7">
            <w:pPr>
              <w:textAlignment w:val="center"/>
              <w:rPr>
                <w:rFonts w:hint="default" w:cs="宋体"/>
                <w:color w:val="000000"/>
                <w:sz w:val="20"/>
                <w:szCs w:val="20"/>
              </w:rPr>
            </w:pPr>
            <w:r>
              <w:rPr>
                <w:rFonts w:cs="宋体"/>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23D371">
            <w:pPr>
              <w:textAlignment w:val="center"/>
              <w:rPr>
                <w:rFonts w:hint="default"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B97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7.02</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ED0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7.02</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554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978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F2A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440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D65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80E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927BCD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4DA6B">
            <w:pPr>
              <w:textAlignment w:val="center"/>
              <w:rPr>
                <w:rFonts w:hint="default" w:cs="宋体"/>
                <w:color w:val="000000"/>
                <w:sz w:val="20"/>
                <w:szCs w:val="20"/>
              </w:rPr>
            </w:pPr>
            <w:r>
              <w:rPr>
                <w:rFonts w:cs="宋体"/>
                <w:color w:val="000000"/>
                <w:sz w:val="20"/>
                <w:szCs w:val="20"/>
              </w:rPr>
              <w:t>2210203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B046DA">
            <w:pPr>
              <w:textAlignment w:val="center"/>
              <w:rPr>
                <w:rFonts w:hint="default" w:cs="宋体"/>
                <w:color w:val="000000"/>
                <w:sz w:val="20"/>
                <w:szCs w:val="20"/>
              </w:rPr>
            </w:pPr>
            <w:r>
              <w:rPr>
                <w:rFonts w:cs="宋体"/>
                <w:color w:val="000000"/>
                <w:sz w:val="20"/>
                <w:szCs w:val="20"/>
              </w:rPr>
              <w:t>购房补贴</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D13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0.69</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25C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0.69</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652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480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D9F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304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24C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BF7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7F4CEE3F">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p>
    <w:p w14:paraId="5C00F24B">
      <w:pPr>
        <w:rPr>
          <w:rFonts w:hint="default" w:cs="宋体"/>
          <w:sz w:val="20"/>
          <w:szCs w:val="20"/>
        </w:rPr>
      </w:pPr>
      <w:r>
        <w:rPr>
          <w:rFonts w:cs="宋体"/>
          <w:sz w:val="20"/>
          <w:szCs w:val="20"/>
        </w:rPr>
        <w:br w:type="page"/>
      </w:r>
    </w:p>
    <w:tbl>
      <w:tblPr>
        <w:tblStyle w:val="9"/>
        <w:tblW w:w="5000" w:type="pct"/>
        <w:tblInd w:w="0" w:type="dxa"/>
        <w:tblLayout w:type="fixed"/>
        <w:tblCellMar>
          <w:top w:w="0" w:type="dxa"/>
          <w:left w:w="0" w:type="dxa"/>
          <w:bottom w:w="0" w:type="dxa"/>
          <w:right w:w="0" w:type="dxa"/>
        </w:tblCellMar>
      </w:tblPr>
      <w:tblGrid>
        <w:gridCol w:w="1292"/>
        <w:gridCol w:w="3602"/>
        <w:gridCol w:w="1840"/>
        <w:gridCol w:w="1767"/>
        <w:gridCol w:w="1625"/>
        <w:gridCol w:w="1557"/>
        <w:gridCol w:w="1693"/>
        <w:gridCol w:w="1947"/>
      </w:tblGrid>
      <w:tr w14:paraId="20203F7A">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460B0A28">
            <w:pPr>
              <w:jc w:val="center"/>
              <w:textAlignment w:val="bottom"/>
              <w:rPr>
                <w:rFonts w:hint="default" w:cs="宋体"/>
                <w:b/>
                <w:color w:val="000000"/>
                <w:sz w:val="32"/>
                <w:szCs w:val="32"/>
              </w:rPr>
            </w:pPr>
            <w:r>
              <w:rPr>
                <w:rFonts w:cs="宋体"/>
                <w:b/>
                <w:color w:val="000000"/>
                <w:sz w:val="32"/>
                <w:szCs w:val="32"/>
              </w:rPr>
              <w:t>支出决算表</w:t>
            </w:r>
          </w:p>
        </w:tc>
      </w:tr>
      <w:tr w14:paraId="1A59050F">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14:paraId="0114A706">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重庆市九龙坡区石桥铺街道物业管理服务中心 </w:t>
            </w:r>
          </w:p>
        </w:tc>
        <w:tc>
          <w:tcPr>
            <w:tcW w:w="575" w:type="pct"/>
            <w:tcBorders>
              <w:top w:val="nil"/>
              <w:left w:val="nil"/>
              <w:bottom w:val="nil"/>
              <w:right w:val="nil"/>
            </w:tcBorders>
            <w:shd w:val="clear" w:color="auto" w:fill="auto"/>
            <w:noWrap/>
            <w:tcMar>
              <w:top w:w="15" w:type="dxa"/>
              <w:left w:w="15" w:type="dxa"/>
              <w:right w:w="15" w:type="dxa"/>
            </w:tcMar>
            <w:vAlign w:val="bottom"/>
          </w:tcPr>
          <w:p w14:paraId="1A9CD639">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1AEC69DD">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308FF871">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1771257C">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6988ABEC">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14:paraId="1C66207D">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14:paraId="401F0568">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40C62562">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34A50812">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403D3458">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6360CC2A">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7DBF19D1">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A678EBC">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8F10DC2">
            <w:pPr>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A1348F">
            <w:pPr>
              <w:jc w:val="center"/>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CA7FD2">
            <w:pPr>
              <w:jc w:val="center"/>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4896CC">
            <w:pPr>
              <w:jc w:val="center"/>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F46CFC">
            <w:pPr>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F6F228">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868853">
            <w:pPr>
              <w:jc w:val="center"/>
              <w:textAlignment w:val="center"/>
              <w:rPr>
                <w:rFonts w:hint="default" w:cs="宋体"/>
                <w:b/>
                <w:color w:val="000000"/>
                <w:sz w:val="20"/>
                <w:szCs w:val="20"/>
              </w:rPr>
            </w:pPr>
            <w:r>
              <w:rPr>
                <w:rFonts w:cs="宋体"/>
                <w:b/>
                <w:color w:val="000000"/>
                <w:sz w:val="20"/>
                <w:szCs w:val="20"/>
              </w:rPr>
              <w:t>对附属单位补助支出</w:t>
            </w:r>
          </w:p>
        </w:tc>
      </w:tr>
      <w:tr w14:paraId="6159802F">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17F9B">
            <w:pPr>
              <w:jc w:val="center"/>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6183C58C">
            <w:pPr>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B87B72">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BBA26A">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A925DC">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90ADF4">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03E055">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2101E7">
            <w:pPr>
              <w:jc w:val="center"/>
              <w:rPr>
                <w:rFonts w:hint="default" w:cs="宋体"/>
                <w:b/>
                <w:color w:val="000000"/>
                <w:sz w:val="20"/>
                <w:szCs w:val="20"/>
              </w:rPr>
            </w:pPr>
          </w:p>
        </w:tc>
      </w:tr>
      <w:tr w14:paraId="1439AFF2">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ADFE9">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6A5D032">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A2E410">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8BAA46">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C8EDA0">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BD0D44">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9339D5">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66A981">
            <w:pPr>
              <w:jc w:val="center"/>
              <w:rPr>
                <w:rFonts w:hint="default" w:cs="宋体"/>
                <w:b/>
                <w:color w:val="000000"/>
                <w:sz w:val="20"/>
                <w:szCs w:val="20"/>
              </w:rPr>
            </w:pPr>
          </w:p>
        </w:tc>
      </w:tr>
      <w:tr w14:paraId="1B44F78F">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ED86F">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DB0D607">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6DF9EF">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F6A981">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BE8E52">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CB2912">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41D10A">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A53678">
            <w:pPr>
              <w:jc w:val="center"/>
              <w:rPr>
                <w:rFonts w:hint="default" w:cs="宋体"/>
                <w:b/>
                <w:color w:val="000000"/>
                <w:sz w:val="20"/>
                <w:szCs w:val="20"/>
              </w:rPr>
            </w:pPr>
          </w:p>
        </w:tc>
      </w:tr>
      <w:tr w14:paraId="50DD894A">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09804">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27A4E44">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2931FB">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D00773">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3A507B">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C87F8A">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09E40D">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4CB065">
            <w:pPr>
              <w:jc w:val="center"/>
              <w:rPr>
                <w:rFonts w:hint="default" w:cs="宋体"/>
                <w:b/>
                <w:color w:val="000000"/>
                <w:sz w:val="20"/>
                <w:szCs w:val="20"/>
              </w:rPr>
            </w:pPr>
          </w:p>
        </w:tc>
      </w:tr>
      <w:tr w14:paraId="0295897C">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5BEBC">
            <w:pPr>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56EA4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94.63</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2CEEC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94.63</w:t>
            </w:r>
            <w:r>
              <w:rPr>
                <w:rFonts w:ascii="Times New Roman" w:hAnsi="Times New Roman"/>
                <w:b/>
                <w:color w:val="000000"/>
                <w:sz w:val="20"/>
                <w:u w:color="auto"/>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32A3C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305FF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44E8C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F4E31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1A15649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38D51">
            <w:pPr>
              <w:textAlignment w:val="center"/>
              <w:rPr>
                <w:rFonts w:hint="default" w:cs="宋体"/>
                <w:color w:val="000000"/>
                <w:sz w:val="20"/>
                <w:szCs w:val="20"/>
              </w:rPr>
            </w:pPr>
            <w:r>
              <w:rPr>
                <w:rFonts w:cs="宋体"/>
                <w:b/>
                <w:color w:val="000000"/>
                <w:sz w:val="20"/>
                <w:szCs w:val="20"/>
              </w:rPr>
              <w:t>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C17D0E">
            <w:pPr>
              <w:textAlignment w:val="center"/>
              <w:rPr>
                <w:rFonts w:hint="default" w:cs="宋体"/>
                <w:color w:val="000000"/>
                <w:sz w:val="20"/>
                <w:szCs w:val="20"/>
              </w:rPr>
            </w:pPr>
            <w:r>
              <w:rPr>
                <w:rFonts w:cs="宋体"/>
                <w:b/>
                <w:color w:val="000000"/>
                <w:sz w:val="20"/>
                <w:szCs w:val="20"/>
              </w:rPr>
              <w:t>一般公共服务支出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B8C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74.62</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69D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74.62</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3AB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998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D5A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FB8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15AF6D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086D4">
            <w:pPr>
              <w:textAlignment w:val="center"/>
              <w:rPr>
                <w:rFonts w:hint="default" w:cs="宋体"/>
                <w:color w:val="000000"/>
                <w:sz w:val="20"/>
                <w:szCs w:val="20"/>
              </w:rPr>
            </w:pPr>
            <w:r>
              <w:rPr>
                <w:rFonts w:cs="宋体"/>
                <w:b/>
                <w:color w:val="000000"/>
                <w:sz w:val="20"/>
                <w:szCs w:val="20"/>
              </w:rPr>
              <w:t>20103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737485">
            <w:pPr>
              <w:textAlignment w:val="center"/>
              <w:rPr>
                <w:rFonts w:hint="default" w:cs="宋体"/>
                <w:color w:val="000000"/>
                <w:sz w:val="20"/>
                <w:szCs w:val="20"/>
              </w:rPr>
            </w:pPr>
            <w:r>
              <w:rPr>
                <w:rFonts w:cs="宋体"/>
                <w:b/>
                <w:color w:val="000000"/>
                <w:sz w:val="20"/>
                <w:szCs w:val="20"/>
              </w:rPr>
              <w:t>政府办公厅（室）及相关机构事务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3C3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74.62</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36C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74.62</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FBE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1E5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350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CC3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703107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A6502">
            <w:pPr>
              <w:textAlignment w:val="center"/>
              <w:rPr>
                <w:rFonts w:hint="default" w:cs="宋体"/>
                <w:color w:val="000000"/>
                <w:sz w:val="20"/>
                <w:szCs w:val="20"/>
              </w:rPr>
            </w:pPr>
            <w:r>
              <w:rPr>
                <w:rFonts w:cs="宋体"/>
                <w:color w:val="000000"/>
                <w:sz w:val="20"/>
                <w:szCs w:val="20"/>
              </w:rPr>
              <w:t>2010350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047C5D">
            <w:pPr>
              <w:textAlignment w:val="center"/>
              <w:rPr>
                <w:rFonts w:hint="default" w:cs="宋体"/>
                <w:color w:val="000000"/>
                <w:sz w:val="20"/>
                <w:szCs w:val="20"/>
              </w:rPr>
            </w:pPr>
            <w:r>
              <w:rPr>
                <w:rFonts w:cs="宋体"/>
                <w:color w:val="000000"/>
                <w:sz w:val="20"/>
                <w:szCs w:val="20"/>
              </w:rPr>
              <w:t>事业运行</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C2E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74.62</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888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74.62</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214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144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7E3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421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551A62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06822">
            <w:pPr>
              <w:textAlignment w:val="center"/>
              <w:rPr>
                <w:rFonts w:hint="default"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1B2048">
            <w:pPr>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0C7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8.87</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89F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8.87</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C4E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D4A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A94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95A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C00F89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2FCF9">
            <w:pPr>
              <w:textAlignment w:val="center"/>
              <w:rPr>
                <w:rFonts w:hint="default"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EA9659">
            <w:pPr>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85D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8.87</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C76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8.87</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FB7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2DD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183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386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ABDF20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87D9E">
            <w:pPr>
              <w:textAlignment w:val="center"/>
              <w:rPr>
                <w:rFonts w:hint="default"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68DF72">
            <w:pPr>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D21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A78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1BB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715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0CC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913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C1B0FF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3E670">
            <w:pPr>
              <w:textAlignment w:val="center"/>
              <w:rPr>
                <w:rFonts w:hint="default"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A04AE1">
            <w:pPr>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047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3.77</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029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3.77</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822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678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81D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BEB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C8803E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BCFDD">
            <w:pPr>
              <w:textAlignment w:val="center"/>
              <w:rPr>
                <w:rFonts w:hint="default"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F4D1A6">
            <w:pPr>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387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3.44</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FA9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3.44</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0D7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581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CF6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ABD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53F784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1AAF8">
            <w:pPr>
              <w:textAlignment w:val="center"/>
              <w:rPr>
                <w:rFonts w:hint="default"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9901A8">
            <w:pPr>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C5C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3.44</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423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3.44</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0A9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34D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416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3BB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9CB47C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51C30">
            <w:pPr>
              <w:textAlignment w:val="center"/>
              <w:rPr>
                <w:rFonts w:hint="default" w:cs="宋体"/>
                <w:color w:val="000000"/>
                <w:sz w:val="20"/>
                <w:szCs w:val="20"/>
              </w:rPr>
            </w:pPr>
            <w:r>
              <w:rPr>
                <w:rFonts w:cs="宋体"/>
                <w:color w:val="000000"/>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7A5015">
            <w:pPr>
              <w:textAlignment w:val="center"/>
              <w:rPr>
                <w:rFonts w:hint="default" w:cs="宋体"/>
                <w:color w:val="000000"/>
                <w:sz w:val="20"/>
                <w:szCs w:val="20"/>
              </w:rPr>
            </w:pPr>
            <w:r>
              <w:rPr>
                <w:rFonts w:cs="宋体"/>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5AA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3.02</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668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3.02</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C8E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708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BEB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B20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36B6FB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F1172">
            <w:pPr>
              <w:textAlignment w:val="center"/>
              <w:rPr>
                <w:rFonts w:hint="default" w:cs="宋体"/>
                <w:color w:val="000000"/>
                <w:sz w:val="20"/>
                <w:szCs w:val="20"/>
              </w:rPr>
            </w:pPr>
            <w:r>
              <w:rPr>
                <w:rFonts w:cs="宋体"/>
                <w:color w:val="000000"/>
                <w:sz w:val="20"/>
                <w:szCs w:val="20"/>
              </w:rPr>
              <w:t>2101199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B14619">
            <w:pPr>
              <w:textAlignment w:val="center"/>
              <w:rPr>
                <w:rFonts w:hint="default" w:cs="宋体"/>
                <w:color w:val="000000"/>
                <w:sz w:val="20"/>
                <w:szCs w:val="20"/>
              </w:rPr>
            </w:pPr>
            <w:r>
              <w:rPr>
                <w:rFonts w:cs="宋体"/>
                <w:color w:val="000000"/>
                <w:sz w:val="20"/>
                <w:szCs w:val="20"/>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C39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0.42</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270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0.42</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905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C6E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410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CD6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0339D6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3324F">
            <w:pPr>
              <w:textAlignment w:val="center"/>
              <w:rPr>
                <w:rFonts w:hint="default"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AAA27A">
            <w:pPr>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BEB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7.70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52E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7.70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F66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A0A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28D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39A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AC46D6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78989">
            <w:pPr>
              <w:textAlignment w:val="center"/>
              <w:rPr>
                <w:rFonts w:hint="default"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C3A7ED">
            <w:pPr>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D55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7.70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BAA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7.70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B56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ED9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157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2BE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C1B06A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EA1B2">
            <w:pPr>
              <w:textAlignment w:val="center"/>
              <w:rPr>
                <w:rFonts w:hint="default"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C103C7">
            <w:pPr>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BA4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7.02</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1DA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7.02</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054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70B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772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CBF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A86BAC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206B6">
            <w:pPr>
              <w:textAlignment w:val="center"/>
              <w:rPr>
                <w:rFonts w:hint="default" w:cs="宋体"/>
                <w:color w:val="000000"/>
                <w:sz w:val="20"/>
                <w:szCs w:val="20"/>
              </w:rPr>
            </w:pPr>
            <w:r>
              <w:rPr>
                <w:rFonts w:cs="宋体"/>
                <w:color w:val="000000"/>
                <w:sz w:val="20"/>
                <w:szCs w:val="20"/>
              </w:rPr>
              <w:t>2210203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0DEE36">
            <w:pPr>
              <w:textAlignment w:val="center"/>
              <w:rPr>
                <w:rFonts w:hint="default" w:cs="宋体"/>
                <w:color w:val="000000"/>
                <w:sz w:val="20"/>
                <w:szCs w:val="20"/>
              </w:rPr>
            </w:pPr>
            <w:r>
              <w:rPr>
                <w:rFonts w:cs="宋体"/>
                <w:color w:val="000000"/>
                <w:sz w:val="20"/>
                <w:szCs w:val="20"/>
              </w:rPr>
              <w:t>购房补贴</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64A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0.69</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16C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0.69</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0C6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9E9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499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5BB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5C44B2CF">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p>
    <w:p w14:paraId="7912CF01">
      <w:pPr>
        <w:rPr>
          <w:rFonts w:hint="default" w:cs="宋体"/>
          <w:sz w:val="21"/>
          <w:szCs w:val="21"/>
        </w:rPr>
      </w:pPr>
      <w:r>
        <w:rPr>
          <w:rFonts w:cs="宋体"/>
          <w:sz w:val="21"/>
          <w:szCs w:val="21"/>
        </w:rPr>
        <w:br w:type="page"/>
      </w:r>
    </w:p>
    <w:p w14:paraId="07BC9381">
      <w:pPr>
        <w:rPr>
          <w:rFonts w:hint="default" w:cs="宋体"/>
          <w:sz w:val="21"/>
          <w:szCs w:val="21"/>
        </w:rPr>
      </w:pPr>
    </w:p>
    <w:tbl>
      <w:tblPr>
        <w:tblStyle w:val="9"/>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44A8A63B">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6E37ACF7">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05A276C6">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435CEEC0">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重庆市九龙坡区石桥铺街道物业管理服务中心</w:t>
            </w:r>
          </w:p>
        </w:tc>
        <w:tc>
          <w:tcPr>
            <w:tcW w:w="577" w:type="pct"/>
            <w:tcBorders>
              <w:top w:val="nil"/>
              <w:left w:val="nil"/>
              <w:bottom w:val="nil"/>
              <w:right w:val="nil"/>
            </w:tcBorders>
            <w:shd w:val="clear" w:color="auto" w:fill="auto"/>
            <w:noWrap/>
            <w:tcMar>
              <w:top w:w="15" w:type="dxa"/>
              <w:left w:w="15" w:type="dxa"/>
              <w:right w:w="15" w:type="dxa"/>
            </w:tcMar>
            <w:vAlign w:val="bottom"/>
          </w:tcPr>
          <w:p w14:paraId="131A66C8">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2EEC3A7E">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134875C4">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64661A56">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14:paraId="55D8DF94">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6C96462B">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3CA94CCF">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02AC838C">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6FBDD959">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268D65F0">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B94E095">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FEB9A">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6F38E">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6816FC06">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4B59F7">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DE4A24">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BE1CA7">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230C60">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20F74814">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988FEF">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17A2BD">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10AAF1">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F8BCE">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45D0E2">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D31F7D">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E7376F">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465E4F6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E5CFB">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66B3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94.63</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0D7AE">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5BCF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74.62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BA47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74.62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BF72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9592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3ED510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99F24">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9D73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874EB">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07C2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E9E5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73DD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B466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2F04FA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66F9C">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93FE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FE1F5">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F7AA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1C09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A850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0140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DA029C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1F5E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778B921">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FD229">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49E0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8164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4D07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3475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5E4C8C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34C6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E24DA6B">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61746">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1832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8BAB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EC62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998B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BD7E2F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83AE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84659F7">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9B024">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2BDE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2C13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0A2F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6BEF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769780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9974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06250BF">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5A783">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F7DA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2813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8BA4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D6EC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910AEB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41B3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3D856B7">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F80BD">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6E65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8.87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A95D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8.87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6BFD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80C5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D67E72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3614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C83942B">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617A9">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9843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9F99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89EA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F584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B10A8D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F977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9CAE3">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7A7F5">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5CDE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592D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5ADF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4D44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1E9B96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DB61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AAF2D">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27909">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5AB8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EB31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CE7F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595B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1F41D5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B2346">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F004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B65EB">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7316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4EB1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196A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B002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C751E5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B2CBA">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7FBA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A3B12">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F0ED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F8C5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4CDE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A065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E12338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5074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7C64F">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D0404">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6A01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D63C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1811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7E8B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91394C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0A645">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F06F8">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90BC7">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1FBF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5C9E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CDC1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841C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15D1CF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3531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0EE14">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F7088">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A02C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DDF6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B512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A74C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059820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10286">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691C0">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46200">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B3B2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0BF3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471A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9A50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FFF790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D877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34C02">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E6BBB">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31C4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D89A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5E4B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58DD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EB3876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05E5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9AB62">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A70CB">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DB71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7.70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F856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7.70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92B8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B085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5E8625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629F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4FAC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74409">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22C2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BFC1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F727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45EB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9CA4F5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0AEE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3371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944D1">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E756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3261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2DB2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38BB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D773E4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4B5E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4B514">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983C6">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8A83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A1CB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33BA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F618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00B976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41B0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A7784">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E830B">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50AF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BC4F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6E92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9053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32D7A5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AAF787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B3F9E">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B5AAC">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EB63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DC26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A5BB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DA32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608C6E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585337A">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BFABA">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0C676">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8F88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1396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7CE9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94D2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11BB70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D967BA5">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751AA">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B51FF">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E4FD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C36A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1C63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7BAB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65E57A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A9F31">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FE63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94.63</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D6737">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1F78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94.63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0D43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94.63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6ED4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946B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126E0E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B88D6">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9BAA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7EACB">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0BF7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BBED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6DD1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1888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F2BDDA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3E6EC">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C522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93C8E54">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BB341FC">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4800A64">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9DC8B64">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1E496BA">
            <w:pPr>
              <w:spacing w:line="200" w:lineRule="exact"/>
              <w:rPr>
                <w:rFonts w:hint="default" w:ascii="Times New Roman" w:hAnsi="Times New Roman"/>
                <w:color w:val="000000"/>
                <w:sz w:val="18"/>
                <w:szCs w:val="18"/>
              </w:rPr>
            </w:pPr>
          </w:p>
        </w:tc>
      </w:tr>
      <w:tr w14:paraId="7F3C66C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CE473">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397B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856D8">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72087">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20FFB">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CA462">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5C2B0">
            <w:pPr>
              <w:spacing w:line="200" w:lineRule="exact"/>
              <w:jc w:val="right"/>
              <w:rPr>
                <w:rFonts w:hint="default" w:ascii="Times New Roman" w:hAnsi="Times New Roman"/>
                <w:color w:val="000000"/>
                <w:sz w:val="18"/>
                <w:szCs w:val="18"/>
              </w:rPr>
            </w:pPr>
          </w:p>
        </w:tc>
      </w:tr>
      <w:tr w14:paraId="221ED61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5DD8B">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4B37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A1980">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1A386">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2879D">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75AE3">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6EA66">
            <w:pPr>
              <w:spacing w:line="200" w:lineRule="exact"/>
              <w:jc w:val="right"/>
              <w:rPr>
                <w:rFonts w:hint="default" w:ascii="Times New Roman" w:hAnsi="Times New Roman"/>
                <w:color w:val="000000"/>
                <w:sz w:val="18"/>
                <w:szCs w:val="18"/>
              </w:rPr>
            </w:pPr>
          </w:p>
        </w:tc>
      </w:tr>
      <w:tr w14:paraId="0B141F8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B9894">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1B00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94.63</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62D98">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B0B1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94.63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8A6F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94.63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F4F9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2A7A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14:paraId="07F63C3C">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9"/>
        <w:tblW w:w="5000" w:type="pct"/>
        <w:tblInd w:w="0" w:type="dxa"/>
        <w:tblLayout w:type="fixed"/>
        <w:tblCellMar>
          <w:top w:w="0" w:type="dxa"/>
          <w:left w:w="0" w:type="dxa"/>
          <w:bottom w:w="0" w:type="dxa"/>
          <w:right w:w="0" w:type="dxa"/>
        </w:tblCellMar>
      </w:tblPr>
      <w:tblGrid>
        <w:gridCol w:w="1305"/>
        <w:gridCol w:w="4073"/>
        <w:gridCol w:w="3307"/>
        <w:gridCol w:w="3296"/>
        <w:gridCol w:w="3341"/>
      </w:tblGrid>
      <w:tr w14:paraId="28E990B2">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7D9ECB74">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6E8E3424">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5CEE4BB3">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重庆市九龙坡区石桥铺街道物业管理服务中心</w:t>
            </w:r>
          </w:p>
        </w:tc>
        <w:tc>
          <w:tcPr>
            <w:tcW w:w="1076" w:type="pct"/>
            <w:tcBorders>
              <w:top w:val="nil"/>
              <w:left w:val="nil"/>
              <w:bottom w:val="nil"/>
              <w:right w:val="nil"/>
            </w:tcBorders>
            <w:shd w:val="clear" w:color="auto" w:fill="auto"/>
            <w:noWrap/>
            <w:tcMar>
              <w:top w:w="15" w:type="dxa"/>
              <w:left w:w="15" w:type="dxa"/>
              <w:right w:w="15" w:type="dxa"/>
            </w:tcMar>
            <w:vAlign w:val="bottom"/>
          </w:tcPr>
          <w:p w14:paraId="6ECB0A83">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33E4801C">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14:paraId="554F58DC">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7BE3348E">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5CAF651C">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489C1BD9">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4433B96">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344FE7">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DF44B7B">
            <w:pPr>
              <w:jc w:val="center"/>
              <w:textAlignment w:val="center"/>
              <w:rPr>
                <w:rFonts w:hint="default" w:cs="宋体"/>
                <w:b/>
                <w:color w:val="000000"/>
                <w:sz w:val="20"/>
                <w:szCs w:val="20"/>
              </w:rPr>
            </w:pPr>
            <w:r>
              <w:rPr>
                <w:rFonts w:cs="宋体"/>
                <w:b/>
                <w:color w:val="000000"/>
                <w:sz w:val="20"/>
                <w:szCs w:val="20"/>
              </w:rPr>
              <w:t>本年支出</w:t>
            </w:r>
          </w:p>
        </w:tc>
      </w:tr>
      <w:tr w14:paraId="7694AF99">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E8E135">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745099">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C190FB">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927AFC">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F6BAE4">
            <w:pPr>
              <w:jc w:val="center"/>
              <w:textAlignment w:val="center"/>
              <w:rPr>
                <w:rFonts w:hint="default" w:cs="宋体"/>
                <w:b/>
                <w:color w:val="000000"/>
                <w:sz w:val="20"/>
                <w:szCs w:val="20"/>
              </w:rPr>
            </w:pPr>
            <w:r>
              <w:rPr>
                <w:rFonts w:cs="宋体"/>
                <w:b/>
                <w:color w:val="000000"/>
                <w:sz w:val="20"/>
                <w:szCs w:val="20"/>
              </w:rPr>
              <w:t>项目支出</w:t>
            </w:r>
          </w:p>
        </w:tc>
      </w:tr>
      <w:tr w14:paraId="3313DC01">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7FD4AD">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FB1B3E">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B8E5F6">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7329B6">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344222">
            <w:pPr>
              <w:jc w:val="center"/>
              <w:rPr>
                <w:rFonts w:hint="default" w:cs="宋体"/>
                <w:b/>
                <w:color w:val="000000"/>
                <w:sz w:val="20"/>
                <w:szCs w:val="20"/>
              </w:rPr>
            </w:pPr>
          </w:p>
        </w:tc>
      </w:tr>
      <w:tr w14:paraId="1FED1172">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7BC93D">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AEF39C">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622A36">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537C8B">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FE81AA">
            <w:pPr>
              <w:jc w:val="center"/>
              <w:rPr>
                <w:rFonts w:hint="default" w:cs="宋体"/>
                <w:b/>
                <w:color w:val="000000"/>
                <w:sz w:val="20"/>
                <w:szCs w:val="20"/>
              </w:rPr>
            </w:pPr>
          </w:p>
        </w:tc>
      </w:tr>
      <w:tr w14:paraId="241902C5">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3CAD87">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6F315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94.63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26491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94.63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D7DB8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4B99137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612E5">
            <w:pPr>
              <w:textAlignment w:val="center"/>
              <w:rPr>
                <w:rFonts w:hint="default" w:cs="宋体"/>
                <w:color w:val="000000"/>
                <w:sz w:val="20"/>
                <w:szCs w:val="20"/>
              </w:rPr>
            </w:pPr>
            <w:r>
              <w:rPr>
                <w:rFonts w:cs="宋体"/>
                <w:b/>
                <w:color w:val="000000"/>
                <w:sz w:val="20"/>
                <w:szCs w:val="20"/>
              </w:rPr>
              <w:t>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4A24FB">
            <w:pPr>
              <w:textAlignment w:val="center"/>
              <w:rPr>
                <w:rFonts w:hint="default" w:cs="宋体"/>
                <w:color w:val="000000"/>
                <w:sz w:val="20"/>
                <w:szCs w:val="20"/>
              </w:rPr>
            </w:pPr>
            <w:r>
              <w:rPr>
                <w:rFonts w:cs="宋体"/>
                <w:b/>
                <w:color w:val="000000"/>
                <w:sz w:val="20"/>
                <w:szCs w:val="20"/>
              </w:rPr>
              <w:t>一般公共服务支出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B746C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74.62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A633E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74.62</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C8BBC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F6593F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63AEB">
            <w:pPr>
              <w:textAlignment w:val="center"/>
              <w:rPr>
                <w:rFonts w:hint="default" w:cs="宋体"/>
                <w:color w:val="000000"/>
                <w:sz w:val="20"/>
                <w:szCs w:val="20"/>
              </w:rPr>
            </w:pPr>
            <w:r>
              <w:rPr>
                <w:rFonts w:cs="宋体"/>
                <w:b/>
                <w:color w:val="000000"/>
                <w:sz w:val="20"/>
                <w:szCs w:val="20"/>
              </w:rPr>
              <w:t>20103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C6FA9B">
            <w:pPr>
              <w:textAlignment w:val="center"/>
              <w:rPr>
                <w:rFonts w:hint="default" w:cs="宋体"/>
                <w:color w:val="000000"/>
                <w:sz w:val="20"/>
                <w:szCs w:val="20"/>
              </w:rPr>
            </w:pPr>
            <w:r>
              <w:rPr>
                <w:rFonts w:cs="宋体"/>
                <w:b/>
                <w:color w:val="000000"/>
                <w:sz w:val="20"/>
                <w:szCs w:val="20"/>
              </w:rPr>
              <w:t>政府办公厅（室）及相关机构事务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21592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74.62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76F28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74.62</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986D2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ED6BAA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97414">
            <w:pPr>
              <w:textAlignment w:val="center"/>
              <w:rPr>
                <w:rFonts w:hint="default" w:cs="宋体"/>
                <w:color w:val="000000"/>
                <w:sz w:val="20"/>
                <w:szCs w:val="20"/>
              </w:rPr>
            </w:pPr>
            <w:r>
              <w:rPr>
                <w:rFonts w:cs="宋体"/>
                <w:color w:val="000000"/>
                <w:sz w:val="20"/>
                <w:szCs w:val="20"/>
              </w:rPr>
              <w:t>2010350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304007">
            <w:pPr>
              <w:textAlignment w:val="center"/>
              <w:rPr>
                <w:rFonts w:hint="default" w:cs="宋体"/>
                <w:color w:val="000000"/>
                <w:sz w:val="20"/>
                <w:szCs w:val="20"/>
              </w:rPr>
            </w:pPr>
            <w:r>
              <w:rPr>
                <w:rFonts w:cs="宋体"/>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DFD4B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74.62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8FC7E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74.62</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24439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2ADEA3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AE4D7">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49EBCB">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7DA4D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8.87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6C845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8.87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3FA02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914ADB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D3B53">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376123">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A88D8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8.87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8995C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8.87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5EB94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477D08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222D1">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9A3A5D">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8575E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5.10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21547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5.10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817B4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3659CC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8DAAB">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8650E9">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64B07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1FEE3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3.77</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10F8F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30018E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9E41A">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C22946">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10EA5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E7B86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7D975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3FD50B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2CF43">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4145FE">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F3025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57CEF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A3446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FDC3B6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57C4E">
            <w:pPr>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F496BD">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8B2AC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7B26F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3.02</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6F479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82D11A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7B325">
            <w:pPr>
              <w:textAlignment w:val="center"/>
              <w:rPr>
                <w:rFonts w:hint="default"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56CEF3">
            <w:pPr>
              <w:textAlignment w:val="center"/>
              <w:rPr>
                <w:rFonts w:hint="default"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6DE2B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C8BD6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0.42</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11130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7BF580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A7C4C">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758600">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A17AA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7.70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3AA6C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7.70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4A50E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EDBFAD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DCF9E">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929BAE">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E9A27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7.70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DAA3C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7.70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F0128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07152D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1C36B">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400903">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E229E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7.02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95765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7.02</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40902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2252E0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BB186">
            <w:pPr>
              <w:textAlignment w:val="center"/>
              <w:rPr>
                <w:rFonts w:hint="default" w:cs="宋体"/>
                <w:color w:val="000000"/>
                <w:sz w:val="20"/>
                <w:szCs w:val="20"/>
              </w:rPr>
            </w:pPr>
            <w:r>
              <w:rPr>
                <w:rFonts w:cs="宋体"/>
                <w:color w:val="000000"/>
                <w:sz w:val="20"/>
                <w:szCs w:val="20"/>
              </w:rPr>
              <w:t>2210203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E4F0F3">
            <w:pPr>
              <w:textAlignment w:val="center"/>
              <w:rPr>
                <w:rFonts w:hint="default" w:cs="宋体"/>
                <w:color w:val="000000"/>
                <w:sz w:val="20"/>
                <w:szCs w:val="20"/>
              </w:rPr>
            </w:pPr>
            <w:r>
              <w:rPr>
                <w:rFonts w:cs="宋体"/>
                <w:color w:val="000000"/>
                <w:sz w:val="20"/>
                <w:szCs w:val="20"/>
              </w:rPr>
              <w:t>购房补贴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8D89E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6E8E4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0.69</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84202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50D3AA75">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49CEE09F">
      <w:pPr>
        <w:ind w:firstLine="630" w:firstLineChars="300"/>
        <w:rPr>
          <w:rFonts w:hint="default" w:cs="宋体"/>
          <w:sz w:val="21"/>
          <w:szCs w:val="21"/>
        </w:rPr>
      </w:pPr>
      <w:r>
        <w:rPr>
          <w:rFonts w:cs="宋体"/>
          <w:sz w:val="21"/>
          <w:szCs w:val="21"/>
        </w:rPr>
        <w:br w:type="page"/>
      </w:r>
    </w:p>
    <w:tbl>
      <w:tblPr>
        <w:tblStyle w:val="9"/>
        <w:tblW w:w="4994" w:type="pct"/>
        <w:tblInd w:w="0" w:type="dxa"/>
        <w:tblLayout w:type="fixed"/>
        <w:tblCellMar>
          <w:top w:w="0" w:type="dxa"/>
          <w:left w:w="0" w:type="dxa"/>
          <w:bottom w:w="0" w:type="dxa"/>
          <w:right w:w="0" w:type="dxa"/>
        </w:tblCellMar>
      </w:tblPr>
      <w:tblGrid>
        <w:gridCol w:w="802"/>
        <w:gridCol w:w="2809"/>
        <w:gridCol w:w="1541"/>
        <w:gridCol w:w="873"/>
        <w:gridCol w:w="2031"/>
        <w:gridCol w:w="1417"/>
        <w:gridCol w:w="873"/>
        <w:gridCol w:w="3465"/>
        <w:gridCol w:w="1492"/>
      </w:tblGrid>
      <w:tr w14:paraId="5F7683FD">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3025909A">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0260DD09">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2D34C33C">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重庆市九龙坡区石桥铺街道物业管理服务中心</w:t>
            </w:r>
          </w:p>
        </w:tc>
        <w:tc>
          <w:tcPr>
            <w:tcW w:w="463" w:type="pct"/>
            <w:tcBorders>
              <w:top w:val="nil"/>
              <w:left w:val="nil"/>
              <w:bottom w:val="nil"/>
              <w:right w:val="nil"/>
            </w:tcBorders>
            <w:shd w:val="clear" w:color="auto" w:fill="auto"/>
            <w:noWrap/>
            <w:tcMar>
              <w:top w:w="15" w:type="dxa"/>
              <w:left w:w="15" w:type="dxa"/>
              <w:right w:w="15" w:type="dxa"/>
            </w:tcMar>
            <w:vAlign w:val="bottom"/>
          </w:tcPr>
          <w:p w14:paraId="69C05511">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4C17620B">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7FEA0F9D">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5D3FDA64">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14:paraId="61E14D9B">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158E98CA">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271568A1">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4797DA57">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73F3354E">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4525D346">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02ECDF4">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1FC55">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716EAC7">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14:paraId="6F280E7F">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68F55B">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61A251">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3D8CED">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060AAF">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A60882">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2FF18D">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73DBBF">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27D9AC">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94F992">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14:paraId="600F04E5">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92AC74">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9934F5">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27CBC1">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A405F8">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DB617A">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B63269">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9FCA4E">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5E6565">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0CF3A0">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14:paraId="283598B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506B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A560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EEDC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80.87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6701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0BF8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93A9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13.76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92EC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3B46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0AB9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7C64E7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FF64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EC6F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8343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19.33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201E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0087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5CDC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215F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BF61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A59B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48BAA7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AA60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CFBE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EA6E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5C58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7CF6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3F8A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4E2E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1F67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896C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7D2059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EB9E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F775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0D68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6A24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5BE7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59AE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B560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7EF3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F672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1CD8F9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AD9A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A3D9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09C3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747F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7728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C45F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AB89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7CB3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8E22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2F8D83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6051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F511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2DF6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40.04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2708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DCAC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B184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1128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72F3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0E46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E65F14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DED5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40FA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78EB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1EF2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0A16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6CAD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AA32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D33B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0E5D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DD2D3D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788D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D22C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0D54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E8EC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15F2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6AAE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429E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D26B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213A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EB4B77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6230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569B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99C3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112B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8DF0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1AC4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04FE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DA67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032B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383B8F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373D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4967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54B0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993A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CE5A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532F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F706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80CB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5BD8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808467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9DD3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5242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458D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6EE6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B555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2C14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168D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61E7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08EB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FFF29A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0B6D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0B9F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490F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7.02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5AB2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4863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39EA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D657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3065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E567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BA64F8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1F13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6341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43B7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0245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7AD0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3013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708E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357F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C769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5F95B6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9947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63AC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3BF3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5D82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8A45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D35B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C85A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C09B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05FD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7A4FDD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B7F6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9F18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7074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C163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AD66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8B31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7D2D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2407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35F3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6DF387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D8EA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B489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2633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0F51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B4B6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01CE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DD65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13D2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D24F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EAA28F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7CD9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80FC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2C38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093C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9BA3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DA98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A1A3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5130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F0CB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93527A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89FE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389F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C4A2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8599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FBE9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6A61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7FFD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E089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5309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C54BA0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458E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CC99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9CA4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AAF5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9BE2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3A30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035E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FCCC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BD6C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9A854C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C1DB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AB83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5B75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67DC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384C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987C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B1B0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D730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BD4A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EBA8FB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FDDE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F4AD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0B27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DEB0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905C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23A8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E7D8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98DC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881B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817239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548B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277A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F1E4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31D2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8871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427F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9598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E111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6DA6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DFD427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EEF3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B797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33D8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CCFB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D6E9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78FE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4B9A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C9819">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B5EB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9D71EE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E747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449A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21A2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C5FE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358B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B2D9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1CF4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A719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B313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DD0BB4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6830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1111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19B8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9801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9EA5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436A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FF7E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8821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68E3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85418E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E5E8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CAE0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8C4F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5B70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8DD3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4177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247A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6FC8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965B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C62B58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2529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26F5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60BD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001A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BDBE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80E6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E345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FADB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6CC3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59794C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E6DF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AE1FD">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260DF11">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A36D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313A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127A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9150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A861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1271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83785D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8D2E8">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C84BE">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F2D52F8">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73E1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1EB3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5157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2DE9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55E5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77D8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1612D0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A00E9">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2975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8CCB72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E151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BBCD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18DF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60CC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03B8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630E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218343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FBB18">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0646D">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6A5469F">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CA4F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6426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ADE8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535EF">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78811">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B8028">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7214E9A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8DF1A">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E4FE7">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EE06F3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D176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DC6F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D5FB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4E49D">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4B660">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77FE8">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75861FD9">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1BCF6">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3E453">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50D5AA8">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C798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B860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D2C8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B846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8A08D">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1267A">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6212CDB8">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B9E4E">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3BEBC15">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80.87</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835103">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DADA4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13.76</w:t>
            </w:r>
            <w:r>
              <w:rPr>
                <w:rFonts w:ascii="Times New Roman" w:hAnsi="Times New Roman"/>
                <w:color w:val="000000"/>
                <w:sz w:val="18"/>
                <w:u w:color="auto"/>
              </w:rPr>
              <w:t xml:space="preserve"> </w:t>
            </w:r>
          </w:p>
        </w:tc>
      </w:tr>
    </w:tbl>
    <w:p w14:paraId="033C1558">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9"/>
        <w:tblW w:w="5000" w:type="pct"/>
        <w:tblInd w:w="0" w:type="dxa"/>
        <w:tblLayout w:type="fixed"/>
        <w:tblCellMar>
          <w:top w:w="0" w:type="dxa"/>
          <w:left w:w="0" w:type="dxa"/>
          <w:bottom w:w="0" w:type="dxa"/>
          <w:right w:w="0" w:type="dxa"/>
        </w:tblCellMar>
      </w:tblPr>
      <w:tblGrid>
        <w:gridCol w:w="1320"/>
        <w:gridCol w:w="3595"/>
        <w:gridCol w:w="1701"/>
        <w:gridCol w:w="1701"/>
        <w:gridCol w:w="1701"/>
        <w:gridCol w:w="1701"/>
        <w:gridCol w:w="1766"/>
        <w:gridCol w:w="1838"/>
      </w:tblGrid>
      <w:tr w14:paraId="000590E9">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0A1590C8">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1CB00FCE">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235AC603">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重庆市九龙坡区石桥铺街道物业管理服务中心</w:t>
            </w:r>
          </w:p>
        </w:tc>
        <w:tc>
          <w:tcPr>
            <w:tcW w:w="555" w:type="pct"/>
            <w:tcBorders>
              <w:top w:val="nil"/>
              <w:left w:val="nil"/>
              <w:bottom w:val="nil"/>
              <w:right w:val="nil"/>
            </w:tcBorders>
            <w:shd w:val="clear" w:color="auto" w:fill="auto"/>
            <w:noWrap/>
            <w:tcMar>
              <w:top w:w="15" w:type="dxa"/>
              <w:left w:w="15" w:type="dxa"/>
              <w:right w:w="15" w:type="dxa"/>
            </w:tcMar>
            <w:vAlign w:val="bottom"/>
          </w:tcPr>
          <w:p w14:paraId="7AA46BDC">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1BAD14F">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1844C7AE">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64784E34">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19A9ED45">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14:paraId="2B87D6CE">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5BE69DB9">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4AFC7F3B">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FE3608F">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454F071D">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04D7FF11">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2854D9F5">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32A9DE2">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DC2507">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67B7168">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2DA193">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5148618">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3D5E56">
            <w:pPr>
              <w:jc w:val="center"/>
              <w:textAlignment w:val="center"/>
              <w:rPr>
                <w:rFonts w:hint="default" w:cs="宋体"/>
                <w:b/>
                <w:color w:val="000000"/>
                <w:sz w:val="20"/>
                <w:szCs w:val="20"/>
              </w:rPr>
            </w:pPr>
            <w:r>
              <w:rPr>
                <w:rFonts w:cs="宋体"/>
                <w:b/>
                <w:color w:val="000000"/>
                <w:sz w:val="20"/>
                <w:szCs w:val="20"/>
              </w:rPr>
              <w:t>年末结转和结余</w:t>
            </w:r>
          </w:p>
        </w:tc>
      </w:tr>
      <w:tr w14:paraId="339DC467">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C8F4FF">
            <w:pPr>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DD3D1E">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9B0941D">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318457">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F313AE">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7437BF">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0D60EF">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32726D">
            <w:pPr>
              <w:jc w:val="center"/>
              <w:rPr>
                <w:rFonts w:hint="default" w:cs="宋体"/>
                <w:b/>
                <w:color w:val="000000"/>
                <w:sz w:val="20"/>
                <w:szCs w:val="20"/>
              </w:rPr>
            </w:pPr>
          </w:p>
        </w:tc>
      </w:tr>
      <w:tr w14:paraId="43F1FDE5">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B7442A">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760452">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F32CF0C">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BC1856">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0BF158">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DB5215">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89D89E">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83D559">
            <w:pPr>
              <w:jc w:val="center"/>
              <w:rPr>
                <w:rFonts w:hint="default" w:cs="宋体"/>
                <w:b/>
                <w:color w:val="000000"/>
                <w:sz w:val="20"/>
                <w:szCs w:val="20"/>
              </w:rPr>
            </w:pPr>
          </w:p>
        </w:tc>
      </w:tr>
      <w:tr w14:paraId="10E2D91A">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C1240D">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052C1A">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884B951">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B18D93">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453C90">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FD924B">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10C08A">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2E0959">
            <w:pPr>
              <w:jc w:val="center"/>
              <w:rPr>
                <w:rFonts w:hint="default" w:cs="宋体"/>
                <w:b/>
                <w:color w:val="000000"/>
                <w:sz w:val="20"/>
                <w:szCs w:val="20"/>
              </w:rPr>
            </w:pPr>
          </w:p>
        </w:tc>
      </w:tr>
      <w:tr w14:paraId="5970242E">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2F24CA">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B3858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12071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D08D8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FCDE6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574B9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459EB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6815C7AA">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06095">
            <w:pPr>
              <w:jc w:val="both"/>
              <w:textAlignment w:val="center"/>
              <w:rPr>
                <w:rFonts w:hint="default" w:cs="宋体"/>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AD34B3">
            <w:pPr>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735C1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E7977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C7ABE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D579C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FD27B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06548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00138808">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14:paraId="123EE70E">
      <w:pPr>
        <w:rPr>
          <w:rFonts w:hint="default" w:cs="宋体"/>
          <w:sz w:val="21"/>
          <w:szCs w:val="21"/>
        </w:rPr>
      </w:pPr>
      <w:r>
        <w:rPr>
          <w:rFonts w:cs="宋体"/>
          <w:sz w:val="21"/>
          <w:szCs w:val="21"/>
        </w:rPr>
        <w:br w:type="page"/>
      </w:r>
    </w:p>
    <w:tbl>
      <w:tblPr>
        <w:tblStyle w:val="9"/>
        <w:tblW w:w="5000" w:type="pct"/>
        <w:tblInd w:w="0" w:type="dxa"/>
        <w:tblLayout w:type="fixed"/>
        <w:tblCellMar>
          <w:top w:w="0" w:type="dxa"/>
          <w:left w:w="0" w:type="dxa"/>
          <w:bottom w:w="0" w:type="dxa"/>
          <w:right w:w="0" w:type="dxa"/>
        </w:tblCellMar>
      </w:tblPr>
      <w:tblGrid>
        <w:gridCol w:w="1295"/>
        <w:gridCol w:w="3617"/>
        <w:gridCol w:w="3274"/>
        <w:gridCol w:w="189"/>
        <w:gridCol w:w="3462"/>
        <w:gridCol w:w="85"/>
        <w:gridCol w:w="3400"/>
      </w:tblGrid>
      <w:tr w14:paraId="0554AFEB">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17EC82D2">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7939167C">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32292F44">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重庆市九龙坡区石桥铺街道物业管理服务中心</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44929C21">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5029CBB4">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14:paraId="7BFF0FFE">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6BB8960A">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786B2BDC">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68E266B5">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EF138C8">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1796199">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0B66E0F">
            <w:pPr>
              <w:jc w:val="center"/>
              <w:textAlignment w:val="bottom"/>
              <w:rPr>
                <w:rFonts w:hint="default" w:cs="宋体"/>
                <w:b/>
                <w:color w:val="000000"/>
                <w:sz w:val="20"/>
                <w:szCs w:val="20"/>
              </w:rPr>
            </w:pPr>
            <w:r>
              <w:rPr>
                <w:rFonts w:cs="宋体"/>
                <w:b/>
                <w:color w:val="000000"/>
                <w:sz w:val="20"/>
                <w:szCs w:val="20"/>
              </w:rPr>
              <w:t>本年支出</w:t>
            </w:r>
          </w:p>
        </w:tc>
      </w:tr>
      <w:tr w14:paraId="6009D31E">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66F245">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9DC35F">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57FFE4">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7D9BE2">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3A4718">
            <w:pPr>
              <w:jc w:val="center"/>
              <w:textAlignment w:val="center"/>
              <w:rPr>
                <w:rFonts w:hint="default" w:cs="宋体"/>
                <w:b/>
                <w:color w:val="000000"/>
                <w:sz w:val="20"/>
                <w:szCs w:val="20"/>
              </w:rPr>
            </w:pPr>
            <w:r>
              <w:rPr>
                <w:rFonts w:cs="宋体"/>
                <w:b/>
                <w:color w:val="000000"/>
                <w:sz w:val="20"/>
                <w:szCs w:val="20"/>
              </w:rPr>
              <w:t>项目支出</w:t>
            </w:r>
          </w:p>
        </w:tc>
      </w:tr>
      <w:tr w14:paraId="2626053D">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B7D70E">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C6CD19">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357ED9">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B7F93A">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E6D848">
            <w:pPr>
              <w:jc w:val="center"/>
              <w:rPr>
                <w:rFonts w:hint="default" w:cs="宋体"/>
                <w:b/>
                <w:color w:val="000000"/>
                <w:sz w:val="20"/>
                <w:szCs w:val="20"/>
              </w:rPr>
            </w:pPr>
          </w:p>
        </w:tc>
      </w:tr>
      <w:tr w14:paraId="5B460863">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BC08C1">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EF6091">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C6681D">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2AE351">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038B58">
            <w:pPr>
              <w:jc w:val="center"/>
              <w:rPr>
                <w:rFonts w:hint="default" w:cs="宋体"/>
                <w:b/>
                <w:color w:val="000000"/>
                <w:sz w:val="20"/>
                <w:szCs w:val="20"/>
              </w:rPr>
            </w:pPr>
          </w:p>
        </w:tc>
      </w:tr>
      <w:tr w14:paraId="09E5D917">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1D20A7">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0621AA">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9875A5">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E7FEBD">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BD0173">
            <w:pPr>
              <w:jc w:val="center"/>
              <w:rPr>
                <w:rFonts w:hint="default" w:cs="宋体"/>
                <w:b/>
                <w:color w:val="000000"/>
                <w:sz w:val="20"/>
                <w:szCs w:val="20"/>
              </w:rPr>
            </w:pPr>
          </w:p>
        </w:tc>
      </w:tr>
      <w:tr w14:paraId="04A410D0">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232AFB">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81F73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26F104">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AF217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11F3E979">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0F2CA">
            <w:pPr>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03EE86">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DB7FE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17D831">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6EBF3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5FF9BBEF">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187D9126">
      <w:pPr>
        <w:rPr>
          <w:rFonts w:hint="default" w:cs="宋体"/>
          <w:sz w:val="21"/>
          <w:szCs w:val="21"/>
        </w:rPr>
      </w:pPr>
      <w:r>
        <w:rPr>
          <w:rFonts w:hint="default" w:cs="宋体"/>
          <w:sz w:val="21"/>
          <w:szCs w:val="21"/>
        </w:rPr>
        <w:br w:type="page"/>
      </w:r>
    </w:p>
    <w:tbl>
      <w:tblPr>
        <w:tblStyle w:val="9"/>
        <w:tblW w:w="4611" w:type="pct"/>
        <w:tblInd w:w="0" w:type="dxa"/>
        <w:tblLayout w:type="fixed"/>
        <w:tblCellMar>
          <w:top w:w="0" w:type="dxa"/>
          <w:left w:w="170" w:type="dxa"/>
          <w:bottom w:w="0" w:type="dxa"/>
          <w:right w:w="170" w:type="dxa"/>
        </w:tblCellMar>
      </w:tblPr>
      <w:tblGrid>
        <w:gridCol w:w="3179"/>
        <w:gridCol w:w="2415"/>
        <w:gridCol w:w="2376"/>
        <w:gridCol w:w="3674"/>
        <w:gridCol w:w="2486"/>
      </w:tblGrid>
      <w:tr w14:paraId="756EEF7F">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1E12660D">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78C5402C">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36CD7D4A">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14:paraId="23782B49">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14:paraId="79C19D23">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14:paraId="4A93BA73">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14:paraId="39621072">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10B4CA46">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7635BA58">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重庆市九龙坡区石桥铺街道物业管理服务中心</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31670D62">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38595D1B">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2DB69C09">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6CA01891">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83EFD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EB667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F0846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C057E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F7E61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138F1CEF">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50ACC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629D1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AEA47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5A438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549EF4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D2E9EE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AA2A6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0E6B8F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18E1E9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A5E74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83F9CC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73A0F9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9EF43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1228DB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9B9718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57370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130E4A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1C023B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4C170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D0D4CD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265CE0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4A580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008C83">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5C76804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F2167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88E00A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386F07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BA093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563F93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792277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D8363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5260C0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920B75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4FDF1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A684BF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494431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FD9D9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2F74C8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072246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40CEE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D0BDCA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5CE4CA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0C8BD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35466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7D9C88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C2E96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2B5D88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3AF706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C36BD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FDEA0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B8E673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BA016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23D3EE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7293F3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4D456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23B8B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5AE1C3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7AD72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54D729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88A74B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129D1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28907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B7FDD1">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087CE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76AF58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5320BE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A805E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F9AE0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DF4840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3A181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B1EA2F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25BE38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ACBD7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D89E8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FA3960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ECAB0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7BB344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2CD5DA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8BF1E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46AF9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362D04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E60D4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7DD171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43E44D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FAE42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E1E6F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9DCAB9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BB43C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B7728F">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094478B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FE703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42A75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9C7C2B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62B0B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F47709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94DC24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A6AFD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46A8A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64CA51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4CE5C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5A55C3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99AF40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C0444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430BF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9AC9F5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F0386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7F304C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751159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E9766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FD88A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A09346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BE3AA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7C82FB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54E0DD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31B8F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9B679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BF5FD4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0BA9C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A380C1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612E01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9DD2D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EA4B6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700C9F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6B347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3340D0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E7A8DBB">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A11AD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95E9A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76FCC1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67E08E">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7F469B3">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729C745A">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56E2F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3A412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DB0462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0.33</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13E655">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368D75E">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0A306DA7">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9A05E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65403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38CA22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A61C9B">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E55EE8C">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14:paraId="768572E2">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p>
    <w:p w14:paraId="66E0ACBB">
      <w:pPr>
        <w:pStyle w:val="12"/>
        <w:keepNext w:val="0"/>
        <w:keepLines w:val="0"/>
        <w:pageBreakBefore w:val="0"/>
        <w:widowControl/>
        <w:kinsoku/>
        <w:wordWrap/>
        <w:overflowPunct/>
        <w:topLinePunct w:val="0"/>
        <w:autoSpaceDE w:val="0"/>
        <w:autoSpaceDN/>
        <w:bidi w:val="0"/>
        <w:adjustRightInd/>
        <w:snapToGrid/>
        <w:spacing w:beforeAutospacing="0" w:afterAutospacing="0" w:line="596" w:lineRule="exact"/>
        <w:ind w:left="0" w:leftChars="0" w:firstLine="0" w:firstLineChars="0"/>
        <w:jc w:val="both"/>
        <w:textAlignment w:val="auto"/>
        <w:rPr>
          <w:rFonts w:hint="default" w:ascii="方正仿宋_GBK" w:hAnsi="方正仿宋_GBK" w:eastAsia="方正仿宋_GBK" w:cs="方正仿宋_GBK"/>
          <w:kern w:val="0"/>
          <w:sz w:val="32"/>
          <w:szCs w:val="32"/>
          <w:shd w:val="clear" w:fill="FFFFFF"/>
          <w:lang w:val="en-US" w:eastAsia="zh-CN" w:bidi="ar-SA"/>
        </w:rPr>
      </w:pP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2312">
    <w:panose1 w:val="02000000000000000000"/>
    <w:charset w:val="86"/>
    <w:family w:val="auto"/>
    <w:pitch w:val="default"/>
    <w:sig w:usb0="A00002BF" w:usb1="184F6CFA" w:usb2="00000012" w:usb3="00000000" w:csb0="00040001"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341CB6">
    <w:pPr>
      <w:pStyle w:val="4"/>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04B46D0">
                          <w:pPr>
                            <w:pStyle w:val="4"/>
                            <w:rPr>
                              <w:rFonts w:hint="default"/>
                              <w:sz w:val="28"/>
                              <w:szCs w:val="28"/>
                            </w:rPr>
                          </w:pPr>
                          <w:r>
                            <w:rPr>
                              <w:sz w:val="28"/>
                              <w:szCs w:val="28"/>
                            </w:rPr>
                            <w:fldChar w:fldCharType="begin"/>
                          </w:r>
                          <w:r>
                            <w:rPr>
                              <w:sz w:val="28"/>
                              <w:szCs w:val="28"/>
                            </w:rPr>
                            <w:instrText xml:space="preserve"> PAGE  \* MERGEFORMAT </w:instrText>
                          </w:r>
                          <w:r>
                            <w:rPr>
                              <w:sz w:val="28"/>
                              <w:szCs w:val="28"/>
                            </w:rPr>
                            <w:fldChar w:fldCharType="separate"/>
                          </w:r>
                          <w:r>
                            <w:rPr>
                              <w:rFonts w:hint="default"/>
                              <w:sz w:val="28"/>
                              <w:szCs w:val="28"/>
                            </w:rPr>
                            <w:t>- 21 -</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004B46D0">
                    <w:pPr>
                      <w:pStyle w:val="4"/>
                      <w:rPr>
                        <w:rFonts w:hint="default"/>
                        <w:sz w:val="28"/>
                        <w:szCs w:val="28"/>
                      </w:rPr>
                    </w:pPr>
                    <w:r>
                      <w:rPr>
                        <w:sz w:val="28"/>
                        <w:szCs w:val="28"/>
                      </w:rPr>
                      <w:fldChar w:fldCharType="begin"/>
                    </w:r>
                    <w:r>
                      <w:rPr>
                        <w:sz w:val="28"/>
                        <w:szCs w:val="28"/>
                      </w:rPr>
                      <w:instrText xml:space="preserve"> PAGE  \* MERGEFORMAT </w:instrText>
                    </w:r>
                    <w:r>
                      <w:rPr>
                        <w:sz w:val="28"/>
                        <w:szCs w:val="28"/>
                      </w:rPr>
                      <w:fldChar w:fldCharType="separate"/>
                    </w:r>
                    <w:r>
                      <w:rPr>
                        <w:rFonts w:hint="default"/>
                        <w:sz w:val="28"/>
                        <w:szCs w:val="28"/>
                      </w:rPr>
                      <w:t>- 21 -</w:t>
                    </w:r>
                    <w:r>
                      <w:rPr>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388CDF">
    <w:pPr>
      <w:pStyle w:val="4"/>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outside</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3E2CCD4">
                          <w:pPr>
                            <w:pStyle w:val="4"/>
                            <w:rPr>
                              <w:rFonts w:hint="default"/>
                            </w:rPr>
                          </w:pPr>
                          <w:r>
                            <w:t xml:space="preserve"> </w:t>
                          </w:r>
                          <w:r>
                            <w:rPr>
                              <w:sz w:val="28"/>
                              <w:szCs w:val="28"/>
                            </w:rPr>
                            <w:fldChar w:fldCharType="begin"/>
                          </w:r>
                          <w:r>
                            <w:rPr>
                              <w:sz w:val="28"/>
                              <w:szCs w:val="28"/>
                            </w:rPr>
                            <w:instrText xml:space="preserve">PAGE   \* MERGEFORMAT</w:instrText>
                          </w:r>
                          <w:r>
                            <w:rPr>
                              <w:sz w:val="28"/>
                              <w:szCs w:val="28"/>
                            </w:rPr>
                            <w:fldChar w:fldCharType="separate"/>
                          </w:r>
                          <w:r>
                            <w:rPr>
                              <w:rFonts w:hint="default"/>
                              <w:sz w:val="28"/>
                              <w:szCs w:val="28"/>
                              <w:lang w:val="zh-CN"/>
                            </w:rPr>
                            <w:t>28</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43E2CCD4">
                    <w:pPr>
                      <w:pStyle w:val="4"/>
                      <w:rPr>
                        <w:rFonts w:hint="default"/>
                      </w:rPr>
                    </w:pPr>
                    <w:r>
                      <w:t xml:space="preserve"> </w:t>
                    </w:r>
                    <w:r>
                      <w:rPr>
                        <w:sz w:val="28"/>
                        <w:szCs w:val="28"/>
                      </w:rPr>
                      <w:fldChar w:fldCharType="begin"/>
                    </w:r>
                    <w:r>
                      <w:rPr>
                        <w:sz w:val="28"/>
                        <w:szCs w:val="28"/>
                      </w:rPr>
                      <w:instrText xml:space="preserve">PAGE   \* MERGEFORMAT</w:instrText>
                    </w:r>
                    <w:r>
                      <w:rPr>
                        <w:sz w:val="28"/>
                        <w:szCs w:val="28"/>
                      </w:rPr>
                      <w:fldChar w:fldCharType="separate"/>
                    </w:r>
                    <w:r>
                      <w:rPr>
                        <w:rFonts w:hint="default"/>
                        <w:sz w:val="28"/>
                        <w:szCs w:val="28"/>
                        <w:lang w:val="zh-CN"/>
                      </w:rPr>
                      <w:t>28</w:t>
                    </w:r>
                    <w:r>
                      <w:rPr>
                        <w:sz w:val="28"/>
                        <w:szCs w:val="28"/>
                      </w:rPr>
                      <w:fldChar w:fldCharType="end"/>
                    </w:r>
                    <w:r>
                      <w:rPr>
                        <w:sz w:val="28"/>
                        <w:szCs w:val="28"/>
                      </w:rP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1BAEC7EC">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1BAEC7EC">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E5C31B">
    <w:pPr>
      <w:pStyle w:val="5"/>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63"/>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4ZDExMmU1MWUxYzMyMTJmOGZmYTcxOGEzMDM5YTcifQ=="/>
  </w:docVars>
  <w:rsids>
    <w:rsidRoot w:val="00B03CCD"/>
    <w:rsid w:val="000D7BCC"/>
    <w:rsid w:val="00550ABE"/>
    <w:rsid w:val="007B419D"/>
    <w:rsid w:val="009B67B8"/>
    <w:rsid w:val="00B03CCD"/>
    <w:rsid w:val="01474EBF"/>
    <w:rsid w:val="019020B1"/>
    <w:rsid w:val="01F3521E"/>
    <w:rsid w:val="02056D00"/>
    <w:rsid w:val="023C0F54"/>
    <w:rsid w:val="03A52548"/>
    <w:rsid w:val="03E3214F"/>
    <w:rsid w:val="04446191"/>
    <w:rsid w:val="044C50BA"/>
    <w:rsid w:val="0536621F"/>
    <w:rsid w:val="05E71467"/>
    <w:rsid w:val="06247E33"/>
    <w:rsid w:val="06A2550B"/>
    <w:rsid w:val="06F80EE2"/>
    <w:rsid w:val="07001CCA"/>
    <w:rsid w:val="075321D2"/>
    <w:rsid w:val="075678DB"/>
    <w:rsid w:val="07932335"/>
    <w:rsid w:val="08051BCA"/>
    <w:rsid w:val="080A21BB"/>
    <w:rsid w:val="08BA052C"/>
    <w:rsid w:val="08DB07BA"/>
    <w:rsid w:val="092211F1"/>
    <w:rsid w:val="098305D0"/>
    <w:rsid w:val="09B72B6E"/>
    <w:rsid w:val="0A0C7F04"/>
    <w:rsid w:val="0A227275"/>
    <w:rsid w:val="0A5C4B69"/>
    <w:rsid w:val="0B9335CE"/>
    <w:rsid w:val="0BA10C97"/>
    <w:rsid w:val="0C554661"/>
    <w:rsid w:val="0C7927C4"/>
    <w:rsid w:val="0C9B098C"/>
    <w:rsid w:val="0CE80A8F"/>
    <w:rsid w:val="0D472B48"/>
    <w:rsid w:val="0D673E11"/>
    <w:rsid w:val="0DB50EFE"/>
    <w:rsid w:val="0DD25DDB"/>
    <w:rsid w:val="0DDA54E4"/>
    <w:rsid w:val="0E3A5F83"/>
    <w:rsid w:val="0E9478E1"/>
    <w:rsid w:val="0F836721"/>
    <w:rsid w:val="10196798"/>
    <w:rsid w:val="103645A3"/>
    <w:rsid w:val="107B59E5"/>
    <w:rsid w:val="10AA219D"/>
    <w:rsid w:val="11003CB0"/>
    <w:rsid w:val="11124E18"/>
    <w:rsid w:val="111445C7"/>
    <w:rsid w:val="1158083A"/>
    <w:rsid w:val="11F03528"/>
    <w:rsid w:val="12771554"/>
    <w:rsid w:val="129973FF"/>
    <w:rsid w:val="129B6C2D"/>
    <w:rsid w:val="12C921C4"/>
    <w:rsid w:val="12DA353E"/>
    <w:rsid w:val="13850DCB"/>
    <w:rsid w:val="13871C70"/>
    <w:rsid w:val="13A71CB4"/>
    <w:rsid w:val="13AF1D43"/>
    <w:rsid w:val="13CE1647"/>
    <w:rsid w:val="14200702"/>
    <w:rsid w:val="144F3F11"/>
    <w:rsid w:val="1580711B"/>
    <w:rsid w:val="16D80EBF"/>
    <w:rsid w:val="17514A69"/>
    <w:rsid w:val="189B0D0B"/>
    <w:rsid w:val="18E03A42"/>
    <w:rsid w:val="19313430"/>
    <w:rsid w:val="194A1770"/>
    <w:rsid w:val="19B906A4"/>
    <w:rsid w:val="19BC4734"/>
    <w:rsid w:val="1A1F744B"/>
    <w:rsid w:val="1AB10093"/>
    <w:rsid w:val="1B501DE7"/>
    <w:rsid w:val="1B6F15B6"/>
    <w:rsid w:val="1B7966EB"/>
    <w:rsid w:val="1BAA2EDC"/>
    <w:rsid w:val="1BC027C5"/>
    <w:rsid w:val="1CC57360"/>
    <w:rsid w:val="1CE157EE"/>
    <w:rsid w:val="1D014A01"/>
    <w:rsid w:val="1D022362"/>
    <w:rsid w:val="1D091B60"/>
    <w:rsid w:val="1D6D1692"/>
    <w:rsid w:val="1D794AE5"/>
    <w:rsid w:val="1DD26311"/>
    <w:rsid w:val="1DE57DAF"/>
    <w:rsid w:val="1EF67CA4"/>
    <w:rsid w:val="1F213FD9"/>
    <w:rsid w:val="1FCD26AF"/>
    <w:rsid w:val="20642787"/>
    <w:rsid w:val="20C83310"/>
    <w:rsid w:val="20EC77A3"/>
    <w:rsid w:val="21556F04"/>
    <w:rsid w:val="216838F8"/>
    <w:rsid w:val="22403BD3"/>
    <w:rsid w:val="24AF1021"/>
    <w:rsid w:val="24B92327"/>
    <w:rsid w:val="24D3717D"/>
    <w:rsid w:val="2533755C"/>
    <w:rsid w:val="26396DF4"/>
    <w:rsid w:val="266B763B"/>
    <w:rsid w:val="26BD5982"/>
    <w:rsid w:val="27167136"/>
    <w:rsid w:val="27B23302"/>
    <w:rsid w:val="27D424D7"/>
    <w:rsid w:val="285722C3"/>
    <w:rsid w:val="28DC1FF8"/>
    <w:rsid w:val="29310A5F"/>
    <w:rsid w:val="29C37A35"/>
    <w:rsid w:val="2A076083"/>
    <w:rsid w:val="2A306CA5"/>
    <w:rsid w:val="2A73162E"/>
    <w:rsid w:val="2AFA2E94"/>
    <w:rsid w:val="2B167953"/>
    <w:rsid w:val="2B200583"/>
    <w:rsid w:val="2B4104F9"/>
    <w:rsid w:val="2B8209DE"/>
    <w:rsid w:val="2C6762A3"/>
    <w:rsid w:val="2D5F4C37"/>
    <w:rsid w:val="2D8D7A26"/>
    <w:rsid w:val="2FE029D7"/>
    <w:rsid w:val="2FF06E00"/>
    <w:rsid w:val="315F0B22"/>
    <w:rsid w:val="31BE24D6"/>
    <w:rsid w:val="31D84415"/>
    <w:rsid w:val="32285F6F"/>
    <w:rsid w:val="32770556"/>
    <w:rsid w:val="329C0913"/>
    <w:rsid w:val="3337290D"/>
    <w:rsid w:val="334B0167"/>
    <w:rsid w:val="35076329"/>
    <w:rsid w:val="352930DB"/>
    <w:rsid w:val="35573069"/>
    <w:rsid w:val="358C217E"/>
    <w:rsid w:val="359E7284"/>
    <w:rsid w:val="359F188C"/>
    <w:rsid w:val="36C9128A"/>
    <w:rsid w:val="37841E99"/>
    <w:rsid w:val="379C594F"/>
    <w:rsid w:val="37BF1123"/>
    <w:rsid w:val="37C85E36"/>
    <w:rsid w:val="38BC1135"/>
    <w:rsid w:val="38BE4696"/>
    <w:rsid w:val="39B82A39"/>
    <w:rsid w:val="39F33306"/>
    <w:rsid w:val="3ADC3D9A"/>
    <w:rsid w:val="3B1705E5"/>
    <w:rsid w:val="3B18334B"/>
    <w:rsid w:val="3B36794F"/>
    <w:rsid w:val="3B544954"/>
    <w:rsid w:val="3B793FF0"/>
    <w:rsid w:val="3B97076E"/>
    <w:rsid w:val="3B9F72A2"/>
    <w:rsid w:val="3C5A5928"/>
    <w:rsid w:val="3C6A5B02"/>
    <w:rsid w:val="3D2757A1"/>
    <w:rsid w:val="3D3D4FC4"/>
    <w:rsid w:val="3DDF3AB1"/>
    <w:rsid w:val="3DE60B7E"/>
    <w:rsid w:val="3E1D0952"/>
    <w:rsid w:val="3E42660A"/>
    <w:rsid w:val="3E7555B1"/>
    <w:rsid w:val="3EA72472"/>
    <w:rsid w:val="3EDE1208"/>
    <w:rsid w:val="3F0527E5"/>
    <w:rsid w:val="3F16459E"/>
    <w:rsid w:val="3F4A6687"/>
    <w:rsid w:val="4004000C"/>
    <w:rsid w:val="411B6CE5"/>
    <w:rsid w:val="412070D7"/>
    <w:rsid w:val="41314E40"/>
    <w:rsid w:val="415C674B"/>
    <w:rsid w:val="41C55429"/>
    <w:rsid w:val="426C1EA8"/>
    <w:rsid w:val="42E86A87"/>
    <w:rsid w:val="43136432"/>
    <w:rsid w:val="443A3B12"/>
    <w:rsid w:val="44487B36"/>
    <w:rsid w:val="44EF6BE8"/>
    <w:rsid w:val="45A30364"/>
    <w:rsid w:val="465B470D"/>
    <w:rsid w:val="469D6AD4"/>
    <w:rsid w:val="47674801"/>
    <w:rsid w:val="47BE6D02"/>
    <w:rsid w:val="48225EF7"/>
    <w:rsid w:val="48A36D47"/>
    <w:rsid w:val="495C4A24"/>
    <w:rsid w:val="49A21DF3"/>
    <w:rsid w:val="49C811E4"/>
    <w:rsid w:val="4A216E30"/>
    <w:rsid w:val="4B7951CB"/>
    <w:rsid w:val="4B7C315C"/>
    <w:rsid w:val="4B9300D7"/>
    <w:rsid w:val="4B99567B"/>
    <w:rsid w:val="4BAB7F90"/>
    <w:rsid w:val="4BD53EDA"/>
    <w:rsid w:val="4BE11807"/>
    <w:rsid w:val="4C484CE5"/>
    <w:rsid w:val="4DAC4ACA"/>
    <w:rsid w:val="4DD06F63"/>
    <w:rsid w:val="4E043596"/>
    <w:rsid w:val="4E7C3473"/>
    <w:rsid w:val="4E9B0C57"/>
    <w:rsid w:val="4EA8523F"/>
    <w:rsid w:val="4F186D58"/>
    <w:rsid w:val="4F224836"/>
    <w:rsid w:val="4F231B40"/>
    <w:rsid w:val="51760217"/>
    <w:rsid w:val="51E36677"/>
    <w:rsid w:val="51F01F7D"/>
    <w:rsid w:val="522F6E0C"/>
    <w:rsid w:val="52463BA1"/>
    <w:rsid w:val="526D63B6"/>
    <w:rsid w:val="529F078E"/>
    <w:rsid w:val="53990623"/>
    <w:rsid w:val="53C0244D"/>
    <w:rsid w:val="53DD4D4E"/>
    <w:rsid w:val="53E578CE"/>
    <w:rsid w:val="53EA10F5"/>
    <w:rsid w:val="541768A0"/>
    <w:rsid w:val="54205950"/>
    <w:rsid w:val="543B029D"/>
    <w:rsid w:val="54977029"/>
    <w:rsid w:val="554E5773"/>
    <w:rsid w:val="555A3CBC"/>
    <w:rsid w:val="55EF4EA6"/>
    <w:rsid w:val="56530F5D"/>
    <w:rsid w:val="56EE372E"/>
    <w:rsid w:val="570D735E"/>
    <w:rsid w:val="5842572D"/>
    <w:rsid w:val="598A28E2"/>
    <w:rsid w:val="5A6279C1"/>
    <w:rsid w:val="5AD563E4"/>
    <w:rsid w:val="5C1336B7"/>
    <w:rsid w:val="5C263CE4"/>
    <w:rsid w:val="5C5D2777"/>
    <w:rsid w:val="5C722D7F"/>
    <w:rsid w:val="5D290C69"/>
    <w:rsid w:val="5DC17CC6"/>
    <w:rsid w:val="5EFA176D"/>
    <w:rsid w:val="5F0247F9"/>
    <w:rsid w:val="5F2D4A41"/>
    <w:rsid w:val="5FA856C4"/>
    <w:rsid w:val="601C34ED"/>
    <w:rsid w:val="60A511FB"/>
    <w:rsid w:val="61025A59"/>
    <w:rsid w:val="613D5BBC"/>
    <w:rsid w:val="61536C39"/>
    <w:rsid w:val="616D60F9"/>
    <w:rsid w:val="62944DD7"/>
    <w:rsid w:val="629F08EF"/>
    <w:rsid w:val="634265E1"/>
    <w:rsid w:val="63497036"/>
    <w:rsid w:val="63C1619B"/>
    <w:rsid w:val="63C25DC5"/>
    <w:rsid w:val="63C62057"/>
    <w:rsid w:val="63C73832"/>
    <w:rsid w:val="64192A39"/>
    <w:rsid w:val="64754794"/>
    <w:rsid w:val="64FB113D"/>
    <w:rsid w:val="6544377C"/>
    <w:rsid w:val="655F5939"/>
    <w:rsid w:val="656152C6"/>
    <w:rsid w:val="6587477F"/>
    <w:rsid w:val="658C3A08"/>
    <w:rsid w:val="65C031CA"/>
    <w:rsid w:val="65CE6852"/>
    <w:rsid w:val="65F004F9"/>
    <w:rsid w:val="66267C04"/>
    <w:rsid w:val="663F505A"/>
    <w:rsid w:val="667F2393"/>
    <w:rsid w:val="66EE5541"/>
    <w:rsid w:val="67086152"/>
    <w:rsid w:val="687E45FE"/>
    <w:rsid w:val="692172FD"/>
    <w:rsid w:val="6A3829EE"/>
    <w:rsid w:val="6A924CB7"/>
    <w:rsid w:val="6AD43AD2"/>
    <w:rsid w:val="6AE0292E"/>
    <w:rsid w:val="6B474EF5"/>
    <w:rsid w:val="6BC27679"/>
    <w:rsid w:val="6BC54EFE"/>
    <w:rsid w:val="6C0737CC"/>
    <w:rsid w:val="6C560CAE"/>
    <w:rsid w:val="6CD15296"/>
    <w:rsid w:val="6D903FF5"/>
    <w:rsid w:val="6DA955B8"/>
    <w:rsid w:val="6DE346AB"/>
    <w:rsid w:val="6FFB2E76"/>
    <w:rsid w:val="70AB70D6"/>
    <w:rsid w:val="70DE5507"/>
    <w:rsid w:val="71C34D91"/>
    <w:rsid w:val="71ED38AA"/>
    <w:rsid w:val="723F3B65"/>
    <w:rsid w:val="72DB435C"/>
    <w:rsid w:val="738549F4"/>
    <w:rsid w:val="74ED1B1B"/>
    <w:rsid w:val="750837F0"/>
    <w:rsid w:val="762A73EF"/>
    <w:rsid w:val="7631412E"/>
    <w:rsid w:val="764F62AB"/>
    <w:rsid w:val="765C45EC"/>
    <w:rsid w:val="768A7619"/>
    <w:rsid w:val="7714640F"/>
    <w:rsid w:val="77EA362A"/>
    <w:rsid w:val="77F35CA4"/>
    <w:rsid w:val="780E2ADE"/>
    <w:rsid w:val="7875383E"/>
    <w:rsid w:val="796D60A4"/>
    <w:rsid w:val="79A031D5"/>
    <w:rsid w:val="79A52681"/>
    <w:rsid w:val="7A1525F7"/>
    <w:rsid w:val="7A3E6CB6"/>
    <w:rsid w:val="7A99799F"/>
    <w:rsid w:val="7AAB4252"/>
    <w:rsid w:val="7B420052"/>
    <w:rsid w:val="7B7D43A1"/>
    <w:rsid w:val="7BD06A28"/>
    <w:rsid w:val="7C0C5586"/>
    <w:rsid w:val="7C1E4CD7"/>
    <w:rsid w:val="7C3A7C0B"/>
    <w:rsid w:val="7C5248E4"/>
    <w:rsid w:val="7C566698"/>
    <w:rsid w:val="7CE56AF6"/>
    <w:rsid w:val="7CF02E5B"/>
    <w:rsid w:val="7D213FB2"/>
    <w:rsid w:val="7D9615AC"/>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99"/>
    <w:rPr>
      <w:rFonts w:hint="eastAsia" w:ascii="宋体" w:hAnsi="宋体" w:eastAsia="宋体" w:cs="Times New Roman"/>
      <w:sz w:val="24"/>
      <w:szCs w:val="24"/>
      <w:lang w:val="en-US" w:eastAsia="zh-CN" w:bidi="ar-SA"/>
    </w:rPr>
  </w:style>
  <w:style w:type="character" w:default="1" w:styleId="10">
    <w:name w:val="Default Paragraph Font"/>
    <w:autoRedefine/>
    <w:unhideWhenUsed/>
    <w:qFormat/>
    <w:uiPriority w:val="1"/>
  </w:style>
  <w:style w:type="table" w:default="1" w:styleId="9">
    <w:name w:val="Normal Table"/>
    <w:autoRedefine/>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footer"/>
    <w:basedOn w:val="1"/>
    <w:autoRedefine/>
    <w:qFormat/>
    <w:uiPriority w:val="0"/>
    <w:pPr>
      <w:tabs>
        <w:tab w:val="center" w:pos="4153"/>
        <w:tab w:val="right" w:pos="8306"/>
      </w:tabs>
      <w:snapToGrid w:val="0"/>
    </w:pPr>
    <w:rPr>
      <w:sz w:val="18"/>
      <w:szCs w:val="18"/>
    </w:rPr>
  </w:style>
  <w:style w:type="paragraph" w:styleId="5">
    <w:name w:val="header"/>
    <w:basedOn w:val="1"/>
    <w:autoRedefine/>
    <w:qFormat/>
    <w:uiPriority w:val="0"/>
    <w:pPr>
      <w:tabs>
        <w:tab w:val="center" w:pos="4153"/>
        <w:tab w:val="right" w:pos="8306"/>
      </w:tabs>
      <w:snapToGrid w:val="0"/>
      <w:jc w:val="center"/>
    </w:pPr>
    <w:rPr>
      <w:sz w:val="18"/>
      <w:szCs w:val="18"/>
    </w:rPr>
  </w:style>
  <w:style w:type="paragraph" w:styleId="6">
    <w:name w:val="footnote text"/>
    <w:basedOn w:val="1"/>
    <w:next w:val="3"/>
    <w:semiHidden/>
    <w:qFormat/>
    <w:uiPriority w:val="0"/>
    <w:pPr>
      <w:snapToGrid w:val="0"/>
      <w:jc w:val="left"/>
    </w:pPr>
    <w:rPr>
      <w:sz w:val="18"/>
      <w:szCs w:val="18"/>
    </w:rPr>
  </w:style>
  <w:style w:type="paragraph" w:styleId="7">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8">
    <w:name w:val="Normal (Web)"/>
    <w:basedOn w:val="1"/>
    <w:autoRedefine/>
    <w:unhideWhenUsed/>
    <w:qFormat/>
    <w:uiPriority w:val="0"/>
    <w:pPr>
      <w:spacing w:before="100" w:beforeAutospacing="1" w:after="100" w:afterAutospacing="1"/>
    </w:pPr>
  </w:style>
  <w:style w:type="character" w:styleId="11">
    <w:name w:val="Strong"/>
    <w:autoRedefine/>
    <w:qFormat/>
    <w:uiPriority w:val="0"/>
    <w:rPr>
      <w:b/>
    </w:rPr>
  </w:style>
  <w:style w:type="paragraph" w:customStyle="1" w:styleId="12">
    <w:name w:val="列出段落1"/>
    <w:basedOn w:val="1"/>
    <w:autoRedefine/>
    <w:qFormat/>
    <w:uiPriority w:val="99"/>
    <w:pPr>
      <w:ind w:firstLine="420" w:firstLineChars="200"/>
    </w:pPr>
    <w:rPr>
      <w:rFonts w:hint="default"/>
    </w:rPr>
  </w:style>
  <w:style w:type="paragraph" w:customStyle="1" w:styleId="13">
    <w:name w:val="普通(网站) Char"/>
    <w:autoRedefine/>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autoRedefine/>
    <w:qFormat/>
    <w:uiPriority w:val="0"/>
    <w:rPr>
      <w:rFonts w:hint="default" w:ascii="Wingdings" w:hAnsi="Wingdings" w:cs="Wingdings"/>
      <w:b/>
      <w:bCs/>
    </w:rPr>
  </w:style>
  <w:style w:type="paragraph" w:customStyle="1" w:styleId="15">
    <w:name w:val="List Paragraph"/>
    <w:basedOn w:val="1"/>
    <w:autoRedefine/>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5043</Words>
  <Characters>5542</Characters>
  <Lines>161</Lines>
  <Paragraphs>45</Paragraphs>
  <TotalTime>17</TotalTime>
  <ScaleCrop>false</ScaleCrop>
  <LinksUpToDate>false</LinksUpToDate>
  <CharactersWithSpaces>5595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阿呆</cp:lastModifiedBy>
  <cp:lastPrinted>2025-10-24T04:37:00Z</cp:lastPrinted>
  <dcterms:modified xsi:type="dcterms:W3CDTF">2025-10-28T03:06:54Z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6FB1EACC455F4FD2B36C8BD76FB3DBB7_13</vt:lpwstr>
  </property>
  <property fmtid="{D5CDD505-2E9C-101B-9397-08002B2CF9AE}" pid="4" name="KSOTemplateDocerSaveRecord">
    <vt:lpwstr>eyJoZGlkIjoiMTA5MDEwZjhmNTNkMDczZDQyZjE2YTc1OGZlMDk1ZDIiLCJ1c2VySWQiOiI0NDgxMTkzNzgifQ==</vt:lpwstr>
  </property>
</Properties>
</file>