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小标宋_GBK" w:cs="华文中宋"/>
          <w:color w:val="auto"/>
          <w:sz w:val="44"/>
          <w:szCs w:val="44"/>
        </w:rPr>
      </w:pPr>
      <w:r>
        <w:rPr>
          <w:rFonts w:hint="eastAsia" w:eastAsia="方正小标宋_GBK" w:cs="华文中宋"/>
          <w:color w:val="auto"/>
          <w:sz w:val="44"/>
          <w:szCs w:val="44"/>
        </w:rPr>
        <w:t>重庆市九龙坡区人民政府杨家坪街道</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小标宋_GBK" w:cs="华文中宋"/>
          <w:color w:val="auto"/>
          <w:sz w:val="44"/>
          <w:szCs w:val="44"/>
        </w:rPr>
      </w:pPr>
      <w:r>
        <w:rPr>
          <w:rFonts w:hint="eastAsia" w:eastAsia="方正小标宋_GBK" w:cs="华文中宋"/>
          <w:color w:val="auto"/>
          <w:sz w:val="44"/>
          <w:szCs w:val="44"/>
        </w:rPr>
        <w:t>办事处2025年部门预算情况说明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eastAsia="华文中宋" w:cs="华文中宋"/>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一、单位基本情况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楷体_GBK" w:eastAsia="方正楷体_GBK" w:cs="仿宋_GB2312"/>
          <w:color w:val="auto"/>
        </w:rPr>
      </w:pPr>
      <w:r>
        <w:rPr>
          <w:rFonts w:hint="eastAsia" w:ascii="方正楷体_GBK" w:eastAsia="方正楷体_GBK" w:cs="仿宋_GB2312"/>
          <w:color w:val="auto"/>
        </w:rPr>
        <w:t>（一）职能职责</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color w:val="auto"/>
          <w:szCs w:val="32"/>
        </w:rPr>
      </w:pPr>
      <w:r>
        <w:rPr>
          <w:rFonts w:ascii="方正仿宋_GBK" w:cs="方正仿宋_GBK"/>
          <w:color w:val="auto"/>
          <w:szCs w:val="32"/>
        </w:rPr>
        <w:t>宣传贯彻执行党的路线、方针、政策，国家的法律、法规和区委、区政府的有关决定、命令、指示；负责辖区基层党组织和群团组织建设和精神文明建设以及纪检、监察工作</w:t>
      </w:r>
      <w:r>
        <w:rPr>
          <w:rFonts w:ascii="方正仿宋_GBK" w:hAnsi="方正仿宋_GBK" w:cs="方正仿宋_GBK"/>
          <w:color w:val="auto"/>
          <w:szCs w:val="32"/>
          <w:shd w:val="clear" w:color="auto" w:fill="FFFFFF"/>
        </w:rPr>
        <w:t>。</w:t>
      </w:r>
      <w:r>
        <w:rPr>
          <w:rFonts w:ascii="方正仿宋_GBK" w:cs="方正仿宋_GBK"/>
          <w:color w:val="auto"/>
          <w:szCs w:val="32"/>
        </w:rPr>
        <w:t>负责制定和实施辖区的社区建设发展规划，努力发展社区服务，开展社区教育。负责指导辖区居委会的组织建设及各项工作，帮助解决居委会的困难、问题，向上级政府反映居委会的意见和要求。</w:t>
      </w:r>
      <w:r>
        <w:rPr>
          <w:rFonts w:cs="方正仿宋_GBK"/>
          <w:color w:val="auto"/>
          <w:szCs w:val="32"/>
        </w:rPr>
        <w:t>负责城市管理工作，努力宣传普及全民健康教育，组织社会单位和居民开展爱国卫生运动。负责常住人口与流动人口的计划生育宣传、教育、管理和服务工作。负责辖区的社会治安综合治理工作；指导、协调辖区内的物业管理工作。负责做好拥军优属、优待抚恤、社会救济、社会保障及社区文化、科普等工作。负责辖区失业、下岗人员的管理、培训和指导就业。承办民兵预备役、征兵、人民防空等工作。与司法行政部门共同做好司法行政、人民调解工作，实施普法教育；办理人民群众的来信、来访，及时向市、区人民政府反映群众的意见和要求。配合有关部门做好国土、防火、防震、抢险救灾、安全生产等工作。负责人大、政协地区联络组工作，协助办理人大代表和政协委员的意见、建议，组织开展地区人大代表、政协委员的各项活动。维护老年人、妇女、未成年人和残疾人的合法权益，尊重少数民族的风俗习惯，保障少数民族的权益。承办区委、区政府交办的其他事项。</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方正楷体_GBK" w:hAnsi="Times New Roman" w:eastAsia="方正楷体_GBK" w:cs="仿宋_GB2312"/>
          <w:color w:val="auto"/>
          <w:sz w:val="32"/>
        </w:rPr>
      </w:pPr>
      <w:r>
        <w:rPr>
          <w:rFonts w:hint="eastAsia" w:ascii="方正楷体_GBK" w:hAnsi="Times New Roman" w:eastAsia="方正楷体_GBK" w:cs="仿宋_GB2312"/>
          <w:color w:val="auto"/>
          <w:sz w:val="32"/>
        </w:rPr>
        <w:t>（二）单位构成</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s="仿宋_GB2312"/>
          <w:color w:val="auto"/>
          <w:sz w:val="32"/>
        </w:rPr>
      </w:pPr>
      <w:r>
        <w:rPr>
          <w:rFonts w:hint="eastAsia" w:ascii="Times New Roman" w:hAnsi="Times New Roman" w:eastAsia="方正仿宋_GBK" w:cs="仿宋_GB2312"/>
          <w:color w:val="auto"/>
          <w:sz w:val="32"/>
        </w:rPr>
        <w:t>本部门为一级预算单位，下属7个二级预算单位，分别是重庆市九龙坡区人民政府杨家坪街道办事处（本级）、重庆市九龙坡区城市管理综合行政执法支队杨家坪街道大队、重庆市九龙坡区杨家坪街道社区事务服务中心、重庆市九龙坡区杨家坪街道新时代文明实践服务中心、重庆市九龙坡区杨家坪街道便民服务中心（退役军人服务站）、重庆市九龙坡区杨家坪街道物业服务中心、重庆市九龙坡区杨家坪街道综合行政执法大队；内设机构5个，分别是</w:t>
      </w:r>
      <w:r>
        <w:rPr>
          <w:rFonts w:ascii="方正仿宋_GBK" w:eastAsia="方正仿宋_GBK"/>
          <w:color w:val="auto"/>
          <w:sz w:val="32"/>
          <w:szCs w:val="32"/>
        </w:rPr>
        <w:t>基层治理综合指挥室、党的建设办公室、经济发展办公室、民生服务办公室、平安法治办公室</w:t>
      </w:r>
      <w:r>
        <w:rPr>
          <w:rFonts w:hint="eastAsia" w:ascii="Times New Roman" w:hAnsi="Times New Roman" w:eastAsia="方正仿宋_GBK" w:cs="仿宋_GB2312"/>
          <w:color w:val="auto"/>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重庆市九龙坡区杨家坪街道新时代文明实践服务中心、重庆市九龙坡区杨家坪街道便民服务中心（退役军人服务站）为机构调整新设立单位，原</w:t>
      </w:r>
      <w:r>
        <w:rPr>
          <w:rFonts w:hint="eastAsia" w:ascii="方正仿宋_GBK" w:cs="方正仿宋_GBK"/>
          <w:color w:val="auto"/>
          <w:kern w:val="0"/>
        </w:rPr>
        <w:t>重庆市九龙坡区杨家坪街道社区文化服务中心、重庆市九龙坡区杨家坪街道劳动就业和社会保障服务所、重庆市九龙坡区杨家坪街道退役军人服务站、重庆市九龙坡区杨家坪街道社会管理信息服务中心已撤销，重庆市九龙坡区杨家坪街道物业管理服务中心更名为</w:t>
      </w:r>
      <w:r>
        <w:rPr>
          <w:rFonts w:hint="eastAsia" w:cs="仿宋_GB2312"/>
          <w:color w:val="auto"/>
        </w:rPr>
        <w:t>重庆市九龙坡区杨家坪街道物业服务中心。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二、部门收支总体情况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ascii="方正楷体_GBK" w:eastAsia="方正楷体_GBK" w:cs="仿宋_GB2312"/>
          <w:color w:val="auto"/>
        </w:rPr>
        <w:t>（一）收入预算：</w:t>
      </w:r>
      <w:r>
        <w:rPr>
          <w:rFonts w:hint="eastAsia" w:cs="仿宋_GB2312"/>
          <w:color w:val="auto"/>
        </w:rPr>
        <w:t>2025年年初预算数6415.43万元，其中：一般公共预算拨款</w:t>
      </w:r>
      <w:r>
        <w:rPr>
          <w:rFonts w:cs="仿宋_GB2312"/>
          <w:color w:val="auto"/>
        </w:rPr>
        <w:t>6402.04</w:t>
      </w:r>
      <w:r>
        <w:rPr>
          <w:rFonts w:hint="eastAsia" w:cs="仿宋_GB2312"/>
          <w:color w:val="auto"/>
        </w:rPr>
        <w:t>万元，政府性基金预算拨款</w:t>
      </w:r>
      <w:r>
        <w:rPr>
          <w:rFonts w:cs="仿宋_GB2312"/>
          <w:color w:val="auto"/>
        </w:rPr>
        <w:t>13.39</w:t>
      </w:r>
      <w:r>
        <w:rPr>
          <w:rFonts w:hint="eastAsia" w:cs="仿宋_GB2312"/>
          <w:color w:val="auto"/>
        </w:rPr>
        <w:t xml:space="preserve"> 万元。收入较2024年减少886.60万元，主要是基本支出拨款减少57.27万元，项目支出拨款减少829.33万元。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ascii="方正楷体_GBK" w:eastAsia="方正楷体_GBK" w:cs="仿宋_GB2312"/>
          <w:color w:val="auto"/>
        </w:rPr>
        <w:t>（二）支出预算：</w:t>
      </w:r>
      <w:r>
        <w:rPr>
          <w:rFonts w:hint="eastAsia" w:cs="仿宋_GB2312"/>
          <w:color w:val="auto"/>
        </w:rPr>
        <w:t>2025年年初预算数6415.43万元，其中：一般公共服务支出预算</w:t>
      </w:r>
      <w:r>
        <w:rPr>
          <w:rFonts w:cs="仿宋_GB2312"/>
          <w:color w:val="auto"/>
        </w:rPr>
        <w:t>1835.3</w:t>
      </w:r>
      <w:r>
        <w:rPr>
          <w:rFonts w:hint="eastAsia" w:cs="仿宋_GB2312"/>
          <w:color w:val="auto"/>
        </w:rPr>
        <w:t>0万元，国防支出</w:t>
      </w:r>
      <w:r>
        <w:rPr>
          <w:rFonts w:hint="eastAsia" w:ascii="宋体" w:hAnsi="宋体" w:eastAsia="宋体" w:cs="宋体"/>
          <w:color w:val="auto"/>
        </w:rPr>
        <w:t>预算</w:t>
      </w:r>
      <w:r>
        <w:rPr>
          <w:rFonts w:hint="eastAsia" w:cs="仿宋_GB2312"/>
          <w:color w:val="auto"/>
        </w:rPr>
        <w:t>12万元，文化旅游体育与传媒支出预算</w:t>
      </w:r>
      <w:r>
        <w:rPr>
          <w:rFonts w:cs="仿宋_GB2312"/>
          <w:color w:val="auto"/>
        </w:rPr>
        <w:t>98.45</w:t>
      </w:r>
      <w:r>
        <w:rPr>
          <w:rFonts w:hint="eastAsia" w:cs="仿宋_GB2312"/>
          <w:color w:val="auto"/>
        </w:rPr>
        <w:t>万元，社会保障和就业支出预算</w:t>
      </w:r>
      <w:r>
        <w:rPr>
          <w:rFonts w:cs="仿宋_GB2312"/>
          <w:color w:val="auto"/>
        </w:rPr>
        <w:t>2578.07</w:t>
      </w:r>
      <w:r>
        <w:rPr>
          <w:rFonts w:hint="eastAsia" w:cs="仿宋_GB2312"/>
          <w:color w:val="auto"/>
        </w:rPr>
        <w:t>万元，卫生健康支出预算</w:t>
      </w:r>
      <w:r>
        <w:rPr>
          <w:rFonts w:cs="仿宋_GB2312"/>
          <w:color w:val="auto"/>
        </w:rPr>
        <w:t>315.56</w:t>
      </w:r>
      <w:r>
        <w:rPr>
          <w:rFonts w:hint="eastAsia" w:cs="仿宋_GB2312"/>
          <w:color w:val="auto"/>
        </w:rPr>
        <w:t>万元，节能环保支出预算</w:t>
      </w:r>
      <w:r>
        <w:rPr>
          <w:rFonts w:cs="仿宋_GB2312"/>
          <w:color w:val="auto"/>
        </w:rPr>
        <w:t>1060.89</w:t>
      </w:r>
      <w:r>
        <w:rPr>
          <w:rFonts w:hint="eastAsia" w:cs="仿宋_GB2312"/>
          <w:color w:val="auto"/>
        </w:rPr>
        <w:t>万元，城乡社区支出预算287.36万元，住房保障支出预算</w:t>
      </w:r>
      <w:r>
        <w:rPr>
          <w:rFonts w:cs="仿宋_GB2312"/>
          <w:color w:val="auto"/>
        </w:rPr>
        <w:t>124.34</w:t>
      </w:r>
      <w:r>
        <w:rPr>
          <w:rFonts w:hint="eastAsia" w:cs="仿宋_GB2312"/>
          <w:color w:val="auto"/>
        </w:rPr>
        <w:t>万元，灾害防治及应急管理支出预算100万元，其他支出预算3.46万元。支出预算较2024年减少886.60万元，主要是基本支出预算减少57.27万元，项目支出预算减少829.33万元。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三、部门预算情况说明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2025年一般公共预算财政拨款收入</w:t>
      </w:r>
      <w:r>
        <w:rPr>
          <w:rFonts w:cs="仿宋_GB2312"/>
          <w:color w:val="auto"/>
        </w:rPr>
        <w:t>6402.04</w:t>
      </w:r>
      <w:r>
        <w:rPr>
          <w:rFonts w:hint="eastAsia" w:cs="仿宋_GB2312"/>
          <w:color w:val="auto"/>
        </w:rPr>
        <w:t>万元，一般公共预算财政拨款支出</w:t>
      </w:r>
      <w:r>
        <w:rPr>
          <w:rFonts w:cs="仿宋_GB2312"/>
          <w:color w:val="auto"/>
        </w:rPr>
        <w:t>6402.04</w:t>
      </w:r>
      <w:r>
        <w:rPr>
          <w:rFonts w:hint="eastAsia" w:cs="仿宋_GB2312"/>
          <w:color w:val="auto"/>
        </w:rPr>
        <w:t>万元，比2024年减少839.99万元。其中：基本支出</w:t>
      </w:r>
      <w:r>
        <w:rPr>
          <w:rFonts w:cs="仿宋_GB2312"/>
          <w:color w:val="auto"/>
        </w:rPr>
        <w:t>1844.04</w:t>
      </w:r>
      <w:r>
        <w:rPr>
          <w:rFonts w:hint="eastAsia" w:cs="仿宋_GB2312"/>
          <w:color w:val="auto"/>
        </w:rPr>
        <w:t>万元，比2024年减少57.27万元，主要原因是人员减少及公用经费定额标准降低，主要用于保障在职人员工资福利及社会保险缴费，退休人员补助等，保障部门正常运转的各项商品服务支出；项目支出4558万元，比2024年减少782.72万元，主要原因是聘用人员经费减少，主要用于聘用人员及社区工作人员工资与社保、优抚对象及高龄老人、特困人员等民生补贴发放、清扫保洁、全科网格建设等重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2025年政府性基金预算收入</w:t>
      </w:r>
      <w:r>
        <w:rPr>
          <w:rFonts w:cs="仿宋_GB2312"/>
          <w:color w:val="auto"/>
        </w:rPr>
        <w:t>13.39</w:t>
      </w:r>
      <w:r>
        <w:rPr>
          <w:rFonts w:hint="eastAsia" w:cs="仿宋_GB2312"/>
          <w:color w:val="auto"/>
        </w:rPr>
        <w:t>万元，政府性基金预算支出</w:t>
      </w:r>
      <w:r>
        <w:rPr>
          <w:rFonts w:cs="仿宋_GB2312"/>
          <w:color w:val="auto"/>
        </w:rPr>
        <w:t>13.39</w:t>
      </w:r>
      <w:r>
        <w:rPr>
          <w:rFonts w:hint="eastAsia" w:cs="仿宋_GB2312"/>
          <w:color w:val="auto"/>
        </w:rPr>
        <w:t>万元，比2024年减少46.61万元，主要原因是创文失管区域整治经费减少，主要用于创文全域树木边坡整治、养老服务项目补贴。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四、“三公”经费情况说明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cs="仿宋_GB2312"/>
          <w:color w:val="auto"/>
        </w:rPr>
      </w:pPr>
      <w:r>
        <w:rPr>
          <w:rFonts w:hint="eastAsia" w:cs="仿宋_GB2312"/>
          <w:color w:val="auto"/>
        </w:rPr>
        <w:t>2025年“三公”经费预算55万元，比2024年增加30万元。其中：公务接待费5万元，比2024年减少5万元，主要原因是厉行节约，严控公务接待支出，按实际支出情况调整预算；公务用车运行维护费14万元，比2024年减少1万元，主要原因是合理使用公务车，按实际支出情况调整预算；公务用车购置费36万元，比2024年增加36万元，主要原因是原有公务车老旧，已超可报废年限，需新购置公务车2辆满足日常公务出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cs="仿宋_GB2312"/>
          <w:color w:val="auto"/>
        </w:rPr>
      </w:pPr>
      <w:r>
        <w:rPr>
          <w:rFonts w:hint="eastAsia" w:eastAsia="方正黑体_GBK" w:cs="仿宋_GB2312"/>
          <w:color w:val="auto"/>
        </w:rPr>
        <w:t>五、其他重要事项的情况说明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1.机关运行经费。2025年一般公共预算财政拨款运行经费271.10万元，比上年减少5.45万元，主要原因为公用经费定额标准降低。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2.政府采购情况。所属各预算单位政府采购预算总额5万元：政府采购货物预算5万元；其中一般公共预算拨款政府采购5万元：政府采购货物预算5万元。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3.绩效目标设置情况。2025年项目支出均实行了绩效目标管理，涉及一般公共预算当年财政拨款4558 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4.国有资产占有使用情况。截止2024年12月，所属各预算单位共有车辆3辆，其中一般公务用车3辆。2025年一般公共预算安排购置车辆2辆，其中一般公务用车2辆。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cs="仿宋_GB2312"/>
          <w:color w:val="auto"/>
        </w:rPr>
      </w:pPr>
      <w:r>
        <w:rPr>
          <w:rFonts w:hint="eastAsia" w:eastAsia="方正黑体_GBK" w:cs="仿宋_GB2312"/>
          <w:color w:val="auto"/>
        </w:rPr>
        <w:t>六、专业性名词解释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（一）财政拨款收入：</w:t>
      </w:r>
      <w:r>
        <w:rPr>
          <w:rFonts w:hint="eastAsia" w:ascii="Times New Roman" w:hAnsi="Times New Roman" w:eastAsia="方正仿宋_GBK"/>
          <w:color w:val="auto"/>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（二）其他收入：</w:t>
      </w:r>
      <w:r>
        <w:rPr>
          <w:rFonts w:hint="eastAsia" w:ascii="Times New Roman" w:hAnsi="Times New Roman" w:eastAsia="方正仿宋_GBK"/>
          <w:color w:val="auto"/>
          <w:sz w:val="32"/>
          <w:szCs w:val="32"/>
        </w:rPr>
        <w:t>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（三）基本支出：</w:t>
      </w:r>
      <w:r>
        <w:rPr>
          <w:rFonts w:hint="eastAsia" w:ascii="Times New Roman" w:hAnsi="Times New Roman" w:eastAsia="方正仿宋_GBK"/>
          <w:color w:val="auto"/>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（四）项目支出：</w:t>
      </w:r>
      <w:r>
        <w:rPr>
          <w:rFonts w:hint="eastAsia" w:ascii="Times New Roman" w:hAnsi="Times New Roman" w:eastAsia="方正仿宋_GBK"/>
          <w:color w:val="auto"/>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ascii="方正楷体_GBK" w:eastAsia="方正楷体_GBK"/>
          <w:color w:val="auto"/>
          <w:szCs w:val="32"/>
        </w:rPr>
        <w:t>（五）“三公”经费：</w:t>
      </w:r>
      <w:r>
        <w:rPr>
          <w:rFonts w:hint="eastAsia"/>
          <w:color w:val="auto"/>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cs="仿宋_GB2312"/>
          <w:b/>
          <w:color w:val="auto"/>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b/>
          <w:color w:val="auto"/>
        </w:rPr>
      </w:pPr>
      <w:r>
        <w:rPr>
          <w:rFonts w:hint="eastAsia" w:cs="仿宋_GB2312"/>
          <w:color w:val="auto"/>
        </w:rPr>
        <w:t>部门预算公开联系人：姜燕妮 联系方式：</w:t>
      </w:r>
      <w:r>
        <w:rPr>
          <w:rFonts w:hint="eastAsia"/>
          <w:color w:val="auto"/>
        </w:rPr>
        <w:t xml:space="preserve"> 023-68106375</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640"/>
        <w:textAlignment w:val="auto"/>
        <w:rPr>
          <w:rFonts w:hint="eastAsia" w:eastAsia="方正仿宋_GBK"/>
          <w:color w:val="auto"/>
          <w:sz w:val="32"/>
          <w:szCs w:val="32"/>
        </w:rPr>
      </w:pP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640"/>
        <w:textAlignment w:val="auto"/>
        <w:rPr>
          <w:rFonts w:eastAsia="方正仿宋_GBK"/>
          <w:color w:val="auto"/>
          <w:sz w:val="32"/>
          <w:szCs w:val="32"/>
        </w:rPr>
      </w:pPr>
      <w:bookmarkStart w:id="0" w:name="_GoBack"/>
      <w:bookmarkEnd w:id="0"/>
      <w:r>
        <w:rPr>
          <w:rFonts w:hint="eastAsia" w:eastAsia="方正仿宋_GBK"/>
          <w:color w:val="auto"/>
          <w:sz w:val="32"/>
          <w:szCs w:val="32"/>
        </w:rPr>
        <w:t>附表：1.2025年</w:t>
      </w:r>
      <w:r>
        <w:rPr>
          <w:rFonts w:hint="eastAsia" w:eastAsia="方正仿宋_GBK" w:cs="仿宋_GB2312"/>
          <w:color w:val="auto"/>
          <w:sz w:val="32"/>
          <w:szCs w:val="20"/>
        </w:rPr>
        <w:t>杨家坪街道办事处</w:t>
      </w:r>
      <w:r>
        <w:rPr>
          <w:rFonts w:hint="eastAsia" w:eastAsia="方正仿宋_GBK"/>
          <w:color w:val="auto"/>
          <w:sz w:val="32"/>
          <w:szCs w:val="32"/>
        </w:rPr>
        <w:t>财政拨款收支总表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color w:val="auto"/>
          <w:sz w:val="32"/>
          <w:szCs w:val="32"/>
        </w:rPr>
      </w:pPr>
      <w:r>
        <w:rPr>
          <w:rFonts w:hint="eastAsia" w:eastAsia="方正仿宋_GBK"/>
          <w:color w:val="auto"/>
          <w:sz w:val="32"/>
          <w:szCs w:val="32"/>
        </w:rPr>
        <w:t>2</w:t>
      </w:r>
      <w:r>
        <w:rPr>
          <w:rFonts w:hint="eastAsia" w:eastAsia="方正仿宋_GBK"/>
          <w:color w:val="auto"/>
          <w:spacing w:val="-10"/>
          <w:sz w:val="32"/>
          <w:szCs w:val="32"/>
        </w:rPr>
        <w:t>.2025年</w:t>
      </w:r>
      <w:r>
        <w:rPr>
          <w:rFonts w:hint="eastAsia" w:eastAsia="方正仿宋_GBK" w:cs="仿宋_GB2312"/>
          <w:color w:val="auto"/>
          <w:sz w:val="32"/>
          <w:szCs w:val="20"/>
        </w:rPr>
        <w:t>杨家坪街道办事处</w:t>
      </w:r>
      <w:r>
        <w:rPr>
          <w:rFonts w:hint="eastAsia" w:eastAsia="方正仿宋_GBK"/>
          <w:color w:val="auto"/>
          <w:spacing w:val="-10"/>
          <w:sz w:val="32"/>
          <w:szCs w:val="32"/>
        </w:rPr>
        <w:t>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color w:val="auto"/>
          <w:sz w:val="32"/>
          <w:szCs w:val="32"/>
        </w:rPr>
      </w:pPr>
      <w:r>
        <w:rPr>
          <w:rFonts w:hint="eastAsia" w:eastAsia="方正仿宋_GBK"/>
          <w:color w:val="auto"/>
          <w:sz w:val="32"/>
          <w:szCs w:val="32"/>
        </w:rPr>
        <w:t>3.2025年</w:t>
      </w:r>
      <w:r>
        <w:rPr>
          <w:rFonts w:hint="eastAsia" w:eastAsia="方正仿宋_GBK" w:cs="仿宋_GB2312"/>
          <w:color w:val="auto"/>
          <w:sz w:val="32"/>
          <w:szCs w:val="20"/>
        </w:rPr>
        <w:t>杨家坪街道办事处</w:t>
      </w:r>
      <w:r>
        <w:rPr>
          <w:rFonts w:hint="eastAsia" w:eastAsia="方正仿宋_GBK"/>
          <w:color w:val="auto"/>
          <w:sz w:val="32"/>
          <w:szCs w:val="32"/>
        </w:rPr>
        <w:t>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color w:val="auto"/>
          <w:sz w:val="32"/>
          <w:szCs w:val="32"/>
        </w:rPr>
      </w:pPr>
      <w:r>
        <w:rPr>
          <w:rFonts w:hint="eastAsia" w:eastAsia="方正仿宋_GBK"/>
          <w:color w:val="auto"/>
          <w:sz w:val="32"/>
          <w:szCs w:val="32"/>
        </w:rPr>
        <w:t>4.2025年</w:t>
      </w:r>
      <w:r>
        <w:rPr>
          <w:rFonts w:hint="eastAsia" w:eastAsia="方正仿宋_GBK" w:cs="仿宋_GB2312"/>
          <w:color w:val="auto"/>
          <w:sz w:val="32"/>
          <w:szCs w:val="20"/>
        </w:rPr>
        <w:t>杨家坪街道办事处</w:t>
      </w:r>
      <w:r>
        <w:rPr>
          <w:rFonts w:hint="eastAsia" w:eastAsia="方正仿宋_GBK"/>
          <w:color w:val="auto"/>
          <w:sz w:val="32"/>
          <w:szCs w:val="32"/>
        </w:rPr>
        <w:t>一般公共预算财政拨款基本支出预算表（政府预算支出经济分类科目）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color w:val="auto"/>
          <w:szCs w:val="32"/>
        </w:rPr>
      </w:pPr>
      <w:r>
        <w:rPr>
          <w:rFonts w:hint="eastAsia"/>
          <w:color w:val="auto"/>
          <w:szCs w:val="32"/>
        </w:rPr>
        <w:t>5.2025年</w:t>
      </w:r>
      <w:r>
        <w:rPr>
          <w:rFonts w:hint="eastAsia" w:cs="仿宋_GB2312"/>
          <w:color w:val="auto"/>
        </w:rPr>
        <w:t>杨家坪街道办事处</w:t>
      </w:r>
      <w:r>
        <w:rPr>
          <w:rFonts w:hint="eastAsia"/>
          <w:color w:val="auto"/>
          <w:szCs w:val="32"/>
        </w:rPr>
        <w:t>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color w:val="auto"/>
          <w:szCs w:val="32"/>
        </w:rPr>
      </w:pPr>
      <w:r>
        <w:rPr>
          <w:rFonts w:hint="eastAsia"/>
          <w:color w:val="auto"/>
          <w:szCs w:val="32"/>
        </w:rPr>
        <w:t>6.2025年</w:t>
      </w:r>
      <w:r>
        <w:rPr>
          <w:rFonts w:hint="eastAsia" w:cs="仿宋_GB2312"/>
          <w:color w:val="auto"/>
        </w:rPr>
        <w:t>杨家坪街道办事处</w:t>
      </w:r>
      <w:r>
        <w:rPr>
          <w:rFonts w:hint="eastAsia"/>
          <w:color w:val="auto"/>
          <w:szCs w:val="32"/>
        </w:rPr>
        <w:t>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b/>
          <w:color w:val="auto"/>
          <w:szCs w:val="32"/>
        </w:rPr>
      </w:pPr>
      <w:r>
        <w:rPr>
          <w:rFonts w:hint="eastAsia"/>
          <w:color w:val="auto"/>
          <w:szCs w:val="32"/>
        </w:rPr>
        <w:t>7.2025年</w:t>
      </w:r>
      <w:r>
        <w:rPr>
          <w:rFonts w:hint="eastAsia" w:cs="仿宋_GB2312"/>
          <w:color w:val="auto"/>
        </w:rPr>
        <w:t>杨家坪街道办事处</w:t>
      </w:r>
      <w:r>
        <w:rPr>
          <w:rFonts w:hint="eastAsia"/>
          <w:color w:val="auto"/>
          <w:szCs w:val="32"/>
        </w:rPr>
        <w:t>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b/>
          <w:color w:val="auto"/>
          <w:szCs w:val="32"/>
        </w:rPr>
      </w:pPr>
      <w:r>
        <w:rPr>
          <w:rFonts w:hint="eastAsia"/>
          <w:color w:val="auto"/>
          <w:szCs w:val="32"/>
        </w:rPr>
        <w:t>8.2025年</w:t>
      </w:r>
      <w:r>
        <w:rPr>
          <w:rFonts w:hint="eastAsia" w:cs="仿宋_GB2312"/>
          <w:color w:val="auto"/>
        </w:rPr>
        <w:t>杨家坪街道办事处</w:t>
      </w:r>
      <w:r>
        <w:rPr>
          <w:rFonts w:hint="eastAsia"/>
          <w:color w:val="auto"/>
          <w:szCs w:val="32"/>
        </w:rPr>
        <w:t>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b/>
          <w:color w:val="auto"/>
          <w:szCs w:val="32"/>
        </w:rPr>
      </w:pPr>
      <w:r>
        <w:rPr>
          <w:rFonts w:hint="eastAsia"/>
          <w:color w:val="auto"/>
          <w:szCs w:val="32"/>
        </w:rPr>
        <w:t>9.2025年</w:t>
      </w:r>
      <w:r>
        <w:rPr>
          <w:rFonts w:hint="eastAsia" w:cs="仿宋_GB2312"/>
          <w:color w:val="auto"/>
        </w:rPr>
        <w:t>杨家坪街道办事处</w:t>
      </w:r>
      <w:r>
        <w:rPr>
          <w:rFonts w:hint="eastAsia"/>
          <w:color w:val="auto"/>
          <w:szCs w:val="32"/>
        </w:rPr>
        <w:t>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color w:val="auto"/>
          <w:szCs w:val="32"/>
        </w:rPr>
      </w:pPr>
      <w:r>
        <w:rPr>
          <w:rFonts w:hint="eastAsia"/>
          <w:color w:val="auto"/>
          <w:szCs w:val="32"/>
        </w:rPr>
        <w:t>10.2025年</w:t>
      </w:r>
      <w:r>
        <w:rPr>
          <w:rFonts w:hint="eastAsia" w:cs="仿宋_GB2312"/>
          <w:color w:val="auto"/>
        </w:rPr>
        <w:t>杨家坪街道办事处</w:t>
      </w:r>
      <w:r>
        <w:rPr>
          <w:rFonts w:hint="eastAsia"/>
          <w:color w:val="auto"/>
          <w:szCs w:val="32"/>
        </w:rPr>
        <w:t>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color w:val="auto"/>
          <w:szCs w:val="32"/>
        </w:rPr>
      </w:pPr>
      <w:r>
        <w:rPr>
          <w:rFonts w:hint="eastAsia"/>
          <w:color w:val="auto"/>
          <w:szCs w:val="32"/>
        </w:rPr>
        <w:t>11.2025年</w:t>
      </w:r>
      <w:r>
        <w:rPr>
          <w:rFonts w:hint="eastAsia" w:cs="仿宋_GB2312"/>
          <w:color w:val="auto"/>
        </w:rPr>
        <w:t>杨家坪街道办事处</w:t>
      </w:r>
      <w:r>
        <w:rPr>
          <w:rFonts w:hint="eastAsia"/>
          <w:color w:val="auto"/>
          <w:szCs w:val="32"/>
        </w:rPr>
        <w:t>一般公共预算财政拨款项目支出预算表（政府预算支出经济分类科目）</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color w:val="auto"/>
          <w:sz w:val="32"/>
          <w:szCs w:val="32"/>
        </w:rPr>
      </w:pPr>
      <w:r>
        <w:rPr>
          <w:rFonts w:hint="eastAsia" w:eastAsia="方正仿宋_GBK"/>
          <w:color w:val="auto"/>
          <w:sz w:val="32"/>
          <w:szCs w:val="32"/>
        </w:rPr>
        <w:t>12.2025年</w:t>
      </w:r>
      <w:r>
        <w:rPr>
          <w:rFonts w:hint="eastAsia" w:eastAsia="方正仿宋_GBK" w:cs="仿宋_GB2312"/>
          <w:color w:val="auto"/>
          <w:sz w:val="32"/>
          <w:szCs w:val="20"/>
        </w:rPr>
        <w:t>杨家坪街道办事处</w:t>
      </w:r>
      <w:r>
        <w:rPr>
          <w:rFonts w:hint="eastAsia" w:eastAsia="方正仿宋_GBK"/>
          <w:color w:val="auto"/>
          <w:sz w:val="32"/>
          <w:szCs w:val="32"/>
        </w:rPr>
        <w:t>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rFonts w:cs="仿宋_GB2312"/>
          <w:color w:val="auto"/>
        </w:rPr>
      </w:pPr>
      <w:r>
        <w:rPr>
          <w:rFonts w:hint="eastAsia"/>
          <w:color w:val="auto"/>
          <w:szCs w:val="32"/>
        </w:rPr>
        <w:t>13. 2025年</w:t>
      </w:r>
      <w:r>
        <w:rPr>
          <w:rFonts w:hint="eastAsia" w:cs="仿宋_GB2312"/>
          <w:color w:val="auto"/>
        </w:rPr>
        <w:t>杨家坪街道办事处</w:t>
      </w:r>
      <w:r>
        <w:rPr>
          <w:rFonts w:hint="eastAsia"/>
          <w:color w:val="auto"/>
          <w:szCs w:val="32"/>
        </w:rPr>
        <w:t>部门</w:t>
      </w:r>
      <w:r>
        <w:rPr>
          <w:rFonts w:hint="eastAsia" w:cs="仿宋_GB2312"/>
          <w:color w:val="auto"/>
        </w:rPr>
        <w:t>整体绩效目标表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color w:val="auto"/>
          <w:szCs w:val="32"/>
        </w:rPr>
      </w:pPr>
      <w:r>
        <w:rPr>
          <w:rFonts w:hint="eastAsia"/>
          <w:color w:val="auto"/>
          <w:szCs w:val="32"/>
        </w:rPr>
        <w:t>14.2025年</w:t>
      </w:r>
      <w:r>
        <w:rPr>
          <w:rFonts w:hint="eastAsia" w:cs="仿宋_GB2312"/>
          <w:color w:val="auto"/>
        </w:rPr>
        <w:t>杨家坪街道办事处</w:t>
      </w:r>
      <w:r>
        <w:rPr>
          <w:rFonts w:hint="eastAsia"/>
          <w:color w:val="auto"/>
          <w:szCs w:val="32"/>
        </w:rPr>
        <w:t>项目绩效目标表</w:t>
      </w:r>
    </w:p>
    <w:p>
      <w:pPr>
        <w:rPr>
          <w:color w:val="auto"/>
        </w:rPr>
        <w:sectPr>
          <w:pgSz w:w="11906" w:h="16838"/>
          <w:pgMar w:top="1440" w:right="1800" w:bottom="1440" w:left="1800" w:header="851" w:footer="992" w:gutter="0"/>
          <w:cols w:space="425" w:num="1"/>
          <w:docGrid w:type="lines" w:linePitch="312" w:charSpace="0"/>
        </w:sectPr>
      </w:pPr>
    </w:p>
    <w:p>
      <w:pPr>
        <w:rPr>
          <w:color w:val="auto"/>
        </w:rPr>
      </w:pPr>
      <w:r>
        <w:rPr>
          <w:rFonts w:hint="eastAsia" w:ascii="方正黑体_GBK" w:hAnsi="方正黑体_GBK" w:eastAsia="方正黑体_GBK" w:cs="方正黑体_GBK"/>
          <w:color w:val="auto"/>
        </w:rPr>
        <w:t>附表1</w:t>
      </w:r>
    </w:p>
    <w:tbl>
      <w:tblPr>
        <w:tblStyle w:val="5"/>
        <w:tblW w:w="5000" w:type="pct"/>
        <w:tblInd w:w="0" w:type="dxa"/>
        <w:tblLayout w:type="autofit"/>
        <w:tblCellMar>
          <w:top w:w="0" w:type="dxa"/>
          <w:left w:w="108" w:type="dxa"/>
          <w:bottom w:w="0" w:type="dxa"/>
          <w:right w:w="108" w:type="dxa"/>
        </w:tblCellMar>
      </w:tblPr>
      <w:tblGrid>
        <w:gridCol w:w="2616"/>
        <w:gridCol w:w="1822"/>
        <w:gridCol w:w="2856"/>
        <w:gridCol w:w="1806"/>
        <w:gridCol w:w="1715"/>
        <w:gridCol w:w="1644"/>
        <w:gridCol w:w="1715"/>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2"/>
                <w:szCs w:val="22"/>
              </w:rPr>
            </w:pPr>
            <w:r>
              <w:rPr>
                <w:rFonts w:hint="eastAsia" w:ascii="方正楷体_GBK" w:hAnsi="宋体" w:eastAsia="方正楷体_GBK" w:cs="宋体"/>
                <w:color w:val="auto"/>
                <w:kern w:val="0"/>
                <w:sz w:val="22"/>
                <w:szCs w:val="22"/>
              </w:rPr>
              <w:t>单位：万元</w:t>
            </w:r>
          </w:p>
        </w:tc>
      </w:tr>
      <w:tr>
        <w:tblPrEx>
          <w:tblCellMar>
            <w:top w:w="0" w:type="dxa"/>
            <w:left w:w="108" w:type="dxa"/>
            <w:bottom w:w="0" w:type="dxa"/>
            <w:right w:w="108" w:type="dxa"/>
          </w:tblCellMar>
        </w:tblPrEx>
        <w:trPr>
          <w:trHeight w:val="863"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支出</w:t>
            </w:r>
          </w:p>
        </w:tc>
      </w:tr>
      <w:tr>
        <w:tblPrEx>
          <w:tblCellMar>
            <w:top w:w="0" w:type="dxa"/>
            <w:left w:w="108" w:type="dxa"/>
            <w:bottom w:w="0" w:type="dxa"/>
            <w:right w:w="108" w:type="dxa"/>
          </w:tblCellMar>
        </w:tblPrEx>
        <w:trPr>
          <w:trHeight w:val="863"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6,402.04</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6,415.43</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6,402.04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13.39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6,402.04</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一般公共服务支出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1,835.30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1,835.30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国防支出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12.00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12.00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文化旅游体育与传媒支出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98.45</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98.45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2,578.07</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2,578.07</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315.56</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315.56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节能环保支出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城乡社区支出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287.36</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277.43</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124.34</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124.34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灾害防治及应急管理支出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100.00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100.00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其他支出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3.46</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3.46</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二、上年结转</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13.39</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13.39</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6,415.43</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6,415.43</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6,402.04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13.39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　</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附表2</w:t>
      </w:r>
    </w:p>
    <w:tbl>
      <w:tblPr>
        <w:tblStyle w:val="5"/>
        <w:tblW w:w="5000" w:type="pct"/>
        <w:tblInd w:w="0" w:type="dxa"/>
        <w:tblLayout w:type="autofit"/>
        <w:tblCellMar>
          <w:top w:w="0" w:type="dxa"/>
          <w:left w:w="108" w:type="dxa"/>
          <w:bottom w:w="0" w:type="dxa"/>
          <w:right w:w="108" w:type="dxa"/>
        </w:tblCellMar>
      </w:tblPr>
      <w:tblGrid>
        <w:gridCol w:w="1669"/>
        <w:gridCol w:w="5471"/>
        <w:gridCol w:w="2373"/>
        <w:gridCol w:w="2441"/>
        <w:gridCol w:w="2220"/>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28"/>
                <w:szCs w:val="28"/>
              </w:rPr>
            </w:pPr>
            <w:r>
              <w:rPr>
                <w:rFonts w:hint="eastAsia" w:ascii="方正小标宋_GBK" w:hAnsi="宋体" w:eastAsia="方正小标宋_GBK" w:cs="宋体"/>
                <w:color w:val="auto"/>
                <w:kern w:val="0"/>
                <w:sz w:val="32"/>
                <w:szCs w:val="32"/>
              </w:rPr>
              <w:t>重庆市九龙坡区人民政府杨家坪街道办事处一般公共预算财政拨款支出预算表</w:t>
            </w:r>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auto"/>
                <w:kern w:val="0"/>
                <w:sz w:val="28"/>
                <w:szCs w:val="28"/>
              </w:rPr>
            </w:pPr>
          </w:p>
        </w:tc>
      </w:tr>
      <w:tr>
        <w:tblPrEx>
          <w:tblCellMar>
            <w:top w:w="0" w:type="dxa"/>
            <w:left w:w="108" w:type="dxa"/>
            <w:bottom w:w="0" w:type="dxa"/>
            <w:right w:w="108" w:type="dxa"/>
          </w:tblCellMar>
        </w:tblPrEx>
        <w:trPr>
          <w:trHeight w:val="413" w:hRule="atLeast"/>
        </w:trPr>
        <w:tc>
          <w:tcPr>
            <w:tcW w:w="589"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29"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82"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690" w:hRule="atLeast"/>
        </w:trPr>
        <w:tc>
          <w:tcPr>
            <w:tcW w:w="2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功能分类科目</w:t>
            </w:r>
          </w:p>
        </w:tc>
        <w:tc>
          <w:tcPr>
            <w:tcW w:w="2480"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2025年预算数</w:t>
            </w:r>
          </w:p>
        </w:tc>
      </w:tr>
      <w:tr>
        <w:tblPrEx>
          <w:tblCellMar>
            <w:top w:w="0" w:type="dxa"/>
            <w:left w:w="108" w:type="dxa"/>
            <w:bottom w:w="0" w:type="dxa"/>
            <w:right w:w="108" w:type="dxa"/>
          </w:tblCellMar>
        </w:tblPrEx>
        <w:trPr>
          <w:trHeight w:val="585"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 科目编码</w:t>
            </w:r>
          </w:p>
        </w:tc>
        <w:tc>
          <w:tcPr>
            <w:tcW w:w="192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基本支出 </w:t>
            </w:r>
          </w:p>
        </w:tc>
        <w:tc>
          <w:tcPr>
            <w:tcW w:w="78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0"/>
              </w:rPr>
            </w:pPr>
            <w:r>
              <w:rPr>
                <w:rFonts w:hint="eastAsia" w:ascii="方正仿宋_GBK" w:hAnsi="宋体" w:cs="宋体"/>
                <w:b/>
                <w:bCs/>
                <w:color w:val="auto"/>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6,402.04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1,844.04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4,558.00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一般公共服务支出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1,835.30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884.03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951.28</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人大事务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其他人大事务支出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政府办公厅（室）及相关机构事务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1,665.48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847.48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818.00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684.13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684.13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一般行政管理事务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2010350</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事业运行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163.35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163.35</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其他政府办公厅（室）及相关机构事务支出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798.00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798.00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20123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民族事务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2012399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其他民族事务支出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20136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其他共产党事务支出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2013699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其他共产党事务支出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20139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社会工作事务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36.55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36.55</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2013950</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事业运行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36.55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36.55</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203</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国防支出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20306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国防动员</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2030699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其他国防动员支出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204</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公共安全支出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司法</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2040604</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基层司法业务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其他公共安全支出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2049999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其他公共安全支出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207</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文化旅游体育与传媒支出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98.45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53.26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45.19</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20701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文化和旅游</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98.45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53.26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45.19</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2070109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群众文化</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2070199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其他文化和旅游支出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71.26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53.26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18.00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208</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2,578.07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412.62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2,165.45</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人力资源和社会保障管理事务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其他人力资源和社会保障管理事务支出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民政管理事务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2080208</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基层政权建设和社区治理</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2080299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其他民政管理事务支出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339.16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339.16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130.17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130.17</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65.08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65.08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143.91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143.91</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20808</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抚恤</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400.00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2080802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伤残抚恤</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2080899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其他优抚支出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20810</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社会福利</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304.52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304.52</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2081002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老年福利</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235.50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235.50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2081099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其他社会福利支出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69.02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69.02</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残疾人事业</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其他残疾人事业支出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20828</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退役军人管理事务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103.46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73.46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2082850</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事业运行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73.46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73.46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2082899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其他退役军人事务管理支出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2089999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210</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315.56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92.36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21007</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计划生育事务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2100799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其他计划生育事务支出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92.36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92.36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51.58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51.58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14.64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14.64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公务员医疗补助</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12.76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12.76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13.38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13.38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节能环保支出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21103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污染防治</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2110304</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固体废弃物与化学品</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212</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城乡社区支出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277.43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277.43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城乡社区管理事务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277.43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277.43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2120101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277.43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277.43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城乡社区公共设施</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2120399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其他城乡社区公共设施支出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其他城乡社区支出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2129999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其他城乡社区支出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217</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金融支出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21701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金融部门行政支出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2170199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金融部门其他行政支出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124.34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124.34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保障性安居工程支出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其他保障性安居工程支出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124.34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124.34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112.22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112.22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2210203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12.12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12.12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224</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灾害防治及应急管理支出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22401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应急管理事务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2240199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其他应急管理支出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附表3</w:t>
      </w:r>
    </w:p>
    <w:tbl>
      <w:tblPr>
        <w:tblStyle w:val="5"/>
        <w:tblW w:w="5000" w:type="pct"/>
        <w:tblInd w:w="0" w:type="dxa"/>
        <w:tblLayout w:type="autofit"/>
        <w:tblCellMar>
          <w:top w:w="0" w:type="dxa"/>
          <w:left w:w="108" w:type="dxa"/>
          <w:bottom w:w="0" w:type="dxa"/>
          <w:right w:w="108" w:type="dxa"/>
        </w:tblCellMar>
      </w:tblPr>
      <w:tblGrid>
        <w:gridCol w:w="2378"/>
        <w:gridCol w:w="5791"/>
        <w:gridCol w:w="1378"/>
        <w:gridCol w:w="1865"/>
        <w:gridCol w:w="2762"/>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auto"/>
                <w:kern w:val="0"/>
                <w:sz w:val="28"/>
                <w:szCs w:val="28"/>
              </w:rPr>
            </w:pPr>
            <w:r>
              <w:rPr>
                <w:rFonts w:hint="eastAsia" w:ascii="方正小标宋_GBK" w:hAnsi="宋体" w:eastAsia="方正小标宋_GBK" w:cs="宋体"/>
                <w:color w:val="auto"/>
                <w:kern w:val="0"/>
                <w:sz w:val="34"/>
                <w:szCs w:val="34"/>
              </w:rPr>
              <w:t>重庆市九龙坡区人民政府杨家坪街道办事处一般公共预算财政拨款基本支出预算表</w:t>
            </w:r>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auto"/>
                <w:kern w:val="0"/>
                <w:sz w:val="28"/>
                <w:szCs w:val="28"/>
              </w:rPr>
            </w:pP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auto"/>
                <w:kern w:val="0"/>
                <w:sz w:val="20"/>
              </w:rPr>
            </w:pPr>
            <w:r>
              <w:rPr>
                <w:rFonts w:hint="eastAsia" w:ascii="方正仿宋_GBK" w:hAnsi="宋体" w:cs="宋体"/>
                <w:color w:val="auto"/>
                <w:kern w:val="0"/>
                <w:sz w:val="20"/>
              </w:rPr>
              <w:t>（部门预算支出经济分类科目）</w:t>
            </w:r>
          </w:p>
        </w:tc>
      </w:tr>
      <w:tr>
        <w:tblPrEx>
          <w:tblCellMar>
            <w:top w:w="0" w:type="dxa"/>
            <w:left w:w="108" w:type="dxa"/>
            <w:bottom w:w="0" w:type="dxa"/>
            <w:right w:w="108" w:type="dxa"/>
          </w:tblCellMar>
        </w:tblPrEx>
        <w:trPr>
          <w:trHeight w:val="398" w:hRule="atLeast"/>
        </w:trPr>
        <w:tc>
          <w:tcPr>
            <w:tcW w:w="8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8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5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724" w:hRule="atLeast"/>
        </w:trPr>
        <w:tc>
          <w:tcPr>
            <w:tcW w:w="2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经济分类科目</w:t>
            </w:r>
          </w:p>
        </w:tc>
        <w:tc>
          <w:tcPr>
            <w:tcW w:w="2119"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2025年基本支出</w:t>
            </w:r>
          </w:p>
        </w:tc>
      </w:tr>
      <w:tr>
        <w:tblPrEx>
          <w:tblCellMar>
            <w:top w:w="0" w:type="dxa"/>
            <w:left w:w="108" w:type="dxa"/>
            <w:bottom w:w="0" w:type="dxa"/>
            <w:right w:w="108" w:type="dxa"/>
          </w:tblCellMar>
        </w:tblPrEx>
        <w:trPr>
          <w:trHeight w:val="552" w:hRule="atLeast"/>
        </w:trPr>
        <w:tc>
          <w:tcPr>
            <w:tcW w:w="839"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科目编码</w:t>
            </w:r>
          </w:p>
        </w:tc>
        <w:tc>
          <w:tcPr>
            <w:tcW w:w="204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科目名称</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总计</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人员经费</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日常公用经费</w:t>
            </w:r>
          </w:p>
        </w:tc>
      </w:tr>
      <w:tr>
        <w:tblPrEx>
          <w:tblCellMar>
            <w:top w:w="0" w:type="dxa"/>
            <w:left w:w="108" w:type="dxa"/>
            <w:bottom w:w="0" w:type="dxa"/>
            <w:right w:w="108" w:type="dxa"/>
          </w:tblCellMar>
        </w:tblPrEx>
        <w:trPr>
          <w:trHeight w:val="398" w:hRule="atLeast"/>
        </w:trPr>
        <w:tc>
          <w:tcPr>
            <w:tcW w:w="2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0"/>
              </w:rPr>
            </w:pPr>
            <w:r>
              <w:rPr>
                <w:rFonts w:hint="eastAsia" w:ascii="方正仿宋_GBK" w:hAnsi="宋体" w:cs="宋体"/>
                <w:b/>
                <w:bCs/>
                <w:color w:val="auto"/>
                <w:kern w:val="0"/>
                <w:sz w:val="20"/>
              </w:rPr>
              <w:t>合计</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1,844.04</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1,480.70</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363.34</w:t>
            </w:r>
          </w:p>
        </w:tc>
      </w:tr>
      <w:tr>
        <w:tblPrEx>
          <w:tblCellMar>
            <w:top w:w="0" w:type="dxa"/>
            <w:left w:w="108" w:type="dxa"/>
            <w:bottom w:w="0" w:type="dxa"/>
            <w:right w:w="108" w:type="dxa"/>
          </w:tblCellMar>
        </w:tblPrEx>
        <w:trPr>
          <w:trHeight w:val="398" w:hRule="atLeast"/>
        </w:trPr>
        <w:tc>
          <w:tcPr>
            <w:tcW w:w="8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301</w:t>
            </w:r>
          </w:p>
        </w:tc>
        <w:tc>
          <w:tcPr>
            <w:tcW w:w="204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工资福利支出</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1,359.81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1,359.81</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30101</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基本工资</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304.91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304.91</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30102</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津贴补贴</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170.21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170.21</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30103</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奖金</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308.91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308.91</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30107</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绩效工资</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161.47</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161.47</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30108</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机关事业单位基本养老保险缴费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130.17</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130.17</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30109</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职业年金缴费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65.08</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65.08</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30110</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职工基本医疗保险缴费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63.34</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63.34</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30111</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公务员医疗补助缴费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6.56</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6.56</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30112</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其他社会保障缴费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13.41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13.41</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30113</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住房公积金</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112.22</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112.22</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30114</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医疗费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11.73</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11.73</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30199</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其他工资福利支出</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11.80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11.80</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98" w:hRule="atLeast"/>
        </w:trPr>
        <w:tc>
          <w:tcPr>
            <w:tcW w:w="8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302</w:t>
            </w:r>
          </w:p>
        </w:tc>
        <w:tc>
          <w:tcPr>
            <w:tcW w:w="204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商品和服务支出</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331.80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331.80</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30201</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办公费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130.03</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130.03</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30205</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水费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2.03</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2.03</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30206</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电费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21.47</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21.47</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30207</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邮电费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24.67</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24.67</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30209</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物业管理费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20.16</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20.16</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30215</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会议费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30216</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培训费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10.17</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10.17</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30217</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公务接待费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5.00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5.00</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30226</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劳务费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10.00</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30228</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工会经费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15.89</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15.89</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30229</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福利费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16.34</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16.34</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30231</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公务用车运行维护费</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14.00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14.00</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30239</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其他交通费用</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46.31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46.31</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30299</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其他商品和服务支出</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14.73</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14.73</w:t>
            </w:r>
          </w:p>
        </w:tc>
      </w:tr>
      <w:tr>
        <w:tblPrEx>
          <w:tblCellMar>
            <w:top w:w="0" w:type="dxa"/>
            <w:left w:w="108" w:type="dxa"/>
            <w:bottom w:w="0" w:type="dxa"/>
            <w:right w:w="108" w:type="dxa"/>
          </w:tblCellMar>
        </w:tblPrEx>
        <w:trPr>
          <w:trHeight w:val="398" w:hRule="atLeast"/>
        </w:trPr>
        <w:tc>
          <w:tcPr>
            <w:tcW w:w="8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303</w:t>
            </w:r>
          </w:p>
        </w:tc>
        <w:tc>
          <w:tcPr>
            <w:tcW w:w="204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对个人和家庭的补助</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149.43</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120.89</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28.54</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30305</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生活补助</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135.61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111.72</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23.89</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30307</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医疗费补助</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13.82</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9.17</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4.65</w:t>
            </w:r>
          </w:p>
        </w:tc>
      </w:tr>
      <w:tr>
        <w:tblPrEx>
          <w:tblCellMar>
            <w:top w:w="0" w:type="dxa"/>
            <w:left w:w="108" w:type="dxa"/>
            <w:bottom w:w="0" w:type="dxa"/>
            <w:right w:w="108" w:type="dxa"/>
          </w:tblCellMar>
        </w:tblPrEx>
        <w:trPr>
          <w:trHeight w:val="398" w:hRule="atLeast"/>
        </w:trPr>
        <w:tc>
          <w:tcPr>
            <w:tcW w:w="8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310</w:t>
            </w:r>
          </w:p>
        </w:tc>
        <w:tc>
          <w:tcPr>
            <w:tcW w:w="204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资本性支出</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r>
      <w:tr>
        <w:tblPrEx>
          <w:tblCellMar>
            <w:top w:w="0" w:type="dxa"/>
            <w:left w:w="108" w:type="dxa"/>
            <w:bottom w:w="0" w:type="dxa"/>
            <w:right w:w="108" w:type="dxa"/>
          </w:tblCellMar>
        </w:tblPrEx>
        <w:trPr>
          <w:trHeight w:val="379" w:hRule="atLeast"/>
        </w:trPr>
        <w:tc>
          <w:tcPr>
            <w:tcW w:w="8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31002</w:t>
            </w:r>
          </w:p>
        </w:tc>
        <w:tc>
          <w:tcPr>
            <w:tcW w:w="204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办公设备购置</w:t>
            </w:r>
          </w:p>
        </w:tc>
        <w:tc>
          <w:tcPr>
            <w:tcW w:w="48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附表4</w:t>
      </w:r>
    </w:p>
    <w:tbl>
      <w:tblPr>
        <w:tblStyle w:val="5"/>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w:t>
            </w:r>
            <w:r>
              <w:rPr>
                <w:rFonts w:hint="eastAsia" w:ascii="方正小标宋_GBK" w:hAnsi="宋体" w:eastAsia="方正小标宋_GBK" w:cs="宋体"/>
                <w:color w:val="auto"/>
                <w:kern w:val="0"/>
                <w:sz w:val="34"/>
                <w:szCs w:val="34"/>
              </w:rPr>
              <w:br w:type="textWrapping"/>
            </w:r>
            <w:r>
              <w:rPr>
                <w:rFonts w:hint="eastAsia" w:ascii="方正小标宋_GBK" w:hAnsi="宋体" w:eastAsia="方正小标宋_GBK" w:cs="宋体"/>
                <w:color w:val="auto"/>
                <w:kern w:val="0"/>
                <w:sz w:val="34"/>
                <w:szCs w:val="34"/>
              </w:rPr>
              <w:t>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auto"/>
                <w:kern w:val="0"/>
                <w:sz w:val="24"/>
                <w:szCs w:val="24"/>
              </w:rPr>
            </w:pPr>
            <w:r>
              <w:rPr>
                <w:rFonts w:hint="eastAsia" w:ascii="方正楷体_GBK" w:hAnsi="宋体" w:eastAsia="方正楷体_GBK" w:cs="宋体"/>
                <w:color w:val="auto"/>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auto"/>
                <w:kern w:val="0"/>
                <w:sz w:val="24"/>
                <w:szCs w:val="24"/>
              </w:rPr>
            </w:pPr>
            <w:r>
              <w:rPr>
                <w:rFonts w:hint="eastAsia" w:ascii="方正仿宋_GBK" w:hAnsi="宋体" w:cs="宋体"/>
                <w:color w:val="auto"/>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auto"/>
                <w:kern w:val="0"/>
                <w:sz w:val="28"/>
                <w:szCs w:val="28"/>
              </w:rPr>
            </w:pPr>
            <w:r>
              <w:rPr>
                <w:rFonts w:hint="eastAsia" w:ascii="方正黑体_GBK" w:hAnsi="宋体" w:eastAsia="方正黑体_GBK" w:cs="宋体"/>
                <w:b/>
                <w:bCs/>
                <w:color w:val="auto"/>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auto"/>
                <w:kern w:val="0"/>
                <w:sz w:val="28"/>
                <w:szCs w:val="28"/>
              </w:rPr>
            </w:pPr>
            <w:r>
              <w:rPr>
                <w:rFonts w:hint="eastAsia" w:ascii="方正黑体_GBK" w:hAnsi="宋体" w:eastAsia="方正黑体_GBK" w:cs="宋体"/>
                <w:b/>
                <w:bCs/>
                <w:color w:val="auto"/>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auto"/>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1,844.04</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1,015.53</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工资奖金津补贴</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702.96</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社会保障缴费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214.69</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住房公积金</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83.53</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50199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14.35</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248.66</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办公经费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196.36</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会议费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培训费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8.09</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委托业务费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50206</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公务接待费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50208</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公务用车运行维护费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50299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14.21</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机关资本性支出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50306</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设备购置</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对事业单位经常性补助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427.42</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344.28</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83.13</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对个人和家庭的补助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149.43</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50901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社会福利和救助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149.43</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附表5</w:t>
      </w:r>
    </w:p>
    <w:tbl>
      <w:tblPr>
        <w:tblStyle w:val="5"/>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0"/>
                <w:szCs w:val="30"/>
              </w:rPr>
            </w:pPr>
            <w:r>
              <w:rPr>
                <w:rFonts w:hint="eastAsia" w:ascii="方正小标宋_GBK" w:hAnsi="宋体" w:eastAsia="方正小标宋_GBK" w:cs="宋体"/>
                <w:color w:val="auto"/>
                <w:kern w:val="0"/>
                <w:sz w:val="34"/>
                <w:szCs w:val="34"/>
              </w:rPr>
              <w:t>重庆市九龙坡区人民政府杨家坪街道办事处一般公共预算“三公”经费支出表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55.00</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50.00</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36.00</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14.00</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5.00</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附表6</w:t>
      </w:r>
    </w:p>
    <w:tbl>
      <w:tblPr>
        <w:tblStyle w:val="5"/>
        <w:tblW w:w="5000" w:type="pct"/>
        <w:tblInd w:w="0" w:type="dxa"/>
        <w:tblLayout w:type="autofit"/>
        <w:tblCellMar>
          <w:top w:w="0" w:type="dxa"/>
          <w:left w:w="108" w:type="dxa"/>
          <w:bottom w:w="0" w:type="dxa"/>
          <w:right w:w="108" w:type="dxa"/>
        </w:tblCellMar>
      </w:tblPr>
      <w:tblGrid>
        <w:gridCol w:w="1740"/>
        <w:gridCol w:w="5534"/>
        <w:gridCol w:w="2325"/>
        <w:gridCol w:w="2248"/>
        <w:gridCol w:w="2327"/>
      </w:tblGrid>
      <w:tr>
        <w:tblPrEx>
          <w:tblCellMar>
            <w:top w:w="0" w:type="dxa"/>
            <w:left w:w="108" w:type="dxa"/>
            <w:bottom w:w="0" w:type="dxa"/>
            <w:right w:w="108" w:type="dxa"/>
          </w:tblCellMar>
        </w:tblPrEx>
        <w:trPr>
          <w:trHeight w:val="499" w:hRule="atLeast"/>
        </w:trPr>
        <w:tc>
          <w:tcPr>
            <w:tcW w:w="5000" w:type="pct"/>
            <w:gridSpan w:val="5"/>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auto"/>
                <w:kern w:val="0"/>
                <w:sz w:val="28"/>
                <w:szCs w:val="28"/>
              </w:rPr>
            </w:pPr>
            <w:r>
              <w:rPr>
                <w:rFonts w:hint="eastAsia" w:ascii="方正小标宋_GBK" w:hAnsi="宋体" w:eastAsia="方正小标宋_GBK" w:cs="宋体"/>
                <w:color w:val="auto"/>
                <w:kern w:val="0"/>
                <w:sz w:val="34"/>
                <w:szCs w:val="34"/>
              </w:rPr>
              <w:t>重庆市九龙坡区人民政府杨家坪街道办事处政府性基金预算支出表</w:t>
            </w:r>
          </w:p>
        </w:tc>
      </w:tr>
      <w:tr>
        <w:tblPrEx>
          <w:tblCellMar>
            <w:top w:w="0" w:type="dxa"/>
            <w:left w:w="108" w:type="dxa"/>
            <w:bottom w:w="0" w:type="dxa"/>
            <w:right w:w="108" w:type="dxa"/>
          </w:tblCellMar>
        </w:tblPrEx>
        <w:trPr>
          <w:trHeight w:val="533"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auto"/>
                <w:kern w:val="0"/>
                <w:sz w:val="28"/>
                <w:szCs w:val="28"/>
              </w:rPr>
            </w:pPr>
          </w:p>
        </w:tc>
      </w:tr>
      <w:tr>
        <w:tblPrEx>
          <w:tblCellMar>
            <w:top w:w="0" w:type="dxa"/>
            <w:left w:w="108" w:type="dxa"/>
            <w:bottom w:w="0" w:type="dxa"/>
            <w:right w:w="108" w:type="dxa"/>
          </w:tblCellMar>
        </w:tblPrEx>
        <w:trPr>
          <w:trHeight w:val="432" w:hRule="atLeast"/>
        </w:trPr>
        <w:tc>
          <w:tcPr>
            <w:tcW w:w="61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2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9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20"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672"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科目名称</w:t>
            </w:r>
          </w:p>
        </w:tc>
        <w:tc>
          <w:tcPr>
            <w:tcW w:w="2433"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19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82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总计</w:t>
            </w:r>
          </w:p>
        </w:tc>
        <w:tc>
          <w:tcPr>
            <w:tcW w:w="79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基本支出 </w:t>
            </w:r>
          </w:p>
        </w:tc>
        <w:tc>
          <w:tcPr>
            <w:tcW w:w="82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2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0"/>
              </w:rPr>
            </w:pPr>
            <w:r>
              <w:rPr>
                <w:rFonts w:hint="eastAsia" w:ascii="方正仿宋_GBK" w:hAnsi="宋体" w:cs="宋体"/>
                <w:b/>
                <w:bCs/>
                <w:color w:val="auto"/>
                <w:kern w:val="0"/>
                <w:sz w:val="20"/>
              </w:rPr>
              <w:t>合计</w:t>
            </w:r>
          </w:p>
        </w:tc>
        <w:tc>
          <w:tcPr>
            <w:tcW w:w="82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13.39</w:t>
            </w:r>
          </w:p>
        </w:tc>
        <w:tc>
          <w:tcPr>
            <w:tcW w:w="79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　</w:t>
            </w:r>
          </w:p>
        </w:tc>
        <w:tc>
          <w:tcPr>
            <w:tcW w:w="82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13.39</w:t>
            </w:r>
          </w:p>
        </w:tc>
      </w:tr>
      <w:tr>
        <w:tblPrEx>
          <w:tblCellMar>
            <w:top w:w="0" w:type="dxa"/>
            <w:left w:w="108" w:type="dxa"/>
            <w:bottom w:w="0" w:type="dxa"/>
            <w:right w:w="108" w:type="dxa"/>
          </w:tblCellMar>
        </w:tblPrEx>
        <w:trPr>
          <w:trHeight w:val="327" w:hRule="atLeast"/>
        </w:trPr>
        <w:tc>
          <w:tcPr>
            <w:tcW w:w="61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212</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城乡社区支出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r>
      <w:tr>
        <w:tblPrEx>
          <w:tblCellMar>
            <w:top w:w="0" w:type="dxa"/>
            <w:left w:w="108" w:type="dxa"/>
            <w:bottom w:w="0" w:type="dxa"/>
            <w:right w:w="108" w:type="dxa"/>
          </w:tblCellMar>
        </w:tblPrEx>
        <w:trPr>
          <w:trHeight w:val="327" w:hRule="atLeast"/>
        </w:trPr>
        <w:tc>
          <w:tcPr>
            <w:tcW w:w="61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21208</w:t>
            </w:r>
          </w:p>
        </w:tc>
        <w:tc>
          <w:tcPr>
            <w:tcW w:w="1952"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国有土地使用权出让收入安排的支出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r>
      <w:tr>
        <w:tblPrEx>
          <w:tblCellMar>
            <w:top w:w="0" w:type="dxa"/>
            <w:left w:w="108" w:type="dxa"/>
            <w:bottom w:w="0" w:type="dxa"/>
            <w:right w:w="108" w:type="dxa"/>
          </w:tblCellMar>
        </w:tblPrEx>
        <w:trPr>
          <w:trHeight w:val="327" w:hRule="atLeast"/>
        </w:trPr>
        <w:tc>
          <w:tcPr>
            <w:tcW w:w="614" w:type="pct"/>
            <w:tcBorders>
              <w:top w:val="nil"/>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2120803</w:t>
            </w:r>
          </w:p>
        </w:tc>
        <w:tc>
          <w:tcPr>
            <w:tcW w:w="1952" w:type="pct"/>
            <w:tcBorders>
              <w:top w:val="nil"/>
              <w:left w:val="nil"/>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城市建设支出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r>
      <w:tr>
        <w:tblPrEx>
          <w:tblCellMar>
            <w:top w:w="0" w:type="dxa"/>
            <w:left w:w="108" w:type="dxa"/>
            <w:bottom w:w="0" w:type="dxa"/>
            <w:right w:w="108" w:type="dxa"/>
          </w:tblCellMar>
        </w:tblPrEx>
        <w:trPr>
          <w:trHeight w:val="270" w:hRule="atLeast"/>
        </w:trPr>
        <w:tc>
          <w:tcPr>
            <w:tcW w:w="614"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229</w:t>
            </w:r>
          </w:p>
        </w:tc>
        <w:tc>
          <w:tcPr>
            <w:tcW w:w="195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其他支出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r>
      <w:tr>
        <w:tblPrEx>
          <w:tblCellMar>
            <w:top w:w="0" w:type="dxa"/>
            <w:left w:w="108" w:type="dxa"/>
            <w:bottom w:w="0" w:type="dxa"/>
            <w:right w:w="108" w:type="dxa"/>
          </w:tblCellMar>
        </w:tblPrEx>
        <w:trPr>
          <w:trHeight w:val="270" w:hRule="atLeast"/>
        </w:trPr>
        <w:tc>
          <w:tcPr>
            <w:tcW w:w="614"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彩票公益金安排的支出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r>
      <w:tr>
        <w:tblPrEx>
          <w:tblCellMar>
            <w:top w:w="0" w:type="dxa"/>
            <w:left w:w="108" w:type="dxa"/>
            <w:bottom w:w="0" w:type="dxa"/>
            <w:right w:w="108" w:type="dxa"/>
          </w:tblCellMar>
        </w:tblPrEx>
        <w:trPr>
          <w:trHeight w:val="270" w:hRule="atLeast"/>
        </w:trPr>
        <w:tc>
          <w:tcPr>
            <w:tcW w:w="614"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2296002</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用于社会福利的彩票公益金支出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3.44</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3.44</w:t>
            </w:r>
          </w:p>
        </w:tc>
      </w:tr>
      <w:tr>
        <w:tblPrEx>
          <w:tblCellMar>
            <w:top w:w="0" w:type="dxa"/>
            <w:left w:w="108" w:type="dxa"/>
            <w:bottom w:w="0" w:type="dxa"/>
            <w:right w:w="108" w:type="dxa"/>
          </w:tblCellMar>
        </w:tblPrEx>
        <w:trPr>
          <w:trHeight w:val="270" w:hRule="atLeast"/>
        </w:trPr>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2296003</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用于体育事业的彩票公益金支出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0.02</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0.02</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附表7</w:t>
      </w:r>
    </w:p>
    <w:tbl>
      <w:tblPr>
        <w:tblStyle w:val="5"/>
        <w:tblW w:w="5000" w:type="pct"/>
        <w:tblInd w:w="0" w:type="dxa"/>
        <w:tblLayout w:type="autofit"/>
        <w:tblCellMar>
          <w:top w:w="0" w:type="dxa"/>
          <w:left w:w="108" w:type="dxa"/>
          <w:bottom w:w="0" w:type="dxa"/>
          <w:right w:w="108" w:type="dxa"/>
        </w:tblCellMar>
      </w:tblPr>
      <w:tblGrid>
        <w:gridCol w:w="4841"/>
        <w:gridCol w:w="1741"/>
        <w:gridCol w:w="5327"/>
        <w:gridCol w:w="2265"/>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0"/>
                <w:szCs w:val="30"/>
              </w:rPr>
            </w:pPr>
            <w:r>
              <w:rPr>
                <w:rFonts w:hint="eastAsia" w:ascii="方正小标宋_GBK" w:hAnsi="宋体" w:eastAsia="方正小标宋_GBK" w:cs="宋体"/>
                <w:color w:val="auto"/>
                <w:kern w:val="0"/>
                <w:sz w:val="34"/>
                <w:szCs w:val="34"/>
              </w:rPr>
              <w:t>重庆市九龙坡区人民政府杨家坪街道办事处部门收支总表</w:t>
            </w:r>
          </w:p>
        </w:tc>
      </w:tr>
      <w:tr>
        <w:tblPrEx>
          <w:tblCellMar>
            <w:top w:w="0" w:type="dxa"/>
            <w:left w:w="108" w:type="dxa"/>
            <w:bottom w:w="0" w:type="dxa"/>
            <w:right w:w="108" w:type="dxa"/>
          </w:tblCellMar>
        </w:tblPrEx>
        <w:trPr>
          <w:trHeight w:val="465" w:hRule="atLeast"/>
        </w:trPr>
        <w:tc>
          <w:tcPr>
            <w:tcW w:w="170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1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87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9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2"/>
                <w:szCs w:val="22"/>
              </w:rPr>
            </w:pPr>
            <w:r>
              <w:rPr>
                <w:rFonts w:hint="eastAsia" w:ascii="方正楷体_GBK" w:hAnsi="宋体" w:eastAsia="方正楷体_GBK" w:cs="宋体"/>
                <w:color w:val="auto"/>
                <w:kern w:val="0"/>
                <w:sz w:val="22"/>
                <w:szCs w:val="22"/>
              </w:rPr>
              <w:t>单位：万元</w:t>
            </w:r>
          </w:p>
        </w:tc>
      </w:tr>
      <w:tr>
        <w:tblPrEx>
          <w:tblCellMar>
            <w:top w:w="0" w:type="dxa"/>
            <w:left w:w="108" w:type="dxa"/>
            <w:bottom w:w="0" w:type="dxa"/>
            <w:right w:w="108" w:type="dxa"/>
          </w:tblCellMar>
        </w:tblPrEx>
        <w:trPr>
          <w:trHeight w:val="690" w:hRule="atLeast"/>
        </w:trPr>
        <w:tc>
          <w:tcPr>
            <w:tcW w:w="2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收入</w:t>
            </w:r>
          </w:p>
        </w:tc>
        <w:tc>
          <w:tcPr>
            <w:tcW w:w="2677"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支出</w:t>
            </w:r>
          </w:p>
        </w:tc>
      </w:tr>
      <w:tr>
        <w:tblPrEx>
          <w:tblCellMar>
            <w:top w:w="0" w:type="dxa"/>
            <w:left w:w="108" w:type="dxa"/>
            <w:bottom w:w="0" w:type="dxa"/>
            <w:right w:w="108" w:type="dxa"/>
          </w:tblCellMar>
        </w:tblPrEx>
        <w:trPr>
          <w:trHeight w:val="657"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预算数</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预算数</w:t>
            </w:r>
          </w:p>
        </w:tc>
      </w:tr>
      <w:tr>
        <w:tblPrEx>
          <w:tblCellMar>
            <w:top w:w="0" w:type="dxa"/>
            <w:left w:w="108" w:type="dxa"/>
            <w:bottom w:w="0" w:type="dxa"/>
            <w:right w:w="108" w:type="dxa"/>
          </w:tblCellMar>
        </w:tblPrEx>
        <w:trPr>
          <w:trHeight w:val="499"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6,415.43</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6,415.43</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6,402.04</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一般公共服务支出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1,835.30</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政府性基金预算资金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13.39</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国防支出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国有资本经营预算资金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文化旅游体育与传媒支出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98.45</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财政专户管理资金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社会保障和就业支出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2,578.07</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事业收入资金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卫生健康支出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315.56</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上级补助收入资金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节能环保支出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附属单位上缴收入资金 </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城乡社区支出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287.36</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事业单位经营收入资金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住房保障支出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124.34</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nil"/>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其他收入资金 </w:t>
            </w:r>
          </w:p>
        </w:tc>
        <w:tc>
          <w:tcPr>
            <w:tcW w:w="614"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灾害防治及应急管理支出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315" w:hRule="atLeast"/>
        </w:trPr>
        <w:tc>
          <w:tcPr>
            <w:tcW w:w="17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61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其他支出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3.46</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附表8</w:t>
      </w:r>
    </w:p>
    <w:tbl>
      <w:tblPr>
        <w:tblStyle w:val="5"/>
        <w:tblW w:w="5000" w:type="pct"/>
        <w:tblInd w:w="0" w:type="dxa"/>
        <w:tblLayout w:type="autofit"/>
        <w:tblCellMar>
          <w:top w:w="0" w:type="dxa"/>
          <w:left w:w="108" w:type="dxa"/>
          <w:bottom w:w="0" w:type="dxa"/>
          <w:right w:w="108" w:type="dxa"/>
        </w:tblCellMar>
      </w:tblPr>
      <w:tblGrid>
        <w:gridCol w:w="960"/>
        <w:gridCol w:w="3368"/>
        <w:gridCol w:w="1021"/>
        <w:gridCol w:w="865"/>
        <w:gridCol w:w="944"/>
        <w:gridCol w:w="987"/>
        <w:gridCol w:w="944"/>
        <w:gridCol w:w="955"/>
        <w:gridCol w:w="955"/>
        <w:gridCol w:w="927"/>
        <w:gridCol w:w="1004"/>
        <w:gridCol w:w="1244"/>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8"/>
                <w:szCs w:val="38"/>
              </w:rPr>
            </w:pPr>
            <w:r>
              <w:rPr>
                <w:rFonts w:hint="eastAsia" w:ascii="方正小标宋_GBK" w:hAnsi="宋体" w:eastAsia="方正小标宋_GBK" w:cs="宋体"/>
                <w:color w:val="auto"/>
                <w:kern w:val="0"/>
                <w:sz w:val="38"/>
                <w:szCs w:val="38"/>
              </w:rPr>
              <w:t>重庆市九龙坡区人民政府杨家坪街道办事处部门收入总表</w:t>
            </w:r>
          </w:p>
        </w:tc>
      </w:tr>
      <w:tr>
        <w:tblPrEx>
          <w:tblCellMar>
            <w:top w:w="0" w:type="dxa"/>
            <w:left w:w="108" w:type="dxa"/>
            <w:bottom w:w="0" w:type="dxa"/>
            <w:right w:w="108" w:type="dxa"/>
          </w:tblCellMar>
        </w:tblPrEx>
        <w:trPr>
          <w:trHeight w:val="447" w:hRule="atLeast"/>
        </w:trPr>
        <w:tc>
          <w:tcPr>
            <w:tcW w:w="3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18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6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0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3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4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3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3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3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2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5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434"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724" w:hRule="atLeast"/>
        </w:trPr>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科目</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总计</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一般公共预算拨款收入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政府性基金预算拨款收入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国有资本经营预算拨款收入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财政专户管理资金收入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事业收入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上级补助收入</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附属单位上缴收入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事业单位经营收入</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其他收入</w:t>
            </w:r>
          </w:p>
        </w:tc>
      </w:tr>
      <w:tr>
        <w:tblPrEx>
          <w:tblCellMar>
            <w:top w:w="0" w:type="dxa"/>
            <w:left w:w="108" w:type="dxa"/>
            <w:bottom w:w="0" w:type="dxa"/>
            <w:right w:w="108" w:type="dxa"/>
          </w:tblCellMar>
        </w:tblPrEx>
        <w:trPr>
          <w:trHeight w:val="604"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科目编码</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科目名称</w:t>
            </w:r>
          </w:p>
        </w:tc>
        <w:tc>
          <w:tcPr>
            <w:tcW w:w="3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3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3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5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43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r>
      <w:tr>
        <w:tblPrEx>
          <w:tblCellMar>
            <w:top w:w="0" w:type="dxa"/>
            <w:left w:w="108" w:type="dxa"/>
            <w:bottom w:w="0" w:type="dxa"/>
            <w:right w:w="108" w:type="dxa"/>
          </w:tblCellMar>
        </w:tblPrEx>
        <w:trPr>
          <w:trHeight w:val="413" w:hRule="atLeast"/>
        </w:trPr>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18"/>
                <w:szCs w:val="18"/>
              </w:rPr>
            </w:pPr>
            <w:r>
              <w:rPr>
                <w:rFonts w:hint="eastAsia" w:ascii="方正仿宋_GBK" w:hAnsi="宋体" w:cs="宋体"/>
                <w:b/>
                <w:bCs/>
                <w:color w:val="auto"/>
                <w:kern w:val="0"/>
                <w:sz w:val="18"/>
                <w:szCs w:val="18"/>
              </w:rPr>
              <w:t>合计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6,415.43</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6,402.04</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13.39</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201</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一般公共服务支出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1,835.30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1,835.30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人大事务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2010199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其他人大事务支出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政府办公厅（室）及相关机构事务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1,665.48</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1,665.48</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行政运行</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684.13</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684.13</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2010302</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一般行政管理事务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2010350</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事业运行</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163.35</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163.35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其他政府办公厅（室）及相关机构事务支出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798.00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798.00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20136</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其他共产党事务支出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2013699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其他共产党事务支出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20139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社会工作事务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36.55</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36.55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2013950</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事业运行</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36.55</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36.55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203</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国防支出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20306</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国防动员</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2030699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其他国防动员支出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207</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文化旅游体育与传媒支出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98.45</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98.45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20701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文化和旅游</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98.45</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98.45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2070109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群众文化</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2070199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其他文化和旅游支出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71.26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71.26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208</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社会保障和就业支出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2,578.07</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2,578.07</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人力资源和社会保障管理事务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2080199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其他人力资源和社会保障管理事务支出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20802</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民政管理事务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2080299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其他民政管理事务支出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行政事业单位养老支出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339.16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339.16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2080505</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机关事业单位基本养老保险缴费支出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130.17</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130.17</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2080506</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机关事业单位职业年金缴费支出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65.08</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65.08</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其他行政事业单位养老支出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143.91</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143.91</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20808</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抚恤</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400.00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400.00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2080802</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伤残抚恤</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2080899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其他优抚支出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20810</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社会福利</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304.52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304.52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2081002</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老年福利</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235.50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235.50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2081099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其他社会福利支出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69.02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69.02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残疾人事业</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2081199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其他残疾人事业支出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20828</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退役军人管理事务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103.46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103.46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2082850</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事业运行</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73.46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73.46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2082899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其他退役军人事务管理支出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210</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卫生健康支出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315.56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315.56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21007</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计划生育事务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2100799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其他计划生育事务支出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行政事业单位医疗</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92.36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92.36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行政单位医疗</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51.58</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51.58</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2101102</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事业单位医疗</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14.64</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14.64</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2101103</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公务员医疗补助</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12.76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12.76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其他行政事业单位医疗支出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13.38</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13.38</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211</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节能环保支出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21103</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污染防治</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2110304</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固体废弃物与化学品</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212</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城乡社区支出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287.36</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277.43</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21201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城乡社区管理事务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277.43</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277.43</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2120101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行政运行</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277.43</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277.43</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21208</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xml:space="preserve">    国有土地使用权出让收入安排的支出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nil"/>
              <w:right w:val="single" w:color="000000" w:sz="4" w:space="0"/>
            </w:tcBorders>
            <w:shd w:val="clear" w:color="auto" w:fill="auto"/>
            <w:vAlign w:val="center"/>
          </w:tcPr>
          <w:p>
            <w:pPr>
              <w:widowControl/>
              <w:jc w:val="center"/>
              <w:rPr>
                <w:rFonts w:ascii="方正仿宋_GBK" w:hAnsi="宋体" w:cs="宋体"/>
                <w:color w:val="auto"/>
                <w:kern w:val="0"/>
                <w:sz w:val="20"/>
              </w:rPr>
            </w:pPr>
            <w:r>
              <w:rPr>
                <w:rFonts w:hint="eastAsia" w:ascii="方正仿宋_GBK" w:hAnsi="宋体" w:cs="宋体"/>
                <w:color w:val="auto"/>
                <w:kern w:val="0"/>
                <w:sz w:val="20"/>
              </w:rPr>
              <w:t xml:space="preserve">   2120803</w:t>
            </w:r>
          </w:p>
        </w:tc>
        <w:tc>
          <w:tcPr>
            <w:tcW w:w="1188" w:type="pct"/>
            <w:tcBorders>
              <w:top w:val="nil"/>
              <w:left w:val="nil"/>
              <w:bottom w:val="nil"/>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城市建设支出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221</w:t>
            </w:r>
          </w:p>
        </w:tc>
        <w:tc>
          <w:tcPr>
            <w:tcW w:w="1188"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住房保障支出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124.34</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124.34</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22102</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住房改革支出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124.34</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124.34</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2210201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住房公积金</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112.22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112.22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2210203</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购房补贴</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12.12</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12.12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224</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灾害防治及应急管理支出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22401</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应急管理事务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2240199</w:t>
            </w:r>
          </w:p>
        </w:tc>
        <w:tc>
          <w:tcPr>
            <w:tcW w:w="118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其他应急管理支出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0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229</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其他支出</w:t>
            </w:r>
          </w:p>
        </w:tc>
        <w:tc>
          <w:tcPr>
            <w:tcW w:w="3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3.46</w:t>
            </w:r>
          </w:p>
        </w:tc>
        <w:tc>
          <w:tcPr>
            <w:tcW w:w="305"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3.46</w:t>
            </w: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5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xml:space="preserve">    彩票公益金安排的支出</w:t>
            </w:r>
          </w:p>
        </w:tc>
        <w:tc>
          <w:tcPr>
            <w:tcW w:w="3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3.46</w:t>
            </w:r>
          </w:p>
        </w:tc>
        <w:tc>
          <w:tcPr>
            <w:tcW w:w="305"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3.46</w:t>
            </w:r>
          </w:p>
        </w:tc>
        <w:tc>
          <w:tcPr>
            <w:tcW w:w="34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2296002</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xml:space="preserve">       用于社会福利的彩票公益金支出</w:t>
            </w:r>
          </w:p>
        </w:tc>
        <w:tc>
          <w:tcPr>
            <w:tcW w:w="3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3.44</w:t>
            </w:r>
          </w:p>
        </w:tc>
        <w:tc>
          <w:tcPr>
            <w:tcW w:w="305"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3.44</w:t>
            </w:r>
          </w:p>
        </w:tc>
        <w:tc>
          <w:tcPr>
            <w:tcW w:w="34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2296003</w:t>
            </w:r>
          </w:p>
        </w:tc>
        <w:tc>
          <w:tcPr>
            <w:tcW w:w="11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xml:space="preserve">       用于体育事业的彩票公益金支出</w:t>
            </w:r>
          </w:p>
        </w:tc>
        <w:tc>
          <w:tcPr>
            <w:tcW w:w="3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0.02</w:t>
            </w:r>
          </w:p>
        </w:tc>
        <w:tc>
          <w:tcPr>
            <w:tcW w:w="305"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　</w:t>
            </w:r>
          </w:p>
        </w:tc>
        <w:tc>
          <w:tcPr>
            <w:tcW w:w="33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18"/>
                <w:szCs w:val="18"/>
              </w:rPr>
            </w:pPr>
            <w:r>
              <w:rPr>
                <w:rFonts w:eastAsia="宋体"/>
                <w:color w:val="auto"/>
                <w:kern w:val="0"/>
                <w:sz w:val="18"/>
                <w:szCs w:val="18"/>
              </w:rPr>
              <w:t>0.02</w:t>
            </w:r>
          </w:p>
        </w:tc>
        <w:tc>
          <w:tcPr>
            <w:tcW w:w="34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附表9</w:t>
      </w:r>
    </w:p>
    <w:tbl>
      <w:tblPr>
        <w:tblStyle w:val="5"/>
        <w:tblW w:w="5000" w:type="pct"/>
        <w:tblInd w:w="0" w:type="dxa"/>
        <w:tblLayout w:type="autofit"/>
        <w:tblCellMar>
          <w:top w:w="0" w:type="dxa"/>
          <w:left w:w="108" w:type="dxa"/>
          <w:bottom w:w="0" w:type="dxa"/>
          <w:right w:w="108" w:type="dxa"/>
        </w:tblCellMar>
      </w:tblPr>
      <w:tblGrid>
        <w:gridCol w:w="2271"/>
        <w:gridCol w:w="4933"/>
        <w:gridCol w:w="2446"/>
        <w:gridCol w:w="2378"/>
        <w:gridCol w:w="2146"/>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0"/>
                <w:szCs w:val="30"/>
              </w:rPr>
            </w:pPr>
            <w:r>
              <w:rPr>
                <w:rFonts w:hint="eastAsia" w:ascii="方正小标宋_GBK" w:hAnsi="宋体" w:eastAsia="方正小标宋_GBK" w:cs="宋体"/>
                <w:color w:val="auto"/>
                <w:kern w:val="0"/>
                <w:sz w:val="34"/>
                <w:szCs w:val="34"/>
              </w:rPr>
              <w:t>重庆市九龙坡区人民政府杨家坪街道办事处部门支出总表</w:t>
            </w:r>
          </w:p>
        </w:tc>
      </w:tr>
      <w:tr>
        <w:tblPrEx>
          <w:tblCellMar>
            <w:top w:w="0" w:type="dxa"/>
            <w:left w:w="108" w:type="dxa"/>
            <w:bottom w:w="0" w:type="dxa"/>
            <w:right w:w="108" w:type="dxa"/>
          </w:tblCellMar>
        </w:tblPrEx>
        <w:trPr>
          <w:trHeight w:val="379" w:hRule="atLeast"/>
        </w:trPr>
        <w:tc>
          <w:tcPr>
            <w:tcW w:w="801"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740"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63"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39"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54"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638"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科目编码</w:t>
            </w:r>
          </w:p>
        </w:tc>
        <w:tc>
          <w:tcPr>
            <w:tcW w:w="174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科目名称</w:t>
            </w:r>
          </w:p>
        </w:tc>
        <w:tc>
          <w:tcPr>
            <w:tcW w:w="86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总计</w:t>
            </w:r>
          </w:p>
        </w:tc>
        <w:tc>
          <w:tcPr>
            <w:tcW w:w="8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基本支出</w:t>
            </w:r>
          </w:p>
        </w:tc>
        <w:tc>
          <w:tcPr>
            <w:tcW w:w="75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项目支出</w:t>
            </w:r>
          </w:p>
        </w:tc>
      </w:tr>
      <w:tr>
        <w:tblPrEx>
          <w:tblCellMar>
            <w:top w:w="0" w:type="dxa"/>
            <w:left w:w="108" w:type="dxa"/>
            <w:bottom w:w="0" w:type="dxa"/>
            <w:right w:w="108" w:type="dxa"/>
          </w:tblCellMar>
        </w:tblPrEx>
        <w:trPr>
          <w:trHeight w:val="465" w:hRule="atLeast"/>
        </w:trPr>
        <w:tc>
          <w:tcPr>
            <w:tcW w:w="25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6,415.43</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1,844.04</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4,571.39</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201</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一般公共服务支出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1,835.30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884.03</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951.28</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人大事务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2010199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其他人大事务支出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政府办公厅（室）及相关机构事务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1,665.48</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847.48</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818.00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行政运行</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684.13</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684.13</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2010302</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一般行政管理事务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20.00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20.00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2010350</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事业运行</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163.35</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163.35</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其他政府办公厅（室）及相关机构事务支出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798.00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798.00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20136</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其他共产党事务支出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2013699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其他共产党事务支出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20139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社会工作事务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36.55</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36.55</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2013950</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事业运行</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36.55</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36.55</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203</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国防支出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20306</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国防动员</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2030699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其他国防动员支出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207</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文化旅游体育与传媒支出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98.45</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53.26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45.19</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20701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文化和旅游</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98.45</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53.26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45.19</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2070109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群众文化</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2070199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其他文化和旅游支出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71.26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53.26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208</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社会保障和就业支出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2,578.07</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412.62</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2,165.45</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人力资源和社会保障管理事务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2080199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其他人力资源和社会保障管理事务支出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20802</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民政管理事务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2080299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其他民政管理事务支出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行政事业单位养老支出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339.16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339.16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2080505</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机关事业单位基本养老保险缴费支出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130.17</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130.17</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2080506</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机关事业单位职业年金缴费支出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65.08</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65.08</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其他行政事业单位养老支出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143.91</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143.91</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20808</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抚恤</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400.00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400.00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2080802</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伤残抚恤</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2080899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其他优抚支出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20810</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社会福利</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304.52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304.52</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2081002</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老年福利</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235.50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235.50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2081099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其他社会福利支出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69.02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69.02</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残疾人事业</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2081199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其他残疾人事业支出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20828</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退役军人管理事务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103.46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73.46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2082850</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事业运行</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73.46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73.46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2082899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其他退役军人事务管理支出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210</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卫生健康支出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315.56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92.36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21007</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计划生育事务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2100799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其他计划生育事务支出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行政事业单位医疗</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92.36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92.36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行政单位医疗</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51.58</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51.58</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2101102</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事业单位医疗</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14.64</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14.64</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2101103</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公务员医疗补助</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12.76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12.76</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2101199</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其他行政事业单位医疗支出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13.38</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13.38</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211</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节能环保支出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21103</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污染防治</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2110304</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固体废弃物与化学品</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212</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城乡社区支出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287.36</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277.43</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9.93</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21201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城乡社区管理事务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277.43</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277.43</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2120101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行政运行</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277.43</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277.43</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21208</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国有土地使用权出让收入安排的支出</w:t>
            </w:r>
          </w:p>
        </w:tc>
        <w:tc>
          <w:tcPr>
            <w:tcW w:w="8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2120803</w:t>
            </w:r>
          </w:p>
        </w:tc>
        <w:tc>
          <w:tcPr>
            <w:tcW w:w="1740" w:type="pct"/>
            <w:tcBorders>
              <w:top w:val="nil"/>
              <w:left w:val="nil"/>
              <w:bottom w:val="nil"/>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城市建设支出</w:t>
            </w:r>
          </w:p>
        </w:tc>
        <w:tc>
          <w:tcPr>
            <w:tcW w:w="8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r>
      <w:tr>
        <w:tblPrEx>
          <w:tblCellMar>
            <w:top w:w="0" w:type="dxa"/>
            <w:left w:w="108" w:type="dxa"/>
            <w:bottom w:w="0" w:type="dxa"/>
            <w:right w:w="108" w:type="dxa"/>
          </w:tblCellMar>
        </w:tblPrEx>
        <w:trPr>
          <w:trHeight w:val="432"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221</w:t>
            </w:r>
          </w:p>
        </w:tc>
        <w:tc>
          <w:tcPr>
            <w:tcW w:w="174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住房保障支出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124.34</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124.34</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22102</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住房改革支出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124.34</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124.34</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2210201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住房公积金</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112.22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112.22</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2210203</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购房补贴</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12.12</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12.12</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32" w:hRule="atLeast"/>
        </w:trPr>
        <w:tc>
          <w:tcPr>
            <w:tcW w:w="8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224</w:t>
            </w:r>
          </w:p>
        </w:tc>
        <w:tc>
          <w:tcPr>
            <w:tcW w:w="17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灾害防治及应急管理支出</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22401</w:t>
            </w:r>
          </w:p>
        </w:tc>
        <w:tc>
          <w:tcPr>
            <w:tcW w:w="17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应急管理事务</w:t>
            </w:r>
          </w:p>
        </w:tc>
        <w:tc>
          <w:tcPr>
            <w:tcW w:w="86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413" w:hRule="atLeast"/>
        </w:trPr>
        <w:tc>
          <w:tcPr>
            <w:tcW w:w="80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2240199</w:t>
            </w:r>
          </w:p>
        </w:tc>
        <w:tc>
          <w:tcPr>
            <w:tcW w:w="1740" w:type="pct"/>
            <w:tcBorders>
              <w:top w:val="nil"/>
              <w:left w:val="nil"/>
              <w:bottom w:val="nil"/>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其他应急管理支出</w:t>
            </w:r>
          </w:p>
        </w:tc>
        <w:tc>
          <w:tcPr>
            <w:tcW w:w="863" w:type="pct"/>
            <w:tcBorders>
              <w:top w:val="nil"/>
              <w:left w:val="nil"/>
              <w:bottom w:val="nil"/>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9" w:type="pct"/>
            <w:tcBorders>
              <w:top w:val="nil"/>
              <w:left w:val="nil"/>
              <w:bottom w:val="nil"/>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54" w:type="pct"/>
            <w:tcBorders>
              <w:top w:val="nil"/>
              <w:left w:val="nil"/>
              <w:bottom w:val="nil"/>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315" w:hRule="atLeast"/>
        </w:trPr>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229</w:t>
            </w:r>
          </w:p>
        </w:tc>
        <w:tc>
          <w:tcPr>
            <w:tcW w:w="174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其他支出</w:t>
            </w:r>
          </w:p>
        </w:tc>
        <w:tc>
          <w:tcPr>
            <w:tcW w:w="863"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c>
          <w:tcPr>
            <w:tcW w:w="83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54"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r>
      <w:tr>
        <w:tblPrEx>
          <w:tblCellMar>
            <w:top w:w="0" w:type="dxa"/>
            <w:left w:w="108" w:type="dxa"/>
            <w:bottom w:w="0" w:type="dxa"/>
            <w:right w:w="108" w:type="dxa"/>
          </w:tblCellMar>
        </w:tblPrEx>
        <w:trPr>
          <w:trHeight w:val="315" w:hRule="atLeast"/>
        </w:trPr>
        <w:tc>
          <w:tcPr>
            <w:tcW w:w="8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22960</w:t>
            </w:r>
          </w:p>
        </w:tc>
        <w:tc>
          <w:tcPr>
            <w:tcW w:w="1740"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彩票公益金安排的支出</w:t>
            </w:r>
          </w:p>
        </w:tc>
        <w:tc>
          <w:tcPr>
            <w:tcW w:w="863"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c>
          <w:tcPr>
            <w:tcW w:w="8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54"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r>
      <w:tr>
        <w:tblPrEx>
          <w:tblCellMar>
            <w:top w:w="0" w:type="dxa"/>
            <w:left w:w="108" w:type="dxa"/>
            <w:bottom w:w="0" w:type="dxa"/>
            <w:right w:w="108" w:type="dxa"/>
          </w:tblCellMar>
        </w:tblPrEx>
        <w:trPr>
          <w:trHeight w:val="315" w:hRule="atLeast"/>
        </w:trPr>
        <w:tc>
          <w:tcPr>
            <w:tcW w:w="8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2296002</w:t>
            </w:r>
          </w:p>
        </w:tc>
        <w:tc>
          <w:tcPr>
            <w:tcW w:w="1740"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用于社会福利的彩票公益金支出</w:t>
            </w:r>
          </w:p>
        </w:tc>
        <w:tc>
          <w:tcPr>
            <w:tcW w:w="863"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3.44</w:t>
            </w:r>
          </w:p>
        </w:tc>
        <w:tc>
          <w:tcPr>
            <w:tcW w:w="8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54"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3.44</w:t>
            </w:r>
          </w:p>
        </w:tc>
      </w:tr>
      <w:tr>
        <w:tblPrEx>
          <w:tblCellMar>
            <w:top w:w="0" w:type="dxa"/>
            <w:left w:w="108" w:type="dxa"/>
            <w:bottom w:w="0" w:type="dxa"/>
            <w:right w:w="108" w:type="dxa"/>
          </w:tblCellMar>
        </w:tblPrEx>
        <w:trPr>
          <w:trHeight w:val="315" w:hRule="atLeast"/>
        </w:trPr>
        <w:tc>
          <w:tcPr>
            <w:tcW w:w="8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2296003</w:t>
            </w:r>
          </w:p>
        </w:tc>
        <w:tc>
          <w:tcPr>
            <w:tcW w:w="1740" w:type="pct"/>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用于体育事业的彩票公益金支出</w:t>
            </w:r>
          </w:p>
        </w:tc>
        <w:tc>
          <w:tcPr>
            <w:tcW w:w="863"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0.02</w:t>
            </w:r>
          </w:p>
        </w:tc>
        <w:tc>
          <w:tcPr>
            <w:tcW w:w="8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54"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0.02</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附表10</w:t>
      </w:r>
    </w:p>
    <w:tbl>
      <w:tblPr>
        <w:tblStyle w:val="5"/>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auto"/>
                <w:kern w:val="0"/>
                <w:szCs w:val="32"/>
              </w:rPr>
            </w:pPr>
            <w:r>
              <w:rPr>
                <w:rFonts w:hint="eastAsia" w:ascii="方正小标宋_GBK" w:hAnsi="宋体" w:eastAsia="方正小标宋_GBK" w:cs="宋体"/>
                <w:color w:val="auto"/>
                <w:kern w:val="0"/>
                <w:sz w:val="34"/>
                <w:szCs w:val="34"/>
              </w:rPr>
              <w:t>重庆市九龙坡区人民政府杨家坪街道办事处</w:t>
            </w:r>
            <w:r>
              <w:rPr>
                <w:rFonts w:hint="eastAsia" w:ascii="方正小标宋_GBK" w:hAnsi="宋体" w:eastAsia="方正小标宋_GBK" w:cs="宋体"/>
                <w:color w:val="auto"/>
                <w:kern w:val="0"/>
                <w:sz w:val="34"/>
                <w:szCs w:val="34"/>
              </w:rPr>
              <w:br w:type="textWrapping"/>
            </w:r>
            <w:r>
              <w:rPr>
                <w:rFonts w:hint="eastAsia" w:ascii="方正小标宋_GBK" w:hAnsi="宋体" w:eastAsia="方正小标宋_GBK" w:cs="宋体"/>
                <w:color w:val="auto"/>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auto"/>
                <w:kern w:val="0"/>
                <w:sz w:val="24"/>
                <w:szCs w:val="24"/>
              </w:rPr>
            </w:pPr>
            <w:r>
              <w:rPr>
                <w:rFonts w:hint="eastAsia" w:ascii="方正楷体_GBK" w:hAnsi="宋体" w:eastAsia="方正楷体_GBK" w:cs="宋体"/>
                <w:color w:val="auto"/>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auto"/>
                <w:kern w:val="0"/>
                <w:sz w:val="24"/>
                <w:szCs w:val="24"/>
              </w:rPr>
            </w:pPr>
            <w:r>
              <w:rPr>
                <w:rFonts w:hint="eastAsia" w:ascii="方正仿宋_GBK" w:hAnsi="宋体" w:cs="宋体"/>
                <w:color w:val="auto"/>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auto"/>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4,558.00</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302</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商品和服务支出</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3,808.42</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30201</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办公费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972.62</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30209</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物业管理费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1.55</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30214</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租赁费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53.52</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30226</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劳务费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1,719.84</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30227</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委托业务费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303</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对个人和家庭的补助</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713.59</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30304</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抚恤金</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300.00</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30305</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生活补助</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393.08</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30306</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救济费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20.51</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310</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资本性支出</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36.00</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31013</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公务用车购置</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36.00</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附表11</w:t>
      </w:r>
    </w:p>
    <w:tbl>
      <w:tblPr>
        <w:tblStyle w:val="5"/>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w:t>
            </w:r>
            <w:r>
              <w:rPr>
                <w:rFonts w:hint="eastAsia" w:ascii="方正小标宋_GBK" w:hAnsi="宋体" w:eastAsia="方正小标宋_GBK" w:cs="宋体"/>
                <w:color w:val="auto"/>
                <w:kern w:val="0"/>
                <w:sz w:val="34"/>
                <w:szCs w:val="34"/>
              </w:rPr>
              <w:br w:type="textWrapping"/>
            </w:r>
            <w:r>
              <w:rPr>
                <w:rFonts w:hint="eastAsia" w:ascii="方正小标宋_GBK" w:hAnsi="宋体" w:eastAsia="方正小标宋_GBK" w:cs="宋体"/>
                <w:color w:val="auto"/>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auto"/>
                <w:kern w:val="0"/>
                <w:sz w:val="24"/>
                <w:szCs w:val="24"/>
              </w:rPr>
            </w:pPr>
            <w:r>
              <w:rPr>
                <w:rFonts w:hint="eastAsia" w:ascii="方正楷体_GBK" w:hAnsi="宋体" w:eastAsia="方正楷体_GBK" w:cs="宋体"/>
                <w:color w:val="auto"/>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auto"/>
                <w:kern w:val="0"/>
                <w:sz w:val="24"/>
                <w:szCs w:val="24"/>
              </w:rPr>
            </w:pPr>
            <w:r>
              <w:rPr>
                <w:rFonts w:hint="eastAsia" w:ascii="方正仿宋_GBK" w:hAnsi="宋体" w:cs="宋体"/>
                <w:color w:val="auto"/>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auto"/>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4,558.00</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502</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机关商品和服务支出</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3,808.42</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50201</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办公经费</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1,027.69</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50205</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委托业务费</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2,780.73</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503</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机关资本性支出</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50303</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公务用车购置</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506</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对事业单位资本性补助</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50601</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资本性支出</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509</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对个人和家庭的补助</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713.59</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50901</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社会福利和救助</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713.59</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附表12</w:t>
      </w: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7"/>
        <w:gridCol w:w="1190"/>
        <w:gridCol w:w="1311"/>
        <w:gridCol w:w="951"/>
        <w:gridCol w:w="859"/>
        <w:gridCol w:w="1042"/>
        <w:gridCol w:w="307"/>
        <w:gridCol w:w="855"/>
        <w:gridCol w:w="376"/>
        <w:gridCol w:w="376"/>
        <w:gridCol w:w="376"/>
        <w:gridCol w:w="307"/>
        <w:gridCol w:w="307"/>
        <w:gridCol w:w="307"/>
        <w:gridCol w:w="307"/>
        <w:gridCol w:w="307"/>
        <w:gridCol w:w="307"/>
        <w:gridCol w:w="307"/>
        <w:gridCol w:w="307"/>
        <w:gridCol w:w="307"/>
        <w:gridCol w:w="307"/>
        <w:gridCol w:w="307"/>
        <w:gridCol w:w="308"/>
        <w:gridCol w:w="308"/>
        <w:gridCol w:w="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4081" w:type="dxa"/>
            <w:gridSpan w:val="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auto"/>
                <w:sz w:val="34"/>
                <w:szCs w:val="34"/>
                <w:u w:val="none"/>
              </w:rPr>
            </w:pPr>
            <w:r>
              <w:rPr>
                <w:rFonts w:hint="eastAsia" w:ascii="方正小标宋_GBK" w:hAnsi="方正小标宋_GBK" w:eastAsia="方正小标宋_GBK" w:cs="方正小标宋_GBK"/>
                <w:i w:val="0"/>
                <w:color w:val="auto"/>
                <w:kern w:val="0"/>
                <w:sz w:val="34"/>
                <w:szCs w:val="34"/>
                <w:u w:val="none"/>
                <w:lang w:val="en-US" w:eastAsia="zh-CN" w:bidi="ar"/>
              </w:rPr>
              <w:t>重庆市九龙坡区人民政府杨家坪街道办事处政府采购明细表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auto"/>
                <w:sz w:val="22"/>
                <w:szCs w:val="22"/>
                <w:u w:val="none"/>
              </w:rPr>
            </w:pPr>
          </w:p>
        </w:tc>
        <w:tc>
          <w:tcPr>
            <w:tcW w:w="1538"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部门单位</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项目编码</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项目名称</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功能科目</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政府经济科目</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部门经济科目</w:t>
            </w:r>
          </w:p>
        </w:tc>
        <w:tc>
          <w:tcPr>
            <w:tcW w:w="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是否政府采购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项目状态</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总计</w:t>
            </w:r>
          </w:p>
        </w:tc>
        <w:tc>
          <w:tcPr>
            <w:tcW w:w="16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一般公共预算</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政府性基金预算</w:t>
            </w:r>
          </w:p>
        </w:tc>
        <w:tc>
          <w:tcPr>
            <w:tcW w:w="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国有资本经营预算</w:t>
            </w:r>
          </w:p>
        </w:tc>
        <w:tc>
          <w:tcPr>
            <w:tcW w:w="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财政专户管理资金</w:t>
            </w:r>
          </w:p>
        </w:tc>
        <w:tc>
          <w:tcPr>
            <w:tcW w:w="1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7" w:hRule="atLeast"/>
        </w:trPr>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小计</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一般公共预算资金</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一般债券</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外国政府和国际组织贷款</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外国政府和国际组织赠款</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小计</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政府性基金预算</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专项债券</w:t>
            </w:r>
          </w:p>
        </w:tc>
        <w:tc>
          <w:tcPr>
            <w:tcW w:w="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小计</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事业收入资金</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上级补助收入资金</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附属单位上缴收入资金</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事业单位经营收入资金</w:t>
            </w:r>
          </w:p>
        </w:tc>
        <w:tc>
          <w:tcPr>
            <w:tcW w:w="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其他收入资金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nil"/>
              <w:left w:val="nil"/>
              <w:bottom w:val="nil"/>
              <w:right w:val="nil"/>
            </w:tcBorders>
            <w:shd w:val="clear" w:color="auto" w:fill="auto"/>
            <w:noWrap/>
            <w:vAlign w:val="center"/>
          </w:tcPr>
          <w:p>
            <w:pPr>
              <w:rPr>
                <w:rFonts w:hint="eastAsia" w:ascii="WenQuanYi Micro Hei" w:hAnsi="WenQuanYi Micro Hei" w:eastAsia="WenQuanYi Micro Hei" w:cs="WenQuanYi Micro Hei"/>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nil"/>
              <w:left w:val="nil"/>
              <w:bottom w:val="nil"/>
              <w:right w:val="nil"/>
            </w:tcBorders>
            <w:shd w:val="clear" w:color="auto" w:fill="auto"/>
            <w:noWrap/>
            <w:vAlign w:val="center"/>
          </w:tcPr>
          <w:p>
            <w:pPr>
              <w:rPr>
                <w:rFonts w:hint="default" w:ascii="WenQuanYi Micro Hei" w:hAnsi="WenQuanYi Micro Hei" w:eastAsia="WenQuanYi Micro Hei" w:cs="WenQuanYi Micro Hei"/>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915-重庆市九龙坡区人民政府杨家坪街道办事处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Style w:val="36"/>
                <w:color w:val="auto"/>
                <w:lang w:val="en-US" w:eastAsia="zh-CN" w:bidi="ar"/>
              </w:rPr>
              <w:t xml:space="preserve">  915001-重庆市九龙坡区人民政府杨家坪街道办事处（本级）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Style w:val="36"/>
                <w:color w:val="auto"/>
                <w:lang w:val="en-US" w:eastAsia="zh-CN" w:bidi="ar"/>
              </w:rPr>
              <w:t xml:space="preserve">   915001-重庆市九龙坡区人民政府杨家坪街道办事处（本级）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50010721Y000000026901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公用经费综合定额（行政）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2010301-行政运行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50201-办公经费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30201-办公费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预算局确认已审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Style w:val="36"/>
                <w:color w:val="auto"/>
                <w:lang w:val="en-US" w:eastAsia="zh-CN" w:bidi="ar"/>
              </w:rPr>
              <w:t xml:space="preserve">   915001-重庆市九龙坡区人民政府杨家坪街道办事处（本级）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50010721Y000000026901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公用经费综合定额（行政）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2010301-行政运行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50306-设备购置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31002-办公设备购置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预算局确认已审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附表13</w:t>
      </w:r>
    </w:p>
    <w:tbl>
      <w:tblPr>
        <w:tblStyle w:val="5"/>
        <w:tblW w:w="5000" w:type="pct"/>
        <w:tblInd w:w="0" w:type="dxa"/>
        <w:tblLayout w:type="autofit"/>
        <w:tblCellMar>
          <w:top w:w="0" w:type="dxa"/>
          <w:left w:w="108" w:type="dxa"/>
          <w:bottom w:w="0" w:type="dxa"/>
          <w:right w:w="108" w:type="dxa"/>
        </w:tblCellMar>
      </w:tblPr>
      <w:tblGrid>
        <w:gridCol w:w="875"/>
        <w:gridCol w:w="1326"/>
        <w:gridCol w:w="1320"/>
        <w:gridCol w:w="1330"/>
        <w:gridCol w:w="1327"/>
        <w:gridCol w:w="1327"/>
        <w:gridCol w:w="1344"/>
        <w:gridCol w:w="1327"/>
        <w:gridCol w:w="1327"/>
        <w:gridCol w:w="1327"/>
        <w:gridCol w:w="1344"/>
      </w:tblGrid>
      <w:tr>
        <w:tblPrEx>
          <w:tblCellMar>
            <w:top w:w="0" w:type="dxa"/>
            <w:left w:w="108" w:type="dxa"/>
            <w:bottom w:w="0" w:type="dxa"/>
            <w:right w:w="108" w:type="dxa"/>
          </w:tblCellMar>
        </w:tblPrEx>
        <w:trPr>
          <w:trHeight w:val="870" w:hRule="atLeast"/>
        </w:trPr>
        <w:tc>
          <w:tcPr>
            <w:tcW w:w="5000" w:type="pct"/>
            <w:gridSpan w:val="11"/>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48"/>
                <w:szCs w:val="48"/>
              </w:rPr>
            </w:pPr>
            <w:r>
              <w:rPr>
                <w:rFonts w:hint="eastAsia" w:ascii="方正小标宋_GBK" w:hAnsi="宋体" w:eastAsia="方正小标宋_GBK" w:cs="宋体"/>
                <w:color w:val="auto"/>
                <w:kern w:val="0"/>
                <w:sz w:val="34"/>
                <w:szCs w:val="34"/>
              </w:rPr>
              <w:t>重庆市九龙坡区人民政府杨家坪街道办事处部门整体绩效目标表</w:t>
            </w:r>
          </w:p>
        </w:tc>
      </w:tr>
      <w:tr>
        <w:tblPrEx>
          <w:tblCellMar>
            <w:top w:w="0" w:type="dxa"/>
            <w:left w:w="108" w:type="dxa"/>
            <w:bottom w:w="0" w:type="dxa"/>
            <w:right w:w="108" w:type="dxa"/>
          </w:tblCellMar>
        </w:tblPrEx>
        <w:trPr>
          <w:trHeight w:val="630" w:hRule="atLeast"/>
        </w:trPr>
        <w:tc>
          <w:tcPr>
            <w:tcW w:w="5000" w:type="pct"/>
            <w:gridSpan w:val="11"/>
            <w:tcBorders>
              <w:top w:val="nil"/>
              <w:left w:val="nil"/>
              <w:bottom w:val="nil"/>
              <w:right w:val="nil"/>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预算年度:2025</w:t>
            </w:r>
          </w:p>
        </w:tc>
      </w:tr>
      <w:tr>
        <w:tblPrEx>
          <w:tblCellMar>
            <w:top w:w="0" w:type="dxa"/>
            <w:left w:w="108" w:type="dxa"/>
            <w:bottom w:w="0" w:type="dxa"/>
            <w:right w:w="108" w:type="dxa"/>
          </w:tblCellMar>
        </w:tblPrEx>
        <w:trPr>
          <w:trHeight w:val="443" w:hRule="atLeast"/>
        </w:trPr>
        <w:tc>
          <w:tcPr>
            <w:tcW w:w="7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总体资金情况（万元）</w:t>
            </w:r>
          </w:p>
        </w:tc>
        <w:tc>
          <w:tcPr>
            <w:tcW w:w="46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预算支出总额</w:t>
            </w:r>
          </w:p>
        </w:tc>
        <w:tc>
          <w:tcPr>
            <w:tcW w:w="1879"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基本支出</w:t>
            </w:r>
          </w:p>
        </w:tc>
        <w:tc>
          <w:tcPr>
            <w:tcW w:w="18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项目支出</w:t>
            </w:r>
          </w:p>
        </w:tc>
      </w:tr>
      <w:tr>
        <w:tblPrEx>
          <w:tblCellMar>
            <w:top w:w="0" w:type="dxa"/>
            <w:left w:w="108" w:type="dxa"/>
            <w:bottom w:w="0" w:type="dxa"/>
            <w:right w:w="108" w:type="dxa"/>
          </w:tblCellMar>
        </w:tblPrEx>
        <w:trPr>
          <w:trHeight w:val="443" w:hRule="atLeast"/>
        </w:trPr>
        <w:tc>
          <w:tcPr>
            <w:tcW w:w="77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rPr>
            </w:pP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2"/>
                <w:szCs w:val="22"/>
              </w:rPr>
            </w:pP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合计</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财政拨款</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专户资金</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单位资金</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合计</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财政拨款</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专户资金</w:t>
            </w:r>
          </w:p>
        </w:tc>
        <w:tc>
          <w:tcPr>
            <w:tcW w:w="4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单位资金</w:t>
            </w:r>
          </w:p>
        </w:tc>
      </w:tr>
      <w:tr>
        <w:tblPrEx>
          <w:tblCellMar>
            <w:top w:w="0" w:type="dxa"/>
            <w:left w:w="108" w:type="dxa"/>
            <w:bottom w:w="0" w:type="dxa"/>
            <w:right w:w="108" w:type="dxa"/>
          </w:tblCellMar>
        </w:tblPrEx>
        <w:trPr>
          <w:trHeight w:val="600" w:hRule="atLeast"/>
        </w:trPr>
        <w:tc>
          <w:tcPr>
            <w:tcW w:w="77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rPr>
            </w:pPr>
          </w:p>
        </w:tc>
        <w:tc>
          <w:tcPr>
            <w:tcW w:w="46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6415.43 </w:t>
            </w:r>
          </w:p>
        </w:tc>
        <w:tc>
          <w:tcPr>
            <w:tcW w:w="46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1844.04 </w:t>
            </w:r>
          </w:p>
        </w:tc>
        <w:tc>
          <w:tcPr>
            <w:tcW w:w="46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1844.04 </w:t>
            </w:r>
          </w:p>
        </w:tc>
        <w:tc>
          <w:tcPr>
            <w:tcW w:w="46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74"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6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4571.39 </w:t>
            </w:r>
          </w:p>
        </w:tc>
        <w:tc>
          <w:tcPr>
            <w:tcW w:w="46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4571.39 </w:t>
            </w:r>
          </w:p>
        </w:tc>
        <w:tc>
          <w:tcPr>
            <w:tcW w:w="468"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71"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1680" w:hRule="atLeast"/>
        </w:trPr>
        <w:tc>
          <w:tcPr>
            <w:tcW w:w="30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部</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门</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整</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体</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绩</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效</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情</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况</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整体绩效目标</w:t>
            </w:r>
          </w:p>
        </w:tc>
        <w:tc>
          <w:tcPr>
            <w:tcW w:w="4222" w:type="pct"/>
            <w:gridSpan w:val="9"/>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 以社区建设为中心，以城市管理和社会保障为重点，以服务发展、构建和谐为目标，统筹辖区社会事务，监督专业管理，组织公共服务，指导社区工作，全面负责辖区公益性、社会性和群众性工作，为区域经济发展和社会进步创造良好环境。 公共服务质量提升，辖区应急安全保障能力增强，市民居住环境品质提升，各项民政救助类资金按时发放，辖区文化氛围增加，经济发展多元并进。</w:t>
            </w:r>
          </w:p>
        </w:tc>
      </w:tr>
      <w:tr>
        <w:tblPrEx>
          <w:tblCellMar>
            <w:top w:w="0" w:type="dxa"/>
            <w:left w:w="108" w:type="dxa"/>
            <w:bottom w:w="0" w:type="dxa"/>
            <w:right w:w="108" w:type="dxa"/>
          </w:tblCellMar>
        </w:tblPrEx>
        <w:trPr>
          <w:trHeight w:val="600"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90" w:type="pct"/>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auto"/>
                <w:kern w:val="0"/>
                <w:sz w:val="28"/>
                <w:szCs w:val="28"/>
              </w:rPr>
            </w:pPr>
            <w:r>
              <w:rPr>
                <w:rFonts w:hint="eastAsia" w:ascii="微软雅黑" w:hAnsi="微软雅黑" w:eastAsia="微软雅黑" w:cs="宋体"/>
                <w:b/>
                <w:bCs/>
                <w:color w:val="auto"/>
                <w:kern w:val="0"/>
                <w:sz w:val="28"/>
                <w:szCs w:val="28"/>
              </w:rPr>
              <w:t>年度绩效指标</w:t>
            </w:r>
          </w:p>
        </w:tc>
      </w:tr>
      <w:tr>
        <w:tblPrEx>
          <w:tblCellMar>
            <w:top w:w="0" w:type="dxa"/>
            <w:left w:w="108" w:type="dxa"/>
            <w:bottom w:w="0" w:type="dxa"/>
            <w:right w:w="108" w:type="dxa"/>
          </w:tblCellMar>
        </w:tblPrEx>
        <w:trPr>
          <w:trHeight w:val="428"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一级指标</w:t>
            </w:r>
          </w:p>
        </w:tc>
        <w:tc>
          <w:tcPr>
            <w:tcW w:w="93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二级指标</w:t>
            </w:r>
          </w:p>
        </w:tc>
        <w:tc>
          <w:tcPr>
            <w:tcW w:w="1410"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 xml:space="preserve"> 三级指标</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绩效指标性质</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绩效指标值</w:t>
            </w:r>
          </w:p>
        </w:tc>
        <w:tc>
          <w:tcPr>
            <w:tcW w:w="4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绩效度量单位</w:t>
            </w:r>
          </w:p>
        </w:tc>
        <w:tc>
          <w:tcPr>
            <w:tcW w:w="4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权重</w:t>
            </w:r>
          </w:p>
        </w:tc>
      </w:tr>
      <w:tr>
        <w:tblPrEx>
          <w:tblCellMar>
            <w:top w:w="0" w:type="dxa"/>
            <w:left w:w="108" w:type="dxa"/>
            <w:bottom w:w="0" w:type="dxa"/>
            <w:right w:w="108" w:type="dxa"/>
          </w:tblCellMar>
        </w:tblPrEx>
        <w:trPr>
          <w:trHeight w:val="600"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产出指标</w:t>
            </w:r>
          </w:p>
        </w:tc>
        <w:tc>
          <w:tcPr>
            <w:tcW w:w="466" w:type="pct"/>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数量指标</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41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背街小巷管护面积</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761001.91</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平方米</w:t>
            </w:r>
          </w:p>
        </w:tc>
        <w:tc>
          <w:tcPr>
            <w:tcW w:w="4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10</w:t>
            </w:r>
          </w:p>
        </w:tc>
      </w:tr>
      <w:tr>
        <w:tblPrEx>
          <w:tblCellMar>
            <w:top w:w="0" w:type="dxa"/>
            <w:left w:w="108" w:type="dxa"/>
            <w:bottom w:w="0" w:type="dxa"/>
            <w:right w:w="108" w:type="dxa"/>
          </w:tblCellMar>
        </w:tblPrEx>
        <w:trPr>
          <w:trHeight w:val="600"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rPr>
            </w:pPr>
          </w:p>
        </w:tc>
        <w:tc>
          <w:tcPr>
            <w:tcW w:w="93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质量指标</w:t>
            </w:r>
          </w:p>
        </w:tc>
        <w:tc>
          <w:tcPr>
            <w:tcW w:w="141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城市管理民生投诉接案率</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100</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15</w:t>
            </w:r>
          </w:p>
        </w:tc>
      </w:tr>
      <w:tr>
        <w:tblPrEx>
          <w:tblCellMar>
            <w:top w:w="0" w:type="dxa"/>
            <w:left w:w="108" w:type="dxa"/>
            <w:bottom w:w="0" w:type="dxa"/>
            <w:right w:w="108" w:type="dxa"/>
          </w:tblCellMar>
        </w:tblPrEx>
        <w:trPr>
          <w:trHeight w:val="600"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rPr>
            </w:pPr>
          </w:p>
        </w:tc>
        <w:tc>
          <w:tcPr>
            <w:tcW w:w="935" w:type="pct"/>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auto"/>
                <w:kern w:val="0"/>
                <w:sz w:val="22"/>
                <w:szCs w:val="22"/>
              </w:rPr>
            </w:pPr>
          </w:p>
        </w:tc>
        <w:tc>
          <w:tcPr>
            <w:tcW w:w="141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信访问题回复率</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100</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15</w:t>
            </w:r>
          </w:p>
        </w:tc>
      </w:tr>
      <w:tr>
        <w:tblPrEx>
          <w:tblCellMar>
            <w:top w:w="0" w:type="dxa"/>
            <w:left w:w="108" w:type="dxa"/>
            <w:bottom w:w="0" w:type="dxa"/>
            <w:right w:w="108" w:type="dxa"/>
          </w:tblCellMar>
        </w:tblPrEx>
        <w:trPr>
          <w:trHeight w:val="600"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rPr>
            </w:pPr>
          </w:p>
        </w:tc>
        <w:tc>
          <w:tcPr>
            <w:tcW w:w="466" w:type="pct"/>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时效指标</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41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民生对象补贴发放及时率</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100</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20</w:t>
            </w:r>
          </w:p>
        </w:tc>
      </w:tr>
      <w:tr>
        <w:tblPrEx>
          <w:tblCellMar>
            <w:top w:w="0" w:type="dxa"/>
            <w:left w:w="108" w:type="dxa"/>
            <w:bottom w:w="0" w:type="dxa"/>
            <w:right w:w="108" w:type="dxa"/>
          </w:tblCellMar>
        </w:tblPrEx>
        <w:trPr>
          <w:trHeight w:val="1035"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效益指标</w:t>
            </w:r>
          </w:p>
        </w:tc>
        <w:tc>
          <w:tcPr>
            <w:tcW w:w="466" w:type="pct"/>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社会效益</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410"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公共服务质量提升，辖区应急安全保障能力增强，市民居住环境品质提升，各项民政救助类资金按时发放，辖区文化氛围增加，经济发展多元并进。</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定性</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持续改善</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20</w:t>
            </w:r>
          </w:p>
        </w:tc>
      </w:tr>
      <w:tr>
        <w:tblPrEx>
          <w:tblCellMar>
            <w:top w:w="0" w:type="dxa"/>
            <w:left w:w="108" w:type="dxa"/>
            <w:bottom w:w="0" w:type="dxa"/>
            <w:right w:w="108" w:type="dxa"/>
          </w:tblCellMar>
        </w:tblPrEx>
        <w:trPr>
          <w:trHeight w:val="600"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满意度指标</w:t>
            </w:r>
          </w:p>
        </w:tc>
        <w:tc>
          <w:tcPr>
            <w:tcW w:w="466" w:type="pct"/>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服务对象满意度指标</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41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群众满意度</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定性</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较高</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10</w:t>
            </w:r>
          </w:p>
        </w:tc>
      </w:tr>
      <w:tr>
        <w:tblPrEx>
          <w:tblCellMar>
            <w:top w:w="0" w:type="dxa"/>
            <w:left w:w="108" w:type="dxa"/>
            <w:bottom w:w="0" w:type="dxa"/>
            <w:right w:w="108" w:type="dxa"/>
          </w:tblCellMar>
        </w:tblPrEx>
        <w:trPr>
          <w:trHeight w:val="600" w:hRule="atLeast"/>
        </w:trPr>
        <w:tc>
          <w:tcPr>
            <w:tcW w:w="3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成本指标</w:t>
            </w:r>
          </w:p>
        </w:tc>
        <w:tc>
          <w:tcPr>
            <w:tcW w:w="466" w:type="pct"/>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经济成本指标</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41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三公经费增长率</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0</w:t>
            </w:r>
          </w:p>
        </w:tc>
        <w:tc>
          <w:tcPr>
            <w:tcW w:w="4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4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10</w:t>
            </w:r>
          </w:p>
        </w:tc>
      </w:tr>
      <w:tr>
        <w:tblPrEx>
          <w:tblCellMar>
            <w:top w:w="0" w:type="dxa"/>
            <w:left w:w="108" w:type="dxa"/>
            <w:bottom w:w="0" w:type="dxa"/>
            <w:right w:w="108" w:type="dxa"/>
          </w:tblCellMar>
        </w:tblPrEx>
        <w:trPr>
          <w:trHeight w:val="1680" w:hRule="atLeast"/>
        </w:trPr>
        <w:tc>
          <w:tcPr>
            <w:tcW w:w="3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其他说明</w:t>
            </w:r>
          </w:p>
        </w:tc>
        <w:tc>
          <w:tcPr>
            <w:tcW w:w="4690" w:type="pct"/>
            <w:gridSpan w:val="10"/>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附表14</w:t>
      </w:r>
    </w:p>
    <w:tbl>
      <w:tblPr>
        <w:tblStyle w:val="5"/>
        <w:tblW w:w="5000" w:type="pct"/>
        <w:tblInd w:w="0" w:type="dxa"/>
        <w:tblLayout w:type="autofit"/>
        <w:tblCellMar>
          <w:top w:w="0" w:type="dxa"/>
          <w:left w:w="108" w:type="dxa"/>
          <w:bottom w:w="0" w:type="dxa"/>
          <w:right w:w="108" w:type="dxa"/>
        </w:tblCellMar>
      </w:tblPr>
      <w:tblGrid>
        <w:gridCol w:w="1158"/>
        <w:gridCol w:w="1343"/>
        <w:gridCol w:w="2358"/>
        <w:gridCol w:w="1330"/>
        <w:gridCol w:w="493"/>
        <w:gridCol w:w="797"/>
        <w:gridCol w:w="780"/>
        <w:gridCol w:w="797"/>
        <w:gridCol w:w="408"/>
        <w:gridCol w:w="609"/>
        <w:gridCol w:w="947"/>
        <w:gridCol w:w="527"/>
        <w:gridCol w:w="578"/>
        <w:gridCol w:w="938"/>
        <w:gridCol w:w="278"/>
        <w:gridCol w:w="833"/>
      </w:tblGrid>
      <w:tr>
        <w:tblPrEx>
          <w:tblCellMar>
            <w:top w:w="0" w:type="dxa"/>
            <w:left w:w="108" w:type="dxa"/>
            <w:bottom w:w="0" w:type="dxa"/>
            <w:right w:w="108" w:type="dxa"/>
          </w:tblCellMar>
        </w:tblPrEx>
        <w:trPr>
          <w:trHeight w:val="465" w:hRule="atLeast"/>
        </w:trPr>
        <w:tc>
          <w:tcPr>
            <w:tcW w:w="5000" w:type="pct"/>
            <w:gridSpan w:val="1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重庆市九龙坡区人民政府杨家坪街道办事处项目绩效目标表</w:t>
            </w:r>
          </w:p>
        </w:tc>
      </w:tr>
      <w:tr>
        <w:tblPrEx>
          <w:tblCellMar>
            <w:top w:w="0" w:type="dxa"/>
            <w:left w:w="108" w:type="dxa"/>
            <w:bottom w:w="0" w:type="dxa"/>
            <w:right w:w="108" w:type="dxa"/>
          </w:tblCellMar>
        </w:tblPrEx>
        <w:trPr>
          <w:gridAfter w:val="1"/>
          <w:wAfter w:w="288" w:type="pct"/>
          <w:trHeight w:val="270" w:hRule="atLeast"/>
        </w:trPr>
        <w:tc>
          <w:tcPr>
            <w:tcW w:w="40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7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3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6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7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81"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7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81"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4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1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0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28" w:type="pct"/>
            <w:gridSpan w:val="2"/>
            <w:tcBorders>
              <w:top w:val="nil"/>
              <w:left w:val="nil"/>
              <w:bottom w:val="nil"/>
              <w:right w:val="nil"/>
            </w:tcBorders>
            <w:shd w:val="clear" w:color="auto" w:fill="auto"/>
            <w:noWrap/>
          </w:tcPr>
          <w:p>
            <w:pPr>
              <w:rPr>
                <w:color w:val="auto"/>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270" w:hRule="atLeast"/>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单位信息：</w:t>
            </w:r>
          </w:p>
        </w:tc>
        <w:tc>
          <w:tcPr>
            <w:tcW w:w="1306"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6"/>
                <w:szCs w:val="16"/>
              </w:rPr>
            </w:pPr>
            <w:r>
              <w:rPr>
                <w:rFonts w:hint="eastAsia" w:ascii="宋体" w:hAnsi="宋体" w:eastAsia="宋体" w:cs="宋体"/>
                <w:color w:val="auto"/>
                <w:kern w:val="0"/>
                <w:sz w:val="16"/>
                <w:szCs w:val="16"/>
              </w:rPr>
              <w:t>915001-重庆市九龙坡区人民政府杨家坪街道办事处（本级）</w:t>
            </w:r>
          </w:p>
        </w:tc>
        <w:tc>
          <w:tcPr>
            <w:tcW w:w="46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项目名称：</w:t>
            </w:r>
          </w:p>
        </w:tc>
        <w:tc>
          <w:tcPr>
            <w:tcW w:w="1155" w:type="pct"/>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民政救助类专项经费</w:t>
            </w:r>
          </w:p>
        </w:tc>
        <w:tc>
          <w:tcPr>
            <w:tcW w:w="5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职能职责与活动：</w:t>
            </w:r>
          </w:p>
        </w:tc>
        <w:tc>
          <w:tcPr>
            <w:tcW w:w="1109" w:type="pct"/>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0801-民政事务/01-民政事务</w:t>
            </w:r>
          </w:p>
        </w:tc>
      </w:tr>
      <w:tr>
        <w:tblPrEx>
          <w:tblCellMar>
            <w:top w:w="0" w:type="dxa"/>
            <w:left w:w="108" w:type="dxa"/>
            <w:bottom w:w="0" w:type="dxa"/>
            <w:right w:w="108" w:type="dxa"/>
          </w:tblCellMar>
        </w:tblPrEx>
        <w:trPr>
          <w:trHeight w:val="2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主管部门：</w:t>
            </w:r>
          </w:p>
        </w:tc>
        <w:tc>
          <w:tcPr>
            <w:tcW w:w="1306"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915-重庆市九龙坡区人民政府杨家坪街道办事处</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项目经办人：</w:t>
            </w:r>
          </w:p>
        </w:tc>
        <w:tc>
          <w:tcPr>
            <w:tcW w:w="1155" w:type="pct"/>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吴浩</w:t>
            </w:r>
          </w:p>
        </w:tc>
        <w:tc>
          <w:tcPr>
            <w:tcW w:w="5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项目总额：</w:t>
            </w:r>
          </w:p>
        </w:tc>
        <w:tc>
          <w:tcPr>
            <w:tcW w:w="1109" w:type="pct"/>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256.12</w:t>
            </w:r>
          </w:p>
        </w:tc>
      </w:tr>
      <w:tr>
        <w:tblPrEx>
          <w:tblCellMar>
            <w:top w:w="0" w:type="dxa"/>
            <w:left w:w="108" w:type="dxa"/>
            <w:bottom w:w="0" w:type="dxa"/>
            <w:right w:w="108" w:type="dxa"/>
          </w:tblCellMar>
        </w:tblPrEx>
        <w:trPr>
          <w:trHeight w:val="45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预算执行率权重(%)：</w:t>
            </w:r>
          </w:p>
        </w:tc>
        <w:tc>
          <w:tcPr>
            <w:tcW w:w="1306"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项目经办人电话：</w:t>
            </w:r>
          </w:p>
        </w:tc>
        <w:tc>
          <w:tcPr>
            <w:tcW w:w="1155" w:type="pct"/>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68106379</w:t>
            </w:r>
          </w:p>
        </w:tc>
        <w:tc>
          <w:tcPr>
            <w:tcW w:w="215"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其中：</w:t>
            </w:r>
          </w:p>
        </w:tc>
        <w:tc>
          <w:tcPr>
            <w:tcW w:w="334"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财政资金：</w:t>
            </w:r>
          </w:p>
        </w:tc>
        <w:tc>
          <w:tcPr>
            <w:tcW w:w="1109" w:type="pct"/>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256.12</w:t>
            </w:r>
          </w:p>
        </w:tc>
      </w:tr>
      <w:tr>
        <w:tblPrEx>
          <w:tblCellMar>
            <w:top w:w="0" w:type="dxa"/>
            <w:left w:w="108" w:type="dxa"/>
            <w:bottom w:w="0" w:type="dxa"/>
            <w:right w:w="108" w:type="dxa"/>
          </w:tblCellMar>
        </w:tblPrEx>
        <w:trPr>
          <w:trHeight w:val="270" w:hRule="atLeast"/>
        </w:trPr>
        <w:tc>
          <w:tcPr>
            <w:tcW w:w="409" w:type="pct"/>
            <w:vMerge w:val="restart"/>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整体目标：</w:t>
            </w:r>
          </w:p>
        </w:tc>
        <w:tc>
          <w:tcPr>
            <w:tcW w:w="2930"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确保辖区高龄老人、特困人员等及时享受国家优抚政策，补贴及时、准确、无差错发放。</w:t>
            </w:r>
          </w:p>
        </w:tc>
        <w:tc>
          <w:tcPr>
            <w:tcW w:w="5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财政专户管理资金：</w:t>
            </w:r>
          </w:p>
        </w:tc>
        <w:tc>
          <w:tcPr>
            <w:tcW w:w="1109" w:type="pct"/>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270" w:hRule="atLeast"/>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rPr>
            </w:pPr>
          </w:p>
        </w:tc>
        <w:tc>
          <w:tcPr>
            <w:tcW w:w="2930"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rPr>
            </w:pPr>
          </w:p>
        </w:tc>
        <w:tc>
          <w:tcPr>
            <w:tcW w:w="5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单位资金：</w:t>
            </w:r>
          </w:p>
        </w:tc>
        <w:tc>
          <w:tcPr>
            <w:tcW w:w="1109" w:type="pct"/>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270" w:hRule="atLeast"/>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rPr>
            </w:pPr>
          </w:p>
        </w:tc>
        <w:tc>
          <w:tcPr>
            <w:tcW w:w="2930"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rPr>
            </w:pPr>
          </w:p>
        </w:tc>
        <w:tc>
          <w:tcPr>
            <w:tcW w:w="5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社会投入资金：</w:t>
            </w:r>
          </w:p>
        </w:tc>
        <w:tc>
          <w:tcPr>
            <w:tcW w:w="1109" w:type="pct"/>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270" w:hRule="atLeast"/>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rPr>
            </w:pPr>
          </w:p>
        </w:tc>
        <w:tc>
          <w:tcPr>
            <w:tcW w:w="2930"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rPr>
            </w:pPr>
          </w:p>
        </w:tc>
        <w:tc>
          <w:tcPr>
            <w:tcW w:w="549"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银行贷款：</w:t>
            </w:r>
          </w:p>
        </w:tc>
        <w:tc>
          <w:tcPr>
            <w:tcW w:w="1109" w:type="pct"/>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5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一级指标</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二级指标</w:t>
            </w:r>
          </w:p>
        </w:tc>
        <w:tc>
          <w:tcPr>
            <w:tcW w:w="8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三级指标</w:t>
            </w: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指标性质</w:t>
            </w:r>
          </w:p>
        </w:tc>
        <w:tc>
          <w:tcPr>
            <w:tcW w:w="1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历史参考值</w:t>
            </w:r>
          </w:p>
        </w:tc>
        <w:tc>
          <w:tcPr>
            <w:tcW w:w="2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指标值</w:t>
            </w:r>
          </w:p>
        </w:tc>
        <w:tc>
          <w:tcPr>
            <w:tcW w:w="27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度量单位</w:t>
            </w:r>
          </w:p>
        </w:tc>
        <w:tc>
          <w:tcPr>
            <w:tcW w:w="2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权重（%）</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民政对象经费发放及时率</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95"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贯彻执行民政救助政策，扎实做好救助工作</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定性</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好</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675"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改善各类民政救助人员生活质量，保障基本生活水平，维护辖区稳定</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定性</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持续改善</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100岁以上高龄补贴标准</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3600</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元/年</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成年孤弃儿人数</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80-89岁高龄补贴标准</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元/年</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90-99岁高龄补贴标准</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1200</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元/年</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09"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满意度指标</w:t>
            </w:r>
          </w:p>
        </w:tc>
        <w:tc>
          <w:tcPr>
            <w:tcW w:w="4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83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w:t>
            </w:r>
          </w:p>
        </w:tc>
        <w:tc>
          <w:tcPr>
            <w:tcW w:w="46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定性</w:t>
            </w:r>
          </w:p>
        </w:tc>
        <w:tc>
          <w:tcPr>
            <w:tcW w:w="1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27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4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86" w:type="pct"/>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bl>
    <w:p>
      <w:pPr>
        <w:rPr>
          <w:color w:val="auto"/>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Dialog . plain">
    <w:altName w:val="汉仪仿宋S"/>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00" w:usb3="00000000" w:csb0="00040000" w:csb1="00000000"/>
  </w:font>
  <w:font w:name="方正大黑_GBK">
    <w:altName w:val="方正黑体_GBK"/>
    <w:panose1 w:val="03000509000000000000"/>
    <w:charset w:val="86"/>
    <w:family w:val="script"/>
    <w:pitch w:val="default"/>
    <w:sig w:usb0="00000000" w:usb1="00000000" w:usb2="00000010" w:usb3="00000000" w:csb0="00040000" w:csb1="00000000"/>
  </w:font>
  <w:font w:name="WenQuanYi Micro Hei">
    <w:altName w:val="汉仪仿宋S"/>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36FE"/>
    <w:rsid w:val="00072BAC"/>
    <w:rsid w:val="0017072D"/>
    <w:rsid w:val="00187F26"/>
    <w:rsid w:val="001D6AC1"/>
    <w:rsid w:val="001F675A"/>
    <w:rsid w:val="0024187B"/>
    <w:rsid w:val="0025085B"/>
    <w:rsid w:val="002977C7"/>
    <w:rsid w:val="002C64AB"/>
    <w:rsid w:val="003036FE"/>
    <w:rsid w:val="003969CF"/>
    <w:rsid w:val="003B5529"/>
    <w:rsid w:val="0048544E"/>
    <w:rsid w:val="0057087C"/>
    <w:rsid w:val="005829BB"/>
    <w:rsid w:val="005F7A5E"/>
    <w:rsid w:val="006B1BE1"/>
    <w:rsid w:val="0084124A"/>
    <w:rsid w:val="009174F9"/>
    <w:rsid w:val="00932B18"/>
    <w:rsid w:val="00AF2169"/>
    <w:rsid w:val="00B06671"/>
    <w:rsid w:val="00B33942"/>
    <w:rsid w:val="00BB5E42"/>
    <w:rsid w:val="00BC2720"/>
    <w:rsid w:val="00C402CA"/>
    <w:rsid w:val="00D21EB7"/>
    <w:rsid w:val="00D236FA"/>
    <w:rsid w:val="00D4282E"/>
    <w:rsid w:val="00E90F02"/>
    <w:rsid w:val="00EA2ADD"/>
    <w:rsid w:val="00EE5EFC"/>
    <w:rsid w:val="00F0693E"/>
    <w:rsid w:val="00F62335"/>
    <w:rsid w:val="6FAFAFA3"/>
    <w:rsid w:val="8FDF398E"/>
    <w:rsid w:val="FFEFB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styleId="11">
    <w:name w:val="List Paragraph"/>
    <w:basedOn w:val="1"/>
    <w:qFormat/>
    <w:uiPriority w:val="34"/>
    <w:pPr>
      <w:ind w:firstLine="420" w:firstLineChars="200"/>
    </w:pPr>
    <w:rPr>
      <w:rFonts w:ascii="仿宋" w:hAnsi="仿宋" w:eastAsia="仿宋"/>
      <w:sz w:val="28"/>
      <w:szCs w:val="22"/>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14">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1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宋体"/>
      <w:kern w:val="0"/>
      <w:sz w:val="20"/>
    </w:rPr>
  </w:style>
  <w:style w:type="paragraph" w:customStyle="1" w:styleId="1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18">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kern w:val="0"/>
      <w:sz w:val="20"/>
    </w:rPr>
  </w:style>
  <w:style w:type="paragraph" w:customStyle="1" w:styleId="20">
    <w:name w:val="xl7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
    <w:name w:val="xl7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77"/>
    <w:basedOn w:val="1"/>
    <w:qFormat/>
    <w:uiPriority w:val="0"/>
    <w:pPr>
      <w:widowControl/>
      <w:spacing w:before="100" w:beforeAutospacing="1" w:after="100" w:afterAutospacing="1"/>
      <w:jc w:val="center"/>
    </w:pPr>
    <w:rPr>
      <w:rFonts w:ascii="方正小标宋_GBK" w:hAnsi="宋体" w:eastAsia="方正小标宋_GBK" w:cs="宋体"/>
      <w:kern w:val="0"/>
      <w:sz w:val="38"/>
      <w:szCs w:val="38"/>
    </w:rPr>
  </w:style>
  <w:style w:type="paragraph" w:customStyle="1" w:styleId="24">
    <w:name w:val="xl78"/>
    <w:basedOn w:val="1"/>
    <w:qFormat/>
    <w:uiPriority w:val="0"/>
    <w:pPr>
      <w:widowControl/>
      <w:spacing w:before="100" w:beforeAutospacing="1" w:after="100" w:afterAutospacing="1"/>
      <w:jc w:val="right"/>
    </w:pPr>
    <w:rPr>
      <w:rFonts w:ascii="方正楷体_GBK" w:hAnsi="宋体" w:eastAsia="方正楷体_GBK" w:cs="宋体"/>
      <w:kern w:val="0"/>
      <w:sz w:val="20"/>
    </w:rPr>
  </w:style>
  <w:style w:type="paragraph" w:customStyle="1" w:styleId="25">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黑体_GBK" w:hAnsi="宋体" w:eastAsia="方正黑体_GBK" w:cs="宋体"/>
      <w:kern w:val="0"/>
      <w:sz w:val="18"/>
      <w:szCs w:val="18"/>
    </w:rPr>
  </w:style>
  <w:style w:type="paragraph" w:customStyle="1" w:styleId="26">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黑体_GBK" w:hAnsi="宋体" w:eastAsia="方正黑体_GBK" w:cs="宋体"/>
      <w:kern w:val="0"/>
      <w:sz w:val="18"/>
      <w:szCs w:val="18"/>
    </w:rPr>
  </w:style>
  <w:style w:type="paragraph" w:customStyle="1" w:styleId="27">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仿宋_GBK" w:hAnsi="宋体" w:cs="宋体"/>
      <w:b/>
      <w:bCs/>
      <w:kern w:val="0"/>
      <w:sz w:val="18"/>
      <w:szCs w:val="18"/>
    </w:rPr>
  </w:style>
  <w:style w:type="paragraph" w:customStyle="1" w:styleId="2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宋体"/>
      <w:b/>
      <w:bCs/>
      <w:kern w:val="0"/>
      <w:sz w:val="18"/>
      <w:szCs w:val="18"/>
    </w:rPr>
  </w:style>
  <w:style w:type="paragraph" w:customStyle="1" w:styleId="29">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30">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31">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宋体"/>
      <w:kern w:val="0"/>
      <w:sz w:val="18"/>
      <w:szCs w:val="18"/>
    </w:rPr>
  </w:style>
  <w:style w:type="paragraph" w:customStyle="1" w:styleId="32">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33">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34">
    <w:name w:val="xl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pPr>
    <w:rPr>
      <w:rFonts w:eastAsia="宋体"/>
      <w:kern w:val="0"/>
      <w:sz w:val="18"/>
      <w:szCs w:val="18"/>
    </w:rPr>
  </w:style>
  <w:style w:type="paragraph" w:customStyle="1" w:styleId="35">
    <w:name w:val="xl8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eastAsia="宋体"/>
      <w:kern w:val="0"/>
      <w:sz w:val="20"/>
    </w:rPr>
  </w:style>
  <w:style w:type="character" w:customStyle="1" w:styleId="36">
    <w:name w:val="font01"/>
    <w:basedOn w:val="6"/>
    <w:qFormat/>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2738</Words>
  <Characters>15610</Characters>
  <Lines>130</Lines>
  <Paragraphs>36</Paragraphs>
  <TotalTime>19</TotalTime>
  <ScaleCrop>false</ScaleCrop>
  <LinksUpToDate>false</LinksUpToDate>
  <CharactersWithSpaces>18312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2025-01-20T09:29:00Z</dcterms:created>
  <dc:creator>AutoBVT</dc:creator>
  <cp:lastModifiedBy>user</cp:lastModifiedBy>
  <dcterms:modified xsi:type="dcterms:W3CDTF">2025-01-23T09:38:44Z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