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42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截至2024年</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12</w:t>
      </w:r>
      <w:r>
        <w:rPr>
          <w:rFonts w:hint="eastAsia" w:ascii="宋体" w:hAnsi="宋体" w:eastAsia="宋体" w:cs="宋体"/>
          <w:color w:val="000000"/>
          <w:sz w:val="28"/>
          <w:szCs w:val="28"/>
        </w:rPr>
        <w:t>日，对中央第六生态环境保护督察组向九龙坡区移交的第</w:t>
      </w:r>
      <w:r>
        <w:rPr>
          <w:rFonts w:hint="eastAsia" w:ascii="宋体" w:hAnsi="宋体" w:eastAsia="宋体" w:cs="宋体"/>
          <w:color w:val="000000"/>
          <w:sz w:val="28"/>
          <w:szCs w:val="28"/>
          <w:lang w:eastAsia="zh-CN"/>
        </w:rPr>
        <w:t>二十五</w:t>
      </w:r>
      <w:r>
        <w:rPr>
          <w:rFonts w:hint="eastAsia" w:ascii="宋体" w:hAnsi="宋体" w:eastAsia="宋体" w:cs="宋体"/>
          <w:color w:val="000000"/>
          <w:sz w:val="28"/>
          <w:szCs w:val="28"/>
        </w:rPr>
        <w:t>批群众信访举报件，各责任单位均按要求上报调查</w:t>
      </w:r>
      <w:r>
        <w:rPr>
          <w:rFonts w:hint="eastAsia" w:ascii="宋体" w:hAnsi="宋体" w:eastAsia="宋体" w:cs="宋体"/>
          <w:color w:val="000000"/>
          <w:sz w:val="28"/>
          <w:szCs w:val="28"/>
          <w:lang w:val="en-US" w:eastAsia="zh-CN"/>
        </w:rPr>
        <w:t>处理情况。目前，九龙坡区2件，已办结2件（含阶段性办结）。</w:t>
      </w:r>
    </w:p>
    <w:p>
      <w:pPr>
        <w:pStyle w:val="6"/>
        <w:widowControl/>
        <w:spacing w:beforeAutospacing="0" w:afterAutospacing="0" w:line="420" w:lineRule="atLeast"/>
        <w:ind w:firstLine="420"/>
        <w:rPr>
          <w:rFonts w:ascii="宋体" w:hAnsi="宋体" w:eastAsia="宋体" w:cs="宋体"/>
          <w:color w:val="000000"/>
          <w:sz w:val="28"/>
          <w:szCs w:val="28"/>
        </w:rPr>
        <w:sectPr>
          <w:pgSz w:w="11906" w:h="16838"/>
          <w:pgMar w:top="1440" w:right="1800" w:bottom="1440" w:left="1800" w:header="851" w:footer="992" w:gutter="0"/>
          <w:cols w:space="425" w:num="1"/>
          <w:docGrid w:type="lines" w:linePitch="312" w:charSpace="0"/>
        </w:sectPr>
      </w:pPr>
    </w:p>
    <w:tbl>
      <w:tblPr>
        <w:tblStyle w:val="7"/>
        <w:tblpPr w:leftFromText="180" w:rightFromText="180" w:vertAnchor="text" w:horzAnchor="page" w:tblpX="752" w:tblpY="490"/>
        <w:tblOverlap w:val="never"/>
        <w:tblW w:w="15594" w:type="dxa"/>
        <w:tblInd w:w="0" w:type="dxa"/>
        <w:tblLayout w:type="fixed"/>
        <w:tblCellMar>
          <w:top w:w="0" w:type="dxa"/>
          <w:left w:w="108" w:type="dxa"/>
          <w:bottom w:w="0" w:type="dxa"/>
          <w:right w:w="108" w:type="dxa"/>
        </w:tblCellMar>
      </w:tblPr>
      <w:tblGrid>
        <w:gridCol w:w="472"/>
        <w:gridCol w:w="976"/>
        <w:gridCol w:w="2826"/>
        <w:gridCol w:w="458"/>
        <w:gridCol w:w="310"/>
        <w:gridCol w:w="4395"/>
        <w:gridCol w:w="784"/>
        <w:gridCol w:w="1716"/>
        <w:gridCol w:w="2067"/>
        <w:gridCol w:w="723"/>
        <w:gridCol w:w="862"/>
        <w:gridCol w:w="5"/>
      </w:tblGrid>
      <w:tr>
        <w:tblPrEx>
          <w:tblCellMar>
            <w:top w:w="0" w:type="dxa"/>
            <w:left w:w="108" w:type="dxa"/>
            <w:bottom w:w="0" w:type="dxa"/>
            <w:right w:w="108" w:type="dxa"/>
          </w:tblCellMar>
        </w:tblPrEx>
        <w:trPr>
          <w:gridAfter w:val="1"/>
          <w:wAfter w:w="5" w:type="dxa"/>
          <w:trHeight w:val="1152" w:hRule="atLeast"/>
        </w:trPr>
        <w:tc>
          <w:tcPr>
            <w:tcW w:w="15589" w:type="dxa"/>
            <w:gridSpan w:val="11"/>
            <w:tcBorders>
              <w:top w:val="nil"/>
              <w:left w:val="nil"/>
              <w:bottom w:val="single" w:color="auto" w:sz="4" w:space="0"/>
              <w:right w:val="nil"/>
            </w:tcBorders>
            <w:shd w:val="clear" w:color="auto" w:fill="auto"/>
            <w:vAlign w:val="center"/>
          </w:tcPr>
          <w:p>
            <w:pPr>
              <w:adjustRightInd w:val="0"/>
              <w:snapToGrid w:val="0"/>
              <w:spacing w:line="240" w:lineRule="auto"/>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中央生态环境保护督察群众信访举报转办和边督边改公开情况一览表（第</w:t>
            </w:r>
            <w:r>
              <w:rPr>
                <w:rFonts w:hint="eastAsia" w:ascii="Times New Roman" w:hAnsi="Times New Roman" w:eastAsia="方正小标宋_GBK" w:cs="方正小标宋_GBK"/>
                <w:sz w:val="36"/>
                <w:szCs w:val="36"/>
                <w:lang w:eastAsia="zh-CN"/>
              </w:rPr>
              <w:t>二十五</w:t>
            </w:r>
            <w:r>
              <w:rPr>
                <w:rFonts w:hint="eastAsia" w:ascii="Times New Roman" w:hAnsi="Times New Roman" w:eastAsia="方正小标宋_GBK" w:cs="方正小标宋_GBK"/>
                <w:sz w:val="36"/>
                <w:szCs w:val="36"/>
              </w:rPr>
              <w:t>批）</w:t>
            </w:r>
          </w:p>
          <w:p>
            <w:pPr>
              <w:pStyle w:val="2"/>
              <w:spacing w:after="0" w:line="240" w:lineRule="auto"/>
              <w:rPr>
                <w:rFonts w:hint="eastAsia"/>
              </w:rPr>
            </w:pPr>
          </w:p>
        </w:tc>
      </w:tr>
      <w:tr>
        <w:tblPrEx>
          <w:tblCellMar>
            <w:top w:w="0" w:type="dxa"/>
            <w:left w:w="108" w:type="dxa"/>
            <w:bottom w:w="0" w:type="dxa"/>
            <w:right w:w="108" w:type="dxa"/>
          </w:tblCellMar>
        </w:tblPrEx>
        <w:trPr>
          <w:trHeight w:val="1172" w:hRule="atLeast"/>
        </w:trPr>
        <w:tc>
          <w:tcPr>
            <w:tcW w:w="47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序号</w:t>
            </w:r>
          </w:p>
        </w:tc>
        <w:tc>
          <w:tcPr>
            <w:tcW w:w="97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受理编号</w:t>
            </w:r>
          </w:p>
        </w:tc>
        <w:tc>
          <w:tcPr>
            <w:tcW w:w="282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交办问题基本情况</w:t>
            </w:r>
          </w:p>
        </w:tc>
        <w:tc>
          <w:tcPr>
            <w:tcW w:w="45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行政区域</w:t>
            </w:r>
          </w:p>
        </w:tc>
        <w:tc>
          <w:tcPr>
            <w:tcW w:w="31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问题类型</w:t>
            </w:r>
          </w:p>
        </w:tc>
        <w:tc>
          <w:tcPr>
            <w:tcW w:w="439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调查核实情况</w:t>
            </w:r>
          </w:p>
        </w:tc>
        <w:tc>
          <w:tcPr>
            <w:tcW w:w="7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是否属实</w:t>
            </w:r>
          </w:p>
        </w:tc>
        <w:tc>
          <w:tcPr>
            <w:tcW w:w="17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办结目标</w:t>
            </w:r>
          </w:p>
        </w:tc>
        <w:tc>
          <w:tcPr>
            <w:tcW w:w="206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处理和整改情况</w:t>
            </w:r>
          </w:p>
        </w:tc>
        <w:tc>
          <w:tcPr>
            <w:tcW w:w="72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是否办结</w:t>
            </w:r>
          </w:p>
        </w:tc>
        <w:tc>
          <w:tcPr>
            <w:tcW w:w="86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责任人被处理情况</w:t>
            </w:r>
          </w:p>
        </w:tc>
      </w:tr>
      <w:tr>
        <w:tblPrEx>
          <w:tblCellMar>
            <w:top w:w="0" w:type="dxa"/>
            <w:left w:w="108" w:type="dxa"/>
            <w:bottom w:w="0" w:type="dxa"/>
            <w:right w:w="108" w:type="dxa"/>
          </w:tblCellMar>
        </w:tblPrEx>
        <w:trPr>
          <w:trHeight w:val="6814" w:hRule="atLeast"/>
        </w:trPr>
        <w:tc>
          <w:tcPr>
            <w:tcW w:w="47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bookmarkStart w:id="0" w:name="OLE_LINK1" w:colFirst="1" w:colLast="10"/>
            <w:bookmarkStart w:id="1" w:name="OLE_LINK4" w:colFirst="5" w:colLast="10"/>
            <w:bookmarkStart w:id="2" w:name="OLE_LINK2" w:colFirst="2" w:colLast="2"/>
            <w:r>
              <w:rPr>
                <w:rFonts w:hint="eastAsia" w:ascii="方正仿宋_GBK" w:hAnsi="方正仿宋_GBK" w:eastAsia="方正仿宋_GBK" w:cs="方正仿宋_GBK"/>
                <w:color w:val="000000"/>
                <w:kern w:val="0"/>
                <w:szCs w:val="21"/>
                <w:lang w:val="en-US" w:eastAsia="zh-CN" w:bidi="ar"/>
              </w:rPr>
              <w:t>1</w:t>
            </w:r>
          </w:p>
        </w:tc>
        <w:tc>
          <w:tcPr>
            <w:tcW w:w="97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X3CQ202406010019</w:t>
            </w:r>
          </w:p>
        </w:tc>
        <w:tc>
          <w:tcPr>
            <w:tcW w:w="282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1.九龙坡区 “国家安全文化长廊”近期早上6点开始有多人遛鸟，鸟叫与人为喧哗声扰民，且肆意踩踏绿地。</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2.西联社小区底楼餐饮、便利店占道经营，深夜喝酒划拳噪声扰民，部分商铺还存在广告灯光污染扰民。</w:t>
            </w:r>
          </w:p>
        </w:tc>
        <w:tc>
          <w:tcPr>
            <w:tcW w:w="45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九龙坡区</w:t>
            </w:r>
          </w:p>
        </w:tc>
        <w:tc>
          <w:tcPr>
            <w:tcW w:w="31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噪音</w:t>
            </w:r>
          </w:p>
        </w:tc>
        <w:tc>
          <w:tcPr>
            <w:tcW w:w="439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经调查问题属实。</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1.每日有居民6：30左右在国家安全文化长廊遛鸟、闲聊，鸟叫声、交谈声较大，影响周边居民休息，现场未发现绿地被踩踏情况。</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2.西联社小区旁商户存在外摆现象，外摆区域为西联社物业自管范围，餐饮店夜间经营时食客交谈声音较大，存在噪声扰民情况。茶楼、餐饮店等商户广告灯牌夜间亮度较高，影响周边住户。</w:t>
            </w:r>
          </w:p>
        </w:tc>
        <w:tc>
          <w:tcPr>
            <w:tcW w:w="7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属实</w:t>
            </w:r>
          </w:p>
        </w:tc>
        <w:tc>
          <w:tcPr>
            <w:tcW w:w="171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持续做好居民晨间活动音量控制的劝导，避免影响周边居民休息；规范商铺经营行为，避免噪声、灯光扰民。</w:t>
            </w:r>
          </w:p>
        </w:tc>
        <w:tc>
          <w:tcPr>
            <w:tcW w:w="206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1.劝导遛鸟居民调整遛鸟时间，避免因过早遛鸟影响周边居民休息。</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2.对西联社小区旁餐饮店进行入店宣传，规范外摆经营时间，督促经营者做好店内噪声管理并签订降音防噪责任书，劝导食客控制音量避免扰民。</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3.向涉嫌光污染商家发放《责令停止（改正）违法行为通知书》，要求降低亮度，目前1家商铺已完成整改，其余商家正在整改中。</w:t>
            </w:r>
          </w:p>
        </w:tc>
        <w:tc>
          <w:tcPr>
            <w:tcW w:w="72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阶段性办结</w:t>
            </w:r>
          </w:p>
        </w:tc>
        <w:tc>
          <w:tcPr>
            <w:tcW w:w="86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无</w:t>
            </w:r>
          </w:p>
        </w:tc>
      </w:tr>
      <w:bookmarkEnd w:id="0"/>
      <w:bookmarkEnd w:id="1"/>
      <w:tr>
        <w:tblPrEx>
          <w:tblCellMar>
            <w:top w:w="0" w:type="dxa"/>
            <w:left w:w="108" w:type="dxa"/>
            <w:bottom w:w="0" w:type="dxa"/>
            <w:right w:w="108" w:type="dxa"/>
          </w:tblCellMar>
        </w:tblPrEx>
        <w:trPr>
          <w:trHeight w:val="8827" w:hRule="atLeast"/>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X3CQ202406010036</w:t>
            </w:r>
          </w:p>
        </w:tc>
        <w:tc>
          <w:tcPr>
            <w:tcW w:w="2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1.渝中区中海渝中云锦小区今年3月份经常出现恶臭气味(疑似某配气站间歇排放燃气泄漏，消防出警记录可查)。</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2.某配气站周边都是居民集聚区，存在安全、环境风险隐患，去年该配气站疑似改扩建。</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渝中区；九龙坡区</w:t>
            </w:r>
          </w:p>
        </w:tc>
        <w:tc>
          <w:tcPr>
            <w:tcW w:w="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大气</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经调查问题部分属实。</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1.“3月份疑似臭气扰民”问题部分属实。经查，该储配站在3月份因工艺需要进行了排空操作，不是燃气泄露。因国家强制要求燃气要添加少量加臭剂以达到警示效果，故排空时周边会有异味。该储配站在排空之前已向有关部门和临近社区发函告知。排空后接到部分居民投诉，经信部门已按要求进行回复。</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某储配站改扩建”问题部分属实。因使用年限已久，基于安全考虑，重庆燃气集团向经信部门申请拆除原有两台3300立方球罐，新建一台5000立方球罐，经信部门依法于2022年5月批复同意项目立项。预计该项目建成后储配站储罐总储气容积从11.6万立方米降低到1万立方米，属改建而非扩建。该项目按要求委托三方单位完成了环境影响评价，并于2023年10月获得生态环境部门批复；该项目安全预评价于2022年9月通过专家评审。目前该工程暂未实施。</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部分属实</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加强宣传引导，做好安全评估报告申请查阅工作，消除居民对臭味和安全的担心。</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1.要求重燃集团做好球罐更换工程的社会稳定风险评估，在各项手续完备的条件下才能开工。</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2.积极向群众做好宣传解释工作，消除群众担忧。依据申请人查阅申请，提供中海渝中云锦项目与六店子配气站安全评估报告。</w:t>
            </w:r>
            <w:r>
              <w:rPr>
                <w:rFonts w:hint="eastAsia" w:ascii="方正仿宋_GBK" w:hAnsi="方正仿宋_GBK" w:eastAsia="方正仿宋_GBK" w:cs="方正仿宋_GBK"/>
                <w:color w:val="000000"/>
                <w:kern w:val="0"/>
                <w:szCs w:val="21"/>
                <w:lang w:val="en-US" w:eastAsia="zh-CN" w:bidi="ar"/>
              </w:rPr>
              <w:br w:type="textWrapping"/>
            </w:r>
            <w:r>
              <w:rPr>
                <w:rFonts w:hint="eastAsia" w:ascii="方正仿宋_GBK" w:hAnsi="方正仿宋_GBK" w:eastAsia="方正仿宋_GBK" w:cs="方正仿宋_GBK"/>
                <w:color w:val="000000"/>
                <w:kern w:val="0"/>
                <w:szCs w:val="21"/>
                <w:lang w:val="en-US" w:eastAsia="zh-CN" w:bidi="ar"/>
              </w:rPr>
              <w:t>3.后续强化督促该企业改建期间严格落实安全责任，确保安全。</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阶段性办结</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Cs w:val="21"/>
                <w:lang w:val="en-US" w:eastAsia="zh-CN" w:bidi="ar"/>
              </w:rPr>
              <w:t>无</w:t>
            </w:r>
          </w:p>
        </w:tc>
      </w:tr>
      <w:bookmarkEnd w:id="2"/>
    </w:tbl>
    <w:p>
      <w:pPr>
        <w:widowControl/>
        <w:snapToGrid w:val="0"/>
        <w:spacing w:line="240" w:lineRule="auto"/>
        <w:jc w:val="both"/>
        <w:textAlignment w:val="center"/>
        <w:rPr>
          <w:rFonts w:hint="eastAsia" w:ascii="方正仿宋_GBK" w:hAnsi="方正仿宋_GBK" w:eastAsia="方正仿宋_GBK" w:cs="方正仿宋_GBK"/>
          <w:color w:val="000000"/>
          <w:kern w:val="0"/>
          <w:szCs w:val="21"/>
          <w:lang w:val="en-US" w:eastAsia="zh-CN" w:bidi="ar"/>
        </w:rPr>
      </w:pPr>
      <w:bookmarkStart w:id="3" w:name="_GoBack"/>
      <w:bookmarkEnd w:id="3"/>
    </w:p>
    <w:sectPr>
      <w:pgSz w:w="16838" w:h="11906" w:orient="landscape"/>
      <w:pgMar w:top="777" w:right="607" w:bottom="720" w:left="60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MjgzYzlhNjBiZmUwZGViODg4MjYwMzRjM2VmN2QifQ=="/>
  </w:docVars>
  <w:rsids>
    <w:rsidRoot w:val="00172A27"/>
    <w:rsid w:val="00086C23"/>
    <w:rsid w:val="00535353"/>
    <w:rsid w:val="00553250"/>
    <w:rsid w:val="00671C00"/>
    <w:rsid w:val="0090251E"/>
    <w:rsid w:val="00955275"/>
    <w:rsid w:val="00B03F0B"/>
    <w:rsid w:val="00B87A8B"/>
    <w:rsid w:val="00E54868"/>
    <w:rsid w:val="023A5733"/>
    <w:rsid w:val="032064E7"/>
    <w:rsid w:val="033755DF"/>
    <w:rsid w:val="036330A8"/>
    <w:rsid w:val="037405E1"/>
    <w:rsid w:val="039D68C2"/>
    <w:rsid w:val="03B92498"/>
    <w:rsid w:val="03C86237"/>
    <w:rsid w:val="03CF75C5"/>
    <w:rsid w:val="04BA64C7"/>
    <w:rsid w:val="053A4F12"/>
    <w:rsid w:val="05D610DF"/>
    <w:rsid w:val="05E536D6"/>
    <w:rsid w:val="0617220C"/>
    <w:rsid w:val="063F6C84"/>
    <w:rsid w:val="06995AC7"/>
    <w:rsid w:val="06D01FD2"/>
    <w:rsid w:val="08346591"/>
    <w:rsid w:val="090B10A0"/>
    <w:rsid w:val="097C1F9D"/>
    <w:rsid w:val="09D26061"/>
    <w:rsid w:val="09D32F2C"/>
    <w:rsid w:val="0A5847B8"/>
    <w:rsid w:val="0AD007F3"/>
    <w:rsid w:val="0AFC1A95"/>
    <w:rsid w:val="0C122745"/>
    <w:rsid w:val="0C4F3999"/>
    <w:rsid w:val="0C555BFE"/>
    <w:rsid w:val="0CCC323C"/>
    <w:rsid w:val="0D0D7645"/>
    <w:rsid w:val="0DB461AA"/>
    <w:rsid w:val="0DD95C10"/>
    <w:rsid w:val="0E2844A2"/>
    <w:rsid w:val="0E5E4367"/>
    <w:rsid w:val="0E63372C"/>
    <w:rsid w:val="0F3F1AA3"/>
    <w:rsid w:val="0F490B74"/>
    <w:rsid w:val="0FC91CB4"/>
    <w:rsid w:val="0FE10DAC"/>
    <w:rsid w:val="106E422C"/>
    <w:rsid w:val="12437AFC"/>
    <w:rsid w:val="12922832"/>
    <w:rsid w:val="131E7C21"/>
    <w:rsid w:val="134753CA"/>
    <w:rsid w:val="14027543"/>
    <w:rsid w:val="14C52A4A"/>
    <w:rsid w:val="1508166C"/>
    <w:rsid w:val="15150768"/>
    <w:rsid w:val="15A07014"/>
    <w:rsid w:val="160E21CF"/>
    <w:rsid w:val="16571DC8"/>
    <w:rsid w:val="168D490F"/>
    <w:rsid w:val="16B10819"/>
    <w:rsid w:val="176E561B"/>
    <w:rsid w:val="1816180F"/>
    <w:rsid w:val="181D2B9D"/>
    <w:rsid w:val="186B1A22"/>
    <w:rsid w:val="18AB01A9"/>
    <w:rsid w:val="199C7AF2"/>
    <w:rsid w:val="19EA60A7"/>
    <w:rsid w:val="1A1B135F"/>
    <w:rsid w:val="1AB5530F"/>
    <w:rsid w:val="1ACB68E1"/>
    <w:rsid w:val="1AEB4D61"/>
    <w:rsid w:val="1B1A7868"/>
    <w:rsid w:val="1B9907D4"/>
    <w:rsid w:val="1C2D7127"/>
    <w:rsid w:val="1C6C40F3"/>
    <w:rsid w:val="1C7D00AF"/>
    <w:rsid w:val="1C817B9F"/>
    <w:rsid w:val="1C876837"/>
    <w:rsid w:val="1CC161ED"/>
    <w:rsid w:val="1D0460DA"/>
    <w:rsid w:val="1E237E7E"/>
    <w:rsid w:val="1E354EA3"/>
    <w:rsid w:val="1E543091"/>
    <w:rsid w:val="1EEC32CA"/>
    <w:rsid w:val="1F3C5FFF"/>
    <w:rsid w:val="1F75782B"/>
    <w:rsid w:val="1F7F2436"/>
    <w:rsid w:val="1F957747"/>
    <w:rsid w:val="20476A09"/>
    <w:rsid w:val="20485605"/>
    <w:rsid w:val="205336C1"/>
    <w:rsid w:val="20D61B3B"/>
    <w:rsid w:val="20DF7CD1"/>
    <w:rsid w:val="211C60E8"/>
    <w:rsid w:val="2136082C"/>
    <w:rsid w:val="21865738"/>
    <w:rsid w:val="218B6DCA"/>
    <w:rsid w:val="227E486D"/>
    <w:rsid w:val="22A5210D"/>
    <w:rsid w:val="22EF5A05"/>
    <w:rsid w:val="22F10EAE"/>
    <w:rsid w:val="23111551"/>
    <w:rsid w:val="233D2346"/>
    <w:rsid w:val="236B0C61"/>
    <w:rsid w:val="23A44173"/>
    <w:rsid w:val="245560D5"/>
    <w:rsid w:val="24F36B59"/>
    <w:rsid w:val="25AE08DF"/>
    <w:rsid w:val="25DD396C"/>
    <w:rsid w:val="263E08AF"/>
    <w:rsid w:val="272B0566"/>
    <w:rsid w:val="273D0B66"/>
    <w:rsid w:val="27421CD9"/>
    <w:rsid w:val="2742617D"/>
    <w:rsid w:val="279345D8"/>
    <w:rsid w:val="2799071E"/>
    <w:rsid w:val="28AD1BA5"/>
    <w:rsid w:val="28BC5ABB"/>
    <w:rsid w:val="28C055AB"/>
    <w:rsid w:val="29581F5A"/>
    <w:rsid w:val="29DD218D"/>
    <w:rsid w:val="29F15C38"/>
    <w:rsid w:val="2A9F1111"/>
    <w:rsid w:val="2B370506"/>
    <w:rsid w:val="2B7E52A9"/>
    <w:rsid w:val="2BC5112A"/>
    <w:rsid w:val="2BD870AF"/>
    <w:rsid w:val="2C47499A"/>
    <w:rsid w:val="2C923702"/>
    <w:rsid w:val="2CCD473A"/>
    <w:rsid w:val="2CD535EF"/>
    <w:rsid w:val="2CF96FB4"/>
    <w:rsid w:val="2D5E3AFE"/>
    <w:rsid w:val="2D766B80"/>
    <w:rsid w:val="2DD83397"/>
    <w:rsid w:val="2E505623"/>
    <w:rsid w:val="2E56075F"/>
    <w:rsid w:val="2E7D3F3E"/>
    <w:rsid w:val="2EC27BA3"/>
    <w:rsid w:val="2F2820FC"/>
    <w:rsid w:val="2F2F348A"/>
    <w:rsid w:val="2F503401"/>
    <w:rsid w:val="2F5A7DDB"/>
    <w:rsid w:val="2F725125"/>
    <w:rsid w:val="301B756B"/>
    <w:rsid w:val="307B44AD"/>
    <w:rsid w:val="30BC0D4E"/>
    <w:rsid w:val="30C6397A"/>
    <w:rsid w:val="30D23125"/>
    <w:rsid w:val="31232B7B"/>
    <w:rsid w:val="31CA749A"/>
    <w:rsid w:val="32B141B6"/>
    <w:rsid w:val="32D06D32"/>
    <w:rsid w:val="337376BE"/>
    <w:rsid w:val="33751F83"/>
    <w:rsid w:val="339A2E9C"/>
    <w:rsid w:val="347B2CCE"/>
    <w:rsid w:val="34F8431E"/>
    <w:rsid w:val="350E3B42"/>
    <w:rsid w:val="354970AA"/>
    <w:rsid w:val="35A346F4"/>
    <w:rsid w:val="35AB75E3"/>
    <w:rsid w:val="35C80195"/>
    <w:rsid w:val="35F32813"/>
    <w:rsid w:val="36257395"/>
    <w:rsid w:val="369167D9"/>
    <w:rsid w:val="36985DB9"/>
    <w:rsid w:val="3736112E"/>
    <w:rsid w:val="379522F8"/>
    <w:rsid w:val="37A12A4B"/>
    <w:rsid w:val="384B0C09"/>
    <w:rsid w:val="386715EC"/>
    <w:rsid w:val="38CA5FD2"/>
    <w:rsid w:val="39665CFB"/>
    <w:rsid w:val="396E6326"/>
    <w:rsid w:val="39D76BF8"/>
    <w:rsid w:val="3B1D688D"/>
    <w:rsid w:val="3B5A188F"/>
    <w:rsid w:val="3BC92571"/>
    <w:rsid w:val="3C8F37BA"/>
    <w:rsid w:val="3CEA6C43"/>
    <w:rsid w:val="3D8F1598"/>
    <w:rsid w:val="3DC6320C"/>
    <w:rsid w:val="3DD23BF8"/>
    <w:rsid w:val="3E6B3DB3"/>
    <w:rsid w:val="3F1E7077"/>
    <w:rsid w:val="3F32667F"/>
    <w:rsid w:val="3F4F7231"/>
    <w:rsid w:val="3FBD5D22"/>
    <w:rsid w:val="3FD339BE"/>
    <w:rsid w:val="400D3374"/>
    <w:rsid w:val="407F7DB6"/>
    <w:rsid w:val="40D17224"/>
    <w:rsid w:val="410B53D9"/>
    <w:rsid w:val="410B683E"/>
    <w:rsid w:val="414D77A0"/>
    <w:rsid w:val="41C31810"/>
    <w:rsid w:val="42AB3D39"/>
    <w:rsid w:val="42AE0712"/>
    <w:rsid w:val="42BF647C"/>
    <w:rsid w:val="42C910A8"/>
    <w:rsid w:val="42E87780"/>
    <w:rsid w:val="43014CE6"/>
    <w:rsid w:val="43147634"/>
    <w:rsid w:val="43234D3C"/>
    <w:rsid w:val="44507CD3"/>
    <w:rsid w:val="4488746D"/>
    <w:rsid w:val="45071C36"/>
    <w:rsid w:val="450B1E4C"/>
    <w:rsid w:val="459E05CA"/>
    <w:rsid w:val="45F36B68"/>
    <w:rsid w:val="464B69A4"/>
    <w:rsid w:val="46592743"/>
    <w:rsid w:val="467001B9"/>
    <w:rsid w:val="468E45CA"/>
    <w:rsid w:val="474E6020"/>
    <w:rsid w:val="478D08F6"/>
    <w:rsid w:val="48457423"/>
    <w:rsid w:val="49521DF7"/>
    <w:rsid w:val="498D2E30"/>
    <w:rsid w:val="498D72D3"/>
    <w:rsid w:val="4AE64EED"/>
    <w:rsid w:val="4B991F8E"/>
    <w:rsid w:val="4C575B4B"/>
    <w:rsid w:val="4D021D86"/>
    <w:rsid w:val="4D0A29E9"/>
    <w:rsid w:val="4D1D761A"/>
    <w:rsid w:val="4D1F6494"/>
    <w:rsid w:val="4D84279B"/>
    <w:rsid w:val="4FB37368"/>
    <w:rsid w:val="4FE37C4D"/>
    <w:rsid w:val="50377F99"/>
    <w:rsid w:val="51775121"/>
    <w:rsid w:val="51913BAF"/>
    <w:rsid w:val="519D3C8D"/>
    <w:rsid w:val="51BA546F"/>
    <w:rsid w:val="524D13AE"/>
    <w:rsid w:val="526D79AE"/>
    <w:rsid w:val="52A6046D"/>
    <w:rsid w:val="52D0326C"/>
    <w:rsid w:val="52D14A6E"/>
    <w:rsid w:val="52DC2732"/>
    <w:rsid w:val="53071EA5"/>
    <w:rsid w:val="53B06098"/>
    <w:rsid w:val="54216F96"/>
    <w:rsid w:val="54613836"/>
    <w:rsid w:val="54686973"/>
    <w:rsid w:val="5479292E"/>
    <w:rsid w:val="5483555B"/>
    <w:rsid w:val="54DD2341"/>
    <w:rsid w:val="55B02A26"/>
    <w:rsid w:val="55CC1183"/>
    <w:rsid w:val="55CC2F32"/>
    <w:rsid w:val="564E7DEA"/>
    <w:rsid w:val="56D77DE0"/>
    <w:rsid w:val="577B4C0F"/>
    <w:rsid w:val="578C0BCA"/>
    <w:rsid w:val="579D764D"/>
    <w:rsid w:val="57AE6D93"/>
    <w:rsid w:val="57F95B34"/>
    <w:rsid w:val="585F1E3B"/>
    <w:rsid w:val="5870269E"/>
    <w:rsid w:val="58A43CF2"/>
    <w:rsid w:val="58D83B72"/>
    <w:rsid w:val="594A2AEB"/>
    <w:rsid w:val="59973856"/>
    <w:rsid w:val="5A366BCB"/>
    <w:rsid w:val="5AA61FA3"/>
    <w:rsid w:val="5ABA5A4E"/>
    <w:rsid w:val="5BEA2363"/>
    <w:rsid w:val="5C5A6DCB"/>
    <w:rsid w:val="5CB059CB"/>
    <w:rsid w:val="5E135BA1"/>
    <w:rsid w:val="5E1D07CE"/>
    <w:rsid w:val="5E5D506F"/>
    <w:rsid w:val="5EDB5D2F"/>
    <w:rsid w:val="5F3E6C4E"/>
    <w:rsid w:val="600532C8"/>
    <w:rsid w:val="60065292"/>
    <w:rsid w:val="601479AF"/>
    <w:rsid w:val="603D5158"/>
    <w:rsid w:val="60824919"/>
    <w:rsid w:val="61CD42B9"/>
    <w:rsid w:val="62572235"/>
    <w:rsid w:val="63A86D8C"/>
    <w:rsid w:val="63B8607E"/>
    <w:rsid w:val="63F55D49"/>
    <w:rsid w:val="642B176B"/>
    <w:rsid w:val="64EC0AC4"/>
    <w:rsid w:val="656C3DE9"/>
    <w:rsid w:val="66056B88"/>
    <w:rsid w:val="66C043ED"/>
    <w:rsid w:val="66E520A5"/>
    <w:rsid w:val="67281F65"/>
    <w:rsid w:val="67CB3049"/>
    <w:rsid w:val="67F73E3E"/>
    <w:rsid w:val="682B1D3A"/>
    <w:rsid w:val="687142E8"/>
    <w:rsid w:val="688047C9"/>
    <w:rsid w:val="689618A9"/>
    <w:rsid w:val="68C006D4"/>
    <w:rsid w:val="6905258B"/>
    <w:rsid w:val="69085BD7"/>
    <w:rsid w:val="69C2222A"/>
    <w:rsid w:val="6A0E36C1"/>
    <w:rsid w:val="6AE82164"/>
    <w:rsid w:val="6B2F38EF"/>
    <w:rsid w:val="6B797260"/>
    <w:rsid w:val="6BA3608B"/>
    <w:rsid w:val="6BAE515B"/>
    <w:rsid w:val="6BBE4C73"/>
    <w:rsid w:val="6BC77FCB"/>
    <w:rsid w:val="6BD15F74"/>
    <w:rsid w:val="6C445178"/>
    <w:rsid w:val="6C661592"/>
    <w:rsid w:val="6E2F3C06"/>
    <w:rsid w:val="6E4509E7"/>
    <w:rsid w:val="6E587601"/>
    <w:rsid w:val="6E6C1852"/>
    <w:rsid w:val="6EAB3BD4"/>
    <w:rsid w:val="6F6B5112"/>
    <w:rsid w:val="6FC50CC6"/>
    <w:rsid w:val="70904E30"/>
    <w:rsid w:val="70DF7B65"/>
    <w:rsid w:val="71E511AB"/>
    <w:rsid w:val="72824863"/>
    <w:rsid w:val="73AA26AC"/>
    <w:rsid w:val="74BC2325"/>
    <w:rsid w:val="74C7103C"/>
    <w:rsid w:val="74EC45FF"/>
    <w:rsid w:val="758D0D36"/>
    <w:rsid w:val="75A373B3"/>
    <w:rsid w:val="75E63744"/>
    <w:rsid w:val="76385A01"/>
    <w:rsid w:val="764C3ED4"/>
    <w:rsid w:val="76D31F1A"/>
    <w:rsid w:val="77DA1086"/>
    <w:rsid w:val="78510B7A"/>
    <w:rsid w:val="7853663B"/>
    <w:rsid w:val="787212BF"/>
    <w:rsid w:val="789E0306"/>
    <w:rsid w:val="78A551F0"/>
    <w:rsid w:val="794964C4"/>
    <w:rsid w:val="796B01E8"/>
    <w:rsid w:val="79F21380"/>
    <w:rsid w:val="79FC1788"/>
    <w:rsid w:val="79FF3026"/>
    <w:rsid w:val="7A1C5BF6"/>
    <w:rsid w:val="7A432F13"/>
    <w:rsid w:val="7A4A160C"/>
    <w:rsid w:val="7A7C6425"/>
    <w:rsid w:val="7A7D6B78"/>
    <w:rsid w:val="7B4A02D1"/>
    <w:rsid w:val="7B62386D"/>
    <w:rsid w:val="7BB816DF"/>
    <w:rsid w:val="7C352D2F"/>
    <w:rsid w:val="7C64195B"/>
    <w:rsid w:val="7C6661B1"/>
    <w:rsid w:val="7CBA4FE2"/>
    <w:rsid w:val="7D1868D9"/>
    <w:rsid w:val="7D1E0CF2"/>
    <w:rsid w:val="7D333C62"/>
    <w:rsid w:val="7D3D3F2A"/>
    <w:rsid w:val="7D641B1E"/>
    <w:rsid w:val="7DCA698F"/>
    <w:rsid w:val="7E004CB0"/>
    <w:rsid w:val="7E024E93"/>
    <w:rsid w:val="7E130E4E"/>
    <w:rsid w:val="7EB10D93"/>
    <w:rsid w:val="7EC5039A"/>
    <w:rsid w:val="7F4514DB"/>
    <w:rsid w:val="7FC06DB4"/>
    <w:rsid w:val="F3B77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eastAsia="仿宋_GB2312" w:cs="Times New Roman"/>
      <w:sz w:val="32"/>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font21"/>
    <w:basedOn w:val="8"/>
    <w:qFormat/>
    <w:uiPriority w:val="0"/>
    <w:rPr>
      <w:rFonts w:hint="eastAsia" w:ascii="宋体" w:hAnsi="宋体" w:eastAsia="宋体" w:cs="宋体"/>
      <w:color w:val="000000"/>
      <w:sz w:val="16"/>
      <w:szCs w:val="16"/>
      <w:u w:val="none"/>
    </w:rPr>
  </w:style>
  <w:style w:type="character" w:customStyle="1" w:styleId="10">
    <w:name w:val="font11"/>
    <w:basedOn w:val="8"/>
    <w:qFormat/>
    <w:uiPriority w:val="0"/>
    <w:rPr>
      <w:rFonts w:hint="default" w:ascii="Times New Roman" w:hAnsi="Times New Roman" w:cs="Times New Roman"/>
      <w:color w:val="000000"/>
      <w:sz w:val="16"/>
      <w:szCs w:val="16"/>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61"/>
    <w:basedOn w:val="8"/>
    <w:qFormat/>
    <w:uiPriority w:val="0"/>
    <w:rPr>
      <w:rFonts w:hint="default" w:ascii="Times New Roman" w:hAnsi="Times New Roman" w:cs="Times New Roman"/>
      <w:color w:val="000000"/>
      <w:sz w:val="20"/>
      <w:szCs w:val="20"/>
      <w:u w:val="none"/>
    </w:rPr>
  </w:style>
  <w:style w:type="character" w:customStyle="1" w:styleId="14">
    <w:name w:val="font71"/>
    <w:basedOn w:val="8"/>
    <w:qFormat/>
    <w:uiPriority w:val="0"/>
    <w:rPr>
      <w:rFonts w:hint="eastAsia" w:ascii="宋体" w:hAnsi="宋体" w:eastAsia="宋体" w:cs="宋体"/>
      <w:color w:val="000000"/>
      <w:sz w:val="20"/>
      <w:szCs w:val="20"/>
      <w:u w:val="none"/>
    </w:rPr>
  </w:style>
  <w:style w:type="character" w:customStyle="1" w:styleId="15">
    <w:name w:val="font41"/>
    <w:basedOn w:val="8"/>
    <w:qFormat/>
    <w:uiPriority w:val="0"/>
    <w:rPr>
      <w:rFonts w:hint="default" w:ascii="Times New Roman" w:hAnsi="Times New Roman" w:cs="Times New Roman"/>
      <w:color w:val="000000"/>
      <w:sz w:val="20"/>
      <w:szCs w:val="20"/>
      <w:u w:val="none"/>
    </w:rPr>
  </w:style>
  <w:style w:type="character" w:customStyle="1" w:styleId="16">
    <w:name w:val="font81"/>
    <w:basedOn w:val="8"/>
    <w:qFormat/>
    <w:uiPriority w:val="0"/>
    <w:rPr>
      <w:rFonts w:hint="eastAsia" w:ascii="宋体" w:hAnsi="宋体" w:eastAsia="宋体" w:cs="宋体"/>
      <w:color w:val="000000"/>
      <w:sz w:val="20"/>
      <w:szCs w:val="20"/>
      <w:u w:val="none"/>
    </w:rPr>
  </w:style>
  <w:style w:type="character" w:customStyle="1" w:styleId="17">
    <w:name w:val="font101"/>
    <w:basedOn w:val="8"/>
    <w:qFormat/>
    <w:uiPriority w:val="0"/>
    <w:rPr>
      <w:rFonts w:hint="eastAsia" w:ascii="宋体" w:hAnsi="宋体" w:eastAsia="宋体" w:cs="宋体"/>
      <w:color w:val="000000"/>
      <w:sz w:val="20"/>
      <w:szCs w:val="20"/>
      <w:u w:val="none"/>
    </w:rPr>
  </w:style>
  <w:style w:type="character" w:customStyle="1" w:styleId="18">
    <w:name w:val="font112"/>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3513</Words>
  <Characters>3734</Characters>
  <Lines>4</Lines>
  <Paragraphs>1</Paragraphs>
  <TotalTime>1</TotalTime>
  <ScaleCrop>false</ScaleCrop>
  <LinksUpToDate>false</LinksUpToDate>
  <CharactersWithSpaces>3736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2024-05-20T09:37:00Z</dcterms:created>
  <dc:creator>admin</dc:creator>
  <cp:lastModifiedBy>aོℳ初菲兒๓</cp:lastModifiedBy>
  <cp:lastPrinted>2024-06-11T07:25:00Z</cp:lastPrinted>
  <dcterms:modified xsi:type="dcterms:W3CDTF">2024-06-12T08:53:44Z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D7EEC90E57A84A6EB29932F8ACB04097_13</vt:lpwstr>
  </property>
</Properties>
</file>