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752" w:tblpY="490"/>
        <w:tblOverlap w:val="never"/>
        <w:tblW w:w="15584" w:type="dxa"/>
        <w:tblLayout w:type="fixed"/>
        <w:tblLook w:val="04A0" w:firstRow="1" w:lastRow="0" w:firstColumn="1" w:lastColumn="0" w:noHBand="0" w:noVBand="1"/>
      </w:tblPr>
      <w:tblGrid>
        <w:gridCol w:w="472"/>
        <w:gridCol w:w="976"/>
        <w:gridCol w:w="2826"/>
        <w:gridCol w:w="458"/>
        <w:gridCol w:w="310"/>
        <w:gridCol w:w="4395"/>
        <w:gridCol w:w="784"/>
        <w:gridCol w:w="1716"/>
        <w:gridCol w:w="2067"/>
        <w:gridCol w:w="723"/>
        <w:gridCol w:w="857"/>
      </w:tblGrid>
      <w:tr w:rsidR="00C35809">
        <w:trPr>
          <w:trHeight w:val="1152"/>
        </w:trPr>
        <w:tc>
          <w:tcPr>
            <w:tcW w:w="1558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809" w:rsidRDefault="005D65C9">
            <w:pPr>
              <w:adjustRightInd w:val="0"/>
              <w:snapToGrid w:val="0"/>
              <w:jc w:val="center"/>
              <w:rPr>
                <w:rFonts w:ascii="Times New Roman" w:eastAsia="方正小标宋_GBK" w:hAnsi="Times New Roman" w:cs="方正小标宋_GBK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中央生态环境保护督察群众信访举报转办和</w:t>
            </w:r>
            <w:proofErr w:type="gramStart"/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边督边改公开</w:t>
            </w:r>
            <w:proofErr w:type="gramEnd"/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情况一览表（第</w:t>
            </w:r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二十七</w:t>
            </w:r>
            <w:r>
              <w:rPr>
                <w:rFonts w:ascii="Times New Roman" w:eastAsia="方正小标宋_GBK" w:hAnsi="Times New Roman" w:cs="方正小标宋_GBK" w:hint="eastAsia"/>
                <w:sz w:val="36"/>
                <w:szCs w:val="36"/>
              </w:rPr>
              <w:t>批）</w:t>
            </w:r>
          </w:p>
          <w:p w:rsidR="00C35809" w:rsidRDefault="00C35809">
            <w:pPr>
              <w:pStyle w:val="a0"/>
              <w:spacing w:after="0"/>
            </w:pPr>
          </w:p>
        </w:tc>
      </w:tr>
      <w:tr w:rsidR="00C35809">
        <w:trPr>
          <w:trHeight w:val="1172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受理编号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交办问题基本情况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行政区域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问题类型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调查核实情况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是否属实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办结目标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处理和整改情况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是否办结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0"/>
                <w:szCs w:val="20"/>
                <w:lang w:bidi="ar"/>
              </w:rPr>
              <w:t>责任人被处理情况</w:t>
            </w:r>
          </w:p>
        </w:tc>
      </w:tr>
      <w:tr w:rsidR="00C35809">
        <w:trPr>
          <w:trHeight w:val="3757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bookmarkStart w:id="1" w:name="OLE_LINK1" w:colFirst="1" w:colLast="10"/>
            <w:bookmarkStart w:id="2" w:name="OLE_LINK4" w:colFirst="5" w:colLast="10"/>
            <w:bookmarkStart w:id="3" w:name="OLE_LINK2" w:colFirst="2" w:colLast="2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D3CQ202406030050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九龙坡区西彭镇迎新村村委会大楼后面的公司将废铁丢弃在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迎新村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村委会大楼后面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100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米左右打石厂的空地上，影响环境。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土壤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该公司在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迎新村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村委会后原打石厂场地内进行租赁设备堆放，检查时现场堆有部分铁质租赁设备边角料、废钢管，未发现影响环境的情况。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对场地内堆放的废铁进行清理，加强场地内部管理，防止对环境造成影响。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已完成现场堆放的铁质租赁设备边角料、废钢管的清理。下一步，督促企业加强场地内部管理，防止对环境造成影响。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已办结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C35809">
        <w:trPr>
          <w:trHeight w:val="3484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D3CQ202406030051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九龙坡区二郎社区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石杨二社万科彩云湖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小区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栋经常闻到臭气扰民（夏天和阴雨天尤为严重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)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，已经持续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2-3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年。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经现场核实，投诉人反映的问题实际为五台山立交下桃花溪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桃子林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支流箱涵出口处臭气扰民。已于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日在箱涵出口处设立臭气防护棚，对箱涵出口进行封闭，现场无明显异味。遇暴雨天气，存在溢流产生异味。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加强桃花溪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桃子林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支流箱涵出口处臭气防护棚日常维护管理，及时疏通下排通道，减少臭气扰民情况。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已在桃花溪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桃子林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支流箱涵出口处设立臭气防护棚。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督促服务单位按照合同约定开展桃花溪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桃子林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支流的巡查保洁工作，及时清理河道中的生活垃圾，确保下排通畅，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及时维护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箱涵出口臭气防护棚。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已办结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C35809">
        <w:trPr>
          <w:trHeight w:val="5173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lastRenderedPageBreak/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D3CQ202406030052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二郎街道正在九龙坡区二郎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街道石杨路</w:t>
            </w:r>
            <w:proofErr w:type="gramEnd"/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186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号印江州小区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栋楼下修建社区居家养老服务网络建设项目，投诉人担心修建好养老院后，养老院会将医疗废物堆放在小区内，且养老院没有合法手续。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其他污染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该项目于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月立项，并纳入国家重大建设项目库，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12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月取得合法施工手续，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2024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月进场施工，其审批及建设手续合法。项目建成不涉及医疗项目，不会产生医疗废弃物，但是可能会产生生活垃圾，对小区造成影响。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加强群众沟通，做好周边小区居民解释工作。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1.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已组织与居民代表召开座谈会，主动回应群众关切的该项目手续和医疗废物相关问题，争取获得群众的理解与支持。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  <w:t>2.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下一步，强化运营后该项目的规范管理，继续做好群众解释工作。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阶段性办结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tr w:rsidR="00C35809">
        <w:trPr>
          <w:trHeight w:val="4809"/>
        </w:trPr>
        <w:tc>
          <w:tcPr>
            <w:tcW w:w="4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X3CQ202406030038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九龙坡区西彭镇玉凤村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社猪毛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坑设置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不合理，怀疑故意设置，鸡鸭粪便、生活污水和山水一起进入鱼塘，导致死鱼。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九龙坡区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水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经调查问题部分属实。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该社某农户房屋右侧存在一处建成已久的猪毛坑，并非故意设置，且该处已无生猪饲养。该农户鸡鸭圈养，未发现影响周边环境情况。该户生活污水、雨水经收纳管网排放到鱼塘上方农田用于灌溉，核查时发现该管网破损，存在渗漏情况，未见死鱼情况。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部分属实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对厨房生活污水另行接管，避免影响鱼塘。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对该户厨房生活污水另行接管，避免对投诉人鱼塘造成影响。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未办结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5809" w:rsidRDefault="005D65C9">
            <w:pPr>
              <w:widowControl/>
              <w:snapToGrid w:val="0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  <w:lang w:bidi="ar"/>
              </w:rPr>
              <w:t>无</w:t>
            </w:r>
          </w:p>
        </w:tc>
      </w:tr>
      <w:bookmarkEnd w:id="1"/>
      <w:bookmarkEnd w:id="2"/>
      <w:bookmarkEnd w:id="3"/>
    </w:tbl>
    <w:p w:rsidR="00C35809" w:rsidRDefault="00C35809">
      <w:pPr>
        <w:widowControl/>
        <w:snapToGrid w:val="0"/>
        <w:textAlignment w:val="center"/>
        <w:rPr>
          <w:rFonts w:ascii="方正仿宋_GBK" w:eastAsia="方正仿宋_GBK" w:hAnsi="方正仿宋_GBK" w:cs="方正仿宋_GBK"/>
          <w:color w:val="000000"/>
          <w:kern w:val="0"/>
          <w:szCs w:val="21"/>
          <w:lang w:bidi="ar"/>
        </w:rPr>
      </w:pPr>
    </w:p>
    <w:sectPr w:rsidR="00C35809">
      <w:pgSz w:w="16838" w:h="11906" w:orient="landscape"/>
      <w:pgMar w:top="777" w:right="607" w:bottom="720" w:left="60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5MjgzYzlhNjBiZmUwZGViODg4MjYwMzRjM2VmN2QifQ=="/>
  </w:docVars>
  <w:rsids>
    <w:rsidRoot w:val="00172A27"/>
    <w:rsid w:val="F3B77197"/>
    <w:rsid w:val="00086C23"/>
    <w:rsid w:val="00172A27"/>
    <w:rsid w:val="00535353"/>
    <w:rsid w:val="00553250"/>
    <w:rsid w:val="005D65C9"/>
    <w:rsid w:val="00671C00"/>
    <w:rsid w:val="0090251E"/>
    <w:rsid w:val="00955275"/>
    <w:rsid w:val="00B03F0B"/>
    <w:rsid w:val="00B87A8B"/>
    <w:rsid w:val="00C35809"/>
    <w:rsid w:val="00E54868"/>
    <w:rsid w:val="023A5733"/>
    <w:rsid w:val="032064E7"/>
    <w:rsid w:val="033755DF"/>
    <w:rsid w:val="036330A8"/>
    <w:rsid w:val="037405E1"/>
    <w:rsid w:val="039D68C2"/>
    <w:rsid w:val="03B92498"/>
    <w:rsid w:val="03C86237"/>
    <w:rsid w:val="03CF75C5"/>
    <w:rsid w:val="04BA64C7"/>
    <w:rsid w:val="053A4F12"/>
    <w:rsid w:val="05D610DF"/>
    <w:rsid w:val="05E536D6"/>
    <w:rsid w:val="0617220C"/>
    <w:rsid w:val="063F6C84"/>
    <w:rsid w:val="06995AC7"/>
    <w:rsid w:val="06D01FD2"/>
    <w:rsid w:val="07520C39"/>
    <w:rsid w:val="08346591"/>
    <w:rsid w:val="090B10A0"/>
    <w:rsid w:val="097C1F9D"/>
    <w:rsid w:val="09D26061"/>
    <w:rsid w:val="09D32F2C"/>
    <w:rsid w:val="09F81E67"/>
    <w:rsid w:val="0A5847B8"/>
    <w:rsid w:val="0AD007F3"/>
    <w:rsid w:val="0AFC1A95"/>
    <w:rsid w:val="0C122745"/>
    <w:rsid w:val="0C4F3999"/>
    <w:rsid w:val="0C555BFE"/>
    <w:rsid w:val="0CC95822"/>
    <w:rsid w:val="0CCC323C"/>
    <w:rsid w:val="0D0D7645"/>
    <w:rsid w:val="0DB461AA"/>
    <w:rsid w:val="0DD95C10"/>
    <w:rsid w:val="0E2844A2"/>
    <w:rsid w:val="0E5E4367"/>
    <w:rsid w:val="0E63372C"/>
    <w:rsid w:val="0F3F1AA3"/>
    <w:rsid w:val="0F490B74"/>
    <w:rsid w:val="0FC91CB4"/>
    <w:rsid w:val="0FE10DAC"/>
    <w:rsid w:val="106E422C"/>
    <w:rsid w:val="12437AFC"/>
    <w:rsid w:val="12922832"/>
    <w:rsid w:val="131E7C21"/>
    <w:rsid w:val="134753CA"/>
    <w:rsid w:val="13F05A62"/>
    <w:rsid w:val="14027543"/>
    <w:rsid w:val="14C52A4A"/>
    <w:rsid w:val="1508166C"/>
    <w:rsid w:val="15150768"/>
    <w:rsid w:val="15A07014"/>
    <w:rsid w:val="160E21CF"/>
    <w:rsid w:val="16571DC8"/>
    <w:rsid w:val="168D490F"/>
    <w:rsid w:val="16B10819"/>
    <w:rsid w:val="176E561B"/>
    <w:rsid w:val="1816180F"/>
    <w:rsid w:val="181D2B9D"/>
    <w:rsid w:val="186B1A22"/>
    <w:rsid w:val="18AB01A9"/>
    <w:rsid w:val="199C7AF2"/>
    <w:rsid w:val="19EA60A7"/>
    <w:rsid w:val="1A1B135F"/>
    <w:rsid w:val="1AB5530F"/>
    <w:rsid w:val="1ACB68E1"/>
    <w:rsid w:val="1AEB4D61"/>
    <w:rsid w:val="1B1A7868"/>
    <w:rsid w:val="1B9907D4"/>
    <w:rsid w:val="1C2D7127"/>
    <w:rsid w:val="1C6C40F3"/>
    <w:rsid w:val="1C7D00AF"/>
    <w:rsid w:val="1C817B9F"/>
    <w:rsid w:val="1C876837"/>
    <w:rsid w:val="1CC161ED"/>
    <w:rsid w:val="1D0460DA"/>
    <w:rsid w:val="1E237E7E"/>
    <w:rsid w:val="1E354EA3"/>
    <w:rsid w:val="1E543091"/>
    <w:rsid w:val="1EEC32CA"/>
    <w:rsid w:val="1F3C5FFF"/>
    <w:rsid w:val="1F75782B"/>
    <w:rsid w:val="1F7F2436"/>
    <w:rsid w:val="1F957747"/>
    <w:rsid w:val="20476A09"/>
    <w:rsid w:val="20485605"/>
    <w:rsid w:val="205336C1"/>
    <w:rsid w:val="20D61B3B"/>
    <w:rsid w:val="20DF7CD1"/>
    <w:rsid w:val="211C60E8"/>
    <w:rsid w:val="2136082C"/>
    <w:rsid w:val="21865738"/>
    <w:rsid w:val="218B6DCA"/>
    <w:rsid w:val="227E486D"/>
    <w:rsid w:val="22A5210D"/>
    <w:rsid w:val="22EF5A05"/>
    <w:rsid w:val="22F10EAE"/>
    <w:rsid w:val="23111551"/>
    <w:rsid w:val="233D2346"/>
    <w:rsid w:val="236B0C61"/>
    <w:rsid w:val="23A44173"/>
    <w:rsid w:val="23C97E45"/>
    <w:rsid w:val="245560D5"/>
    <w:rsid w:val="24F36B59"/>
    <w:rsid w:val="25AE08DF"/>
    <w:rsid w:val="25DD396C"/>
    <w:rsid w:val="263E08AF"/>
    <w:rsid w:val="26435EC5"/>
    <w:rsid w:val="272B0566"/>
    <w:rsid w:val="273D0B66"/>
    <w:rsid w:val="27421CD9"/>
    <w:rsid w:val="2742617D"/>
    <w:rsid w:val="279345D8"/>
    <w:rsid w:val="2799071E"/>
    <w:rsid w:val="28AD1BA5"/>
    <w:rsid w:val="28BC5ABB"/>
    <w:rsid w:val="28C055AB"/>
    <w:rsid w:val="29581F5A"/>
    <w:rsid w:val="29DD218D"/>
    <w:rsid w:val="29F15C38"/>
    <w:rsid w:val="2A9F1111"/>
    <w:rsid w:val="2B370506"/>
    <w:rsid w:val="2B7E52A9"/>
    <w:rsid w:val="2BC5112A"/>
    <w:rsid w:val="2BD870AF"/>
    <w:rsid w:val="2C47499A"/>
    <w:rsid w:val="2C923702"/>
    <w:rsid w:val="2CCD473A"/>
    <w:rsid w:val="2CD535EF"/>
    <w:rsid w:val="2CF96FB4"/>
    <w:rsid w:val="2D5E3AFE"/>
    <w:rsid w:val="2D766B80"/>
    <w:rsid w:val="2DD83397"/>
    <w:rsid w:val="2E505623"/>
    <w:rsid w:val="2E56075F"/>
    <w:rsid w:val="2E7D3F3E"/>
    <w:rsid w:val="2EC27BA3"/>
    <w:rsid w:val="2F2820FC"/>
    <w:rsid w:val="2F2F348A"/>
    <w:rsid w:val="2F503401"/>
    <w:rsid w:val="2F5A7DDB"/>
    <w:rsid w:val="2F725125"/>
    <w:rsid w:val="301B756B"/>
    <w:rsid w:val="307B44AD"/>
    <w:rsid w:val="30BC0D4E"/>
    <w:rsid w:val="30C6397A"/>
    <w:rsid w:val="30D23125"/>
    <w:rsid w:val="31232B7B"/>
    <w:rsid w:val="31CA749A"/>
    <w:rsid w:val="32B141B6"/>
    <w:rsid w:val="32D06D32"/>
    <w:rsid w:val="337376BE"/>
    <w:rsid w:val="33751F83"/>
    <w:rsid w:val="339A2E9C"/>
    <w:rsid w:val="347B2CCE"/>
    <w:rsid w:val="34F8431E"/>
    <w:rsid w:val="350E3B42"/>
    <w:rsid w:val="354970AA"/>
    <w:rsid w:val="35A346F4"/>
    <w:rsid w:val="35AB75E3"/>
    <w:rsid w:val="35C80195"/>
    <w:rsid w:val="35F32813"/>
    <w:rsid w:val="36257395"/>
    <w:rsid w:val="369167D9"/>
    <w:rsid w:val="36985DB9"/>
    <w:rsid w:val="36B349A1"/>
    <w:rsid w:val="3736112E"/>
    <w:rsid w:val="379522F8"/>
    <w:rsid w:val="37A12A4B"/>
    <w:rsid w:val="384B0C09"/>
    <w:rsid w:val="386715EC"/>
    <w:rsid w:val="38CA5FD2"/>
    <w:rsid w:val="39665CFB"/>
    <w:rsid w:val="396E6326"/>
    <w:rsid w:val="39D76BF8"/>
    <w:rsid w:val="3B1D688D"/>
    <w:rsid w:val="3B5A188F"/>
    <w:rsid w:val="3BC92571"/>
    <w:rsid w:val="3C8F37BA"/>
    <w:rsid w:val="3CEA6C43"/>
    <w:rsid w:val="3D8F1598"/>
    <w:rsid w:val="3DC6320C"/>
    <w:rsid w:val="3DD23BF8"/>
    <w:rsid w:val="3E6B3DB3"/>
    <w:rsid w:val="3F1E7077"/>
    <w:rsid w:val="3F32667F"/>
    <w:rsid w:val="3F4F7231"/>
    <w:rsid w:val="3FBD5D22"/>
    <w:rsid w:val="3FD339BE"/>
    <w:rsid w:val="400D3374"/>
    <w:rsid w:val="407F7DB6"/>
    <w:rsid w:val="40D17224"/>
    <w:rsid w:val="410B53D9"/>
    <w:rsid w:val="410B683E"/>
    <w:rsid w:val="414D77A0"/>
    <w:rsid w:val="41C31810"/>
    <w:rsid w:val="42AB3D39"/>
    <w:rsid w:val="42AE0712"/>
    <w:rsid w:val="42BF647C"/>
    <w:rsid w:val="42C910A8"/>
    <w:rsid w:val="42E87780"/>
    <w:rsid w:val="43014CE6"/>
    <w:rsid w:val="43147634"/>
    <w:rsid w:val="43234D3C"/>
    <w:rsid w:val="44507CD3"/>
    <w:rsid w:val="4488746D"/>
    <w:rsid w:val="45071C36"/>
    <w:rsid w:val="450B1E4C"/>
    <w:rsid w:val="459E05CA"/>
    <w:rsid w:val="45F36B68"/>
    <w:rsid w:val="464B69A4"/>
    <w:rsid w:val="46592743"/>
    <w:rsid w:val="467001B9"/>
    <w:rsid w:val="468E45CA"/>
    <w:rsid w:val="474E6020"/>
    <w:rsid w:val="478D08F6"/>
    <w:rsid w:val="48457423"/>
    <w:rsid w:val="49521DF7"/>
    <w:rsid w:val="498D2E30"/>
    <w:rsid w:val="498D72D3"/>
    <w:rsid w:val="4AE64EED"/>
    <w:rsid w:val="4B991F8E"/>
    <w:rsid w:val="4C575B4B"/>
    <w:rsid w:val="4D021D86"/>
    <w:rsid w:val="4D0A29E9"/>
    <w:rsid w:val="4D1D761A"/>
    <w:rsid w:val="4D1F6494"/>
    <w:rsid w:val="4D84279B"/>
    <w:rsid w:val="4FB37368"/>
    <w:rsid w:val="4FE37C4D"/>
    <w:rsid w:val="50377F99"/>
    <w:rsid w:val="51775121"/>
    <w:rsid w:val="51913BAF"/>
    <w:rsid w:val="519D3C8D"/>
    <w:rsid w:val="51BA546F"/>
    <w:rsid w:val="524D13AE"/>
    <w:rsid w:val="526D79AE"/>
    <w:rsid w:val="52A6046D"/>
    <w:rsid w:val="52D0326C"/>
    <w:rsid w:val="52D14A6E"/>
    <w:rsid w:val="52DC2732"/>
    <w:rsid w:val="53071EA5"/>
    <w:rsid w:val="53B06098"/>
    <w:rsid w:val="54216F96"/>
    <w:rsid w:val="54613836"/>
    <w:rsid w:val="54686973"/>
    <w:rsid w:val="5479292E"/>
    <w:rsid w:val="5483555B"/>
    <w:rsid w:val="54DD2341"/>
    <w:rsid w:val="558A0B6B"/>
    <w:rsid w:val="55B02A26"/>
    <w:rsid w:val="55CC1183"/>
    <w:rsid w:val="55CC2F32"/>
    <w:rsid w:val="564E7DEA"/>
    <w:rsid w:val="56D77DE0"/>
    <w:rsid w:val="577B4C0F"/>
    <w:rsid w:val="578C0BCA"/>
    <w:rsid w:val="579D764D"/>
    <w:rsid w:val="57AE6D93"/>
    <w:rsid w:val="57F95B34"/>
    <w:rsid w:val="585F1E3B"/>
    <w:rsid w:val="5870269E"/>
    <w:rsid w:val="58A43CF2"/>
    <w:rsid w:val="58D83B72"/>
    <w:rsid w:val="594A2AEB"/>
    <w:rsid w:val="596F42F4"/>
    <w:rsid w:val="59973856"/>
    <w:rsid w:val="5A366BCB"/>
    <w:rsid w:val="5AA61FA3"/>
    <w:rsid w:val="5ABA5A4E"/>
    <w:rsid w:val="5BEA2363"/>
    <w:rsid w:val="5C5A6DCB"/>
    <w:rsid w:val="5CB059CB"/>
    <w:rsid w:val="5E135BA1"/>
    <w:rsid w:val="5E1D07CE"/>
    <w:rsid w:val="5E5D506F"/>
    <w:rsid w:val="5EDB5D2F"/>
    <w:rsid w:val="5F3E6C4E"/>
    <w:rsid w:val="600532C8"/>
    <w:rsid w:val="60065292"/>
    <w:rsid w:val="601479AF"/>
    <w:rsid w:val="603D5158"/>
    <w:rsid w:val="60824919"/>
    <w:rsid w:val="61CD42B9"/>
    <w:rsid w:val="62487DE4"/>
    <w:rsid w:val="62572235"/>
    <w:rsid w:val="63A86D8C"/>
    <w:rsid w:val="63B8607E"/>
    <w:rsid w:val="63F55D49"/>
    <w:rsid w:val="642B176B"/>
    <w:rsid w:val="64EC0AC4"/>
    <w:rsid w:val="656C3DE9"/>
    <w:rsid w:val="66056B88"/>
    <w:rsid w:val="66C043ED"/>
    <w:rsid w:val="66E520A5"/>
    <w:rsid w:val="67281F65"/>
    <w:rsid w:val="67CB3049"/>
    <w:rsid w:val="67F73E3E"/>
    <w:rsid w:val="682B1D3A"/>
    <w:rsid w:val="687142E8"/>
    <w:rsid w:val="688047C9"/>
    <w:rsid w:val="689618A9"/>
    <w:rsid w:val="68C006D4"/>
    <w:rsid w:val="6905258B"/>
    <w:rsid w:val="69085BD7"/>
    <w:rsid w:val="69C2222A"/>
    <w:rsid w:val="6A0E36C1"/>
    <w:rsid w:val="6AE82164"/>
    <w:rsid w:val="6B2F38EF"/>
    <w:rsid w:val="6B797260"/>
    <w:rsid w:val="6BA3608B"/>
    <w:rsid w:val="6BAE515B"/>
    <w:rsid w:val="6BBE4C73"/>
    <w:rsid w:val="6BC77FCB"/>
    <w:rsid w:val="6BD15F74"/>
    <w:rsid w:val="6C445178"/>
    <w:rsid w:val="6C661592"/>
    <w:rsid w:val="6C6B28EF"/>
    <w:rsid w:val="6E2F3C06"/>
    <w:rsid w:val="6E4509E7"/>
    <w:rsid w:val="6E587601"/>
    <w:rsid w:val="6E6C1852"/>
    <w:rsid w:val="6EAB3BD4"/>
    <w:rsid w:val="6F6B5112"/>
    <w:rsid w:val="6FC50CC6"/>
    <w:rsid w:val="70904E30"/>
    <w:rsid w:val="70DF7B65"/>
    <w:rsid w:val="71E511AB"/>
    <w:rsid w:val="72824863"/>
    <w:rsid w:val="73AA26AC"/>
    <w:rsid w:val="74BC2325"/>
    <w:rsid w:val="74C7103C"/>
    <w:rsid w:val="74EC45FF"/>
    <w:rsid w:val="758D0D36"/>
    <w:rsid w:val="75A373B3"/>
    <w:rsid w:val="75E63744"/>
    <w:rsid w:val="76385A01"/>
    <w:rsid w:val="764C3ED4"/>
    <w:rsid w:val="76D31F1A"/>
    <w:rsid w:val="77DA1086"/>
    <w:rsid w:val="78510B7A"/>
    <w:rsid w:val="7853663B"/>
    <w:rsid w:val="787212BF"/>
    <w:rsid w:val="789E0306"/>
    <w:rsid w:val="78A551F0"/>
    <w:rsid w:val="794964C4"/>
    <w:rsid w:val="796B01E8"/>
    <w:rsid w:val="79F21380"/>
    <w:rsid w:val="79FC1788"/>
    <w:rsid w:val="79FF3026"/>
    <w:rsid w:val="7A1C5BF6"/>
    <w:rsid w:val="7A301431"/>
    <w:rsid w:val="7A432F13"/>
    <w:rsid w:val="7A4A160C"/>
    <w:rsid w:val="7A7C6425"/>
    <w:rsid w:val="7A7D6B78"/>
    <w:rsid w:val="7B4A02D1"/>
    <w:rsid w:val="7B62386D"/>
    <w:rsid w:val="7BB816DF"/>
    <w:rsid w:val="7BB9087B"/>
    <w:rsid w:val="7C352D2F"/>
    <w:rsid w:val="7C64195B"/>
    <w:rsid w:val="7C6661B1"/>
    <w:rsid w:val="7CBA4FE2"/>
    <w:rsid w:val="7D1868D9"/>
    <w:rsid w:val="7D1E0CF2"/>
    <w:rsid w:val="7D333C62"/>
    <w:rsid w:val="7D3D3F2A"/>
    <w:rsid w:val="7D641B1E"/>
    <w:rsid w:val="7DCA698F"/>
    <w:rsid w:val="7E004CB0"/>
    <w:rsid w:val="7E024E93"/>
    <w:rsid w:val="7E130E4E"/>
    <w:rsid w:val="7EB10D93"/>
    <w:rsid w:val="7EC5039A"/>
    <w:rsid w:val="7F4514DB"/>
    <w:rsid w:val="7FC0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qFormat/>
    <w:pPr>
      <w:spacing w:after="120"/>
    </w:pPr>
    <w:rPr>
      <w:rFonts w:ascii="Calibri" w:eastAsia="仿宋_GB2312" w:hAnsi="Calibri" w:cs="Times New Roman"/>
      <w:sz w:val="32"/>
    </w:rPr>
  </w:style>
  <w:style w:type="paragraph" w:styleId="5">
    <w:name w:val="toc 5"/>
    <w:basedOn w:val="a"/>
    <w:next w:val="a"/>
    <w:qFormat/>
    <w:pPr>
      <w:ind w:leftChars="800" w:left="1680"/>
    </w:pPr>
    <w:rPr>
      <w:rFonts w:ascii="Times New Roman" w:eastAsia="宋体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uiPriority w:val="99"/>
    <w:qFormat/>
    <w:pPr>
      <w:spacing w:after="120"/>
    </w:pPr>
    <w:rPr>
      <w:rFonts w:ascii="Calibri" w:eastAsia="仿宋_GB2312" w:hAnsi="Calibri" w:cs="Times New Roman"/>
      <w:sz w:val="32"/>
    </w:rPr>
  </w:style>
  <w:style w:type="paragraph" w:styleId="5">
    <w:name w:val="toc 5"/>
    <w:basedOn w:val="a"/>
    <w:next w:val="a"/>
    <w:qFormat/>
    <w:pPr>
      <w:ind w:leftChars="800" w:left="1680"/>
    </w:pPr>
    <w:rPr>
      <w:rFonts w:ascii="Times New Roman" w:eastAsia="宋体" w:hAnsi="Times New Roman" w:cs="Times New Roman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51">
    <w:name w:val="font5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71">
    <w:name w:val="font7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81">
    <w:name w:val="font8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2">
    <w:name w:val="font112"/>
    <w:basedOn w:val="a1"/>
    <w:qFormat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1170</Words>
  <Characters>152</Characters>
  <Application>Microsoft Office Word</Application>
  <DocSecurity>0</DocSecurity>
  <Lines>1</Lines>
  <Paragraphs>2</Paragraphs>
  <ScaleCrop>false</ScaleCrop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宗以晴</cp:lastModifiedBy>
  <cp:revision>2</cp:revision>
  <cp:lastPrinted>2024-06-14T07:06:00Z</cp:lastPrinted>
  <dcterms:created xsi:type="dcterms:W3CDTF">2024-05-20T09:37:00Z</dcterms:created>
  <dcterms:modified xsi:type="dcterms:W3CDTF">2024-06-14T08:29:00Z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8CAD192BCE0B4AED915FE7BAD237E2BE_13</vt:lpwstr>
  </property>
</Properties>
</file>