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spacing w:line="540" w:lineRule="exact"/>
        <w:jc w:val="center"/>
        <w:rPr>
          <w:rFonts w:ascii="方正仿宋_GBK" w:hAnsi="方正仿宋_GBK" w:eastAsia="方正仿宋_GBK" w:cs="方正仿宋_GBK"/>
          <w:sz w:val="32"/>
          <w:szCs w:val="32"/>
        </w:rPr>
      </w:pP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重庆市九龙坡区人民政府办公室</w:t>
      </w: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关于印发《重庆市九龙坡区推动公立医院高质量发展实施方案》的通知</w:t>
      </w:r>
    </w:p>
    <w:p>
      <w:pPr>
        <w:pStyle w:val="16"/>
      </w:pPr>
      <w:r>
        <w:rPr>
          <w:rFonts w:hint="eastAsia" w:ascii="方正仿宋_GBK"/>
        </w:rPr>
        <w:t>九龙坡府办发〔2022〕87号</w:t>
      </w:r>
    </w:p>
    <w:p>
      <w:pPr>
        <w:spacing w:line="600" w:lineRule="atLeast"/>
        <w:rPr>
          <w:rFonts w:ascii="Times New Roman" w:hAnsi="Times New Roman" w:eastAsia="宋体" w:cs="宋体"/>
          <w:sz w:val="44"/>
          <w:szCs w:val="44"/>
          <w:shd w:val="clear" w:color="auto" w:fill="FFFFFF"/>
        </w:rPr>
      </w:pPr>
    </w:p>
    <w:p>
      <w:pPr>
        <w:overflowPunct w:val="0"/>
        <w:adjustRightInd w:val="0"/>
        <w:snapToGrid w:val="0"/>
        <w:spacing w:line="600" w:lineRule="exact"/>
        <w:jc w:val="lef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 xml:space="preserve">区级各部门，有关单位： </w:t>
      </w:r>
    </w:p>
    <w:p>
      <w:pPr>
        <w:overflowPunct w:val="0"/>
        <w:adjustRightInd w:val="0"/>
        <w:snapToGrid w:val="0"/>
        <w:spacing w:line="600" w:lineRule="exact"/>
        <w:ind w:firstLine="640" w:firstLineChars="200"/>
        <w:jc w:val="lef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《重庆市九龙坡区推动公立医院高质量发展实施方案》已经</w:t>
      </w: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区第十九届人民政府第17次常务会议、十三届区委常委会第19次（扩大）会议审议通过，现印发给你们，请认真贯彻执行</w:t>
      </w:r>
      <w:r>
        <w:rPr>
          <w:rFonts w:ascii="Times New Roman" w:hAnsi="Times New Roman" w:eastAsia="方正仿宋_GBK" w:cs="方正仿宋_GBK"/>
          <w:kern w:val="0"/>
          <w:sz w:val="32"/>
          <w:szCs w:val="32"/>
          <w:shd w:val="clear" w:color="auto" w:fill="FFFFFF"/>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bookmarkStart w:id="1" w:name="_GoBack"/>
      <w:bookmarkEnd w:id="1"/>
    </w:p>
    <w:p>
      <w:pPr>
        <w:pStyle w:val="18"/>
        <w:wordWrap w:val="0"/>
      </w:pPr>
      <w:r>
        <w:rPr>
          <w:rFonts w:hint="eastAsia"/>
        </w:rPr>
        <w:t xml:space="preserve">重庆市九龙坡区人民政府办公室    </w:t>
      </w:r>
    </w:p>
    <w:p>
      <w:pPr>
        <w:pStyle w:val="18"/>
        <w:wordWrap w:val="0"/>
        <w:ind w:right="960"/>
        <w:rPr>
          <w:rFonts w:hint="eastAsia"/>
        </w:rPr>
      </w:pPr>
      <w:r>
        <w:rPr>
          <w:rFonts w:cs="Times New Roman"/>
        </w:rPr>
        <w:t>2022年</w:t>
      </w:r>
      <w:r>
        <w:rPr>
          <w:rFonts w:hint="eastAsia" w:cs="Times New Roman"/>
        </w:rPr>
        <w:t>6</w:t>
      </w:r>
      <w:r>
        <w:rPr>
          <w:rFonts w:cs="Times New Roman"/>
        </w:rPr>
        <w:t>月</w:t>
      </w:r>
      <w:r>
        <w:rPr>
          <w:rFonts w:hint="eastAsia" w:cs="Times New Roman"/>
        </w:rPr>
        <w:t>16</w:t>
      </w:r>
      <w:r>
        <w:rPr>
          <w:rFonts w:cs="Times New Roman"/>
        </w:rPr>
        <w:t>日</w:t>
      </w:r>
      <w:r>
        <w:rPr>
          <w:rFonts w:hint="eastAsia"/>
        </w:rPr>
        <w:t xml:space="preserve">    </w:t>
      </w:r>
    </w:p>
    <w:p>
      <w:pPr>
        <w:pStyle w:val="18"/>
        <w:keepNext w:val="0"/>
        <w:keepLines w:val="0"/>
        <w:pageBreakBefore w:val="0"/>
        <w:widowControl w:val="0"/>
        <w:kinsoku/>
        <w:wordWrap/>
        <w:overflowPunct/>
        <w:topLinePunct w:val="0"/>
        <w:autoSpaceDE/>
        <w:autoSpaceDN/>
        <w:bidi w:val="0"/>
        <w:adjustRightInd/>
        <w:snapToGrid/>
        <w:ind w:right="958" w:firstLine="640" w:firstLineChars="200"/>
        <w:jc w:val="both"/>
        <w:textAlignment w:val="auto"/>
        <w:rPr>
          <w:rFonts w:hint="eastAsia" w:eastAsia="方正仿宋_GBK"/>
          <w:lang w:eastAsia="zh-CN"/>
        </w:rPr>
      </w:pPr>
      <w:r>
        <w:rPr>
          <w:rFonts w:hint="eastAsia"/>
          <w:lang w:eastAsia="zh-CN"/>
        </w:rPr>
        <w:t>（此件公开发布）</w:t>
      </w:r>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18"/>
        <w:ind w:right="480"/>
      </w:pPr>
    </w:p>
    <w:p>
      <w:pPr>
        <w:spacing w:line="60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重庆市九龙坡区推动公立医院</w:t>
      </w:r>
    </w:p>
    <w:p>
      <w:pPr>
        <w:spacing w:line="60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高质量发展实施方案</w:t>
      </w:r>
    </w:p>
    <w:p>
      <w:pPr>
        <w:spacing w:line="540" w:lineRule="exact"/>
        <w:jc w:val="center"/>
        <w:rPr>
          <w:rFonts w:ascii="Times New Roman" w:hAnsi="Times New Roman" w:eastAsia="方正仿宋_GBK" w:cs="方正仿宋_GBK"/>
          <w:kern w:val="0"/>
          <w:sz w:val="32"/>
          <w:szCs w:val="32"/>
          <w:shd w:val="clear" w:color="auto" w:fill="FFFFFF"/>
        </w:rPr>
      </w:pPr>
    </w:p>
    <w:p>
      <w:pPr>
        <w:wordWrap w:val="0"/>
        <w:overflowPunct w:val="0"/>
        <w:adjustRightInd w:val="0"/>
        <w:snapToGrid w:val="0"/>
        <w:spacing w:line="600" w:lineRule="exact"/>
        <w:ind w:firstLine="640" w:firstLineChars="200"/>
        <w:rPr>
          <w:rFonts w:eastAsia="方正仿宋_GBK"/>
          <w:kern w:val="0"/>
          <w:sz w:val="32"/>
          <w:szCs w:val="32"/>
        </w:rPr>
      </w:pPr>
      <w:r>
        <w:rPr>
          <w:rFonts w:hint="eastAsia" w:eastAsia="方正仿宋_GBK" w:cs="方正仿宋_GBK"/>
          <w:kern w:val="0"/>
          <w:sz w:val="32"/>
          <w:szCs w:val="32"/>
        </w:rPr>
        <w:t>为贯彻落实国务院办公厅《关于推动公立医院高质量发展的意见》（国办发〔2021〕18号）、</w:t>
      </w:r>
      <w:r>
        <w:rPr>
          <w:rFonts w:hint="eastAsia" w:eastAsia="方正仿宋_GBK" w:cs="方正仿宋_GBK"/>
          <w:snapToGrid w:val="0"/>
          <w:kern w:val="0"/>
          <w:sz w:val="32"/>
          <w:szCs w:val="32"/>
        </w:rPr>
        <w:t>市人民政府办公厅《关于重庆市推动公立医院高质量发展实施方案的通知》（渝府办发〔2022〕5号）</w:t>
      </w:r>
      <w:r>
        <w:rPr>
          <w:rFonts w:hint="eastAsia" w:eastAsia="方正仿宋_GBK" w:cs="方正仿宋_GBK"/>
          <w:kern w:val="0"/>
          <w:sz w:val="32"/>
          <w:szCs w:val="32"/>
        </w:rPr>
        <w:t>精神，推动我区公立医院高质量发展，更好满足人民日益增长的医疗卫生服务需求，制定本实施方案。</w:t>
      </w:r>
    </w:p>
    <w:p>
      <w:pPr>
        <w:wordWrap w:val="0"/>
        <w:overflowPunct w:val="0"/>
        <w:adjustRightInd w:val="0"/>
        <w:snapToGrid w:val="0"/>
        <w:spacing w:line="600" w:lineRule="exact"/>
        <w:ind w:firstLine="640" w:firstLineChars="200"/>
        <w:rPr>
          <w:rFonts w:eastAsia="方正黑体_GBK"/>
          <w:kern w:val="0"/>
          <w:sz w:val="32"/>
          <w:szCs w:val="32"/>
        </w:rPr>
      </w:pPr>
      <w:r>
        <w:rPr>
          <w:rFonts w:eastAsia="方正黑体_GBK"/>
          <w:kern w:val="0"/>
          <w:sz w:val="32"/>
          <w:szCs w:val="32"/>
        </w:rPr>
        <w:t>一、总体要求</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eastAsia="方正楷体_GBK"/>
          <w:kern w:val="0"/>
          <w:sz w:val="32"/>
          <w:szCs w:val="32"/>
        </w:rPr>
        <w:t>（一）指导思想。</w:t>
      </w:r>
      <w:r>
        <w:rPr>
          <w:rFonts w:hint="eastAsia" w:eastAsia="方正仿宋_GBK" w:cs="方正仿宋_GBK"/>
          <w:kern w:val="0"/>
          <w:sz w:val="32"/>
          <w:szCs w:val="32"/>
        </w:rPr>
        <w:t>以习近平新时代中国特色社会主义思想为指导，全面贯彻党的十九大和十九届历次全会精神，深入贯彻落实习近平总书记对重庆提出的营造良好政治生态，坚持“两点”定位、“两地”“两高”目标，发挥“三个作用”和推动成渝地区双城经济圈建设等重要指示要求，</w:t>
      </w:r>
      <w:r>
        <w:rPr>
          <w:rFonts w:hint="eastAsia" w:eastAsia="方正仿宋_GBK" w:cs="方正仿宋_GBK"/>
          <w:color w:val="000000"/>
          <w:kern w:val="0"/>
          <w:sz w:val="32"/>
          <w:szCs w:val="32"/>
          <w:lang w:bidi="ar"/>
        </w:rPr>
        <w:t>按照“三高三宜三率先”宏伟愿景和“12345”发展思路，</w:t>
      </w:r>
      <w:r>
        <w:rPr>
          <w:rFonts w:hint="eastAsia" w:eastAsia="方正仿宋_GBK" w:cs="方正仿宋_GBK"/>
          <w:kern w:val="0"/>
          <w:sz w:val="32"/>
          <w:szCs w:val="32"/>
        </w:rPr>
        <w:t>坚持以人民健康为中心，加强公立医院主体地位，坚持政府主导、公益性主导、公立医院主导，坚持医防融合、平急结合、中西医并重，坚持分类指导、因地制宜、协同高效，</w:t>
      </w:r>
      <w:r>
        <w:rPr>
          <w:rFonts w:hint="eastAsia" w:eastAsia="方正仿宋_GBK" w:cs="方正仿宋_GBK"/>
          <w:color w:val="000000"/>
          <w:kern w:val="0"/>
          <w:sz w:val="32"/>
          <w:szCs w:val="32"/>
          <w:lang w:bidi="ar"/>
        </w:rPr>
        <w:t>以建设高质量医疗服务体系为主题，</w:t>
      </w:r>
      <w:r>
        <w:rPr>
          <w:rFonts w:hint="eastAsia" w:eastAsia="方正仿宋_GBK" w:cs="方正仿宋_GBK"/>
          <w:kern w:val="0"/>
          <w:sz w:val="32"/>
          <w:szCs w:val="32"/>
        </w:rPr>
        <w:t>以建立健全现代医院管理制度为目标，强化体系创新、技术创新、模式创新、管理创新，推动公立医院高质量发展。</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eastAsia="方正楷体_GBK"/>
          <w:kern w:val="0"/>
          <w:sz w:val="32"/>
          <w:szCs w:val="32"/>
        </w:rPr>
        <w:t>（二）总体目标。</w:t>
      </w:r>
      <w:r>
        <w:rPr>
          <w:rFonts w:hint="eastAsia" w:eastAsia="方正仿宋_GBK" w:cs="方正仿宋_GBK"/>
          <w:kern w:val="0"/>
          <w:sz w:val="32"/>
          <w:szCs w:val="32"/>
        </w:rPr>
        <w:t>到2025年，力争全区公立医院体系更加健全，基本建成体系完整、布局合理、分工明确、功能互补、密切协作、运行高效，与主城大区相匹配的公立医院高质量发展新体系；公立医院运行更加科学高效，发展方式从规模扩张转向提质增效，运行模式从粗放管理转向精细化管理，资源配置从注重物质要素转向更加注重人才技术要素；公立医院服务能力明显提升，为更好提供优质高效医疗卫生服务、防范化解重大疫情和突发公共卫生风险、推进健康中国九龙坡行动提供有力支撑。</w:t>
      </w:r>
    </w:p>
    <w:p>
      <w:pPr>
        <w:wordWrap w:val="0"/>
        <w:overflowPunct w:val="0"/>
        <w:adjustRightInd w:val="0"/>
        <w:snapToGrid w:val="0"/>
        <w:spacing w:line="600" w:lineRule="exact"/>
        <w:ind w:firstLine="640" w:firstLineChars="200"/>
        <w:rPr>
          <w:rFonts w:eastAsia="方正黑体_GBK"/>
          <w:kern w:val="0"/>
          <w:sz w:val="32"/>
          <w:szCs w:val="32"/>
        </w:rPr>
      </w:pPr>
      <w:r>
        <w:rPr>
          <w:rFonts w:eastAsia="方正黑体_GBK"/>
          <w:kern w:val="0"/>
          <w:sz w:val="32"/>
          <w:szCs w:val="32"/>
        </w:rPr>
        <w:t>二、重点任务</w:t>
      </w:r>
    </w:p>
    <w:p>
      <w:pPr>
        <w:wordWrap w:val="0"/>
        <w:overflowPunct w:val="0"/>
        <w:adjustRightInd w:val="0"/>
        <w:snapToGrid w:val="0"/>
        <w:spacing w:line="600" w:lineRule="exact"/>
        <w:ind w:firstLine="640" w:firstLineChars="200"/>
        <w:rPr>
          <w:rFonts w:eastAsia="方正楷体_GBK"/>
          <w:kern w:val="0"/>
          <w:sz w:val="32"/>
          <w:szCs w:val="32"/>
        </w:rPr>
      </w:pPr>
      <w:r>
        <w:rPr>
          <w:rFonts w:eastAsia="方正楷体_GBK"/>
          <w:kern w:val="0"/>
          <w:sz w:val="32"/>
          <w:szCs w:val="32"/>
        </w:rPr>
        <w:t>（一）构建公立医院高质量发展新体系</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推进区域医疗中心建设。大力加强医疗资源整合，推进集团化办医，优化资源配置，发挥龙头作用，形成片区带动，加强基础建设，完成区人民医院、区中医院迁建项目，将区人民医院、区中医院建设成为区域医疗中心。以“基卫打底、公卫发力、卫技提质”为重点，强化“三卫联动”，把社区卫生服务中心、镇卫生院打造成为政府履行基本卫生健康服务、全科医生执业、市场资源整合、医养结合支持的综合性平台。优化多元办医格局，推进社会办医与公立医疗机构协同发展。</w:t>
      </w:r>
    </w:p>
    <w:p>
      <w:pPr>
        <w:wordWrap w:val="0"/>
        <w:overflowPunct w:val="0"/>
        <w:adjustRightInd w:val="0"/>
        <w:snapToGrid w:val="0"/>
        <w:spacing w:line="600" w:lineRule="exact"/>
        <w:ind w:firstLine="640" w:firstLineChars="200"/>
        <w:rPr>
          <w:rFonts w:eastAsia="方正仿宋_GBK" w:cs="方正仿宋_GBK"/>
          <w:snapToGrid w:val="0"/>
          <w:kern w:val="0"/>
          <w:sz w:val="32"/>
          <w:szCs w:val="32"/>
        </w:rPr>
      </w:pPr>
      <w:r>
        <w:rPr>
          <w:rFonts w:hint="eastAsia" w:eastAsia="方正仿宋_GBK" w:cs="方正仿宋_GBK"/>
          <w:kern w:val="0"/>
          <w:sz w:val="32"/>
          <w:szCs w:val="32"/>
        </w:rPr>
        <w:t>2.</w:t>
      </w:r>
      <w:r>
        <w:rPr>
          <w:rFonts w:hint="eastAsia" w:eastAsia="方正仿宋_GBK" w:cs="方正仿宋_GBK"/>
          <w:snapToGrid w:val="0"/>
          <w:spacing w:val="-6"/>
          <w:kern w:val="0"/>
          <w:sz w:val="32"/>
          <w:szCs w:val="32"/>
        </w:rPr>
        <w:t>推动区属公立医院综合服务能力提升。依托区人民医院和区中医院，建设区域内卒中、胸痛、咯血、创伤、危重孕产妇救治、危重儿童和新生儿救治等“六大中心”。依托重庆建设医院、高新区人民医院、区中西医结合医院、市第十三人民医院、国药西南铝医院、重庆渝西医院，加强肿瘤、心脑血管、呼吸、消化、老年病、感染和康复等专科能力建设。依托区中医院、区中西医结合医院，巩固提升区中医院“三甲中医院”建设成果，建设中医特色重点医院、中西医协同“旗舰”医院；力争区人民医院达到三级综合医院建设标准；区妇幼保健院达到二级妇幼保健院建设标准。</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3.试点实施公立医院分类发展改革。鼓励医疗卫生多元化发展，探索与国有企业合作，在不改变办医性质的前提下共同推进公立医院分类发展。推进区二院与重庆西区医院医疗合作，实现医疗服务综合能力提升。</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4.健全重大疫情救治体系。疾控机构、医疗机构、基层医疗机构各司其职、互相合作、共同管理，强化医共体内医防融合，加强公立医院公共卫生职能，促进医共体成员单位与专业公共卫生机构的分工协作和业务融合，逐步建立“三位一体”的防治体系。实施疾控能力及重大传染病医疗救治能力提升工程，完成区疾控中心扩建项目，建设区域检验检测中心，争创三级甲等疾控中心，打造区县示范标杆。提升公立综合医院传染病救治能力，加强感染性疾病科和发热门诊建设，建立中医疫病防治队伍，发生重大疫情时迅速转换功能。基层医疗卫生机构承担辖区内居民的筛查、分诊、转诊以及隔离观察等工作，并为辖区内居民提供健康知识宣教，组织群防群控。</w:t>
      </w:r>
    </w:p>
    <w:p>
      <w:pPr>
        <w:wordWrap w:val="0"/>
        <w:overflowPunct w:val="0"/>
        <w:adjustRightInd w:val="0"/>
        <w:snapToGrid w:val="0"/>
        <w:spacing w:line="600" w:lineRule="exact"/>
        <w:ind w:firstLine="640" w:firstLineChars="200"/>
        <w:rPr>
          <w:rFonts w:eastAsia="方正仿宋_GBK" w:cs="方正仿宋_GBK"/>
          <w:spacing w:val="-6"/>
          <w:kern w:val="0"/>
          <w:sz w:val="32"/>
          <w:szCs w:val="32"/>
        </w:rPr>
      </w:pPr>
      <w:r>
        <w:rPr>
          <w:rFonts w:hint="eastAsia" w:eastAsia="方正仿宋_GBK" w:cs="方正仿宋_GBK"/>
          <w:kern w:val="0"/>
          <w:sz w:val="32"/>
          <w:szCs w:val="32"/>
        </w:rPr>
        <w:t>5.</w:t>
      </w:r>
      <w:r>
        <w:rPr>
          <w:rFonts w:hint="eastAsia" w:eastAsia="方正仿宋_GBK" w:cs="方正仿宋_GBK"/>
          <w:spacing w:val="-6"/>
          <w:kern w:val="0"/>
          <w:sz w:val="32"/>
          <w:szCs w:val="32"/>
        </w:rPr>
        <w:t>推进医共体“三通”建设。深化医共体</w:t>
      </w:r>
      <w:r>
        <w:rPr>
          <w:rStyle w:val="20"/>
          <w:rFonts w:hint="eastAsia" w:ascii="Times New Roman" w:hAnsi="Times New Roman" w:eastAsia="方正仿宋_GBK" w:cs="方正仿宋_GBK"/>
          <w:spacing w:val="-6"/>
          <w:kern w:val="0"/>
          <w:sz w:val="32"/>
          <w:szCs w:val="32"/>
        </w:rPr>
        <w:t>纵向联合，</w:t>
      </w:r>
      <w:r>
        <w:rPr>
          <w:rFonts w:hint="eastAsia" w:eastAsia="方正仿宋_GBK" w:cs="方正仿宋_GBK"/>
          <w:spacing w:val="-6"/>
          <w:kern w:val="0"/>
          <w:sz w:val="32"/>
          <w:szCs w:val="32"/>
          <w:lang w:val="zh-CN"/>
        </w:rPr>
        <w:t>网格化</w:t>
      </w:r>
      <w:r>
        <w:rPr>
          <w:rFonts w:hint="eastAsia" w:eastAsia="方正仿宋_GBK" w:cs="方正仿宋_GBK"/>
          <w:spacing w:val="-6"/>
          <w:kern w:val="0"/>
          <w:sz w:val="32"/>
          <w:szCs w:val="32"/>
        </w:rPr>
        <w:t>形成</w:t>
      </w:r>
      <w:r>
        <w:rPr>
          <w:rFonts w:hint="eastAsia" w:eastAsia="方正仿宋_GBK" w:cs="方正仿宋_GBK"/>
          <w:snapToGrid w:val="0"/>
          <w:spacing w:val="-6"/>
          <w:kern w:val="0"/>
          <w:sz w:val="32"/>
          <w:szCs w:val="32"/>
        </w:rPr>
        <w:t>“6+N”医共体布局</w:t>
      </w:r>
      <w:r>
        <w:rPr>
          <w:rFonts w:hint="eastAsia" w:eastAsia="方正仿宋_GBK" w:cs="方正仿宋_GBK"/>
          <w:spacing w:val="-6"/>
          <w:kern w:val="0"/>
          <w:sz w:val="32"/>
          <w:szCs w:val="32"/>
        </w:rPr>
        <w:t>。健全医共体“三通”运行机制，完善相关政策，建立医共体运行监测和绩效评价体系，推进技术、人员下沉，强化资产管理，实现“医通、人通、财通”。区人民医院牵头组建全区儿科联盟，加入全市儿科联盟，提升儿科重大疾病救治能力。区中医院牵头组建全区中医联盟，突出中医药特色优势，推进中医药在慢病治疗、日常保健和康复等方面作用。制定医共体内医疗质量标准，确保医疗质量统一管理。推进以家庭医生为纽带的医防融合服务模式，加强基层医疗卫生机构绩效管理，实施基层医保支付改革和医疗服务价格调整。推进“互联网+医疗”应用。</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6.推进与成都市新都区医疗协作。建立公共卫生协同服务机制。建立跨区域基层卫生政策互通机制，建立跨区域基本公共卫生服务、家庭医生签约服务交流机制和基层医务人员培训机制。加强卫生人才交流培养。推动两地优质医院开展远程医疗协作，和优质卫生资源共享。共建医疗专家库，在等级医院评审、医疗质控、医院巡查等方面共享专家资源。全面深化中医药创新协作。推进中医临床研究基地、中医药重点研究室、重点学（专）科、中医专科联盟建设。</w:t>
      </w:r>
    </w:p>
    <w:p>
      <w:pPr>
        <w:wordWrap w:val="0"/>
        <w:overflowPunct w:val="0"/>
        <w:adjustRightInd w:val="0"/>
        <w:snapToGrid w:val="0"/>
        <w:spacing w:line="600" w:lineRule="exact"/>
        <w:ind w:firstLine="640" w:firstLineChars="200"/>
        <w:rPr>
          <w:rFonts w:eastAsia="方正楷体_GBK"/>
          <w:kern w:val="0"/>
          <w:sz w:val="32"/>
          <w:szCs w:val="32"/>
        </w:rPr>
      </w:pPr>
      <w:r>
        <w:rPr>
          <w:rFonts w:eastAsia="方正楷体_GBK"/>
          <w:kern w:val="0"/>
          <w:sz w:val="32"/>
          <w:szCs w:val="32"/>
        </w:rPr>
        <w:t>（二）引领公立医院高质量发展新趋势</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7.加强临床专科学科建设。以满足重大疾病临床需求为导向，创建一批市级临床重点专科，重点发展儿科、急诊、呼吸、重症、中医皮肤、针灸等高水平临床专科；加大肿瘤、妇产等薄弱专科建设。持续改进落实医疗质量管理体系和标准体系，提高公立医院医疗服务同质化水平。突出中医骨伤科国家中医重点专科优势，积极争取区中医院挂牌重庆中医药学院附属医院。</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8.提升医学技术创新能力。加强基础和临床研究，加大对基础研究和应用基础研究的投入力度，医院科研经费投入占业务收入的比重不低于全市研发投入强度。支持开展疑难重症等诊疗技术攻关，组织实施一批科技创新项目。深化科技成果使用权、处置权、收益权改革，推动科技成果转化，所获收益主要用于对作出重要贡献的人员给予奖励。健全职务发明制度。加快发展商业健康保险，促进医疗新技术进入临床使用。</w:t>
      </w:r>
    </w:p>
    <w:p>
      <w:pPr>
        <w:wordWrap w:val="0"/>
        <w:overflowPunct w:val="0"/>
        <w:adjustRightInd w:val="0"/>
        <w:snapToGrid w:val="0"/>
        <w:spacing w:line="600" w:lineRule="exact"/>
        <w:ind w:firstLine="640" w:firstLineChars="200"/>
        <w:rPr>
          <w:rFonts w:eastAsia="方正仿宋_GBK" w:cs="方正仿宋_GBK"/>
          <w:spacing w:val="-6"/>
          <w:kern w:val="0"/>
          <w:sz w:val="32"/>
          <w:szCs w:val="32"/>
        </w:rPr>
      </w:pPr>
      <w:r>
        <w:rPr>
          <w:rFonts w:hint="eastAsia" w:eastAsia="方正仿宋_GBK" w:cs="方正仿宋_GBK"/>
          <w:kern w:val="0"/>
          <w:sz w:val="32"/>
          <w:szCs w:val="32"/>
        </w:rPr>
        <w:t>9.</w:t>
      </w:r>
      <w:r>
        <w:rPr>
          <w:rFonts w:hint="eastAsia" w:eastAsia="方正仿宋_GBK" w:cs="方正仿宋_GBK"/>
          <w:spacing w:val="-6"/>
          <w:kern w:val="0"/>
          <w:sz w:val="32"/>
          <w:szCs w:val="32"/>
        </w:rPr>
        <w:t>推进医疗服务模式创新。全面实施多学科诊疗模式，二级及以上医疗机构开设多学科诊疗门诊。在三级医院和有条件的二级医院大力推行日间手术，逐步提高日间手术占择期手术的比例。深化优质护理服务建设成果，加强护理队伍建设，提高医疗护理水平，开展“互联网+护理”服务，推动无陪护病房试点。在二级及以上医疗机构大力推动临床药学改革，深入推进医共体内上下级医疗机构用药衔接。大力推进院前医疗急救网络建设，完善“120”调度指挥信息系统，提升院前医疗急救服务能力。完善综合医院、妇幼保健院中西医会诊制度，建立中西医临床协作长效机制，实施重大疑难疾病中西医临床协作试点。加强医疗机构院感管理，配齐配强院感工作人员，加大院感巡查督导工作力度。</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10.强化信息化支撑作用。以“九龙坡云医院”平台为载体，大力发展远程医疗和互联网诊疗。推动云计算、大数据、物联网、区块链、5G等信息技术与医疗服务深度融合。推进全民健康信息平台标准化改造，完善电子病历、健康档案等医疗资源库，强化医疗服务监测应用。加大公立医院“互联网医院”和“智慧医院”建设力度，深化智慧医疗服务，区人民医院和区中医院达到“智慧医院”三级及以上水平。支持公立医院建立医学检验、医学影像、心电诊断等中心，开展智能医疗设备和智能辅助诊疗系统应用。积极融入全市医学影像“无胶片”城市建设。鼓励辖区公立医院推进“互联网+药品流通”试点， 探索处方信息与药品零售消费信息互联互通。</w:t>
      </w:r>
    </w:p>
    <w:p>
      <w:pPr>
        <w:wordWrap w:val="0"/>
        <w:overflowPunct w:val="0"/>
        <w:adjustRightInd w:val="0"/>
        <w:snapToGrid w:val="0"/>
        <w:spacing w:line="600" w:lineRule="exact"/>
        <w:ind w:firstLine="640" w:firstLineChars="200"/>
        <w:rPr>
          <w:rFonts w:eastAsia="方正楷体_GBK"/>
          <w:kern w:val="0"/>
          <w:sz w:val="32"/>
          <w:szCs w:val="32"/>
        </w:rPr>
      </w:pPr>
      <w:r>
        <w:rPr>
          <w:rFonts w:eastAsia="方正楷体_GBK"/>
          <w:kern w:val="0"/>
          <w:sz w:val="32"/>
          <w:szCs w:val="32"/>
        </w:rPr>
        <w:t>（三）提升公立医院高质量发展新效能</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11.加强医院运营管理。健全医院运营管理组织架构，整合业务资源系统，完善各项规章制度。建立医院运营管理决策支持系统，推动医院运营管理的科学化、规范化、精细化。鼓励有条件的医院推进总会计师制度建设。按照全市统一部署，积极</w:t>
      </w:r>
      <w:r>
        <w:rPr>
          <w:rFonts w:hint="eastAsia" w:eastAsia="方正仿宋_GBK" w:cs="方正仿宋_GBK"/>
          <w:color w:val="000000"/>
          <w:kern w:val="0"/>
          <w:sz w:val="32"/>
          <w:szCs w:val="32"/>
        </w:rPr>
        <w:t>开展按疾病诊</w:t>
      </w:r>
      <w:r>
        <w:rPr>
          <w:rFonts w:hint="eastAsia" w:eastAsia="方正仿宋_GBK" w:cs="方正仿宋_GBK"/>
          <w:kern w:val="0"/>
          <w:sz w:val="32"/>
          <w:szCs w:val="32"/>
        </w:rPr>
        <w:t>断相关分组（DRG）试</w:t>
      </w:r>
      <w:r>
        <w:rPr>
          <w:rFonts w:hint="eastAsia" w:eastAsia="方正仿宋_GBK" w:cs="方正仿宋_GBK"/>
          <w:color w:val="000000"/>
          <w:kern w:val="0"/>
          <w:sz w:val="32"/>
          <w:szCs w:val="32"/>
        </w:rPr>
        <w:t>点</w:t>
      </w:r>
      <w:r>
        <w:rPr>
          <w:rFonts w:hint="eastAsia" w:eastAsia="方正仿宋_GBK" w:cs="方正仿宋_GBK"/>
          <w:kern w:val="0"/>
          <w:sz w:val="32"/>
          <w:szCs w:val="32"/>
        </w:rPr>
        <w:t>，对医院CMI（病例组合指数）、成本产出、医生绩效等进行监测评价。优化医院收入结构，加强医院债务管理，逐步降低医院负债水平。</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12.加强全面预算管理。以医院战略发展规划和年度计划目标为依据，实行全口径、全过程、全员性、全方位预算管理，所有收支全部纳入预算范围，强化预算约束，促进资源有效分配和使用。建立健全财务报告、第三方审计和信息公开机制，定期公开医院相关财务信息，主动接受社会监督。</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13.完善内部控制制度。以业务管理和经济管理的重大风险、重大事件、重要流程为重点，开展风险评估和内部控制评价，防范财务风险、医疗风险、法律风险和廉政风险。强化成本核算与控制，逐步实行医院全成本核算。强化成本消耗关键环节的流程管理，降低万元收入能耗支出。推广医院后勤“一站式”服务。</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14.健全绩效评价机制。全面开展二、三级公立医院绩效考核，持续优化绩效考核指标体系，坚持和强化公益性导向，将考核结果作为财政投入、领导干部任免、医保总额测算、绩效总量核定的重要参考依据。改革公立医院内部绩效考核办法，以聘用合同为依据，以岗位职责完成情况为重点，将考核结果与薪酬分配挂钩。完善医共体绩效考核制度，促进资源下沉，提高基层服务能力和居民健康水平。</w:t>
      </w:r>
    </w:p>
    <w:p>
      <w:pPr>
        <w:wordWrap w:val="0"/>
        <w:overflowPunct w:val="0"/>
        <w:adjustRightInd w:val="0"/>
        <w:snapToGrid w:val="0"/>
        <w:spacing w:line="600" w:lineRule="exact"/>
        <w:ind w:firstLine="640" w:firstLineChars="200"/>
        <w:rPr>
          <w:rFonts w:eastAsia="方正楷体_GBK"/>
          <w:kern w:val="0"/>
          <w:sz w:val="32"/>
          <w:szCs w:val="32"/>
        </w:rPr>
      </w:pPr>
      <w:r>
        <w:rPr>
          <w:rFonts w:eastAsia="方正楷体_GBK"/>
          <w:kern w:val="0"/>
          <w:sz w:val="32"/>
          <w:szCs w:val="32"/>
        </w:rPr>
        <w:t>（四）激活公立医院高质量发展新动力</w:t>
      </w:r>
    </w:p>
    <w:p>
      <w:pPr>
        <w:wordWrap w:val="0"/>
        <w:overflowPunct w:val="0"/>
        <w:adjustRightInd w:val="0"/>
        <w:snapToGrid w:val="0"/>
        <w:spacing w:line="600" w:lineRule="exact"/>
        <w:ind w:firstLine="640" w:firstLineChars="200"/>
        <w:rPr>
          <w:rFonts w:eastAsia="方正仿宋_GBK" w:cs="方正仿宋_GBK"/>
          <w:snapToGrid w:val="0"/>
          <w:kern w:val="0"/>
          <w:sz w:val="32"/>
          <w:szCs w:val="32"/>
        </w:rPr>
      </w:pPr>
      <w:r>
        <w:rPr>
          <w:rFonts w:hint="eastAsia" w:eastAsia="方正仿宋_GBK" w:cs="方正仿宋_GBK"/>
          <w:kern w:val="0"/>
          <w:sz w:val="32"/>
          <w:szCs w:val="32"/>
        </w:rPr>
        <w:t>15.</w:t>
      </w:r>
      <w:r>
        <w:rPr>
          <w:rFonts w:hint="eastAsia" w:eastAsia="方正仿宋_GBK" w:cs="方正仿宋_GBK"/>
          <w:snapToGrid w:val="0"/>
          <w:kern w:val="0"/>
          <w:sz w:val="32"/>
          <w:szCs w:val="32"/>
        </w:rPr>
        <w:t>改革人事管理制度。深入推进公立医院人员总量备案管理，试点医院人员总量规模和使用计划实行动态调整，稳步扩大试点范围。落实公立医院用人自主权，对编制内外人员待遇统筹考虑。落实岗位管理制度，按照医、护、药、技、管等不同类别合理设置岗位，科学编制岗位责任书，健全岗位设置动态调整机制。优化岗位聘用考核机制，加强人员聘后管理，推动建立竞争择优、能上能下工作机制。增加护士配备，逐步使公立医院医护比总体达到1:2左右。</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16.</w:t>
      </w:r>
      <w:r>
        <w:rPr>
          <w:rFonts w:hint="eastAsia" w:eastAsia="方正仿宋_GBK" w:cs="方正仿宋_GBK"/>
          <w:spacing w:val="-6"/>
          <w:kern w:val="0"/>
          <w:sz w:val="32"/>
          <w:szCs w:val="32"/>
        </w:rPr>
        <w:t>改革薪酬分配制度。落实“允许医疗卫生机构突破现行事业单位工资调控水平，允许医疗服务收入扣除成本并按规定提取各项基金后主要用于人员奖励”要求，全面推开公立医院薪酬制度改革，合理确定、动态调整公立医院薪酬水平，合理确定人员支出占公立医院业务支出的比例。建立主要体现岗位职责和知识价值的薪酬体系，实行以岗定责、以岗定薪、责薪相适、考核兑现。在核定的绩效工资总量内，公立医院可采取多种方式自主分配，可自主设立体现医疗行业特点、劳动特点和岗位价值的绩效工资项目。探索实行年薪制、协议工资制、项目工资等灵活多样的分配形式。</w:t>
      </w:r>
    </w:p>
    <w:p>
      <w:pPr>
        <w:wordWrap w:val="0"/>
        <w:overflowPunct w:val="0"/>
        <w:adjustRightInd w:val="0"/>
        <w:snapToGrid w:val="0"/>
        <w:spacing w:line="600" w:lineRule="exact"/>
        <w:ind w:firstLine="640" w:firstLineChars="200"/>
        <w:rPr>
          <w:rFonts w:eastAsia="方正仿宋_GBK" w:cs="方正仿宋_GBK"/>
          <w:snapToGrid w:val="0"/>
          <w:spacing w:val="-6"/>
          <w:kern w:val="0"/>
          <w:sz w:val="32"/>
          <w:szCs w:val="32"/>
        </w:rPr>
      </w:pPr>
      <w:r>
        <w:rPr>
          <w:rFonts w:hint="eastAsia" w:eastAsia="方正仿宋_GBK" w:cs="方正仿宋_GBK"/>
          <w:kern w:val="0"/>
          <w:sz w:val="32"/>
          <w:szCs w:val="32"/>
        </w:rPr>
        <w:t>17.</w:t>
      </w:r>
      <w:r>
        <w:rPr>
          <w:rFonts w:hint="eastAsia" w:eastAsia="方正仿宋_GBK" w:cs="方正仿宋_GBK"/>
          <w:snapToGrid w:val="0"/>
          <w:spacing w:val="-6"/>
          <w:kern w:val="0"/>
          <w:sz w:val="32"/>
          <w:szCs w:val="32"/>
        </w:rPr>
        <w:t>健全医务人员培养引进和评价制度。加入国家、市、区县三级人才培养项目体系。加大顶尖人才及团队引进力度，扩大公立医院引才自主权。落实住院医师、专科医师规范化培训和继续医学教育制度，加强中医药师承教育，培养中西医结合人才。加强紧缺护理专业护士的培养培训，推动护理岗位科学管理。改革完善人才评价机制，坚持分层分类评价，合理设置评价标准，建立完善以医德、能力、业绩为重点的人才评价体系，完善临床工作数量和质量指标，探索实行成果代表作制度，淡化论文数量要求。</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18.深化医疗服务价格改革。按全市统一部署，实行医疗服务价格动态调整机制，稳妥有序调整医疗服务价格，理顺比价关系，优化医院收入结构，逐步提高公立医院医疗服务收入（不含药品、耗材、检查、化验收入）占医疗收入比例。按照鼓励创新和使用适宜技术相结合的原则，加快审核新增医疗服务价格项目。进一步规范医疗服务价格项目管理，加强医疗服务价格监测评估和监督检查，强化公立医疗机构医疗服务成本核算。</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19.深化医保支付方式改革。按全市统一部署，探索以按病种付费为主的多元复合式医保支付方式，落实紧密型区县域医共体总额付费政策。科学制定医保总额预算，规范医保协议管理，明确结算时限，细化结算规则，探索按床日、按人头付费。推动公立医院积极参与国家、市级药品和医用耗材集中采购使用改革，落实医保资金结余留用政策。落实国家符合中医药特点的医保支付方式，推动中医优势病种按病种付费，鼓励中医与对应的西医病种实现“同病同效同价”。</w:t>
      </w:r>
    </w:p>
    <w:p>
      <w:pPr>
        <w:wordWrap w:val="0"/>
        <w:overflowPunct w:val="0"/>
        <w:adjustRightInd w:val="0"/>
        <w:snapToGrid w:val="0"/>
        <w:spacing w:line="600" w:lineRule="exact"/>
        <w:ind w:firstLine="640" w:firstLineChars="200"/>
        <w:rPr>
          <w:rFonts w:eastAsia="方正楷体_GBK"/>
          <w:kern w:val="0"/>
          <w:sz w:val="32"/>
          <w:szCs w:val="32"/>
        </w:rPr>
      </w:pPr>
      <w:r>
        <w:rPr>
          <w:rFonts w:eastAsia="方正楷体_GBK"/>
          <w:kern w:val="0"/>
          <w:sz w:val="32"/>
          <w:szCs w:val="32"/>
        </w:rPr>
        <w:t>（五）建设公立医院高质量发展新文化</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20.</w:t>
      </w:r>
      <w:r>
        <w:rPr>
          <w:rFonts w:hint="eastAsia" w:eastAsia="方正仿宋_GBK" w:cs="方正仿宋_GBK"/>
          <w:spacing w:val="-6"/>
          <w:kern w:val="0"/>
          <w:sz w:val="32"/>
          <w:szCs w:val="32"/>
        </w:rPr>
        <w:t>坚持以患者为中心。巩固医改便民长效机制，持续改善医疗服务。2022年底前，预约诊疗率三级医院达50%以上、二级医院达30%以上，实现市内同级医院间、医共体内及川渝两地二级以上公立医院检查检验结果互认。建设患者服务中心等集成式服务单元，开展诊间（床旁）结算。建设老年友善医院，二级以上综合公立医院全部设置老年医学科，开设老年人综合服务门诊，开展公益慈善和社工、志愿者服务。深入推进“美丽医院”建设。</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21.加强医院文化建设。结合“忠诚、修德、精医、敬业、为民”的“九龙医生”职业精神，挖掘医院文化底蕴，凝练升华医院的文化精神、管理理念和核心价值观，深化医院党建品牌建设，支持建设院史馆、医院文化墙（长廊）等。大力弘扬伟大抗疫精神和崇高职业精神，加强医德医风建设。</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22.关心关爱医务人员。推动保护关心爱护医务人员长效机制落实，开展“守护天使”关心关爱行动。改善医务人员工作环境和条件，维护医务人员合法权益。鼓励公立医院通过设立青年学习基金等多种方式，关心年轻医务人员成长。健全职工关爱帮扶机制，建立医务人员职业荣誉制度。推进“平安医院”建设，健全完善医疗纠纷预防和处理机制，依法严厉打击医闹、暴力伤医等涉医违法犯罪行为，坚决保护医务人员安全。</w:t>
      </w:r>
    </w:p>
    <w:p>
      <w:pPr>
        <w:wordWrap w:val="0"/>
        <w:overflowPunct w:val="0"/>
        <w:adjustRightInd w:val="0"/>
        <w:snapToGrid w:val="0"/>
        <w:spacing w:line="600" w:lineRule="exact"/>
        <w:ind w:firstLine="640" w:firstLineChars="200"/>
        <w:rPr>
          <w:rFonts w:eastAsia="方正楷体_GBK"/>
          <w:kern w:val="0"/>
          <w:sz w:val="32"/>
          <w:szCs w:val="32"/>
        </w:rPr>
      </w:pPr>
      <w:r>
        <w:rPr>
          <w:rFonts w:eastAsia="方正楷体_GBK"/>
          <w:kern w:val="0"/>
          <w:sz w:val="32"/>
          <w:szCs w:val="32"/>
        </w:rPr>
        <w:t>（六）坚持和加强党对公立医院的全面领导</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23.全面落实党委领导下的院长负责制。全面落实《重庆市委办公厅关于加强公立医院党的建设工作的实施意见》《区委办公室关于加强全区公立医院党的建设工作的实施意见》等文件精神，把党的领导融入医院治理全过程各方面各环节。建立党委领导下的院长负责制执行情况报告制度，各区属公立医院修订完善医院党委会、院长办公会议事规则，备案率达100%。</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24.加强领导班子和干部人才队伍建设。根据干部管理权限，稳妥有序做好医院党委书记、院长分设，选优配强医院领导班子。坚持中央、市委、区委党管干部原则，医院党委要按照干部选拔任用有关规定，结合实际，制定实施医院内部组织机构负责人选拔任用具体办法。坚持党管人才原则，建立党委定期研究人才工作制度，将人才工作纳入公立医院绩效目标考核。建立党委联系服务专家制度，1名领导班子成员至少联系1名专家。</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25.提升公立医院党组织和党员队伍建设质量。推进党支部标准化规范化建设。院级层面建立党支部参与重大事项讨论决策的制度机制，把好政治关、医德医风关。实施党支部书记“双带头人”培育工程。建立健全把业务骨干培养成党员、把党员培养成业务骨干的“双培养”机制。</w:t>
      </w:r>
    </w:p>
    <w:p>
      <w:pPr>
        <w:wordWrap w:val="0"/>
        <w:overflowPunct w:val="0"/>
        <w:adjustRightInd w:val="0"/>
        <w:snapToGrid w:val="0"/>
        <w:spacing w:line="60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26.落实公立医院党建工作责任。公立医院党委承担党建工作主体责任，党委书记是党建工作第一责任人，领导班子其他成员落实“一岗双责”。开展公立医院党组织书记抓基层党建述职评议考核，把党建工作成效纳入医院等级评定和巡视巡察工作内容，作为年度考核和干部选拔任用的重要依据。</w:t>
      </w:r>
    </w:p>
    <w:p>
      <w:pPr>
        <w:wordWrap w:val="0"/>
        <w:overflowPunct w:val="0"/>
        <w:adjustRightInd w:val="0"/>
        <w:snapToGrid w:val="0"/>
        <w:spacing w:line="600" w:lineRule="exact"/>
        <w:ind w:firstLine="640" w:firstLineChars="200"/>
        <w:rPr>
          <w:rFonts w:eastAsia="方正黑体_GBK"/>
          <w:kern w:val="0"/>
          <w:sz w:val="32"/>
          <w:szCs w:val="32"/>
        </w:rPr>
      </w:pPr>
      <w:r>
        <w:rPr>
          <w:rFonts w:eastAsia="方正黑体_GBK"/>
          <w:kern w:val="0"/>
          <w:sz w:val="32"/>
          <w:szCs w:val="32"/>
        </w:rPr>
        <w:t>三、保障措施</w:t>
      </w:r>
    </w:p>
    <w:p>
      <w:pPr>
        <w:wordWrap w:val="0"/>
        <w:overflowPunct w:val="0"/>
        <w:adjustRightInd w:val="0"/>
        <w:snapToGrid w:val="0"/>
        <w:spacing w:line="600" w:lineRule="exact"/>
        <w:ind w:firstLine="640" w:firstLineChars="200"/>
        <w:rPr>
          <w:rFonts w:eastAsia="方正仿宋_GBK"/>
          <w:kern w:val="0"/>
          <w:sz w:val="32"/>
          <w:szCs w:val="32"/>
        </w:rPr>
      </w:pPr>
      <w:r>
        <w:rPr>
          <w:rFonts w:eastAsia="方正楷体_GBK"/>
          <w:kern w:val="0"/>
          <w:sz w:val="32"/>
          <w:szCs w:val="32"/>
        </w:rPr>
        <w:t>（一）落实工作责任。</w:t>
      </w:r>
      <w:r>
        <w:rPr>
          <w:rFonts w:hint="eastAsia" w:eastAsia="方正仿宋_GBK"/>
          <w:kern w:val="0"/>
          <w:sz w:val="32"/>
          <w:szCs w:val="32"/>
        </w:rPr>
        <w:t>区医改专项小组统筹协调全区公立医院高质量发展工作，强化组织领导，健全工作机制，落实工作保障；各成员单位加强协同配合，进一步深化“放管服”改革，调整完善相关政策。把推动公立医院高质量发展作为深化医药卫生体制改革的重点任务，强化领导责任、保障责任、管理责任、监督责任。各公立医院要落实主体责任，实行书记、院长负责制，全面推动公立医院高质量发展。</w:t>
      </w:r>
    </w:p>
    <w:p>
      <w:pPr>
        <w:wordWrap w:val="0"/>
        <w:overflowPunct w:val="0"/>
        <w:adjustRightInd w:val="0"/>
        <w:snapToGrid w:val="0"/>
        <w:spacing w:line="600" w:lineRule="exact"/>
        <w:ind w:firstLine="640" w:firstLineChars="200"/>
        <w:rPr>
          <w:rFonts w:eastAsia="方正仿宋_GBK"/>
          <w:kern w:val="0"/>
          <w:sz w:val="32"/>
          <w:szCs w:val="32"/>
        </w:rPr>
      </w:pPr>
      <w:r>
        <w:rPr>
          <w:rFonts w:eastAsia="方正楷体_GBK"/>
          <w:kern w:val="0"/>
          <w:sz w:val="32"/>
          <w:szCs w:val="32"/>
        </w:rPr>
        <w:t>（二）落实财政投入。</w:t>
      </w:r>
      <w:r>
        <w:rPr>
          <w:rFonts w:hint="eastAsia" w:eastAsia="方正仿宋_GBK"/>
          <w:kern w:val="0"/>
          <w:sz w:val="32"/>
          <w:szCs w:val="32"/>
        </w:rPr>
        <w:t>按规定落实政府对符合区域卫生规划公立医院的“六项投入”政策。落实对中医医院和精神卫生中心、妇幼保健院等专科医院的投入倾斜政策。积极稳妥推进化解公立医院符合规定的长期债务。</w:t>
      </w:r>
    </w:p>
    <w:p>
      <w:pPr>
        <w:wordWrap w:val="0"/>
        <w:overflowPunct w:val="0"/>
        <w:adjustRightInd w:val="0"/>
        <w:snapToGrid w:val="0"/>
        <w:spacing w:line="600" w:lineRule="exact"/>
        <w:ind w:firstLine="640" w:firstLineChars="200"/>
        <w:rPr>
          <w:rFonts w:eastAsia="方正仿宋_GBK"/>
          <w:kern w:val="0"/>
          <w:sz w:val="32"/>
          <w:szCs w:val="32"/>
        </w:rPr>
      </w:pPr>
      <w:r>
        <w:rPr>
          <w:rFonts w:eastAsia="方正楷体_GBK"/>
          <w:kern w:val="0"/>
          <w:sz w:val="32"/>
          <w:szCs w:val="32"/>
        </w:rPr>
        <w:t>（三）严格监测评价。</w:t>
      </w:r>
      <w:r>
        <w:rPr>
          <w:rFonts w:eastAsia="方正仿宋_GBK"/>
          <w:kern w:val="0"/>
          <w:sz w:val="32"/>
          <w:szCs w:val="32"/>
        </w:rPr>
        <w:t>按照重庆市九龙坡区公立医院高质量发展主要评价指标体系，定期组织监测评价。对辖区内公立医院高质量发展进行评价，充分考虑各级各类公立医院实际情况，推进公立医院高质量发展。</w:t>
      </w:r>
    </w:p>
    <w:p>
      <w:pPr>
        <w:wordWrap w:val="0"/>
        <w:spacing w:line="600" w:lineRule="exact"/>
        <w:ind w:firstLine="640" w:firstLineChars="200"/>
        <w:rPr>
          <w:rFonts w:ascii="Times New Roman" w:hAnsi="Times New Roman" w:eastAsia="方正仿宋_GBK" w:cs="Times New Roman"/>
          <w:sz w:val="32"/>
          <w:szCs w:val="32"/>
        </w:rPr>
      </w:pPr>
      <w:r>
        <w:rPr>
          <w:rFonts w:eastAsia="方正楷体_GBK"/>
          <w:kern w:val="0"/>
          <w:sz w:val="32"/>
          <w:szCs w:val="32"/>
        </w:rPr>
        <w:t>（四）</w:t>
      </w:r>
      <w:r>
        <w:rPr>
          <w:rFonts w:eastAsia="方正楷体_GBK"/>
          <w:snapToGrid w:val="0"/>
          <w:spacing w:val="-11"/>
          <w:kern w:val="0"/>
          <w:sz w:val="32"/>
          <w:szCs w:val="32"/>
        </w:rPr>
        <w:t>总结推广经验。</w:t>
      </w:r>
      <w:r>
        <w:rPr>
          <w:rFonts w:eastAsia="方正仿宋_GBK"/>
          <w:snapToGrid w:val="0"/>
          <w:spacing w:val="-11"/>
          <w:kern w:val="0"/>
          <w:sz w:val="32"/>
          <w:szCs w:val="32"/>
        </w:rPr>
        <w:t>加强调研指导，及时挖掘、总结、提炼、宣传、推广典型经验，以点带面推动公立医院高质量发展取得实效</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p>
    <w:p>
      <w:pPr>
        <w:spacing w:line="600"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：九龙坡区公立医院高质量发展主要评价指标</w:t>
      </w:r>
    </w:p>
    <w:p>
      <w:pPr>
        <w:widowControl/>
        <w:jc w:val="left"/>
        <w:rPr>
          <w:rFonts w:ascii="Times New Roman" w:hAnsi="Times New Roman" w:eastAsia="方正仿宋_GBK" w:cs="Times New Roman"/>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r>
        <w:rPr>
          <w:rFonts w:ascii="Times New Roman" w:hAnsi="Times New Roman" w:eastAsia="方正仿宋_GBK" w:cs="Times New Roman"/>
          <w:sz w:val="32"/>
          <w:szCs w:val="32"/>
        </w:rPr>
        <w:br w:type="page"/>
      </w:r>
    </w:p>
    <w:p>
      <w:pPr>
        <w:wordWrap w:val="0"/>
        <w:spacing w:line="600" w:lineRule="atLeast"/>
        <w:ind w:right="640"/>
        <w:rPr>
          <w:rFonts w:ascii="Times New Roman" w:hAnsi="Times New Roman" w:eastAsia="方正黑体_GBK" w:cs="Times New Roman"/>
          <w:sz w:val="32"/>
        </w:rPr>
      </w:pPr>
      <w:bookmarkStart w:id="0" w:name="_Toc13925"/>
      <w:r>
        <w:rPr>
          <w:rFonts w:hint="eastAsia" w:ascii="Times New Roman" w:hAnsi="Times New Roman" w:eastAsia="方正黑体_GBK" w:cs="Times New Roman"/>
          <w:sz w:val="32"/>
        </w:rPr>
        <w:t>附件</w:t>
      </w:r>
      <w:bookmarkEnd w:id="0"/>
    </w:p>
    <w:p>
      <w:pPr>
        <w:spacing w:line="480" w:lineRule="exact"/>
        <w:ind w:firstLine="552"/>
        <w:rPr>
          <w:rFonts w:ascii="方正仿宋_GBK" w:hAnsi="宋体"/>
          <w:bCs/>
          <w:szCs w:val="28"/>
        </w:rPr>
      </w:pPr>
    </w:p>
    <w:p>
      <w:pPr>
        <w:spacing w:line="540" w:lineRule="exact"/>
        <w:jc w:val="center"/>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九龙坡区公立医院高质量发展主要评价指标</w:t>
      </w:r>
    </w:p>
    <w:p>
      <w:pPr>
        <w:spacing w:line="480" w:lineRule="exact"/>
        <w:jc w:val="center"/>
        <w:rPr>
          <w:rFonts w:ascii="方正小标宋_GBK" w:hAnsi="方正小标宋_GBK" w:eastAsia="方正小标宋_GBK" w:cs="方正小标宋_GBK"/>
          <w:bCs/>
          <w:sz w:val="44"/>
          <w:szCs w:val="44"/>
        </w:rPr>
      </w:pPr>
    </w:p>
    <w:tbl>
      <w:tblPr>
        <w:tblStyle w:val="10"/>
        <w:tblW w:w="156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1687"/>
        <w:gridCol w:w="7243"/>
        <w:gridCol w:w="2046"/>
        <w:gridCol w:w="1854"/>
        <w:gridCol w:w="1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blHeader/>
          <w:jc w:val="center"/>
        </w:trPr>
        <w:tc>
          <w:tcPr>
            <w:tcW w:w="97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序号</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一级指标</w:t>
            </w:r>
          </w:p>
        </w:tc>
        <w:tc>
          <w:tcPr>
            <w:tcW w:w="72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二级指标</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2020年实现值</w:t>
            </w: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2023年目标</w:t>
            </w: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kern w:val="0"/>
                <w:sz w:val="28"/>
                <w:szCs w:val="28"/>
              </w:rPr>
              <w:drawing>
                <wp:inline distT="0" distB="0" distL="0" distR="0">
                  <wp:extent cx="9525" cy="19685"/>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 cy="19685"/>
                          </a:xfrm>
                          <a:prstGeom prst="rect">
                            <a:avLst/>
                          </a:prstGeom>
                          <a:noFill/>
                          <a:ln>
                            <a:noFill/>
                          </a:ln>
                        </pic:spPr>
                      </pic:pic>
                    </a:graphicData>
                  </a:graphic>
                </wp:inline>
              </w:drawing>
            </w:r>
            <w:r>
              <w:rPr>
                <w:rFonts w:hint="eastAsia" w:eastAsia="方正黑体_GBK" w:cs="方正黑体_GBK"/>
                <w:snapToGrid w:val="0"/>
                <w:kern w:val="0"/>
                <w:sz w:val="28"/>
                <w:szCs w:val="28"/>
              </w:rPr>
              <w:t>2025年目标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blHeader/>
          <w:jc w:val="center"/>
        </w:trPr>
        <w:tc>
          <w:tcPr>
            <w:tcW w:w="971" w:type="dxa"/>
            <w:vMerge w:val="continue"/>
            <w:tcBorders>
              <w:top w:val="single" w:color="auto" w:sz="4" w:space="0"/>
              <w:left w:val="single" w:color="000000" w:sz="4" w:space="0"/>
            </w:tcBorders>
            <w:textDirection w:val="tbRlV"/>
            <w:vAlign w:val="center"/>
          </w:tcPr>
          <w:p>
            <w:pPr>
              <w:adjustRightInd w:val="0"/>
              <w:snapToGrid w:val="0"/>
              <w:spacing w:line="440" w:lineRule="exact"/>
              <w:jc w:val="center"/>
              <w:rPr>
                <w:rFonts w:eastAsia="方正黑体_GBK" w:cs="方正黑体_GBK"/>
                <w:snapToGrid w:val="0"/>
                <w:kern w:val="0"/>
                <w:sz w:val="28"/>
                <w:szCs w:val="28"/>
              </w:rPr>
            </w:pPr>
          </w:p>
        </w:tc>
        <w:tc>
          <w:tcPr>
            <w:tcW w:w="1687" w:type="dxa"/>
            <w:vMerge w:val="continue"/>
            <w:tcBorders>
              <w:top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p>
        </w:tc>
        <w:tc>
          <w:tcPr>
            <w:tcW w:w="7243" w:type="dxa"/>
            <w:vMerge w:val="continue"/>
            <w:tcBorders>
              <w:top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p>
        </w:tc>
        <w:tc>
          <w:tcPr>
            <w:tcW w:w="2046" w:type="dxa"/>
            <w:tcBorders>
              <w:top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九龙坡</w:t>
            </w:r>
          </w:p>
        </w:tc>
        <w:tc>
          <w:tcPr>
            <w:tcW w:w="1854" w:type="dxa"/>
            <w:tcBorders>
              <w:top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九龙坡</w:t>
            </w:r>
          </w:p>
        </w:tc>
        <w:tc>
          <w:tcPr>
            <w:tcW w:w="1873" w:type="dxa"/>
            <w:tcBorders>
              <w:top w:val="single" w:color="auto" w:sz="4" w:space="0"/>
              <w:right w:val="single" w:color="auto" w:sz="4" w:space="0"/>
            </w:tcBorders>
            <w:vAlign w:val="center"/>
          </w:tcPr>
          <w:p>
            <w:pPr>
              <w:adjustRightInd w:val="0"/>
              <w:snapToGrid w:val="0"/>
              <w:spacing w:line="440" w:lineRule="exact"/>
              <w:jc w:val="center"/>
              <w:rPr>
                <w:rFonts w:eastAsia="方正黑体_GBK" w:cs="方正黑体_GBK"/>
                <w:snapToGrid w:val="0"/>
                <w:kern w:val="0"/>
                <w:sz w:val="28"/>
                <w:szCs w:val="28"/>
              </w:rPr>
            </w:pPr>
            <w:r>
              <w:rPr>
                <w:rFonts w:hint="eastAsia" w:eastAsia="方正黑体_GBK" w:cs="方正黑体_GBK"/>
                <w:snapToGrid w:val="0"/>
                <w:kern w:val="0"/>
                <w:sz w:val="28"/>
                <w:szCs w:val="28"/>
              </w:rPr>
              <w:t>九龙坡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w:t>
            </w:r>
          </w:p>
        </w:tc>
        <w:tc>
          <w:tcPr>
            <w:tcW w:w="1687" w:type="dxa"/>
            <w:vMerge w:val="restart"/>
            <w:tcBorders>
              <w:bottom w:val="nil"/>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体系建设</w:t>
            </w:r>
          </w:p>
        </w:tc>
        <w:tc>
          <w:tcPr>
            <w:tcW w:w="7243"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市级区域医疗中心（个）</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w:t>
            </w:r>
          </w:p>
        </w:tc>
        <w:tc>
          <w:tcPr>
            <w:tcW w:w="1687" w:type="dxa"/>
            <w:vMerge w:val="continue"/>
            <w:tcBorders>
              <w:top w:val="nil"/>
              <w:bottom w:val="nil"/>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三级医院（个）</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w:t>
            </w:r>
          </w:p>
        </w:tc>
        <w:tc>
          <w:tcPr>
            <w:tcW w:w="1687" w:type="dxa"/>
            <w:vMerge w:val="continue"/>
            <w:tcBorders>
              <w:top w:val="nil"/>
              <w:bottom w:val="nil"/>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市级临床重点学科、重点专科及特色专科（个）</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14</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16</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4</w:t>
            </w:r>
          </w:p>
        </w:tc>
        <w:tc>
          <w:tcPr>
            <w:tcW w:w="1687" w:type="dxa"/>
            <w:vMerge w:val="continue"/>
            <w:tcBorders>
              <w:top w:val="nil"/>
              <w:bottom w:val="nil"/>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医药卫生两院院士（名）</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w:t>
            </w:r>
          </w:p>
        </w:tc>
        <w:tc>
          <w:tcPr>
            <w:tcW w:w="1687" w:type="dxa"/>
            <w:vMerge w:val="continue"/>
            <w:tcBorders>
              <w:top w:val="nil"/>
              <w:bottom w:val="nil"/>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三级公立医院卫生技术人员人均科研经费（元）</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2100</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2500</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w:t>
            </w:r>
          </w:p>
        </w:tc>
        <w:tc>
          <w:tcPr>
            <w:tcW w:w="1687" w:type="dxa"/>
            <w:vMerge w:val="continue"/>
            <w:tcBorders>
              <w:top w:val="nil"/>
              <w:bottom w:val="nil"/>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医护比</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1:1.34</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1∶1.8</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7</w:t>
            </w:r>
          </w:p>
        </w:tc>
        <w:tc>
          <w:tcPr>
            <w:tcW w:w="1687" w:type="dxa"/>
            <w:vMerge w:val="continue"/>
            <w:tcBorders>
              <w:top w:val="nil"/>
              <w:bottom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开展薪酬制度改革的公立医院占比（%）</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12.5</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100</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8</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医疗质量</w:t>
            </w: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二级公立医院电子病历应用水平分级（级）</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三级公立医院电子病历应用水平分级（级）</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4</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10</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通过国家室间质量评价的临床检验项目数（个）</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139</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150</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11</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室间质评项目合格率（%）</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100</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100</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12</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三级公立医院手术患者并发症发生率（%）</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0.75</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13</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三级公立医院抗菌药物使用强度（DDDs）</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39.96</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39</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14</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三级公立中医医院门诊患者中药饮片使用率（%）</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39.78</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40</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15</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三级公立中医医院出院患者中药饮片使用率（%）</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54.11</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64</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0" w:hRule="atLeas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16</w:t>
            </w:r>
          </w:p>
        </w:tc>
        <w:tc>
          <w:tcPr>
            <w:tcW w:w="1687"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医疗质量</w:t>
            </w: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三级公立中医医院中医类别执业医师（含执业助理医师）占执业医师总数比例（%）</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50.90</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52</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17</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按疾病诊断相关分组付费的医保基金占全部符合条件的住院医保基金支出的比例（%）</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18</w:t>
            </w:r>
          </w:p>
        </w:tc>
        <w:tc>
          <w:tcPr>
            <w:tcW w:w="1687"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运营效率</w:t>
            </w: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平均住院日（日）</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10.9</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9.5</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19</w:t>
            </w:r>
          </w:p>
        </w:tc>
        <w:tc>
          <w:tcPr>
            <w:tcW w:w="1687"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医疗服务收入占医疗收入的比例（%）</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29.87</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30.85</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20</w:t>
            </w:r>
          </w:p>
        </w:tc>
        <w:tc>
          <w:tcPr>
            <w:tcW w:w="1687"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运营效率</w:t>
            </w: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人员支出占业务支出的比例（%）</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39.65</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38</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21</w:t>
            </w:r>
          </w:p>
        </w:tc>
        <w:tc>
          <w:tcPr>
            <w:tcW w:w="1687" w:type="dxa"/>
            <w:vMerge w:val="continue"/>
            <w:tcBorders>
              <w:left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管理费用占业务支出的比例（%）</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13.12</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12.75</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12.25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22</w:t>
            </w:r>
          </w:p>
        </w:tc>
        <w:tc>
          <w:tcPr>
            <w:tcW w:w="1687" w:type="dxa"/>
            <w:vMerge w:val="continue"/>
            <w:tcBorders>
              <w:left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万元收入能耗支出（元）</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99</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97</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23</w:t>
            </w:r>
          </w:p>
        </w:tc>
        <w:tc>
          <w:tcPr>
            <w:tcW w:w="1687" w:type="dxa"/>
            <w:vMerge w:val="continue"/>
            <w:tcBorders>
              <w:left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资产负债率（%）</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58.05</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60</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24</w:t>
            </w:r>
          </w:p>
        </w:tc>
        <w:tc>
          <w:tcPr>
            <w:tcW w:w="1687" w:type="dxa"/>
            <w:vMerge w:val="continue"/>
            <w:tcBorders>
              <w:left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门诊次均费用年均增幅（%）</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6.77</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5.6</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25</w:t>
            </w:r>
          </w:p>
        </w:tc>
        <w:tc>
          <w:tcPr>
            <w:tcW w:w="1687"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人均住院费用年均增幅（%）</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19.09</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7.53</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26</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便民惠民</w:t>
            </w: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三级公立医院门诊患者平均预约诊疗率（%）</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20.33</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41.56</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27</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三级公立医院门诊患者预约后平均等待时间（分钟）</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29.47</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21.8</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28</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门诊患者满意度（%）</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85.77</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89</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29</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住院患者满意度（%）</w:t>
            </w:r>
          </w:p>
        </w:tc>
        <w:tc>
          <w:tcPr>
            <w:tcW w:w="2046"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91.33</w:t>
            </w:r>
          </w:p>
        </w:tc>
        <w:tc>
          <w:tcPr>
            <w:tcW w:w="1854" w:type="dxa"/>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92</w:t>
            </w:r>
          </w:p>
        </w:tc>
        <w:tc>
          <w:tcPr>
            <w:tcW w:w="1873" w:type="dxa"/>
            <w:tcBorders>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jc w:val="center"/>
        </w:trPr>
        <w:tc>
          <w:tcPr>
            <w:tcW w:w="971" w:type="dxa"/>
            <w:tcBorders>
              <w:left w:val="single" w:color="000000" w:sz="4" w:space="0"/>
              <w:bottom w:val="single" w:color="000000"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30</w:t>
            </w: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cs="方正仿宋_GBK"/>
                <w:snapToGrid w:val="0"/>
                <w:kern w:val="0"/>
                <w:sz w:val="28"/>
                <w:szCs w:val="28"/>
              </w:rPr>
            </w:pPr>
          </w:p>
        </w:tc>
        <w:tc>
          <w:tcPr>
            <w:tcW w:w="7243" w:type="dxa"/>
            <w:tcBorders>
              <w:left w:val="single" w:color="auto" w:sz="4" w:space="0"/>
              <w:bottom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职工满意度（%）</w:t>
            </w:r>
          </w:p>
        </w:tc>
        <w:tc>
          <w:tcPr>
            <w:tcW w:w="2046" w:type="dxa"/>
            <w:tcBorders>
              <w:bottom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76.79</w:t>
            </w:r>
          </w:p>
        </w:tc>
        <w:tc>
          <w:tcPr>
            <w:tcW w:w="1854" w:type="dxa"/>
            <w:tcBorders>
              <w:bottom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81</w:t>
            </w:r>
          </w:p>
        </w:tc>
        <w:tc>
          <w:tcPr>
            <w:tcW w:w="1873" w:type="dxa"/>
            <w:tcBorders>
              <w:bottom w:val="single" w:color="000000" w:sz="4" w:space="0"/>
              <w:right w:val="single" w:color="000000" w:sz="4" w:space="0"/>
            </w:tcBorders>
            <w:vAlign w:val="center"/>
          </w:tcPr>
          <w:p>
            <w:pPr>
              <w:adjustRightInd w:val="0"/>
              <w:snapToGrid w:val="0"/>
              <w:spacing w:line="440" w:lineRule="exact"/>
              <w:jc w:val="center"/>
              <w:rPr>
                <w:rFonts w:eastAsia="方正仿宋_GBK" w:cs="方正仿宋_GBK"/>
                <w:snapToGrid w:val="0"/>
                <w:kern w:val="0"/>
                <w:sz w:val="28"/>
                <w:szCs w:val="28"/>
              </w:rPr>
            </w:pPr>
            <w:r>
              <w:rPr>
                <w:rFonts w:hint="eastAsia" w:eastAsia="方正仿宋_GBK" w:cs="方正仿宋_GBK"/>
                <w:snapToGrid w:val="0"/>
                <w:kern w:val="0"/>
                <w:sz w:val="28"/>
                <w:szCs w:val="28"/>
              </w:rPr>
              <w:t>85</w:t>
            </w:r>
          </w:p>
        </w:tc>
      </w:tr>
    </w:tbl>
    <w:p>
      <w:pPr>
        <w:pStyle w:val="9"/>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59264;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1312;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xHkrNQAAAAI&#10;AQAADwAAAAAAAAABACAAAAAiAAAAZHJzL2Rvd25yZXYueG1sUEsBAhQAFAAAAAgAh07iQLDRo9bn&#10;AQAAsg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64384;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九龙坡区人民政府行政</w:t>
    </w:r>
    <w:r>
      <w:rPr>
        <w:rFonts w:hint="eastAsia" w:ascii="宋体" w:hAnsi="宋体" w:eastAsia="宋体" w:cs="宋体"/>
        <w:b/>
        <w:bCs/>
        <w:color w:val="005192"/>
        <w:sz w:val="32"/>
        <w:szCs w:val="32"/>
        <w:lang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123E99"/>
    <w:rsid w:val="00172A27"/>
    <w:rsid w:val="002127A9"/>
    <w:rsid w:val="00384BBB"/>
    <w:rsid w:val="003A363F"/>
    <w:rsid w:val="003C4A60"/>
    <w:rsid w:val="003F7AAE"/>
    <w:rsid w:val="00466F55"/>
    <w:rsid w:val="007F76DC"/>
    <w:rsid w:val="00841229"/>
    <w:rsid w:val="008C69E7"/>
    <w:rsid w:val="00904B28"/>
    <w:rsid w:val="009A0082"/>
    <w:rsid w:val="009F3B12"/>
    <w:rsid w:val="00AB7B73"/>
    <w:rsid w:val="00AC1060"/>
    <w:rsid w:val="00B2314E"/>
    <w:rsid w:val="00B60D21"/>
    <w:rsid w:val="00CF4091"/>
    <w:rsid w:val="00D11AF5"/>
    <w:rsid w:val="00E21B56"/>
    <w:rsid w:val="00F3025C"/>
    <w:rsid w:val="00F46DAB"/>
    <w:rsid w:val="00F57DF9"/>
    <w:rsid w:val="00FA6BAE"/>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8F366D2"/>
    <w:rsid w:val="2AEB3417"/>
    <w:rsid w:val="31A15F24"/>
    <w:rsid w:val="36FB1DF0"/>
    <w:rsid w:val="37A62A7C"/>
    <w:rsid w:val="395347B5"/>
    <w:rsid w:val="39A232A0"/>
    <w:rsid w:val="39E745AA"/>
    <w:rsid w:val="3A9D35AE"/>
    <w:rsid w:val="3B5A6BBB"/>
    <w:rsid w:val="3EDA13A6"/>
    <w:rsid w:val="417B75E9"/>
    <w:rsid w:val="42F058B7"/>
    <w:rsid w:val="436109F6"/>
    <w:rsid w:val="441A38D4"/>
    <w:rsid w:val="4504239D"/>
    <w:rsid w:val="468102D8"/>
    <w:rsid w:val="47BE1EC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paragraph" w:customStyle="1" w:styleId="16">
    <w:name w:val="@号"/>
    <w:link w:val="17"/>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7">
    <w:name w:val="@号 Char"/>
    <w:basedOn w:val="11"/>
    <w:link w:val="16"/>
    <w:uiPriority w:val="0"/>
    <w:rPr>
      <w:rFonts w:eastAsia="方正仿宋_GBK"/>
      <w:kern w:val="2"/>
      <w:sz w:val="32"/>
      <w:szCs w:val="32"/>
    </w:rPr>
  </w:style>
  <w:style w:type="paragraph" w:customStyle="1" w:styleId="18">
    <w:name w:val="@落款"/>
    <w:link w:val="1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1"/>
    <w:link w:val="18"/>
    <w:qFormat/>
    <w:uiPriority w:val="0"/>
    <w:rPr>
      <w:rFonts w:eastAsia="方正仿宋_GBK" w:cs="方正仿宋_GBK"/>
      <w:sz w:val="32"/>
      <w:szCs w:val="32"/>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 w:type="character" w:customStyle="1" w:styleId="21">
    <w:name w:val="页眉 Char"/>
    <w:basedOn w:val="11"/>
    <w:link w:val="8"/>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7190</Words>
  <Characters>7471</Characters>
  <Lines>55</Lines>
  <Paragraphs>15</Paragraphs>
  <TotalTime>29</TotalTime>
  <ScaleCrop>false</ScaleCrop>
  <LinksUpToDate>false</LinksUpToDate>
  <CharactersWithSpaces>7481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2022-07-04T07:35:00Z</cp:lastPrinted>
  <dcterms:modified xsi:type="dcterms:W3CDTF">2024-01-02T08:18:18Z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7C85E24CAC604337B5419B5ECB5D361D_13</vt:lpwstr>
  </property>
</Properties>
</file>