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rPr>
        <w:t>重庆市九龙坡区文化</w:t>
      </w:r>
      <w:r>
        <w:rPr>
          <w:rFonts w:hint="eastAsia" w:eastAsia="方正小标宋_GBK" w:cs="华文中宋"/>
          <w:sz w:val="44"/>
          <w:szCs w:val="44"/>
          <w:lang w:eastAsia="zh-CN"/>
        </w:rPr>
        <w:t>和</w:t>
      </w:r>
      <w:r>
        <w:rPr>
          <w:rFonts w:hint="eastAsia" w:eastAsia="方正小标宋_GBK" w:cs="华文中宋"/>
          <w:sz w:val="44"/>
          <w:szCs w:val="44"/>
        </w:rPr>
        <w:t>旅游</w:t>
      </w:r>
      <w:r>
        <w:rPr>
          <w:rFonts w:hint="eastAsia" w:eastAsia="方正小标宋_GBK" w:cs="华文中宋"/>
          <w:sz w:val="44"/>
          <w:szCs w:val="44"/>
          <w:lang w:eastAsia="zh-CN"/>
        </w:rPr>
        <w:t>发展委员会</w:t>
      </w:r>
    </w:p>
    <w:p>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lang w:eastAsia="zh-CN"/>
        </w:rPr>
        <w:t>（本级）</w:t>
      </w:r>
      <w:r>
        <w:rPr>
          <w:rFonts w:hint="eastAsia" w:eastAsia="方正小标宋_GBK" w:cs="华文中宋"/>
          <w:sz w:val="44"/>
          <w:szCs w:val="44"/>
        </w:rPr>
        <w:t>202</w:t>
      </w:r>
      <w:r>
        <w:rPr>
          <w:rFonts w:hint="eastAsia" w:eastAsia="方正小标宋_GBK" w:cs="华文中宋"/>
          <w:sz w:val="44"/>
          <w:szCs w:val="44"/>
          <w:lang w:val="en-US" w:eastAsia="zh-CN"/>
        </w:rPr>
        <w:t>3</w:t>
      </w:r>
      <w:r>
        <w:rPr>
          <w:rFonts w:hint="eastAsia" w:eastAsia="方正小标宋_GBK" w:cs="华文中宋"/>
          <w:sz w:val="44"/>
          <w:szCs w:val="44"/>
        </w:rPr>
        <w:t>年部门预算情况说明</w:t>
      </w:r>
    </w:p>
    <w:p>
      <w:pPr>
        <w:spacing w:line="600" w:lineRule="exact"/>
        <w:ind w:firstLine="880" w:firstLineChars="200"/>
        <w:jc w:val="center"/>
        <w:rPr>
          <w:rFonts w:hint="eastAsia" w:eastAsia="华文中宋" w:cs="华文中宋"/>
          <w:color w:val="000000"/>
          <w:sz w:val="44"/>
          <w:szCs w:val="44"/>
        </w:rPr>
      </w:pPr>
    </w:p>
    <w:p>
      <w:pPr>
        <w:spacing w:line="60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第一部分   区文化旅游委基本情况</w:t>
      </w:r>
    </w:p>
    <w:p>
      <w:pPr>
        <w:spacing w:line="600" w:lineRule="exact"/>
        <w:ind w:firstLine="640" w:firstLineChars="200"/>
        <w:rPr>
          <w:rFonts w:hint="eastAsia" w:eastAsia="方正楷体_GBK" w:cs="仿宋_GB2312"/>
        </w:rPr>
      </w:pPr>
      <w:r>
        <w:rPr>
          <w:rFonts w:hint="eastAsia" w:eastAsia="方正楷体_GBK" w:cs="仿宋_GB2312"/>
        </w:rPr>
        <w:t>一、职能职责</w:t>
      </w:r>
    </w:p>
    <w:p>
      <w:pPr>
        <w:spacing w:line="600" w:lineRule="exact"/>
        <w:ind w:firstLine="640" w:firstLineChars="200"/>
        <w:rPr>
          <w:rFonts w:hint="eastAsia" w:ascii="方正仿宋_GBK"/>
        </w:rPr>
      </w:pPr>
      <w:r>
        <w:rPr>
          <w:rFonts w:hint="eastAsia" w:ascii="方正仿宋_GBK"/>
        </w:rPr>
        <w:t>区文化旅游委作为区政府主管全区文化旅游工作的部门，主要职责和重点工作涉及以下几个方面：</w:t>
      </w:r>
    </w:p>
    <w:p>
      <w:pPr>
        <w:spacing w:line="594" w:lineRule="exact"/>
        <w:ind w:firstLine="640" w:firstLineChars="200"/>
        <w:rPr>
          <w:rFonts w:hint="eastAsia"/>
          <w:szCs w:val="32"/>
        </w:rPr>
      </w:pPr>
      <w:r>
        <w:rPr>
          <w:rFonts w:hint="eastAsia"/>
          <w:szCs w:val="32"/>
        </w:rPr>
        <w:t>（一）贯彻执行党和国家宣传、文化和旅游、广播电视、文物和博物馆工作的方针政策和法律法规，拟定全区文化和旅游、广播电视、文物和博物馆政策措施并组织实施。</w:t>
      </w:r>
    </w:p>
    <w:p>
      <w:pPr>
        <w:spacing w:line="594" w:lineRule="exact"/>
        <w:ind w:firstLine="640" w:firstLineChars="200"/>
        <w:rPr>
          <w:rFonts w:hint="eastAsia"/>
          <w:szCs w:val="32"/>
        </w:rPr>
      </w:pPr>
      <w:r>
        <w:rPr>
          <w:rFonts w:hint="eastAsia"/>
          <w:szCs w:val="32"/>
        </w:rPr>
        <w:t xml:space="preserve">（二）统筹规划全区文化事业、文化产业和旅游业发展，拟定文化和旅游、广播电视、文物和博物馆事业发展规划并组织实施，推进文化和旅游融合发展，推进体制机制改革。 </w:t>
      </w:r>
    </w:p>
    <w:p>
      <w:pPr>
        <w:spacing w:line="594" w:lineRule="exact"/>
        <w:ind w:firstLine="640" w:firstLineChars="200"/>
        <w:rPr>
          <w:rFonts w:hint="eastAsia"/>
          <w:szCs w:val="32"/>
        </w:rPr>
      </w:pPr>
      <w:r>
        <w:rPr>
          <w:rFonts w:hint="eastAsia"/>
          <w:szCs w:val="32"/>
        </w:rPr>
        <w:t>（三）管理全区重大文化活动，指导区级重点文化旅游设施建设，负责全区旅游整体形象宣传和推广，促进文化产业和旅游产业对外合作和市场推广，拟定旅游市场开发战略并组织实施，指导、推进全域旅游。指导、协调、推动广播电视领域产业发展。</w:t>
      </w:r>
    </w:p>
    <w:p>
      <w:pPr>
        <w:spacing w:line="594" w:lineRule="exact"/>
        <w:ind w:firstLine="640" w:firstLineChars="200"/>
        <w:rPr>
          <w:rFonts w:hint="eastAsia"/>
          <w:szCs w:val="32"/>
        </w:rPr>
      </w:pPr>
      <w:r>
        <w:rPr>
          <w:rFonts w:hint="eastAsia"/>
          <w:szCs w:val="32"/>
        </w:rPr>
        <w:t>（四）负责管理全区文艺事业，指导艺术创作生产，扶持体现社会主义核心价值观、具有导向性代表性示范性的文艺作品，推动各门类艺术、各艺术品种发展。</w:t>
      </w:r>
    </w:p>
    <w:p>
      <w:pPr>
        <w:spacing w:line="594" w:lineRule="exact"/>
        <w:ind w:firstLine="640" w:firstLineChars="200"/>
        <w:rPr>
          <w:rFonts w:hint="eastAsia"/>
          <w:szCs w:val="32"/>
        </w:rPr>
      </w:pPr>
      <w:r>
        <w:rPr>
          <w:rFonts w:hint="eastAsia"/>
          <w:szCs w:val="32"/>
        </w:rPr>
        <w:t>（五）负责全区公共文化事业发展，推进全区公共文化服务体系建设和旅游公共服务建设，深入实施文化惠民工程，统筹推进基本公共文化服务标准化、均等化。组织实施全区广播电视领域公共服务重大公益工程和公益活动。</w:t>
      </w:r>
    </w:p>
    <w:p>
      <w:pPr>
        <w:spacing w:line="594" w:lineRule="exact"/>
        <w:ind w:firstLine="640" w:firstLineChars="200"/>
        <w:rPr>
          <w:rFonts w:hint="eastAsia"/>
          <w:szCs w:val="32"/>
        </w:rPr>
      </w:pPr>
      <w:r>
        <w:rPr>
          <w:rFonts w:hint="eastAsia"/>
          <w:szCs w:val="32"/>
        </w:rPr>
        <w:t xml:space="preserve">（六）指导、推进全区文化和旅游、广播电视、文物和博物馆行业科技创新发展，推进文化和旅游行业信息化、标准化建设。   </w:t>
      </w:r>
    </w:p>
    <w:p>
      <w:pPr>
        <w:spacing w:line="594" w:lineRule="exact"/>
        <w:ind w:firstLine="640" w:firstLineChars="200"/>
        <w:rPr>
          <w:rFonts w:hint="eastAsia"/>
          <w:szCs w:val="32"/>
        </w:rPr>
      </w:pPr>
      <w:r>
        <w:rPr>
          <w:rFonts w:hint="eastAsia"/>
          <w:szCs w:val="32"/>
        </w:rPr>
        <w:t>（七）负责全区非物质文化遗产保护，推动非物质文化遗产的保护、传承、普及、弘扬和振兴。</w:t>
      </w:r>
    </w:p>
    <w:p>
      <w:pPr>
        <w:spacing w:line="594" w:lineRule="exact"/>
        <w:ind w:firstLine="640" w:firstLineChars="200"/>
        <w:rPr>
          <w:rFonts w:hint="eastAsia"/>
          <w:szCs w:val="32"/>
        </w:rPr>
      </w:pPr>
      <w:r>
        <w:rPr>
          <w:rFonts w:hint="eastAsia"/>
          <w:szCs w:val="32"/>
        </w:rPr>
        <w:t>（八）统筹规划全区文化产业和旅游产业，组织实施文化和旅游资源普查、挖掘、保护和利用工作，承担文化市场和旅游经济运行监测体系建设工作，促进文化产业和旅游产业发展。</w:t>
      </w:r>
    </w:p>
    <w:p>
      <w:pPr>
        <w:spacing w:line="594" w:lineRule="exact"/>
        <w:ind w:firstLine="640" w:firstLineChars="200"/>
        <w:rPr>
          <w:rFonts w:hint="eastAsia"/>
          <w:szCs w:val="32"/>
        </w:rPr>
      </w:pPr>
      <w:r>
        <w:rPr>
          <w:rFonts w:hint="eastAsia"/>
          <w:szCs w:val="32"/>
        </w:rPr>
        <w:t>（九）指导全区文化和旅游市场发展，对文化和旅游市场经营进行行业监管，推行文化和旅游行业信用体系建设，依法规范文化和旅游市场。负责文化和旅游市场安全的综合协调和监督管理，指导应急救援工作。</w:t>
      </w:r>
    </w:p>
    <w:p>
      <w:pPr>
        <w:spacing w:line="594" w:lineRule="exact"/>
        <w:ind w:firstLine="640" w:firstLineChars="200"/>
        <w:rPr>
          <w:rFonts w:hint="eastAsia"/>
          <w:szCs w:val="32"/>
        </w:rPr>
      </w:pPr>
      <w:r>
        <w:rPr>
          <w:rFonts w:hint="eastAsia"/>
          <w:szCs w:val="32"/>
        </w:rPr>
        <w:t>（十）指导全区文化旅游市场综合执法，组织查处全区文化、文物、出版、广播电视、电影、旅游等市场的违法行为，承办辖区内违法案件，维护市场秩序。具体执法由区文化市场综合执法队伍承担。</w:t>
      </w:r>
    </w:p>
    <w:p>
      <w:pPr>
        <w:spacing w:line="594" w:lineRule="exact"/>
        <w:ind w:firstLine="640" w:firstLineChars="200"/>
        <w:rPr>
          <w:rFonts w:hint="eastAsia"/>
          <w:szCs w:val="32"/>
        </w:rPr>
      </w:pPr>
      <w:r>
        <w:rPr>
          <w:rFonts w:hint="eastAsia"/>
          <w:szCs w:val="32"/>
        </w:rPr>
        <w:t xml:space="preserve">（十一）负责对全区各类广播电视机构进行业务指导和行业监管，会同有关部门对网络视听节目服务机构进行管理。指导全区广播电视重点基础设施建设。        </w:t>
      </w:r>
    </w:p>
    <w:p>
      <w:pPr>
        <w:spacing w:line="594" w:lineRule="exact"/>
        <w:ind w:firstLine="640" w:firstLineChars="200"/>
        <w:rPr>
          <w:rFonts w:hint="eastAsia"/>
          <w:szCs w:val="32"/>
        </w:rPr>
      </w:pPr>
      <w:r>
        <w:rPr>
          <w:rFonts w:hint="eastAsia"/>
          <w:szCs w:val="32"/>
        </w:rPr>
        <w:t>（十二）负责电视剧行业发展和电视剧创作生产管理工作。监督、管理、审查广播电视节目、网络视听节目的内容和质量。指导、监管广播电视广告播放。负责实施广播电视节目评价工作。</w:t>
      </w:r>
    </w:p>
    <w:p>
      <w:pPr>
        <w:spacing w:line="594" w:lineRule="exact"/>
        <w:ind w:firstLine="640" w:firstLineChars="200"/>
        <w:rPr>
          <w:rFonts w:hint="eastAsia"/>
          <w:szCs w:val="32"/>
        </w:rPr>
      </w:pPr>
      <w:r>
        <w:rPr>
          <w:rFonts w:hint="eastAsia"/>
          <w:szCs w:val="32"/>
        </w:rPr>
        <w:t>（十三）负责对广播电视节目传输覆盖、监测和安全播出进行监管，负责全区应急广播体系建设。</w:t>
      </w:r>
    </w:p>
    <w:p>
      <w:pPr>
        <w:spacing w:line="594" w:lineRule="exact"/>
        <w:ind w:firstLine="640" w:firstLineChars="200"/>
        <w:rPr>
          <w:rFonts w:hint="eastAsia"/>
          <w:szCs w:val="32"/>
        </w:rPr>
      </w:pPr>
      <w:r>
        <w:rPr>
          <w:rFonts w:hint="eastAsia"/>
          <w:szCs w:val="32"/>
        </w:rPr>
        <w:t>（十四）负责指导全区文物和博物馆业务工作。负责管理和指导全区考古工作。组织、协调重大文物保护和考古项目的实施。组织开展文物资源调查，履行文物、博物馆安全督察职责。指导协调博物馆建设及博物馆间的交流与协作。</w:t>
      </w:r>
    </w:p>
    <w:p>
      <w:pPr>
        <w:spacing w:line="594" w:lineRule="exact"/>
        <w:ind w:firstLine="640" w:firstLineChars="200"/>
        <w:rPr>
          <w:rFonts w:hint="eastAsia"/>
          <w:szCs w:val="32"/>
        </w:rPr>
      </w:pPr>
      <w:r>
        <w:rPr>
          <w:rFonts w:hint="eastAsia"/>
          <w:szCs w:val="32"/>
        </w:rPr>
        <w:t>（十五）负责全区文化遗产保护和管理监督工作，协同住房和城乡建设部门负责历史文化名城（镇、村）保护和监督管理工作。</w:t>
      </w:r>
    </w:p>
    <w:p>
      <w:pPr>
        <w:spacing w:line="594" w:lineRule="exact"/>
        <w:ind w:firstLine="640" w:firstLineChars="200"/>
        <w:rPr>
          <w:rFonts w:hint="eastAsia"/>
          <w:szCs w:val="32"/>
        </w:rPr>
      </w:pPr>
      <w:r>
        <w:rPr>
          <w:rFonts w:hint="eastAsia"/>
          <w:szCs w:val="32"/>
        </w:rPr>
        <w:t>（十六）指导、管理文化和旅游、广播电视、文物和博物馆对外交流、合作和宣传、推广工作，组织全区大型文化和旅游等对外及对港澳台合作交流活动。</w:t>
      </w:r>
    </w:p>
    <w:p>
      <w:pPr>
        <w:spacing w:line="594" w:lineRule="exact"/>
        <w:ind w:firstLine="640" w:firstLineChars="200"/>
        <w:rPr>
          <w:rFonts w:hint="eastAsia" w:cs="仿宋_GB2312"/>
        </w:rPr>
      </w:pPr>
      <w:r>
        <w:rPr>
          <w:rFonts w:hint="eastAsia"/>
          <w:szCs w:val="32"/>
        </w:rPr>
        <w:t>（十七）拟订全区文化和旅游行业人才队伍建设规划并组织实施，负责从业人员职业资格管理。</w:t>
      </w:r>
    </w:p>
    <w:p>
      <w:pPr>
        <w:spacing w:line="600" w:lineRule="exact"/>
        <w:ind w:firstLine="640" w:firstLineChars="200"/>
        <w:rPr>
          <w:rFonts w:hint="eastAsia" w:eastAsia="方正楷体_GBK" w:cs="仿宋_GB2312"/>
        </w:rPr>
      </w:pPr>
      <w:r>
        <w:rPr>
          <w:rFonts w:hint="eastAsia" w:eastAsia="方正楷体_GBK" w:cs="仿宋_GB2312"/>
        </w:rPr>
        <w:t>二、部门预算单位构成。</w:t>
      </w:r>
    </w:p>
    <w:p>
      <w:pPr>
        <w:spacing w:line="594" w:lineRule="exact"/>
        <w:ind w:firstLine="640" w:firstLineChars="200"/>
        <w:rPr>
          <w:rFonts w:hint="eastAsia"/>
          <w:szCs w:val="32"/>
        </w:rPr>
      </w:pPr>
      <w:r>
        <w:rPr>
          <w:rFonts w:hint="eastAsia"/>
          <w:szCs w:val="32"/>
        </w:rPr>
        <w:t>预算公开数据包含区文化旅游委</w:t>
      </w:r>
      <w:r>
        <w:rPr>
          <w:rFonts w:hint="eastAsia"/>
          <w:szCs w:val="32"/>
          <w:lang w:eastAsia="zh-CN"/>
        </w:rPr>
        <w:t>本级</w:t>
      </w:r>
      <w:r>
        <w:rPr>
          <w:rFonts w:hint="eastAsia"/>
          <w:szCs w:val="32"/>
        </w:rPr>
        <w:t>。</w:t>
      </w:r>
    </w:p>
    <w:p>
      <w:pPr>
        <w:spacing w:line="60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第二部分   区文化旅游委预算情况说明</w:t>
      </w:r>
    </w:p>
    <w:p>
      <w:pPr>
        <w:spacing w:line="600" w:lineRule="exact"/>
        <w:ind w:firstLine="640" w:firstLineChars="200"/>
        <w:rPr>
          <w:rFonts w:hint="eastAsia" w:eastAsia="方正楷体_GBK" w:cs="仿宋_GB2312"/>
        </w:rPr>
      </w:pPr>
      <w:r>
        <w:rPr>
          <w:rFonts w:hint="eastAsia" w:eastAsia="方正楷体_GBK" w:cs="仿宋_GB2312"/>
        </w:rPr>
        <w:t>一、关于202</w:t>
      </w:r>
      <w:r>
        <w:rPr>
          <w:rFonts w:hint="eastAsia" w:eastAsia="方正楷体_GBK" w:cs="仿宋_GB2312"/>
          <w:lang w:val="en-US" w:eastAsia="zh-CN"/>
        </w:rPr>
        <w:t>3</w:t>
      </w:r>
      <w:r>
        <w:rPr>
          <w:rFonts w:hint="eastAsia" w:eastAsia="方正楷体_GBK" w:cs="仿宋_GB2312"/>
        </w:rPr>
        <w:t>年财政拨款收支预算情况的总体说明</w:t>
      </w:r>
    </w:p>
    <w:p>
      <w:pPr>
        <w:spacing w:line="600" w:lineRule="exact"/>
        <w:ind w:firstLine="640" w:firstLineChars="200"/>
        <w:rPr>
          <w:rFonts w:hint="eastAsia" w:eastAsia="方正仿宋_GBK" w:cs="仿宋_GB2312"/>
          <w:lang w:eastAsia="zh-CN"/>
        </w:rPr>
      </w:pPr>
      <w:r>
        <w:rPr>
          <w:rFonts w:hint="eastAsia" w:cs="仿宋_GB2312"/>
        </w:rPr>
        <w:t>202</w:t>
      </w:r>
      <w:r>
        <w:rPr>
          <w:rFonts w:hint="eastAsia" w:cs="仿宋_GB2312"/>
          <w:lang w:val="en-US" w:eastAsia="zh-CN"/>
        </w:rPr>
        <w:t>3</w:t>
      </w:r>
      <w:r>
        <w:rPr>
          <w:rFonts w:hint="eastAsia" w:cs="仿宋_GB2312"/>
        </w:rPr>
        <w:t>年财政拨款收入</w:t>
      </w:r>
      <w:r>
        <w:rPr>
          <w:rFonts w:hint="eastAsia" w:cs="仿宋_GB2312"/>
          <w:lang w:val="en-US" w:eastAsia="zh-CN"/>
        </w:rPr>
        <w:t>1599.85</w:t>
      </w:r>
      <w:r>
        <w:rPr>
          <w:rFonts w:hint="eastAsia" w:cs="仿宋_GB2312"/>
        </w:rPr>
        <w:t>万元</w:t>
      </w:r>
      <w:r>
        <w:rPr>
          <w:rFonts w:hint="eastAsia" w:cs="仿宋_GB2312"/>
          <w:lang w:eastAsia="zh-CN"/>
        </w:rPr>
        <w:t>，</w:t>
      </w:r>
      <w:r>
        <w:rPr>
          <w:rFonts w:hint="eastAsia" w:cs="仿宋_GB2312"/>
        </w:rPr>
        <w:t>包括：一般公共预算当年拨款收入</w:t>
      </w:r>
      <w:r>
        <w:rPr>
          <w:rFonts w:hint="eastAsia" w:cs="仿宋_GB2312"/>
          <w:lang w:val="en-US" w:eastAsia="zh-CN"/>
        </w:rPr>
        <w:t>1599.85</w:t>
      </w:r>
      <w:r>
        <w:rPr>
          <w:rFonts w:hint="eastAsia" w:cs="仿宋_GB2312"/>
        </w:rPr>
        <w:t>万元；财政拨款支出</w:t>
      </w:r>
      <w:r>
        <w:rPr>
          <w:rFonts w:hint="eastAsia" w:cs="仿宋_GB2312"/>
          <w:lang w:val="en-US" w:eastAsia="zh-CN"/>
        </w:rPr>
        <w:t>1599.85万元，</w:t>
      </w:r>
      <w:r>
        <w:rPr>
          <w:rFonts w:hint="eastAsia" w:cs="仿宋_GB2312"/>
        </w:rPr>
        <w:t>包括</w:t>
      </w:r>
      <w:r>
        <w:rPr>
          <w:rFonts w:hint="eastAsia" w:cs="仿宋_GB2312"/>
          <w:lang w:eastAsia="zh-CN"/>
        </w:rPr>
        <w:t>：</w:t>
      </w:r>
      <w:r>
        <w:rPr>
          <w:rFonts w:hint="eastAsia" w:cs="仿宋_GB2312"/>
        </w:rPr>
        <w:t>文化旅游体育与传媒支出</w:t>
      </w:r>
      <w:r>
        <w:rPr>
          <w:rFonts w:hint="eastAsia" w:cs="仿宋_GB2312"/>
          <w:lang w:val="en-US" w:eastAsia="zh-CN"/>
        </w:rPr>
        <w:t>1406.56</w:t>
      </w:r>
      <w:r>
        <w:rPr>
          <w:rFonts w:hint="eastAsia" w:cs="仿宋_GB2312"/>
        </w:rPr>
        <w:t>万元，社会保障和就业支出</w:t>
      </w:r>
      <w:r>
        <w:rPr>
          <w:rFonts w:hint="eastAsia" w:cs="仿宋_GB2312"/>
          <w:lang w:val="en-US" w:eastAsia="zh-CN"/>
        </w:rPr>
        <w:t>138.2</w:t>
      </w:r>
      <w:r>
        <w:rPr>
          <w:rFonts w:hint="eastAsia" w:cs="仿宋_GB2312"/>
        </w:rPr>
        <w:t>万元，卫生健康支出25.66万元，住房保障支出</w:t>
      </w:r>
      <w:r>
        <w:rPr>
          <w:rFonts w:hint="eastAsia" w:cs="仿宋_GB2312"/>
          <w:lang w:val="en-US" w:eastAsia="zh-CN"/>
        </w:rPr>
        <w:t>29.43</w:t>
      </w:r>
      <w:r>
        <w:rPr>
          <w:rFonts w:hint="eastAsia" w:cs="仿宋_GB2312"/>
        </w:rPr>
        <w:t>万元。</w:t>
      </w:r>
    </w:p>
    <w:p>
      <w:pPr>
        <w:numPr>
          <w:ilvl w:val="0"/>
          <w:numId w:val="2"/>
        </w:numPr>
        <w:spacing w:line="600" w:lineRule="exact"/>
        <w:ind w:left="960" w:leftChars="200" w:hanging="320" w:hangingChars="100"/>
        <w:rPr>
          <w:rFonts w:hint="eastAsia" w:eastAsia="方正楷体_GBK" w:cs="仿宋_GB2312"/>
        </w:rPr>
      </w:pP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年一般公共预算当年拨款情况说明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年一般公共预算当年财政拨款</w:t>
      </w:r>
      <w:r>
        <w:rPr>
          <w:rFonts w:hint="eastAsia" w:cs="仿宋_GB2312"/>
          <w:lang w:val="en-US" w:eastAsia="zh-CN"/>
        </w:rPr>
        <w:t>1599.85</w:t>
      </w:r>
      <w:r>
        <w:rPr>
          <w:rFonts w:hint="eastAsia" w:cs="仿宋_GB2312"/>
        </w:rPr>
        <w:t>万元。项目支出</w:t>
      </w:r>
      <w:r>
        <w:rPr>
          <w:rFonts w:hint="eastAsia" w:cs="仿宋_GB2312"/>
          <w:lang w:val="en-US" w:eastAsia="zh-CN"/>
        </w:rPr>
        <w:t>1049.28</w:t>
      </w:r>
      <w:r>
        <w:rPr>
          <w:rFonts w:hint="eastAsia" w:cs="仿宋_GB2312"/>
        </w:rPr>
        <w:t>万元，主要用于</w:t>
      </w:r>
      <w:r>
        <w:rPr>
          <w:rFonts w:hint="eastAsia" w:cs="仿宋_GB2312"/>
          <w:lang w:eastAsia="zh-CN"/>
        </w:rPr>
        <w:t>支持全区文旅事业发展</w:t>
      </w:r>
      <w:r>
        <w:rPr>
          <w:rFonts w:hint="eastAsia" w:cs="仿宋_GB2312"/>
        </w:rPr>
        <w:t>。</w:t>
      </w:r>
    </w:p>
    <w:p>
      <w:pPr>
        <w:numPr>
          <w:ilvl w:val="0"/>
          <w:numId w:val="2"/>
        </w:numPr>
        <w:spacing w:line="600" w:lineRule="exact"/>
        <w:ind w:left="960" w:leftChars="200" w:hanging="320" w:hangingChars="100"/>
        <w:rPr>
          <w:rFonts w:hint="eastAsia" w:eastAsia="方正楷体_GBK" w:cs="仿宋_GB2312"/>
        </w:rPr>
      </w:pPr>
      <w:r>
        <w:rPr>
          <w:rFonts w:hint="eastAsia" w:eastAsia="方正楷体_GBK" w:cs="仿宋_GB2312"/>
          <w:szCs w:val="22"/>
        </w:rPr>
        <w:t>关</w:t>
      </w:r>
      <w:r>
        <w:rPr>
          <w:rFonts w:hint="eastAsia" w:eastAsia="方正楷体_GBK" w:cs="仿宋_GB2312"/>
        </w:rPr>
        <w:t>于202</w:t>
      </w:r>
      <w:r>
        <w:rPr>
          <w:rFonts w:hint="eastAsia" w:eastAsia="方正楷体_GBK" w:cs="仿宋_GB2312"/>
          <w:lang w:val="en-US" w:eastAsia="zh-CN"/>
        </w:rPr>
        <w:t>3</w:t>
      </w:r>
      <w:r>
        <w:rPr>
          <w:rFonts w:hint="eastAsia" w:eastAsia="方正楷体_GBK" w:cs="仿宋_GB2312"/>
        </w:rPr>
        <w:t>年一般公共预算基本支出情况说明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年一般公共预算基本支550.57万元</w:t>
      </w:r>
      <w:r>
        <w:rPr>
          <w:rFonts w:hint="eastAsia" w:cs="仿宋_GB2312"/>
          <w:lang w:eastAsia="zh-CN"/>
        </w:rPr>
        <w:t>。</w:t>
      </w:r>
      <w:r>
        <w:rPr>
          <w:rFonts w:hint="eastAsia" w:cs="仿宋_GB2312"/>
        </w:rPr>
        <w:t>主要用于保障在职人员工资福利及社会保险缴费，保障离休人员离休费</w:t>
      </w:r>
      <w:r>
        <w:rPr>
          <w:rFonts w:hint="eastAsia" w:cs="仿宋_GB2312"/>
          <w:lang w:eastAsia="zh-CN"/>
        </w:rPr>
        <w:t>和</w:t>
      </w:r>
      <w:r>
        <w:rPr>
          <w:rFonts w:hint="eastAsia" w:cs="仿宋_GB2312"/>
        </w:rPr>
        <w:t>退休人员补助</w:t>
      </w:r>
      <w:r>
        <w:rPr>
          <w:rFonts w:hint="eastAsia" w:cs="仿宋_GB2312"/>
          <w:lang w:eastAsia="zh-CN"/>
        </w:rPr>
        <w:t>及</w:t>
      </w:r>
      <w:r>
        <w:rPr>
          <w:rFonts w:hint="eastAsia" w:cs="仿宋_GB2312"/>
        </w:rPr>
        <w:t>部门正常运转的各项商品服务支出。其中：人员经费449.79万元，公用经费100.77万元。</w:t>
      </w:r>
    </w:p>
    <w:p>
      <w:pPr>
        <w:spacing w:line="600" w:lineRule="exact"/>
        <w:ind w:left="320" w:leftChars="100" w:firstLine="320" w:firstLineChars="100"/>
        <w:rPr>
          <w:rFonts w:hint="eastAsia" w:eastAsia="仿宋_GB2312" w:cs="仿宋_GB2312"/>
        </w:rPr>
      </w:pPr>
      <w:r>
        <w:rPr>
          <w:rFonts w:hint="eastAsia" w:eastAsia="方正楷体_GBK" w:cs="仿宋_GB2312"/>
        </w:rPr>
        <w:t>四、“三公”经费情况说明</w:t>
      </w:r>
    </w:p>
    <w:p>
      <w:pPr>
        <w:spacing w:line="600" w:lineRule="exact"/>
        <w:ind w:firstLine="640" w:firstLineChars="200"/>
        <w:rPr>
          <w:rFonts w:hint="eastAsia" w:eastAsia="方正仿宋_GBK" w:cs="仿宋_GB2312"/>
          <w:lang w:eastAsia="zh-CN"/>
        </w:rPr>
      </w:pPr>
      <w:r>
        <w:rPr>
          <w:rFonts w:hint="eastAsia" w:cs="仿宋_GB2312"/>
        </w:rPr>
        <w:t>202</w:t>
      </w:r>
      <w:r>
        <w:rPr>
          <w:rFonts w:hint="eastAsia" w:cs="仿宋_GB2312"/>
          <w:lang w:val="en-US" w:eastAsia="zh-CN"/>
        </w:rPr>
        <w:t>3</w:t>
      </w:r>
      <w:r>
        <w:rPr>
          <w:rFonts w:hint="eastAsia" w:cs="仿宋_GB2312"/>
        </w:rPr>
        <w:t>年“三公”经费预算</w:t>
      </w:r>
      <w:r>
        <w:rPr>
          <w:rFonts w:hint="eastAsia" w:cs="仿宋_GB2312"/>
          <w:lang w:val="en-US" w:eastAsia="zh-CN"/>
        </w:rPr>
        <w:t>33.5</w:t>
      </w:r>
      <w:r>
        <w:rPr>
          <w:rFonts w:hint="eastAsia" w:cs="仿宋_GB2312"/>
        </w:rPr>
        <w:t>万元。其中：公务接待费</w:t>
      </w:r>
      <w:r>
        <w:rPr>
          <w:rFonts w:hint="eastAsia" w:cs="仿宋_GB2312"/>
          <w:lang w:val="en-US" w:eastAsia="zh-CN"/>
        </w:rPr>
        <w:t>2</w:t>
      </w:r>
      <w:r>
        <w:rPr>
          <w:rFonts w:hint="eastAsia" w:cs="仿宋_GB2312"/>
        </w:rPr>
        <w:t>万元；公务用车运行维护费</w:t>
      </w:r>
      <w:r>
        <w:rPr>
          <w:rFonts w:hint="eastAsia" w:cs="仿宋_GB2312"/>
          <w:lang w:val="en-US" w:eastAsia="zh-CN"/>
        </w:rPr>
        <w:t>4.5</w:t>
      </w:r>
      <w:r>
        <w:rPr>
          <w:rFonts w:hint="eastAsia" w:cs="仿宋_GB2312"/>
        </w:rPr>
        <w:t>万元</w:t>
      </w:r>
      <w:r>
        <w:rPr>
          <w:rFonts w:hint="eastAsia" w:cs="仿宋_GB2312"/>
          <w:lang w:eastAsia="zh-CN"/>
        </w:rPr>
        <w:t>；公务用车购置费</w:t>
      </w:r>
      <w:r>
        <w:rPr>
          <w:rFonts w:hint="eastAsia" w:cs="仿宋_GB2312"/>
          <w:lang w:val="en-US" w:eastAsia="zh-CN"/>
        </w:rPr>
        <w:t>27万元</w:t>
      </w:r>
      <w:r>
        <w:rPr>
          <w:rFonts w:hint="eastAsia" w:cs="仿宋_GB2312"/>
          <w:lang w:eastAsia="zh-CN"/>
        </w:rPr>
        <w:t>。</w:t>
      </w:r>
    </w:p>
    <w:p>
      <w:pPr>
        <w:spacing w:line="600" w:lineRule="exact"/>
        <w:ind w:firstLine="640" w:firstLineChars="200"/>
        <w:rPr>
          <w:rFonts w:hint="eastAsia" w:eastAsia="方正楷体_GBK" w:cs="仿宋_GB2312"/>
        </w:rPr>
      </w:pPr>
      <w:r>
        <w:rPr>
          <w:rFonts w:hint="eastAsia" w:eastAsia="方正楷体_GBK" w:cs="仿宋_GB2312"/>
        </w:rPr>
        <w:t>五、关于202</w:t>
      </w:r>
      <w:r>
        <w:rPr>
          <w:rFonts w:hint="eastAsia" w:eastAsia="方正楷体_GBK" w:cs="仿宋_GB2312"/>
          <w:lang w:val="en-US" w:eastAsia="zh-CN"/>
        </w:rPr>
        <w:t>3</w:t>
      </w:r>
      <w:r>
        <w:rPr>
          <w:rFonts w:hint="eastAsia" w:eastAsia="方正楷体_GBK" w:cs="仿宋_GB2312"/>
        </w:rPr>
        <w:t>年政府性基金预算支出情况的说明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年没有使用政府性基金预算拨款安排的支出。</w:t>
      </w:r>
    </w:p>
    <w:p>
      <w:pPr>
        <w:spacing w:line="600" w:lineRule="exact"/>
        <w:ind w:firstLine="640" w:firstLineChars="200"/>
        <w:rPr>
          <w:rFonts w:hint="eastAsia" w:eastAsia="方正楷体_GBK" w:cs="仿宋_GB2312"/>
        </w:rPr>
      </w:pPr>
      <w:r>
        <w:rPr>
          <w:rFonts w:hint="eastAsia" w:eastAsia="方正楷体_GBK" w:cs="仿宋_GB2312"/>
        </w:rPr>
        <w:t>六、关于202</w:t>
      </w:r>
      <w:r>
        <w:rPr>
          <w:rFonts w:hint="eastAsia" w:eastAsia="方正楷体_GBK" w:cs="仿宋_GB2312"/>
          <w:lang w:val="en-US" w:eastAsia="zh-CN"/>
        </w:rPr>
        <w:t>3</w:t>
      </w:r>
      <w:r>
        <w:rPr>
          <w:rFonts w:hint="eastAsia" w:eastAsia="方正楷体_GBK" w:cs="仿宋_GB2312"/>
        </w:rPr>
        <w:t>年国有资本经营预算支出情况的说明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年没有使用国有资本经营预算拨款安排的支出。</w:t>
      </w:r>
    </w:p>
    <w:p>
      <w:pPr>
        <w:spacing w:line="600" w:lineRule="exact"/>
        <w:ind w:firstLine="640" w:firstLineChars="200"/>
        <w:rPr>
          <w:rFonts w:hint="eastAsia" w:eastAsia="方正楷体_GBK" w:cs="仿宋_GB2312"/>
        </w:rPr>
      </w:pPr>
      <w:r>
        <w:rPr>
          <w:rFonts w:hint="eastAsia" w:eastAsia="方正楷体_GBK" w:cs="仿宋_GB2312"/>
        </w:rPr>
        <w:t>七、关于202</w:t>
      </w:r>
      <w:r>
        <w:rPr>
          <w:rFonts w:hint="eastAsia" w:eastAsia="方正楷体_GBK" w:cs="仿宋_GB2312"/>
          <w:lang w:val="en-US" w:eastAsia="zh-CN"/>
        </w:rPr>
        <w:t>3</w:t>
      </w:r>
      <w:r>
        <w:rPr>
          <w:rFonts w:hint="eastAsia" w:eastAsia="方正楷体_GBK" w:cs="仿宋_GB2312"/>
        </w:rPr>
        <w:t>年收支预算情况的总体说明</w:t>
      </w:r>
    </w:p>
    <w:p>
      <w:pPr>
        <w:spacing w:line="600" w:lineRule="exact"/>
        <w:ind w:firstLine="640" w:firstLineChars="200"/>
        <w:rPr>
          <w:rFonts w:hint="eastAsia" w:cs="仿宋_GB2312"/>
        </w:rPr>
      </w:pPr>
      <w:r>
        <w:rPr>
          <w:rFonts w:hint="eastAsia" w:cs="仿宋_GB2312"/>
        </w:rPr>
        <w:t>按照综合预算的原则，部门所有收入和支出均纳入部门预算管理。收入包括：一般公共预算拨款收入、政府性基金预算拨款收入；支出包括：文化旅游体育与传媒支出、社会保障和就业支出、卫生健康支出、住房保障支出。本部门202</w:t>
      </w:r>
      <w:r>
        <w:rPr>
          <w:rFonts w:hint="eastAsia" w:cs="仿宋_GB2312"/>
          <w:lang w:val="en-US" w:eastAsia="zh-CN"/>
        </w:rPr>
        <w:t>2</w:t>
      </w:r>
      <w:r>
        <w:rPr>
          <w:rFonts w:hint="eastAsia" w:cs="仿宋_GB2312"/>
        </w:rPr>
        <w:t>年收支总预算</w:t>
      </w:r>
      <w:r>
        <w:rPr>
          <w:rFonts w:hint="eastAsia" w:cs="仿宋_GB2312"/>
          <w:lang w:val="en-US" w:eastAsia="zh-CN"/>
        </w:rPr>
        <w:t>1599.85</w:t>
      </w:r>
      <w:r>
        <w:rPr>
          <w:rFonts w:hint="eastAsia" w:cs="仿宋_GB2312"/>
        </w:rPr>
        <w:t>万元。</w:t>
      </w:r>
    </w:p>
    <w:p>
      <w:pPr>
        <w:spacing w:line="600" w:lineRule="exact"/>
        <w:ind w:firstLine="640" w:firstLineChars="200"/>
        <w:rPr>
          <w:rFonts w:hint="eastAsia" w:eastAsia="方正楷体_GBK" w:cs="仿宋_GB2312"/>
        </w:rPr>
      </w:pPr>
      <w:r>
        <w:rPr>
          <w:rFonts w:hint="eastAsia" w:eastAsia="方正楷体_GBK" w:cs="仿宋_GB2312"/>
        </w:rPr>
        <w:t>八、关于202</w:t>
      </w:r>
      <w:r>
        <w:rPr>
          <w:rFonts w:hint="eastAsia" w:eastAsia="方正楷体_GBK" w:cs="仿宋_GB2312"/>
          <w:lang w:val="en-US" w:eastAsia="zh-CN"/>
        </w:rPr>
        <w:t>3</w:t>
      </w:r>
      <w:r>
        <w:rPr>
          <w:rFonts w:hint="eastAsia" w:eastAsia="方正楷体_GBK" w:cs="仿宋_GB2312"/>
        </w:rPr>
        <w:t>年收入预算情况说明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年收入预算</w:t>
      </w:r>
      <w:r>
        <w:rPr>
          <w:rFonts w:hint="eastAsia" w:cs="仿宋_GB2312"/>
          <w:lang w:val="en-US" w:eastAsia="zh-CN"/>
        </w:rPr>
        <w:t>1599.85</w:t>
      </w:r>
      <w:r>
        <w:rPr>
          <w:rFonts w:hint="eastAsia" w:cs="仿宋_GB2312"/>
        </w:rPr>
        <w:t>万元；一般公共预算拨款收入</w:t>
      </w:r>
      <w:r>
        <w:rPr>
          <w:rFonts w:hint="eastAsia" w:cs="仿宋_GB2312"/>
          <w:lang w:val="en-US" w:eastAsia="zh-CN"/>
        </w:rPr>
        <w:t>1599.85</w:t>
      </w:r>
      <w:r>
        <w:rPr>
          <w:rFonts w:hint="eastAsia" w:cs="仿宋_GB2312"/>
        </w:rPr>
        <w:t>万元，占</w:t>
      </w:r>
      <w:r>
        <w:rPr>
          <w:rFonts w:hint="eastAsia" w:cs="仿宋_GB2312"/>
          <w:lang w:val="en-US" w:eastAsia="zh-CN"/>
        </w:rPr>
        <w:t>100</w:t>
      </w:r>
      <w:r>
        <w:rPr>
          <w:rFonts w:hint="eastAsia" w:cs="仿宋_GB2312"/>
        </w:rPr>
        <w:t>%。</w:t>
      </w:r>
    </w:p>
    <w:p>
      <w:pPr>
        <w:spacing w:line="600" w:lineRule="exact"/>
        <w:ind w:firstLine="640" w:firstLineChars="200"/>
        <w:rPr>
          <w:rFonts w:hint="eastAsia" w:eastAsia="方正楷体_GBK" w:cs="仿宋_GB2312"/>
        </w:rPr>
      </w:pPr>
      <w:r>
        <w:rPr>
          <w:rFonts w:hint="eastAsia" w:eastAsia="方正楷体_GBK" w:cs="仿宋_GB2312"/>
        </w:rPr>
        <w:t>九、关于202</w:t>
      </w:r>
      <w:r>
        <w:rPr>
          <w:rFonts w:hint="eastAsia" w:eastAsia="方正楷体_GBK" w:cs="仿宋_GB2312"/>
          <w:lang w:val="en-US" w:eastAsia="zh-CN"/>
        </w:rPr>
        <w:t>3</w:t>
      </w:r>
      <w:r>
        <w:rPr>
          <w:rFonts w:hint="eastAsia" w:eastAsia="方正楷体_GBK" w:cs="仿宋_GB2312"/>
        </w:rPr>
        <w:t>年支出预算情况说明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年支出预算</w:t>
      </w:r>
      <w:r>
        <w:rPr>
          <w:rFonts w:hint="eastAsia" w:cs="仿宋_GB2312"/>
          <w:lang w:val="en-US" w:eastAsia="zh-CN"/>
        </w:rPr>
        <w:t>1599.85</w:t>
      </w:r>
      <w:r>
        <w:rPr>
          <w:rFonts w:hint="eastAsia" w:cs="仿宋_GB2312"/>
        </w:rPr>
        <w:t>万元，其中，基本支出550.57万元，占</w:t>
      </w:r>
      <w:r>
        <w:rPr>
          <w:rFonts w:hint="eastAsia" w:cs="仿宋_GB2312"/>
          <w:lang w:val="en-US" w:eastAsia="zh-CN"/>
        </w:rPr>
        <w:t>34.41</w:t>
      </w:r>
      <w:r>
        <w:rPr>
          <w:rFonts w:hint="eastAsia" w:cs="仿宋_GB2312"/>
        </w:rPr>
        <w:t>%，项目支出</w:t>
      </w:r>
      <w:r>
        <w:rPr>
          <w:rFonts w:hint="eastAsia" w:cs="仿宋_GB2312"/>
          <w:lang w:val="en-US" w:eastAsia="zh-CN"/>
        </w:rPr>
        <w:t>1049.28</w:t>
      </w:r>
      <w:r>
        <w:rPr>
          <w:rFonts w:hint="eastAsia" w:cs="仿宋_GB2312"/>
        </w:rPr>
        <w:t>万元，占</w:t>
      </w:r>
      <w:r>
        <w:rPr>
          <w:rFonts w:hint="eastAsia" w:cs="仿宋_GB2312"/>
          <w:lang w:val="en-US" w:eastAsia="zh-CN"/>
        </w:rPr>
        <w:t>65.59</w:t>
      </w:r>
      <w:r>
        <w:rPr>
          <w:rFonts w:hint="eastAsia" w:cs="仿宋_GB2312"/>
        </w:rPr>
        <w:t>%。</w:t>
      </w:r>
    </w:p>
    <w:p>
      <w:pPr>
        <w:spacing w:line="600" w:lineRule="exact"/>
        <w:ind w:firstLine="640" w:firstLineChars="200"/>
        <w:rPr>
          <w:rFonts w:hint="eastAsia" w:eastAsia="方正楷体_GBK" w:cs="仿宋_GB2312"/>
        </w:rPr>
      </w:pPr>
      <w:r>
        <w:rPr>
          <w:rFonts w:hint="eastAsia" w:eastAsia="方正楷体_GBK" w:cs="仿宋_GB2312"/>
        </w:rPr>
        <w:t>十、其他重要事项的情况说明</w:t>
      </w:r>
    </w:p>
    <w:p>
      <w:pPr>
        <w:spacing w:line="600" w:lineRule="exact"/>
        <w:ind w:firstLine="642" w:firstLineChars="200"/>
        <w:rPr>
          <w:rFonts w:hint="eastAsia" w:cs="仿宋_GB2312"/>
          <w:b/>
        </w:rPr>
      </w:pPr>
      <w:r>
        <w:rPr>
          <w:rFonts w:hint="eastAsia" w:cs="仿宋_GB2312"/>
          <w:b/>
        </w:rPr>
        <w:t>（一）部门运行经费</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年一般公共预算财政拨款运行经费</w:t>
      </w:r>
      <w:r>
        <w:rPr>
          <w:rFonts w:hint="eastAsia" w:cs="仿宋_GB2312"/>
          <w:lang w:val="en-US" w:eastAsia="zh-CN"/>
        </w:rPr>
        <w:t>100.77</w:t>
      </w:r>
      <w:r>
        <w:rPr>
          <w:rFonts w:hint="eastAsia" w:cs="仿宋_GB2312"/>
        </w:rPr>
        <w:t>万元，</w:t>
      </w:r>
      <w:r>
        <w:rPr>
          <w:rFonts w:hint="eastAsia" w:cs="仿宋_GB2312"/>
          <w:lang w:eastAsia="zh-CN"/>
        </w:rPr>
        <w:t>主要</w:t>
      </w:r>
      <w:r>
        <w:rPr>
          <w:rFonts w:hint="eastAsia" w:cs="仿宋_GB2312"/>
        </w:rPr>
        <w:t>用于办公费、印刷费、邮电费、差旅费、会议费、培训费及其他商品和服务支出等。</w:t>
      </w:r>
    </w:p>
    <w:p>
      <w:pPr>
        <w:spacing w:line="600" w:lineRule="exact"/>
        <w:ind w:firstLine="642" w:firstLineChars="200"/>
        <w:rPr>
          <w:rFonts w:hint="eastAsia" w:cs="仿宋_GB2312"/>
          <w:b/>
        </w:rPr>
      </w:pPr>
      <w:r>
        <w:rPr>
          <w:rFonts w:hint="eastAsia" w:cs="仿宋_GB2312"/>
          <w:b/>
        </w:rPr>
        <w:t>（</w:t>
      </w:r>
      <w:r>
        <w:rPr>
          <w:rFonts w:hint="eastAsia" w:cs="仿宋_GB2312"/>
          <w:b/>
          <w:lang w:eastAsia="zh-CN"/>
        </w:rPr>
        <w:t>二</w:t>
      </w:r>
      <w:r>
        <w:rPr>
          <w:rFonts w:hint="eastAsia" w:cs="仿宋_GB2312"/>
          <w:b/>
        </w:rPr>
        <w:t>）国有资产占有使用情况</w:t>
      </w:r>
    </w:p>
    <w:p>
      <w:pPr>
        <w:spacing w:line="600" w:lineRule="exact"/>
        <w:ind w:firstLine="640" w:firstLineChars="200"/>
        <w:rPr>
          <w:rFonts w:hint="eastAsia" w:cs="仿宋_GB2312"/>
        </w:rPr>
      </w:pPr>
      <w:r>
        <w:rPr>
          <w:rFonts w:hint="eastAsia" w:cs="仿宋_GB2312"/>
        </w:rPr>
        <w:t>截至20</w:t>
      </w:r>
      <w:r>
        <w:rPr>
          <w:rFonts w:hint="eastAsia" w:cs="仿宋_GB2312"/>
          <w:lang w:val="en-US" w:eastAsia="zh-CN"/>
        </w:rPr>
        <w:t>22</w:t>
      </w:r>
      <w:r>
        <w:rPr>
          <w:rFonts w:hint="eastAsia" w:cs="仿宋_GB2312"/>
        </w:rPr>
        <w:t>年12月，所属各预算单位共有车辆</w:t>
      </w:r>
      <w:r>
        <w:rPr>
          <w:rFonts w:hint="eastAsia" w:cs="仿宋_GB2312"/>
          <w:lang w:val="en-US" w:eastAsia="zh-CN"/>
        </w:rPr>
        <w:t>2</w:t>
      </w:r>
      <w:r>
        <w:rPr>
          <w:rFonts w:hint="eastAsia" w:cs="仿宋_GB2312"/>
        </w:rPr>
        <w:t>辆，其中一般公务用车</w:t>
      </w:r>
      <w:r>
        <w:rPr>
          <w:rFonts w:hint="eastAsia" w:cs="仿宋_GB2312"/>
          <w:lang w:val="en-US" w:eastAsia="zh-CN"/>
        </w:rPr>
        <w:t>2</w:t>
      </w:r>
      <w:r>
        <w:rPr>
          <w:rFonts w:hint="eastAsia" w:cs="仿宋_GB2312"/>
        </w:rPr>
        <w:t>辆。</w:t>
      </w:r>
    </w:p>
    <w:p>
      <w:pPr>
        <w:spacing w:line="600" w:lineRule="exact"/>
        <w:ind w:firstLine="642" w:firstLineChars="200"/>
        <w:rPr>
          <w:rFonts w:hint="eastAsia" w:cs="仿宋_GB2312"/>
          <w:b/>
        </w:rPr>
      </w:pPr>
      <w:r>
        <w:rPr>
          <w:rFonts w:hint="eastAsia" w:cs="仿宋_GB2312"/>
          <w:b/>
        </w:rPr>
        <w:t>（</w:t>
      </w:r>
      <w:r>
        <w:rPr>
          <w:rFonts w:hint="eastAsia" w:cs="仿宋_GB2312"/>
          <w:b/>
          <w:lang w:eastAsia="zh-CN"/>
        </w:rPr>
        <w:t>三</w:t>
      </w:r>
      <w:r>
        <w:rPr>
          <w:rFonts w:hint="eastAsia" w:cs="仿宋_GB2312"/>
          <w:b/>
        </w:rPr>
        <w:t>）绩效目标设置情况</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年项目支出实行了绩效目标管理，涉及一般公共预算财政拨款</w:t>
      </w:r>
      <w:r>
        <w:rPr>
          <w:rFonts w:hint="eastAsia" w:cs="仿宋_GB2312"/>
          <w:lang w:val="en-US" w:eastAsia="zh-CN"/>
        </w:rPr>
        <w:t>1039.28</w:t>
      </w:r>
      <w:r>
        <w:rPr>
          <w:rFonts w:hint="eastAsia" w:cs="仿宋_GB2312"/>
        </w:rPr>
        <w:t>万元。</w:t>
      </w:r>
    </w:p>
    <w:p>
      <w:pPr>
        <w:spacing w:line="600" w:lineRule="exact"/>
        <w:ind w:firstLine="640" w:firstLineChars="200"/>
        <w:rPr>
          <w:rFonts w:hint="eastAsia" w:eastAsia="方正楷体_GBK" w:cs="仿宋_GB2312"/>
        </w:rPr>
      </w:pPr>
      <w:r>
        <w:rPr>
          <w:rFonts w:hint="eastAsia" w:eastAsia="方正楷体_GBK" w:cs="仿宋_GB2312"/>
        </w:rPr>
        <w:t>十一、专业名词解释</w:t>
      </w:r>
    </w:p>
    <w:p>
      <w:pPr>
        <w:spacing w:line="600" w:lineRule="exact"/>
        <w:ind w:firstLine="640" w:firstLineChars="200"/>
        <w:rPr>
          <w:rFonts w:hint="eastAsia" w:cs="仿宋_GB2312"/>
        </w:rPr>
      </w:pPr>
      <w:r>
        <w:rPr>
          <w:rFonts w:hint="eastAsia" w:cs="仿宋_GB2312"/>
        </w:rPr>
        <w:t>（一）财政拨款收入：指本年度从本级财政部门取得的财政拨款，包括一般公共预算财政拨款和政府性基金预算财政拨款。</w:t>
      </w:r>
    </w:p>
    <w:p>
      <w:pPr>
        <w:spacing w:line="600" w:lineRule="exact"/>
        <w:ind w:firstLine="640" w:firstLineChars="200"/>
        <w:rPr>
          <w:rFonts w:hint="eastAsia" w:cs="仿宋_GB2312"/>
        </w:rPr>
      </w:pPr>
      <w:r>
        <w:rPr>
          <w:rFonts w:hint="eastAsia" w:cs="仿宋_GB2312"/>
        </w:rPr>
        <w:t>（二）其他收入：指单位取得的除“财政拨款收入”、“事业收入”、“经营收入”等以外的收入。</w:t>
      </w:r>
    </w:p>
    <w:p>
      <w:pPr>
        <w:spacing w:line="600" w:lineRule="exact"/>
        <w:ind w:firstLine="640" w:firstLineChars="200"/>
        <w:rPr>
          <w:rFonts w:hint="eastAsia" w:cs="仿宋_GB2312"/>
        </w:rPr>
      </w:pPr>
      <w:r>
        <w:rPr>
          <w:rFonts w:hint="eastAsia" w:cs="仿宋_GB2312"/>
        </w:rPr>
        <w:t>（三）基本支出：指为保障机构正常运转、完成日常工作任务而发生的人员经费和公用经费。</w:t>
      </w:r>
    </w:p>
    <w:p>
      <w:pPr>
        <w:spacing w:line="600" w:lineRule="exact"/>
        <w:ind w:firstLine="640" w:firstLineChars="200"/>
        <w:rPr>
          <w:rFonts w:hint="eastAsia" w:cs="仿宋_GB2312"/>
        </w:rPr>
      </w:pPr>
      <w:r>
        <w:rPr>
          <w:rFonts w:hint="eastAsia" w:cs="仿宋_GB2312"/>
        </w:rPr>
        <w:t>（四）项目支出：指在基本支出之外为完成特定行政任务和事业发展目标所发生的支出。</w:t>
      </w:r>
    </w:p>
    <w:p>
      <w:pPr>
        <w:spacing w:line="600" w:lineRule="exact"/>
        <w:ind w:firstLine="640" w:firstLineChars="200"/>
        <w:rPr>
          <w:rFonts w:hint="eastAsia" w:cs="仿宋_GB2312"/>
        </w:rPr>
      </w:pPr>
      <w:r>
        <w:rPr>
          <w:rFonts w:hint="eastAsia" w:cs="仿宋_GB231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eastAsia" w:eastAsia="方正楷体_GBK" w:cs="仿宋_GB2312"/>
        </w:rPr>
      </w:pPr>
      <w:r>
        <w:rPr>
          <w:rFonts w:hint="eastAsia" w:eastAsia="方正楷体_GBK" w:cs="仿宋_GB2312"/>
        </w:rPr>
        <w:t>十二、预算公开联系方式及信息反馈渠道。</w:t>
      </w:r>
    </w:p>
    <w:p>
      <w:pPr>
        <w:spacing w:line="600" w:lineRule="exact"/>
        <w:ind w:firstLine="640" w:firstLineChars="200"/>
        <w:rPr>
          <w:rFonts w:hint="eastAsia" w:eastAsia="方正仿宋_GBK" w:cs="仿宋_GB2312"/>
          <w:lang w:val="en-US" w:eastAsia="zh-CN"/>
        </w:rPr>
      </w:pPr>
      <w:r>
        <w:rPr>
          <w:rFonts w:hint="eastAsia" w:cs="仿宋_GB2312"/>
        </w:rPr>
        <w:t>本单位部门预算公开信息反馈和联系方式：023-6878</w:t>
      </w:r>
      <w:r>
        <w:rPr>
          <w:rFonts w:hint="eastAsia" w:cs="仿宋_GB2312"/>
          <w:lang w:val="en-US" w:eastAsia="zh-CN"/>
        </w:rPr>
        <w:t>4409</w:t>
      </w:r>
    </w:p>
    <w:p>
      <w:pPr>
        <w:spacing w:line="600" w:lineRule="exact"/>
        <w:rPr>
          <w:rFonts w:hint="eastAsia" w:cs="仿宋_GB2312"/>
        </w:rPr>
      </w:pPr>
    </w:p>
    <w:p>
      <w:pPr>
        <w:spacing w:line="600" w:lineRule="exact"/>
        <w:rPr>
          <w:rFonts w:hint="eastAsia" w:cs="仿宋_GB2312"/>
        </w:rPr>
      </w:pPr>
    </w:p>
    <w:p>
      <w:pPr>
        <w:spacing w:line="600" w:lineRule="exact"/>
        <w:rPr>
          <w:rFonts w:hint="eastAsia" w:cs="仿宋_GB2312"/>
          <w:color w:val="000000"/>
          <w:kern w:val="0"/>
          <w:szCs w:val="32"/>
        </w:rPr>
      </w:pPr>
    </w:p>
    <w:p>
      <w:pPr>
        <w:spacing w:line="600" w:lineRule="exact"/>
        <w:ind w:firstLine="640" w:firstLineChars="200"/>
        <w:rPr>
          <w:rFonts w:hint="eastAsia" w:cs="仿宋_GB2312"/>
          <w:color w:val="000000"/>
          <w:kern w:val="0"/>
          <w:szCs w:val="32"/>
        </w:rPr>
      </w:pPr>
      <w:r>
        <w:rPr>
          <w:rFonts w:hint="eastAsia" w:cs="仿宋_GB2312"/>
          <w:color w:val="000000"/>
          <w:kern w:val="0"/>
          <w:szCs w:val="32"/>
        </w:rPr>
        <w:t>附表：1.财政拨款收支总表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2.一般公共预算财政拨款支出预算表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3.一般公共预算财政拨款基本支出预算表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4.一般公共预算财政拨款基本支出预算表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5.一般公共预算“三公”经费支出表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6.政府性基金预算支出表</w:t>
      </w:r>
    </w:p>
    <w:p>
      <w:pPr>
        <w:spacing w:line="600" w:lineRule="exact"/>
        <w:ind w:firstLine="1600" w:firstLineChars="500"/>
        <w:rPr>
          <w:rFonts w:hint="eastAsia" w:cs="仿宋_GB2312"/>
          <w:color w:val="000000"/>
          <w:kern w:val="0"/>
          <w:szCs w:val="32"/>
        </w:rPr>
      </w:pPr>
      <w:r>
        <w:rPr>
          <w:rFonts w:hint="eastAsia" w:cs="仿宋_GB2312"/>
          <w:color w:val="000000"/>
          <w:kern w:val="0"/>
          <w:szCs w:val="32"/>
        </w:rPr>
        <w:t>7.部门收支总表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8.部门收入总表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9.部门支出总表</w:t>
      </w:r>
    </w:p>
    <w:p>
      <w:pPr>
        <w:spacing w:line="600" w:lineRule="exact"/>
        <w:ind w:firstLine="640" w:firstLineChars="200"/>
        <w:rPr>
          <w:rFonts w:hint="eastAsia" w:cs="仿宋_GB2312"/>
          <w:color w:val="000000"/>
          <w:kern w:val="0"/>
          <w:szCs w:val="32"/>
          <w:lang w:val="en-US" w:eastAsia="zh-CN"/>
        </w:rPr>
      </w:pPr>
      <w:r>
        <w:rPr>
          <w:rFonts w:hint="eastAsia" w:cs="仿宋_GB2312"/>
          <w:color w:val="000000"/>
          <w:kern w:val="0"/>
          <w:szCs w:val="32"/>
        </w:rPr>
        <w:t xml:space="preserve">      </w:t>
      </w:r>
      <w:r>
        <w:rPr>
          <w:rFonts w:hint="eastAsia" w:cs="仿宋_GB2312"/>
          <w:color w:val="000000"/>
          <w:kern w:val="0"/>
          <w:szCs w:val="32"/>
          <w:lang w:val="en-US" w:eastAsia="zh-CN"/>
        </w:rPr>
        <w:t>10.一般公共预算财政拨款项目支出预算表</w:t>
      </w:r>
    </w:p>
    <w:p>
      <w:pPr>
        <w:spacing w:line="600" w:lineRule="exact"/>
        <w:ind w:firstLine="640" w:firstLineChars="200"/>
        <w:rPr>
          <w:rFonts w:hint="default" w:cs="仿宋_GB2312"/>
          <w:color w:val="000000"/>
          <w:kern w:val="0"/>
          <w:szCs w:val="32"/>
          <w:lang w:val="en-US" w:eastAsia="zh-CN"/>
        </w:rPr>
      </w:pPr>
      <w:r>
        <w:rPr>
          <w:rFonts w:hint="eastAsia" w:cs="仿宋_GB2312"/>
          <w:color w:val="000000"/>
          <w:kern w:val="0"/>
          <w:szCs w:val="32"/>
          <w:lang w:val="en-US" w:eastAsia="zh-CN"/>
        </w:rPr>
        <w:t xml:space="preserve">      11.</w:t>
      </w:r>
      <w:r>
        <w:rPr>
          <w:rFonts w:hint="default" w:cs="仿宋_GB2312"/>
          <w:color w:val="000000"/>
          <w:kern w:val="0"/>
          <w:szCs w:val="32"/>
          <w:lang w:val="en-US" w:eastAsia="zh-CN"/>
        </w:rPr>
        <w:t>一般公共预算财政拨款项目支出预算表</w:t>
      </w:r>
    </w:p>
    <w:p>
      <w:pPr>
        <w:spacing w:line="600" w:lineRule="exact"/>
        <w:ind w:firstLine="640" w:firstLineChars="200"/>
        <w:rPr>
          <w:rFonts w:hint="default" w:cs="仿宋_GB2312"/>
          <w:color w:val="000000"/>
          <w:kern w:val="0"/>
          <w:szCs w:val="32"/>
          <w:lang w:val="en-US" w:eastAsia="zh-CN"/>
        </w:rPr>
      </w:pPr>
      <w:r>
        <w:rPr>
          <w:rFonts w:hint="eastAsia" w:cs="仿宋_GB2312"/>
          <w:color w:val="000000"/>
          <w:kern w:val="0"/>
          <w:szCs w:val="32"/>
          <w:lang w:val="en-US" w:eastAsia="zh-CN"/>
        </w:rPr>
        <w:t xml:space="preserve">      12.</w:t>
      </w:r>
      <w:r>
        <w:rPr>
          <w:rFonts w:hint="default" w:cs="仿宋_GB2312"/>
          <w:color w:val="000000"/>
          <w:kern w:val="0"/>
          <w:szCs w:val="32"/>
          <w:lang w:val="en-US" w:eastAsia="zh-CN"/>
        </w:rPr>
        <w:t>项目支出明细表</w:t>
      </w:r>
    </w:p>
    <w:p>
      <w:pPr>
        <w:spacing w:line="600" w:lineRule="exact"/>
        <w:ind w:firstLine="640" w:firstLineChars="200"/>
        <w:rPr>
          <w:rFonts w:hint="eastAsia"/>
          <w:szCs w:val="32"/>
        </w:rPr>
      </w:pPr>
      <w:r>
        <w:rPr>
          <w:rFonts w:hint="eastAsia" w:cs="仿宋_GB2312"/>
          <w:color w:val="000000"/>
          <w:kern w:val="0"/>
          <w:szCs w:val="32"/>
          <w:lang w:val="en-US" w:eastAsia="zh-CN"/>
        </w:rPr>
        <w:t xml:space="preserve">      13.</w:t>
      </w:r>
      <w:r>
        <w:rPr>
          <w:rFonts w:hint="eastAsia"/>
          <w:szCs w:val="32"/>
        </w:rPr>
        <w:t>政府采购明细表</w:t>
      </w:r>
    </w:p>
    <w:p>
      <w:pPr>
        <w:spacing w:line="600" w:lineRule="exact"/>
        <w:ind w:firstLine="640" w:firstLineChars="200"/>
        <w:rPr>
          <w:rFonts w:hint="eastAsia" w:eastAsia="方正仿宋_GBK"/>
          <w:szCs w:val="32"/>
          <w:lang w:val="en-US" w:eastAsia="zh-CN"/>
        </w:rPr>
      </w:pPr>
      <w:r>
        <w:rPr>
          <w:rFonts w:hint="eastAsia"/>
          <w:szCs w:val="32"/>
          <w:lang w:val="en-US" w:eastAsia="zh-CN"/>
        </w:rPr>
        <w:t xml:space="preserve">      14.</w:t>
      </w:r>
      <w:r>
        <w:rPr>
          <w:rFonts w:hint="eastAsia" w:cs="仿宋_GB2312"/>
          <w:color w:val="000000"/>
          <w:kern w:val="0"/>
          <w:szCs w:val="32"/>
          <w:lang w:val="en-US" w:eastAsia="zh-CN"/>
        </w:rPr>
        <w:t>绩效目标表</w:t>
      </w:r>
    </w:p>
    <w:p>
      <w:pPr>
        <w:spacing w:line="600" w:lineRule="exact"/>
        <w:rPr>
          <w:rFonts w:cs="仿宋_GB2312"/>
          <w:color w:val="000000"/>
          <w:kern w:val="0"/>
          <w:sz w:val="20"/>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8"/>
        <w:tblW w:w="12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460"/>
        <w:gridCol w:w="2856"/>
        <w:gridCol w:w="1401"/>
        <w:gridCol w:w="1877"/>
        <w:gridCol w:w="1192"/>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3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color w:val="000000"/>
                <w:kern w:val="0"/>
                <w:sz w:val="28"/>
                <w:szCs w:val="28"/>
                <w:lang w:val="en-US" w:eastAsia="zh-CN"/>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1</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黑体_GBK" w:hAnsi="方正黑体_GBK" w:eastAsia="方正黑体_GBK" w:cs="方正黑体_GBK"/>
                <w:color w:val="000000"/>
                <w:kern w:val="0"/>
                <w:szCs w:val="32"/>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86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合计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政府性基金预算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二、上年结转</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二、结转下年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国有资本经营收入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1"/>
        <w:gridCol w:w="4837"/>
        <w:gridCol w:w="2100"/>
        <w:gridCol w:w="216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8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楷体_GBK" w:hAnsi="方正楷体_GBK" w:eastAsia="方正楷体_GBK" w:cs="方正楷体_GBK"/>
                <w:i w:val="0"/>
                <w:iCs w:val="0"/>
                <w:color w:val="000000"/>
                <w:sz w:val="20"/>
                <w:szCs w:val="20"/>
                <w:u w:val="none"/>
                <w:lang w:val="en-US"/>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2</w:t>
            </w:r>
          </w:p>
        </w:tc>
        <w:tc>
          <w:tcPr>
            <w:tcW w:w="48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2181"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eastAsia" w:ascii="方正黑体_GBK" w:hAnsi="方正黑体_GBK" w:eastAsia="方正黑体_GBK" w:cs="方正黑体_GBK"/>
                <w:color w:val="000000"/>
                <w:kern w:val="0"/>
                <w:szCs w:val="32"/>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181" w:type="dxa"/>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功能分类科目</w:t>
            </w:r>
          </w:p>
        </w:tc>
        <w:tc>
          <w:tcPr>
            <w:tcW w:w="5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1,599.85</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550.57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1,406.56</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357.28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文化和旅游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1,406.56</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357.28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357.28</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357.28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2070102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一般行政管理事务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32.68</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2070108</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2070109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群众文化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2070111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文化创作与保护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2070112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文化和旅游市场管理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88.00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2070113</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旅游宣传</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2070114</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文化和旅游管理事务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2070199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其他文化和旅游支出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203.60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138.20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138.20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138.20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138.20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行政单位离退休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2080599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78.57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78.57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25.66</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25.66</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2101103</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公务员医疗补助</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6.24</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2101199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26.90</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2210203</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购房补贴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4332"/>
        <w:gridCol w:w="2052"/>
        <w:gridCol w:w="1987"/>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5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楷体_GBK" w:hAnsi="方正楷体_GBK" w:eastAsia="方正楷体_GBK" w:cs="方正楷体_GBK"/>
                <w:i w:val="0"/>
                <w:iCs w:val="0"/>
                <w:color w:val="000000"/>
                <w:sz w:val="20"/>
                <w:szCs w:val="20"/>
                <w:u w:val="none"/>
                <w:lang w:val="en-US"/>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3</w:t>
            </w:r>
          </w:p>
        </w:tc>
        <w:tc>
          <w:tcPr>
            <w:tcW w:w="43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9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5"/>
            <w:vMerge w:val="restart"/>
            <w:tcBorders>
              <w:top w:val="nil"/>
              <w:left w:val="nil"/>
              <w:bottom w:val="nil"/>
              <w:right w:val="nil"/>
            </w:tcBorders>
            <w:shd w:val="clear" w:color="auto" w:fill="auto"/>
            <w:noWrap/>
            <w:vAlign w:val="center"/>
          </w:tcPr>
          <w:p>
            <w:pPr>
              <w:pStyle w:val="8"/>
              <w:adjustRightInd w:val="0"/>
              <w:snapToGrid w:val="0"/>
              <w:spacing w:line="600" w:lineRule="exact"/>
              <w:ind w:left="1600" w:leftChars="500" w:right="0" w:rightChars="0" w:firstLine="1920" w:firstLineChars="600"/>
              <w:rPr>
                <w:rFonts w:ascii="方正小标宋_GBK" w:hAnsi="方正小标宋_GBK" w:eastAsia="方正小标宋_GBK" w:cs="方正小标宋_GBK"/>
                <w:i w:val="0"/>
                <w:iCs w:val="0"/>
                <w:color w:val="000000"/>
                <w:sz w:val="28"/>
                <w:szCs w:val="28"/>
                <w:u w:val="none"/>
              </w:rPr>
            </w:pPr>
            <w:r>
              <w:rPr>
                <w:rFonts w:hint="eastAsia" w:ascii="方正黑体_GBK" w:hAnsi="方正黑体_GBK" w:eastAsia="方正黑体_GBK" w:cs="方正黑体_GBK"/>
                <w:sz w:val="32"/>
                <w:szCs w:val="32"/>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550.57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449.79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30110</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30199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30207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30231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30239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30299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30301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30305</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30307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4281"/>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50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4"/>
                <w:szCs w:val="34"/>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4</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黑体_GBK" w:hAnsi="方正黑体_GBK" w:eastAsia="方正黑体_GBK" w:cs="方正黑体_GBK"/>
                <w:i w:val="0"/>
                <w:iCs w:val="0"/>
                <w:color w:val="000000"/>
                <w:kern w:val="0"/>
                <w:sz w:val="34"/>
                <w:szCs w:val="34"/>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504"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9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科目编码</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科目名称</w:t>
            </w:r>
          </w:p>
        </w:tc>
        <w:tc>
          <w:tcPr>
            <w:tcW w:w="4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机关工资福利支出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50101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工资奖金津补贴</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50102</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社会保障缴费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50103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住房公积金</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50199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其他工资福利支出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502</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机关商品和服务支出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办公经费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50203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培训费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50205</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委托业务费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50206</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公务接待费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50208</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公务用车运行维护费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50299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其他商品和服务支出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对个人和家庭的补助</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50901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社会福利和救助</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50905</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4"/>
                <w:lang w:val="en-US" w:eastAsia="zh-CN" w:bidi="ar"/>
              </w:rPr>
              <w:t xml:space="preserve"> 离退休费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13.03</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5"/>
        <w:gridCol w:w="2425"/>
        <w:gridCol w:w="1579"/>
        <w:gridCol w:w="1954"/>
        <w:gridCol w:w="2051"/>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228" w:type="dxa"/>
            <w:gridSpan w:val="6"/>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0"/>
                <w:szCs w:val="30"/>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5</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228" w:type="dxa"/>
            <w:gridSpan w:val="6"/>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228" w:type="dxa"/>
            <w:gridSpan w:val="6"/>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2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5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2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33.50</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6"/>
        <w:gridCol w:w="4325"/>
        <w:gridCol w:w="1084"/>
        <w:gridCol w:w="1831"/>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19"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6</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219" w:type="dxa"/>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3"/>
        <w:gridCol w:w="1657"/>
        <w:gridCol w:w="3683"/>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422"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0"/>
                <w:szCs w:val="30"/>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7</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422" w:type="dxa"/>
            <w:gridSpan w:val="4"/>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上级补助收入资金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6"/>
        <w:gridCol w:w="3690"/>
        <w:gridCol w:w="1133"/>
        <w:gridCol w:w="1202"/>
        <w:gridCol w:w="1303"/>
        <w:gridCol w:w="1369"/>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235" w:type="dxa"/>
            <w:gridSpan w:val="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0"/>
                <w:szCs w:val="30"/>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8</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黑体_GBK" w:hAnsi="方正黑体_GBK" w:eastAsia="方正黑体_GBK" w:cs="方正黑体_GBK"/>
                <w:i w:val="0"/>
                <w:iCs w:val="0"/>
                <w:color w:val="000000"/>
                <w:kern w:val="0"/>
                <w:sz w:val="30"/>
                <w:szCs w:val="30"/>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235" w:type="dxa"/>
            <w:gridSpan w:val="7"/>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总计</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财政专户管理资金收入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2070108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文化活动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2070109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文化和旅游市场管理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旅游宣传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1"/>
        <w:gridCol w:w="210"/>
        <w:gridCol w:w="3352"/>
        <w:gridCol w:w="1356"/>
        <w:gridCol w:w="790"/>
        <w:gridCol w:w="2081"/>
        <w:gridCol w:w="5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385" w:type="dxa"/>
            <w:gridSpan w:val="8"/>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_GBK" w:hAnsi="方正小标宋_GBK" w:eastAsia="方正小标宋_GBK" w:cs="方正小标宋_GBK"/>
                <w:i w:val="0"/>
                <w:iCs w:val="0"/>
                <w:color w:val="000000"/>
                <w:kern w:val="0"/>
                <w:sz w:val="30"/>
                <w:szCs w:val="30"/>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9</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385" w:type="dxa"/>
            <w:gridSpan w:val="8"/>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5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5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基本支出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1,599.85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550.57</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207</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1,406.56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357.28</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文化和旅游</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1,406.56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357.28</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2070101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行政运行</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357.28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357.28</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2070102</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一般行政管理事务</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2070108</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文化活动</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2070109</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群众文化</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90.00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2070111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文化创作与保护</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2070112</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文化和旅游市场管理</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88.00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2070113</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旅游宣传</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2070199</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其他文化和旅游支出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203.60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208</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20805</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行政事业单位养老支出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2080501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行政单位离退休</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2080505</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机关事业单位基本养老保险缴费支出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31.07</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2080506</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机关事业单位职业年金缴费支出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2080599</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其他行政事业单位养老支出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78.57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78.57</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21011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行政事业单位医疗</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25.66</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2101101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行政单位医疗</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2101103</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公务员医疗补助</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6.24</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2101199</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其他行政事业单位医疗支出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22102</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住房改革支出</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2210201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住房公积金</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2210203</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65"/>
                <w:lang w:val="en-US" w:eastAsia="zh-CN" w:bidi="ar"/>
              </w:rPr>
              <w:t xml:space="preserve">  购房补贴</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1035" w:hRule="atLeast"/>
        </w:trPr>
        <w:tc>
          <w:tcPr>
            <w:tcW w:w="1009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eastAsia" w:ascii="方正黑体_GBK" w:hAnsi="方正黑体_GBK" w:eastAsia="方正黑体_GBK" w:cs="方正黑体_GBK"/>
                <w:color w:val="000000"/>
                <w:kern w:val="0"/>
                <w:sz w:val="28"/>
                <w:szCs w:val="28"/>
                <w:lang w:eastAsia="zh-CN"/>
              </w:rPr>
            </w:pPr>
          </w:p>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10</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一般公共预算财政拨款项目支出预算表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0" w:type="dxa"/>
          <w:trHeight w:val="552" w:hRule="atLeast"/>
        </w:trPr>
        <w:tc>
          <w:tcPr>
            <w:tcW w:w="10095"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96" w:hRule="atLeast"/>
        </w:trPr>
        <w:tc>
          <w:tcPr>
            <w:tcW w:w="17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1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36"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741" w:hRule="atLeast"/>
        </w:trPr>
        <w:tc>
          <w:tcPr>
            <w:tcW w:w="6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34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552"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34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414" w:hRule="atLeast"/>
        </w:trPr>
        <w:tc>
          <w:tcPr>
            <w:tcW w:w="6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96"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302</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商品和服务支出</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30211</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差旅费</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30226</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劳务费</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30227</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委托业务费</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30299</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其他商品和服务支出</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96"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303</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对个人和家庭的补助</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30305</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生活补助</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96"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310</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资本性支出</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90" w:type="dxa"/>
          <w:trHeight w:val="379"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31013</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公务用车购置</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8"/>
        <w:gridCol w:w="4380"/>
        <w:gridCol w:w="4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29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4"/>
                <w:szCs w:val="34"/>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11</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黑体_GBK" w:hAnsi="方正黑体_GBK" w:eastAsia="方正黑体_GBK" w:cs="方正黑体_GBK"/>
                <w:i w:val="0"/>
                <w:iCs w:val="0"/>
                <w:color w:val="000000"/>
                <w:kern w:val="0"/>
                <w:sz w:val="34"/>
                <w:szCs w:val="34"/>
                <w:u w:val="none"/>
                <w:lang w:val="en-US" w:eastAsia="zh-CN" w:bidi="ar"/>
              </w:rPr>
              <w:t>一般公共预算财政拨款项目支出预算表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291"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2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4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4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502</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机关商品和服务支出</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50201</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办公经费</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50205</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委托业务费</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50299</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其他商品和服务支出</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503</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机关资本性支出（一）</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50303</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公务用车购置</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509</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对个人和家庭的补助</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50901</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社会福利和救助</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5.68</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2976"/>
        <w:gridCol w:w="800"/>
        <w:gridCol w:w="904"/>
        <w:gridCol w:w="1678"/>
        <w:gridCol w:w="2165"/>
        <w:gridCol w:w="865"/>
        <w:gridCol w:w="1394"/>
        <w:gridCol w:w="1394"/>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4081"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38"/>
                <w:szCs w:val="38"/>
                <w:u w:val="none"/>
                <w:lang w:val="en-US" w:eastAsia="zh-CN" w:bidi="ar"/>
              </w:rPr>
            </w:pPr>
            <w:r>
              <w:rPr>
                <w:rFonts w:hint="eastAsia" w:ascii="方正黑体_GBK" w:hAnsi="方正黑体_GBK" w:eastAsia="方正黑体_GBK" w:cs="方正黑体_GBK"/>
                <w:color w:val="000000"/>
                <w:kern w:val="0"/>
                <w:sz w:val="28"/>
                <w:szCs w:val="28"/>
                <w:lang w:eastAsia="zh-CN"/>
              </w:rPr>
              <w:t>附表</w:t>
            </w:r>
            <w:r>
              <w:rPr>
                <w:rFonts w:hint="eastAsia" w:ascii="方正黑体_GBK" w:hAnsi="方正黑体_GBK" w:eastAsia="方正黑体_GBK" w:cs="方正黑体_GBK"/>
                <w:color w:val="000000"/>
                <w:kern w:val="0"/>
                <w:sz w:val="28"/>
                <w:szCs w:val="28"/>
                <w:lang w:val="en-US" w:eastAsia="zh-CN"/>
              </w:rPr>
              <w:t>12</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黑体_GBK" w:hAnsi="方正黑体_GBK" w:eastAsia="方正黑体_GBK" w:cs="方正黑体_GBK"/>
                <w:i w:val="0"/>
                <w:iCs w:val="0"/>
                <w:color w:val="000000"/>
                <w:kern w:val="0"/>
                <w:sz w:val="38"/>
                <w:szCs w:val="38"/>
                <w:u w:val="none"/>
                <w:lang w:val="en-US" w:eastAsia="zh-CN" w:bidi="ar"/>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bookmarkStart w:id="0" w:name="_GoBack"/>
            <w:bookmarkEnd w:id="0"/>
            <w:r>
              <w:rPr>
                <w:rFonts w:hint="eastAsia" w:ascii="方正黑体_GBK" w:hAnsi="方正黑体_GBK" w:eastAsia="方正黑体_GBK" w:cs="方正黑体_GBK"/>
                <w:i w:val="0"/>
                <w:iCs w:val="0"/>
                <w:color w:val="000000"/>
                <w:kern w:val="0"/>
                <w:sz w:val="20"/>
                <w:szCs w:val="20"/>
                <w:u w:val="none"/>
                <w:lang w:val="en-US" w:eastAsia="zh-CN" w:bidi="ar"/>
              </w:rPr>
              <w:t>部门编码</w:t>
            </w:r>
          </w:p>
        </w:tc>
        <w:tc>
          <w:tcPr>
            <w:tcW w:w="2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部门名称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单位编码</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功能科目编码</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功能科目名称</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项目名称</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项目分类</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总计</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2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小计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财力安排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1,049.28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1,049.28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2070111</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文化创作与保护</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文化遗产保护</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2070199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其他文化和旅游支出</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规划发展</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2070112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文化和旅游市场管理</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行业管理</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2070113</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旅游宣传</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宣传营销</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2070112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文化和旅游市场管理</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扫黄打非</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2070102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一般行政管理事务</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企业离退休人员补助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2070199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其他文化和旅游支出</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应急广播体系建设</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2070108</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文化活动</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重大项目</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2070109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群众文化</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公共服务</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2070199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其他文化和旅游支出</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市级活动及招商引资</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2070199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其他文化和旅游支出</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文旅企业服务</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2070102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一般行政管理事务</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公务车购置</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257</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重庆市九龙坡区文化和旅游发展委员会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257001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2070199</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其他文化和旅游支出</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市级旅游公共服务专项资金</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重点专项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9"/>
        <w:gridCol w:w="1012"/>
        <w:gridCol w:w="1463"/>
        <w:gridCol w:w="1161"/>
        <w:gridCol w:w="2401"/>
        <w:gridCol w:w="2410"/>
        <w:gridCol w:w="1992"/>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0681" w:type="dxa"/>
            <w:gridSpan w:val="8"/>
            <w:vMerge w:val="restart"/>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color w:val="000000"/>
                <w:kern w:val="0"/>
                <w:sz w:val="28"/>
                <w:szCs w:val="28"/>
                <w:lang w:val="en-US" w:eastAsia="zh-CN"/>
              </w:rPr>
            </w:pPr>
            <w:r>
              <w:rPr>
                <w:rFonts w:hint="eastAsia" w:ascii="方正黑体_GBK" w:hAnsi="方正黑体_GBK" w:eastAsia="方正黑体_GBK" w:cs="方正黑体_GBK"/>
                <w:color w:val="000000"/>
                <w:kern w:val="0"/>
                <w:sz w:val="28"/>
                <w:szCs w:val="28"/>
                <w:lang w:val="en-US" w:eastAsia="zh-CN"/>
              </w:rPr>
              <w:t>附表13</w:t>
            </w:r>
          </w:p>
          <w:p>
            <w:pPr>
              <w:keepNext w:val="0"/>
              <w:keepLines w:val="0"/>
              <w:widowControl/>
              <w:suppressLineNumbers w:val="0"/>
              <w:jc w:val="center"/>
              <w:textAlignment w:val="center"/>
              <w:rPr>
                <w:rFonts w:hint="eastAsia" w:ascii="宋体" w:hAnsi="宋体" w:eastAsia="宋体" w:cs="宋体"/>
                <w:i w:val="0"/>
                <w:color w:val="000000"/>
                <w:sz w:val="38"/>
                <w:szCs w:val="38"/>
                <w:u w:val="none"/>
                <w:lang w:eastAsia="zh-CN"/>
              </w:rPr>
            </w:pPr>
            <w:r>
              <w:rPr>
                <w:rFonts w:hint="eastAsia" w:ascii="方正黑体_GBK" w:hAnsi="方正黑体_GBK" w:eastAsia="方正黑体_GBK" w:cs="方正黑体_GBK"/>
                <w:i w:val="0"/>
                <w:color w:val="000000"/>
                <w:kern w:val="0"/>
                <w:sz w:val="38"/>
                <w:szCs w:val="38"/>
                <w:u w:val="none"/>
                <w:lang w:val="en-US" w:eastAsia="zh-CN" w:bidi="ar"/>
              </w:rPr>
              <w:t>政府采购明细表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0681" w:type="dxa"/>
            <w:gridSpan w:val="8"/>
            <w:vMerge w:val="continue"/>
            <w:shd w:val="clear" w:color="auto" w:fill="auto"/>
            <w:vAlign w:val="center"/>
          </w:tcPr>
          <w:p>
            <w:pPr>
              <w:jc w:val="center"/>
              <w:rPr>
                <w:rFonts w:hint="eastAsia" w:ascii="宋体" w:hAnsi="宋体" w:eastAsia="宋体" w:cs="宋体"/>
                <w:i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63"/>
                <w:lang w:val="en-US" w:eastAsia="zh-CN"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63"/>
                <w:lang w:val="en-US" w:eastAsia="zh-CN"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bl>
    <w:p>
      <w:pPr>
        <w:rPr>
          <w:rFonts w:hint="eastAsia"/>
          <w:lang w:val="en-US" w:eastAsia="zh-CN"/>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ialog . plain">
    <w:altName w:val="方正细黑一_GBK"/>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细黑一_GBK">
    <w:panose1 w:val="03000509000000000000"/>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WSAveywEAAJwDAAAOAAAA&#10;AAAAAAEAIAAAADQBAABkcnMvZTJvRG9jLnhtbFBLBQYAAAAABgAGAFkBAABxBQAAAAA=&#10;">
              <v:fill on="f" focussize="0,0"/>
              <v:stroke on="f"/>
              <v:imagedata o:title=""/>
              <o:lock v:ext="edit" aspectratio="f"/>
              <v:textbox inset="0mm,0mm,0mm,0mm" style="mso-fit-shape-to-text:t;">
                <w:txbxContent>
                  <w:p>
                    <w:pPr>
                      <w:pStyle w:val="1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1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C8ACD"/>
    <w:multiLevelType w:val="singleLevel"/>
    <w:tmpl w:val="BC8C8ACD"/>
    <w:lvl w:ilvl="0" w:tentative="0">
      <w:start w:val="2"/>
      <w:numFmt w:val="chineseCounting"/>
      <w:suff w:val="nothing"/>
      <w:lvlText w:val="%1、"/>
      <w:lvlJc w:val="left"/>
      <w:rPr>
        <w:rFonts w:hint="eastAsia"/>
      </w:rPr>
    </w:lvl>
  </w:abstractNum>
  <w:abstractNum w:abstractNumId="1">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00D500D8"/>
    <w:rsid w:val="00294BBF"/>
    <w:rsid w:val="00D500D8"/>
    <w:rsid w:val="015831E4"/>
    <w:rsid w:val="03976835"/>
    <w:rsid w:val="04C9583E"/>
    <w:rsid w:val="0B513F61"/>
    <w:rsid w:val="0F39203D"/>
    <w:rsid w:val="12E5491F"/>
    <w:rsid w:val="159C14E9"/>
    <w:rsid w:val="174F7193"/>
    <w:rsid w:val="18A75363"/>
    <w:rsid w:val="20F8422A"/>
    <w:rsid w:val="234D528D"/>
    <w:rsid w:val="238728BB"/>
    <w:rsid w:val="2600753F"/>
    <w:rsid w:val="279B0440"/>
    <w:rsid w:val="27AB2F82"/>
    <w:rsid w:val="28D66B2D"/>
    <w:rsid w:val="2B471597"/>
    <w:rsid w:val="2B8A6BF4"/>
    <w:rsid w:val="2D0B2DF7"/>
    <w:rsid w:val="2DA36136"/>
    <w:rsid w:val="2E9E0432"/>
    <w:rsid w:val="2F002A25"/>
    <w:rsid w:val="30E134BC"/>
    <w:rsid w:val="32011BB7"/>
    <w:rsid w:val="32264289"/>
    <w:rsid w:val="324A7A58"/>
    <w:rsid w:val="348159C8"/>
    <w:rsid w:val="354140F8"/>
    <w:rsid w:val="362D708C"/>
    <w:rsid w:val="37073FA9"/>
    <w:rsid w:val="37DA7947"/>
    <w:rsid w:val="38607BD5"/>
    <w:rsid w:val="388108B2"/>
    <w:rsid w:val="3A140313"/>
    <w:rsid w:val="3D0D060D"/>
    <w:rsid w:val="3D11036D"/>
    <w:rsid w:val="427E1F1D"/>
    <w:rsid w:val="45B46D8C"/>
    <w:rsid w:val="45FD1F16"/>
    <w:rsid w:val="46DF4F90"/>
    <w:rsid w:val="48BB61FF"/>
    <w:rsid w:val="495230F6"/>
    <w:rsid w:val="4A1E3882"/>
    <w:rsid w:val="4D334995"/>
    <w:rsid w:val="4D4733D2"/>
    <w:rsid w:val="50E0570A"/>
    <w:rsid w:val="522F7CDB"/>
    <w:rsid w:val="536B0DBF"/>
    <w:rsid w:val="539D7EEE"/>
    <w:rsid w:val="53E8111B"/>
    <w:rsid w:val="54503488"/>
    <w:rsid w:val="54F62090"/>
    <w:rsid w:val="57285E62"/>
    <w:rsid w:val="575B271F"/>
    <w:rsid w:val="57661580"/>
    <w:rsid w:val="578232D8"/>
    <w:rsid w:val="579F3FB9"/>
    <w:rsid w:val="57DF2C87"/>
    <w:rsid w:val="5AD247AD"/>
    <w:rsid w:val="5E873079"/>
    <w:rsid w:val="638F2984"/>
    <w:rsid w:val="670C0F0E"/>
    <w:rsid w:val="67657045"/>
    <w:rsid w:val="682A51A7"/>
    <w:rsid w:val="69860025"/>
    <w:rsid w:val="6AF73380"/>
    <w:rsid w:val="6CB866A3"/>
    <w:rsid w:val="6D860791"/>
    <w:rsid w:val="6FE83EE5"/>
    <w:rsid w:val="71C42199"/>
    <w:rsid w:val="73E86D97"/>
    <w:rsid w:val="73ED0CA3"/>
    <w:rsid w:val="75620161"/>
    <w:rsid w:val="76072D97"/>
    <w:rsid w:val="BE8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30"/>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1"/>
    <w:qFormat/>
    <w:uiPriority w:val="0"/>
    <w:pPr>
      <w:jc w:val="left"/>
    </w:pPr>
    <w:rPr>
      <w:rFonts w:ascii="Calibri" w:hAnsi="Calibri" w:eastAsiaTheme="minorEastAsia" w:cstheme="minorBidi"/>
      <w:sz w:val="21"/>
      <w:szCs w:val="22"/>
    </w:rPr>
  </w:style>
  <w:style w:type="paragraph" w:styleId="6">
    <w:name w:val="Body Text"/>
    <w:basedOn w:val="1"/>
    <w:link w:val="48"/>
    <w:qFormat/>
    <w:uiPriority w:val="0"/>
    <w:pPr>
      <w:spacing w:after="120"/>
    </w:pPr>
  </w:style>
  <w:style w:type="paragraph" w:styleId="7">
    <w:name w:val="Body Text Indent"/>
    <w:basedOn w:val="1"/>
    <w:link w:val="46"/>
    <w:qFormat/>
    <w:uiPriority w:val="0"/>
    <w:pPr>
      <w:ind w:firstLine="640"/>
    </w:pPr>
    <w:rPr>
      <w:rFonts w:hint="eastAsia" w:ascii="仿宋_GB2312" w:eastAsia="仿宋_GB2312"/>
    </w:rPr>
  </w:style>
  <w:style w:type="paragraph" w:styleId="8">
    <w:name w:val="Block Text"/>
    <w:basedOn w:val="1"/>
    <w:qFormat/>
    <w:uiPriority w:val="0"/>
    <w:pPr>
      <w:ind w:left="-178" w:leftChars="-85" w:right="-693" w:rightChars="-330" w:firstLine="560" w:firstLineChars="200"/>
    </w:pPr>
    <w:rPr>
      <w:rFonts w:eastAsia="宋体"/>
      <w:sz w:val="28"/>
      <w:szCs w:val="24"/>
    </w:rPr>
  </w:style>
  <w:style w:type="paragraph" w:styleId="9">
    <w:name w:val="Plain Text"/>
    <w:basedOn w:val="1"/>
    <w:link w:val="44"/>
    <w:qFormat/>
    <w:uiPriority w:val="0"/>
    <w:rPr>
      <w:rFonts w:ascii="宋体" w:hAnsi="Courier New" w:eastAsia="宋体"/>
      <w:sz w:val="21"/>
      <w:szCs w:val="21"/>
    </w:rPr>
  </w:style>
  <w:style w:type="paragraph" w:styleId="10">
    <w:name w:val="Date"/>
    <w:basedOn w:val="1"/>
    <w:next w:val="1"/>
    <w:link w:val="57"/>
    <w:qFormat/>
    <w:uiPriority w:val="0"/>
    <w:pPr>
      <w:ind w:left="100" w:leftChars="2500"/>
    </w:pPr>
  </w:style>
  <w:style w:type="paragraph" w:styleId="11">
    <w:name w:val="Balloon Text"/>
    <w:basedOn w:val="1"/>
    <w:link w:val="43"/>
    <w:qFormat/>
    <w:uiPriority w:val="0"/>
    <w:rPr>
      <w:rFonts w:asciiTheme="minorHAnsi" w:hAnsiTheme="minorHAnsi" w:cstheme="minorBidi"/>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3"/>
    <w:qFormat/>
    <w:uiPriority w:val="0"/>
    <w:pPr>
      <w:snapToGrid w:val="0"/>
      <w:jc w:val="left"/>
    </w:pPr>
    <w:rPr>
      <w:rFonts w:asciiTheme="minorHAnsi" w:hAnsiTheme="minorHAnsi" w:cstheme="minorBid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56"/>
    <w:qFormat/>
    <w:uiPriority w:val="0"/>
    <w:pPr>
      <w:spacing w:line="500" w:lineRule="exact"/>
      <w:ind w:firstLine="200" w:firstLineChars="200"/>
      <w:jc w:val="center"/>
      <w:outlineLvl w:val="0"/>
    </w:pPr>
    <w:rPr>
      <w:rFonts w:ascii="Cambria" w:hAnsi="Cambria" w:eastAsia="方正小标宋_GBK" w:cstheme="minorBidi"/>
      <w:bCs/>
      <w:sz w:val="44"/>
      <w:szCs w:val="32"/>
    </w:rPr>
  </w:style>
  <w:style w:type="paragraph" w:styleId="17">
    <w:name w:val="annotation subject"/>
    <w:basedOn w:val="5"/>
    <w:next w:val="5"/>
    <w:link w:val="55"/>
    <w:qFormat/>
    <w:uiPriority w:val="0"/>
    <w:rPr>
      <w:rFonts w:eastAsia="方正仿宋_GBK"/>
      <w:b/>
      <w:bCs/>
      <w:sz w:val="3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character" w:customStyle="1" w:styleId="26">
    <w:name w:val="页眉 Char"/>
    <w:basedOn w:val="20"/>
    <w:link w:val="13"/>
    <w:qFormat/>
    <w:uiPriority w:val="0"/>
    <w:rPr>
      <w:sz w:val="18"/>
      <w:szCs w:val="18"/>
    </w:rPr>
  </w:style>
  <w:style w:type="character" w:customStyle="1" w:styleId="27">
    <w:name w:val="页脚 Char"/>
    <w:basedOn w:val="20"/>
    <w:link w:val="12"/>
    <w:qFormat/>
    <w:uiPriority w:val="0"/>
    <w:rPr>
      <w:sz w:val="18"/>
      <w:szCs w:val="18"/>
    </w:rPr>
  </w:style>
  <w:style w:type="character" w:customStyle="1" w:styleId="28">
    <w:name w:val="标题 1 Char"/>
    <w:basedOn w:val="20"/>
    <w:link w:val="2"/>
    <w:qFormat/>
    <w:uiPriority w:val="0"/>
    <w:rPr>
      <w:rFonts w:ascii="Calibri" w:hAnsi="Calibri" w:eastAsia="宋体" w:cs="Times New Roman"/>
      <w:b/>
      <w:bCs/>
      <w:kern w:val="44"/>
      <w:sz w:val="44"/>
      <w:szCs w:val="44"/>
    </w:rPr>
  </w:style>
  <w:style w:type="character" w:customStyle="1" w:styleId="29">
    <w:name w:val="标题 2 Char"/>
    <w:basedOn w:val="20"/>
    <w:link w:val="3"/>
    <w:qFormat/>
    <w:uiPriority w:val="0"/>
    <w:rPr>
      <w:rFonts w:ascii="Cambria" w:hAnsi="Cambria" w:eastAsia="宋体" w:cs="Times New Roman"/>
      <w:b/>
      <w:bCs/>
      <w:sz w:val="32"/>
      <w:szCs w:val="32"/>
    </w:rPr>
  </w:style>
  <w:style w:type="character" w:customStyle="1" w:styleId="30">
    <w:name w:val="标题 4 Char"/>
    <w:basedOn w:val="20"/>
    <w:link w:val="4"/>
    <w:qFormat/>
    <w:uiPriority w:val="0"/>
    <w:rPr>
      <w:rFonts w:ascii="Cambria" w:hAnsi="Cambria" w:eastAsia="宋体" w:cs="Times New Roman"/>
      <w:b/>
      <w:bCs/>
      <w:sz w:val="28"/>
      <w:szCs w:val="28"/>
    </w:rPr>
  </w:style>
  <w:style w:type="character" w:customStyle="1" w:styleId="31">
    <w:name w:val="Title Char"/>
    <w:qFormat/>
    <w:locked/>
    <w:uiPriority w:val="0"/>
    <w:rPr>
      <w:rFonts w:ascii="Cambria" w:hAnsi="Cambria" w:eastAsia="方正小标宋_GBK" w:cs="Times New Roman"/>
      <w:bCs/>
      <w:sz w:val="32"/>
      <w:szCs w:val="32"/>
    </w:rPr>
  </w:style>
  <w:style w:type="character" w:customStyle="1" w:styleId="32">
    <w:name w:val="font01"/>
    <w:basedOn w:val="20"/>
    <w:qFormat/>
    <w:uiPriority w:val="0"/>
    <w:rPr>
      <w:rFonts w:hint="eastAsia" w:ascii="宋体" w:hAnsi="宋体" w:eastAsia="宋体" w:cs="宋体"/>
      <w:color w:val="000000"/>
      <w:sz w:val="24"/>
      <w:szCs w:val="24"/>
      <w:u w:val="none"/>
    </w:rPr>
  </w:style>
  <w:style w:type="character" w:customStyle="1" w:styleId="33">
    <w:name w:val="批注框文本 Char"/>
    <w:link w:val="11"/>
    <w:qFormat/>
    <w:uiPriority w:val="0"/>
    <w:rPr>
      <w:rFonts w:eastAsia="方正仿宋_GBK"/>
      <w:sz w:val="18"/>
      <w:szCs w:val="18"/>
    </w:rPr>
  </w:style>
  <w:style w:type="character" w:customStyle="1" w:styleId="34">
    <w:name w:val="font21"/>
    <w:basedOn w:val="20"/>
    <w:qFormat/>
    <w:uiPriority w:val="0"/>
    <w:rPr>
      <w:rFonts w:hint="eastAsia" w:ascii="宋体" w:hAnsi="宋体" w:eastAsia="宋体" w:cs="宋体"/>
      <w:color w:val="000000"/>
      <w:sz w:val="24"/>
      <w:szCs w:val="24"/>
      <w:u w:val="none"/>
    </w:rPr>
  </w:style>
  <w:style w:type="character" w:customStyle="1" w:styleId="35">
    <w:name w:val="style231"/>
    <w:qFormat/>
    <w:uiPriority w:val="0"/>
    <w:rPr>
      <w:b/>
      <w:bCs/>
      <w:sz w:val="24"/>
      <w:szCs w:val="24"/>
    </w:rPr>
  </w:style>
  <w:style w:type="character" w:customStyle="1" w:styleId="36">
    <w:name w:val="批注主题 Char"/>
    <w:link w:val="17"/>
    <w:qFormat/>
    <w:uiPriority w:val="0"/>
    <w:rPr>
      <w:rFonts w:ascii="Calibri" w:hAnsi="Calibri" w:eastAsia="方正仿宋_GBK"/>
      <w:b/>
      <w:bCs/>
      <w:sz w:val="32"/>
    </w:rPr>
  </w:style>
  <w:style w:type="character" w:customStyle="1" w:styleId="37">
    <w:name w:val="apple-style-span"/>
    <w:basedOn w:val="20"/>
    <w:qFormat/>
    <w:uiPriority w:val="0"/>
  </w:style>
  <w:style w:type="character" w:customStyle="1" w:styleId="38">
    <w:name w:val="批注文字 Char"/>
    <w:link w:val="5"/>
    <w:qFormat/>
    <w:uiPriority w:val="0"/>
    <w:rPr>
      <w:rFonts w:ascii="Calibri" w:hAnsi="Calibri"/>
    </w:rPr>
  </w:style>
  <w:style w:type="character" w:customStyle="1" w:styleId="39">
    <w:name w:val=" Char Char3"/>
    <w:qFormat/>
    <w:uiPriority w:val="0"/>
    <w:rPr>
      <w:sz w:val="18"/>
      <w:szCs w:val="18"/>
      <w:lang w:bidi="ar-SA"/>
    </w:rPr>
  </w:style>
  <w:style w:type="character" w:customStyle="1" w:styleId="40">
    <w:name w:val="脚注文本 Char"/>
    <w:link w:val="14"/>
    <w:qFormat/>
    <w:uiPriority w:val="0"/>
    <w:rPr>
      <w:rFonts w:eastAsia="方正仿宋_GBK"/>
      <w:sz w:val="18"/>
      <w:szCs w:val="18"/>
    </w:rPr>
  </w:style>
  <w:style w:type="character" w:customStyle="1" w:styleId="41">
    <w:name w:val="标题 Char"/>
    <w:link w:val="16"/>
    <w:qFormat/>
    <w:uiPriority w:val="0"/>
    <w:rPr>
      <w:rFonts w:ascii="Cambria" w:hAnsi="Cambria" w:eastAsia="方正小标宋_GBK"/>
      <w:bCs/>
      <w:sz w:val="44"/>
      <w:szCs w:val="32"/>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character" w:customStyle="1" w:styleId="43">
    <w:name w:val="批注框文本 Char1"/>
    <w:basedOn w:val="20"/>
    <w:link w:val="11"/>
    <w:semiHidden/>
    <w:qFormat/>
    <w:uiPriority w:val="99"/>
    <w:rPr>
      <w:rFonts w:ascii="Times New Roman" w:hAnsi="Times New Roman" w:eastAsia="方正仿宋_GBK" w:cs="Times New Roman"/>
      <w:sz w:val="18"/>
      <w:szCs w:val="18"/>
    </w:rPr>
  </w:style>
  <w:style w:type="character" w:customStyle="1" w:styleId="44">
    <w:name w:val="纯文本 Char"/>
    <w:basedOn w:val="20"/>
    <w:link w:val="9"/>
    <w:qFormat/>
    <w:uiPriority w:val="0"/>
    <w:rPr>
      <w:rFonts w:ascii="宋体" w:hAnsi="Courier New" w:eastAsia="宋体" w:cs="Times New Roman"/>
      <w:szCs w:val="21"/>
    </w:rPr>
  </w:style>
  <w:style w:type="paragraph" w:customStyle="1" w:styleId="45">
    <w:name w:val=" Char Char Char Char Char Char Char Char Char Char Char Char Char Char Char Char Char Char Char Char Char Char"/>
    <w:basedOn w:val="1"/>
    <w:qFormat/>
    <w:uiPriority w:val="0"/>
    <w:rPr>
      <w:rFonts w:eastAsia="宋体"/>
      <w:sz w:val="21"/>
    </w:rPr>
  </w:style>
  <w:style w:type="character" w:customStyle="1" w:styleId="46">
    <w:name w:val="正文文本缩进 Char"/>
    <w:basedOn w:val="20"/>
    <w:link w:val="7"/>
    <w:qFormat/>
    <w:uiPriority w:val="0"/>
    <w:rPr>
      <w:rFonts w:ascii="仿宋_GB2312" w:hAnsi="Times New Roman" w:eastAsia="仿宋_GB2312" w:cs="Times New Roman"/>
      <w:sz w:val="32"/>
      <w:szCs w:val="20"/>
    </w:rPr>
  </w:style>
  <w:style w:type="paragraph" w:styleId="47">
    <w:name w:val="List Paragraph"/>
    <w:basedOn w:val="1"/>
    <w:qFormat/>
    <w:uiPriority w:val="0"/>
    <w:pPr>
      <w:ind w:firstLine="420" w:firstLineChars="200"/>
    </w:pPr>
    <w:rPr>
      <w:rFonts w:ascii="仿宋" w:hAnsi="仿宋" w:eastAsia="仿宋"/>
      <w:sz w:val="28"/>
      <w:szCs w:val="22"/>
    </w:rPr>
  </w:style>
  <w:style w:type="character" w:customStyle="1" w:styleId="48">
    <w:name w:val="正文文本 Char"/>
    <w:basedOn w:val="20"/>
    <w:link w:val="6"/>
    <w:qFormat/>
    <w:uiPriority w:val="0"/>
    <w:rPr>
      <w:rFonts w:ascii="Times New Roman" w:hAnsi="Times New Roman" w:eastAsia="方正仿宋_GBK" w:cs="Times New Roman"/>
      <w:sz w:val="32"/>
      <w:szCs w:val="20"/>
    </w:rPr>
  </w:style>
  <w:style w:type="paragraph" w:customStyle="1" w:styleId="49">
    <w:name w:val="普通(网站) Char"/>
    <w:basedOn w:val="1"/>
    <w:qFormat/>
    <w:uiPriority w:val="0"/>
    <w:pPr>
      <w:spacing w:before="100" w:beforeAutospacing="1" w:after="100" w:afterAutospacing="1"/>
      <w:jc w:val="left"/>
    </w:pPr>
    <w:rPr>
      <w:rFonts w:hint="eastAsia" w:ascii="宋体" w:hAnsi="宋体" w:eastAsia="宋体"/>
      <w:kern w:val="0"/>
      <w:sz w:val="24"/>
      <w:szCs w:val="24"/>
    </w:rPr>
  </w:style>
  <w:style w:type="paragraph" w:customStyle="1" w:styleId="50">
    <w:name w:val="默认段落字体 Para Char Char Char Char Char Char Char Char Char Char"/>
    <w:basedOn w:val="1"/>
    <w:qFormat/>
    <w:uiPriority w:val="0"/>
    <w:rPr>
      <w:rFonts w:ascii="Arial" w:hAnsi="Arial" w:eastAsia="宋体" w:cs="Arial"/>
      <w:sz w:val="20"/>
    </w:rPr>
  </w:style>
  <w:style w:type="character" w:customStyle="1" w:styleId="51">
    <w:name w:val="批注文字 Char1"/>
    <w:basedOn w:val="20"/>
    <w:link w:val="5"/>
    <w:semiHidden/>
    <w:qFormat/>
    <w:uiPriority w:val="99"/>
    <w:rPr>
      <w:rFonts w:ascii="Times New Roman" w:hAnsi="Times New Roman" w:eastAsia="方正仿宋_GBK" w:cs="Times New Roman"/>
      <w:sz w:val="32"/>
      <w:szCs w:val="20"/>
    </w:rPr>
  </w:style>
  <w:style w:type="paragraph" w:customStyle="1" w:styleId="52">
    <w:name w:val="Body text|1"/>
    <w:basedOn w:val="1"/>
    <w:qFormat/>
    <w:uiPriority w:val="0"/>
    <w:pPr>
      <w:spacing w:line="422" w:lineRule="auto"/>
      <w:ind w:firstLine="400"/>
    </w:pPr>
    <w:rPr>
      <w:rFonts w:ascii="宋体" w:hAnsi="宋体" w:eastAsia="宋体" w:cs="宋体"/>
      <w:sz w:val="20"/>
      <w:lang w:val="zh-TW" w:eastAsia="zh-TW" w:bidi="zh-TW"/>
    </w:rPr>
  </w:style>
  <w:style w:type="character" w:customStyle="1" w:styleId="53">
    <w:name w:val="脚注文本 Char1"/>
    <w:basedOn w:val="20"/>
    <w:link w:val="14"/>
    <w:semiHidden/>
    <w:qFormat/>
    <w:uiPriority w:val="99"/>
    <w:rPr>
      <w:rFonts w:ascii="Times New Roman" w:hAnsi="Times New Roman" w:eastAsia="方正仿宋_GBK" w:cs="Times New Roman"/>
      <w:sz w:val="18"/>
      <w:szCs w:val="18"/>
    </w:rPr>
  </w:style>
  <w:style w:type="paragraph" w:customStyle="1" w:styleId="54">
    <w:name w:val="列出段落1"/>
    <w:basedOn w:val="1"/>
    <w:qFormat/>
    <w:uiPriority w:val="99"/>
    <w:pPr>
      <w:ind w:firstLine="420" w:firstLineChars="200"/>
    </w:pPr>
  </w:style>
  <w:style w:type="character" w:customStyle="1" w:styleId="55">
    <w:name w:val="批注主题 Char1"/>
    <w:basedOn w:val="51"/>
    <w:link w:val="17"/>
    <w:semiHidden/>
    <w:qFormat/>
    <w:uiPriority w:val="99"/>
    <w:rPr>
      <w:b/>
      <w:bCs/>
    </w:rPr>
  </w:style>
  <w:style w:type="character" w:customStyle="1" w:styleId="56">
    <w:name w:val="标题 Char1"/>
    <w:basedOn w:val="20"/>
    <w:link w:val="16"/>
    <w:qFormat/>
    <w:uiPriority w:val="10"/>
    <w:rPr>
      <w:rFonts w:eastAsia="宋体" w:asciiTheme="majorHAnsi" w:hAnsiTheme="majorHAnsi" w:cstheme="majorBidi"/>
      <w:b/>
      <w:bCs/>
      <w:sz w:val="32"/>
      <w:szCs w:val="32"/>
    </w:rPr>
  </w:style>
  <w:style w:type="character" w:customStyle="1" w:styleId="57">
    <w:name w:val="日期 Char"/>
    <w:basedOn w:val="20"/>
    <w:link w:val="10"/>
    <w:qFormat/>
    <w:uiPriority w:val="0"/>
    <w:rPr>
      <w:rFonts w:ascii="Times New Roman" w:hAnsi="Times New Roman" w:eastAsia="方正仿宋_GBK" w:cs="Times New Roman"/>
      <w:sz w:val="32"/>
      <w:szCs w:val="20"/>
    </w:rPr>
  </w:style>
  <w:style w:type="character" w:customStyle="1" w:styleId="58">
    <w:name w:val="font71"/>
    <w:basedOn w:val="20"/>
    <w:qFormat/>
    <w:uiPriority w:val="0"/>
    <w:rPr>
      <w:rFonts w:ascii="Dialog . plain" w:hAnsi="Dialog . plain" w:eastAsia="Dialog . plain" w:cs="Dialog . plain"/>
      <w:color w:val="000000"/>
      <w:sz w:val="20"/>
      <w:szCs w:val="20"/>
      <w:u w:val="none"/>
    </w:rPr>
  </w:style>
  <w:style w:type="character" w:customStyle="1" w:styleId="59">
    <w:name w:val="font91"/>
    <w:basedOn w:val="20"/>
    <w:qFormat/>
    <w:uiPriority w:val="0"/>
    <w:rPr>
      <w:rFonts w:ascii="Dialog . plain" w:hAnsi="Dialog . plain" w:eastAsia="Dialog . plain" w:cs="Dialog . plain"/>
      <w:color w:val="000000"/>
      <w:sz w:val="24"/>
      <w:szCs w:val="24"/>
      <w:u w:val="none"/>
    </w:rPr>
  </w:style>
  <w:style w:type="character" w:customStyle="1" w:styleId="60">
    <w:name w:val="font61"/>
    <w:basedOn w:val="20"/>
    <w:qFormat/>
    <w:uiPriority w:val="0"/>
    <w:rPr>
      <w:rFonts w:ascii="Dialog . plain" w:hAnsi="Dialog . plain" w:eastAsia="Dialog . plain" w:cs="Dialog . plain"/>
      <w:color w:val="000000"/>
      <w:sz w:val="18"/>
      <w:szCs w:val="18"/>
      <w:u w:val="none"/>
    </w:rPr>
  </w:style>
  <w:style w:type="character" w:customStyle="1" w:styleId="61">
    <w:name w:val="font101"/>
    <w:basedOn w:val="20"/>
    <w:qFormat/>
    <w:uiPriority w:val="0"/>
    <w:rPr>
      <w:rFonts w:ascii="Dialog . plain" w:hAnsi="Dialog . plain" w:eastAsia="Dialog . plain" w:cs="Dialog . plain"/>
      <w:color w:val="000000"/>
      <w:sz w:val="24"/>
      <w:szCs w:val="24"/>
      <w:u w:val="none"/>
    </w:rPr>
  </w:style>
  <w:style w:type="character" w:customStyle="1" w:styleId="62">
    <w:name w:val="font81"/>
    <w:basedOn w:val="20"/>
    <w:qFormat/>
    <w:uiPriority w:val="0"/>
    <w:rPr>
      <w:rFonts w:ascii="Dialog . plain" w:hAnsi="Dialog . plain" w:eastAsia="Dialog . plain" w:cs="Dialog . plain"/>
      <w:color w:val="000000"/>
      <w:sz w:val="24"/>
      <w:szCs w:val="24"/>
      <w:u w:val="none"/>
    </w:rPr>
  </w:style>
  <w:style w:type="character" w:customStyle="1" w:styleId="63">
    <w:name w:val="font41"/>
    <w:basedOn w:val="20"/>
    <w:qFormat/>
    <w:uiPriority w:val="0"/>
    <w:rPr>
      <w:rFonts w:ascii="Dialog . plain" w:hAnsi="Dialog . plain" w:eastAsia="Dialog . plain" w:cs="Dialog . plain"/>
      <w:color w:val="000000"/>
      <w:sz w:val="18"/>
      <w:szCs w:val="18"/>
      <w:u w:val="none"/>
    </w:rPr>
  </w:style>
  <w:style w:type="character" w:customStyle="1" w:styleId="64">
    <w:name w:val="font51"/>
    <w:basedOn w:val="20"/>
    <w:qFormat/>
    <w:uiPriority w:val="0"/>
    <w:rPr>
      <w:rFonts w:hint="eastAsia" w:ascii="方正仿宋_GBK" w:hAnsi="方正仿宋_GBK" w:eastAsia="方正仿宋_GBK" w:cs="方正仿宋_GBK"/>
      <w:color w:val="000000"/>
      <w:sz w:val="24"/>
      <w:szCs w:val="24"/>
      <w:u w:val="none"/>
    </w:rPr>
  </w:style>
  <w:style w:type="character" w:customStyle="1" w:styleId="65">
    <w:name w:val="font11"/>
    <w:basedOn w:val="2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5667</Words>
  <Characters>8167</Characters>
  <Lines>82</Lines>
  <Paragraphs>23</Paragraphs>
  <TotalTime>13</TotalTime>
  <ScaleCrop>false</ScaleCrop>
  <LinksUpToDate>false</LinksUpToDate>
  <CharactersWithSpaces>8656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2020-05-27T08:34:00Z</dcterms:created>
  <dc:creator>李冬梅</dc:creator>
  <cp:lastModifiedBy>jlpqwlw</cp:lastModifiedBy>
  <dcterms:modified xsi:type="dcterms:W3CDTF">2023-11-06T16:43:22Z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2B7C2BD16AF84CCA8097AAE185519E8D</vt:lpwstr>
  </property>
</Properties>
</file>