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重庆市九龙坡区科学城人民医院</w:t>
      </w:r>
    </w:p>
    <w:p>
      <w:pPr>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一、单位基本情况</w:t>
      </w:r>
    </w:p>
    <w:p>
      <w:pPr>
        <w:adjustRightInd w:val="0"/>
        <w:snapToGrid w:val="0"/>
        <w:spacing w:line="600" w:lineRule="exact"/>
        <w:ind w:firstLine="640" w:firstLineChars="200"/>
        <w:rPr>
          <w:rFonts w:ascii="方正楷体_GBK" w:eastAsia="方正楷体_GBK" w:cs="仿宋_GB2312"/>
        </w:rPr>
      </w:pPr>
      <w:r>
        <w:rPr>
          <w:rFonts w:hint="eastAsia" w:ascii="方正楷体_GBK" w:eastAsia="方正楷体_GBK" w:cs="仿宋_GB2312"/>
        </w:rPr>
        <w:t>（一）职能职责</w:t>
      </w:r>
    </w:p>
    <w:p>
      <w:pPr>
        <w:adjustRightInd w:val="0"/>
        <w:snapToGrid w:val="0"/>
        <w:spacing w:line="600" w:lineRule="exact"/>
        <w:ind w:firstLine="640" w:firstLineChars="200"/>
        <w:rPr>
          <w:rFonts w:cs="仿宋_GB2312"/>
        </w:rPr>
      </w:pPr>
      <w:r>
        <w:rPr>
          <w:rFonts w:hint="eastAsia" w:cs="仿宋_GB2312"/>
        </w:rPr>
        <w:t>提供医疗卫生服务，增进人民健康。提供常见病、多发病及疑难疾病的诊疗任务；承担辖区危、重症患者抢救治疗；开展预防保健、健康教育等公共卫生任务；承担支边、支农和对口支援、区域协同发展等任务；承担基层医疗卫生机构、医学院校临床教学、实习和进修等医学教育和医学科研任务；组建应急救援队，开展积极、有效的人道救援、救护活动；开展医疗救助项目，为弱势群体提供人道救助服务，为贫困患者减免医疗费用。</w:t>
      </w:r>
    </w:p>
    <w:p>
      <w:pPr>
        <w:adjustRightInd w:val="0"/>
        <w:snapToGrid w:val="0"/>
        <w:spacing w:line="600" w:lineRule="exact"/>
        <w:ind w:firstLine="640" w:firstLineChars="200"/>
        <w:rPr>
          <w:rFonts w:ascii="方正楷体_GBK" w:eastAsia="方正楷体_GBK" w:cs="仿宋_GB2312"/>
        </w:rPr>
      </w:pPr>
      <w:r>
        <w:rPr>
          <w:rFonts w:hint="eastAsia" w:ascii="方正楷体_GBK" w:eastAsia="方正楷体_GBK" w:cs="仿宋_GB2312"/>
        </w:rPr>
        <w:t>（二）单位构成</w:t>
      </w:r>
    </w:p>
    <w:p>
      <w:pPr>
        <w:adjustRightInd w:val="0"/>
        <w:snapToGrid w:val="0"/>
        <w:spacing w:line="600" w:lineRule="exact"/>
        <w:ind w:firstLine="640" w:firstLineChars="200"/>
        <w:rPr>
          <w:rFonts w:hint="eastAsia" w:cs="仿宋_GB2312"/>
        </w:rPr>
      </w:pPr>
      <w:r>
        <w:rPr>
          <w:rFonts w:hint="eastAsia" w:cs="仿宋_GB2312"/>
        </w:rPr>
        <w:t>根据医院业务需要结合现阶段发展情况，设置有呼吸消化内科、心血管内分泌科（老年医学科）、神经内科、肿瘤科、儿科（含新生儿科）、疼痛康复医学科、急诊科、普通外科、骨科、神经泌尿外科、妇产科、肛肠科、中医科、口腔科、眼耳鼻喉科、皮肤科、手术麻醉科、体检科、重症医学科19个临床科室</w:t>
      </w:r>
      <w:r>
        <w:rPr>
          <w:rFonts w:hint="eastAsia" w:cs="仿宋_GB2312"/>
        </w:rPr>
        <w:t>。放射科、功能科、检验科、药剂科（含临床药学办公室）、供应室5个医技医辅科室。</w:t>
      </w:r>
    </w:p>
    <w:p>
      <w:pPr>
        <w:adjustRightInd w:val="0"/>
        <w:snapToGrid w:val="0"/>
        <w:spacing w:line="600" w:lineRule="exact"/>
        <w:ind w:firstLine="640" w:firstLineChars="200"/>
        <w:rPr>
          <w:rFonts w:cs="仿宋_GB2312"/>
        </w:rPr>
      </w:pPr>
      <w:r>
        <w:rPr>
          <w:rFonts w:hint="eastAsia" w:cs="仿宋_GB2312"/>
        </w:rPr>
        <w:t>根据医院业务需要设置</w:t>
      </w:r>
      <w:r>
        <w:rPr>
          <w:rFonts w:hint="eastAsia" w:ascii="方正仿宋_GBK"/>
          <w:szCs w:val="32"/>
          <w:shd w:val="clear" w:color="auto" w:fill="FFFFFF"/>
        </w:rPr>
        <w:t>党委办公室、行政办公室、纪检工作室、人事科教科、医务科、护理部、财务科、采购办、公共卫生科、医院感染管理科、医保科（含物价）、信息科、总务科（含保卫、基建）、设备科、门诊部（含健康服务中心）、质量与安全管理办公</w:t>
      </w:r>
      <w:r>
        <w:rPr>
          <w:rFonts w:hint="eastAsia" w:cs="仿宋_GB2312"/>
        </w:rPr>
        <w:t>室16个职能科室</w:t>
      </w:r>
      <w:r>
        <w:rPr>
          <w:rFonts w:hint="eastAsia" w:ascii="方正仿宋_GBK"/>
          <w:szCs w:val="32"/>
          <w:shd w:val="clear" w:color="auto" w:fill="FFFFFF"/>
        </w:rPr>
        <w:t>；其中医务科下设二级科室为病案室、应急办，财务科下设二级科室为挂号收费室。</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二、单位收支总体情况</w:t>
      </w:r>
    </w:p>
    <w:p>
      <w:pPr>
        <w:adjustRightInd w:val="0"/>
        <w:snapToGrid w:val="0"/>
        <w:spacing w:line="600" w:lineRule="exact"/>
        <w:ind w:firstLine="640" w:firstLineChars="200"/>
        <w:rPr>
          <w:rFonts w:ascii="方正仿宋_GBK" w:hAnsi="方正仿宋_GBK" w:cs="方正仿宋_GBK"/>
        </w:rPr>
      </w:pPr>
      <w:r>
        <w:rPr>
          <w:rFonts w:hint="eastAsia" w:ascii="方正楷体_GBK" w:eastAsia="方正楷体_GBK" w:cs="仿宋_GB2312"/>
        </w:rPr>
        <w:t>（一）收入预算：</w:t>
      </w:r>
      <w:r>
        <w:rPr>
          <w:rFonts w:hint="eastAsia" w:cs="仿宋_GB2312"/>
        </w:rPr>
        <w:t>2024年年初预算数22,776.95万元，其中：一般公共预算拨款129.55万元，事业收入22,647.4万元。（我单位为新设立机构，无2023年预算对比数据，下同）</w:t>
      </w:r>
    </w:p>
    <w:p>
      <w:pPr>
        <w:adjustRightInd w:val="0"/>
        <w:snapToGrid w:val="0"/>
        <w:spacing w:line="600" w:lineRule="exact"/>
        <w:ind w:firstLine="640" w:firstLineChars="200"/>
        <w:rPr>
          <w:rFonts w:hint="eastAsia" w:cs="仿宋_GB2312"/>
        </w:rPr>
      </w:pPr>
      <w:r>
        <w:rPr>
          <w:rFonts w:hint="eastAsia" w:ascii="方正楷体_GBK" w:eastAsia="方正楷体_GBK" w:cs="仿宋_GB2312"/>
        </w:rPr>
        <w:t>（二）支出预算：</w:t>
      </w:r>
      <w:r>
        <w:rPr>
          <w:rFonts w:hint="eastAsia" w:cs="仿宋_GB2312"/>
        </w:rPr>
        <w:t>2024年年初预算数22776.95万元，其中：社会保障和就业支出预算121.95万元，卫生健康支出预算22,655万元。</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三、单位预算情况说明</w:t>
      </w:r>
    </w:p>
    <w:p>
      <w:pPr>
        <w:adjustRightInd w:val="0"/>
        <w:snapToGrid w:val="0"/>
        <w:spacing w:line="600" w:lineRule="exact"/>
        <w:ind w:firstLine="640" w:firstLineChars="200"/>
        <w:rPr>
          <w:rFonts w:hint="eastAsia" w:cs="仿宋_GB2312"/>
        </w:rPr>
      </w:pPr>
      <w:r>
        <w:rPr>
          <w:rFonts w:hint="eastAsia" w:cs="仿宋_GB2312"/>
        </w:rPr>
        <w:t>2024年一般公共预算财政拨款收入129.55万元，一般公共预算财政拨款支出129.55万元，其中：基本支出129.55万元。</w:t>
      </w:r>
    </w:p>
    <w:p>
      <w:pPr>
        <w:adjustRightInd w:val="0"/>
        <w:snapToGrid w:val="0"/>
        <w:spacing w:line="600" w:lineRule="exact"/>
        <w:ind w:firstLine="640" w:firstLineChars="200"/>
        <w:rPr>
          <w:rFonts w:hint="eastAsia" w:cs="仿宋_GB2312"/>
        </w:rPr>
      </w:pPr>
      <w:r>
        <w:rPr>
          <w:rFonts w:hint="eastAsia" w:cs="仿宋_GB2312"/>
        </w:rPr>
        <w:t>2024年我单位无使用政府性基金预算拨款安排的支出。</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四、“三公”经费情况说明</w:t>
      </w:r>
    </w:p>
    <w:p>
      <w:pPr>
        <w:adjustRightInd w:val="0"/>
        <w:snapToGrid w:val="0"/>
        <w:spacing w:line="600" w:lineRule="exact"/>
        <w:ind w:firstLine="640" w:firstLineChars="200"/>
        <w:rPr>
          <w:rFonts w:cs="仿宋_GB2312"/>
        </w:rPr>
      </w:pPr>
      <w:r>
        <w:rPr>
          <w:rFonts w:hint="eastAsia" w:cs="仿宋_GB2312"/>
          <w:lang w:eastAsia="zh-CN"/>
        </w:rPr>
        <w:t>我单位成立于</w:t>
      </w:r>
      <w:r>
        <w:rPr>
          <w:rFonts w:hint="eastAsia" w:cs="仿宋_GB2312"/>
          <w:lang w:val="en-US" w:eastAsia="zh-CN"/>
        </w:rPr>
        <w:t>2023年8月，</w:t>
      </w:r>
      <w:r>
        <w:rPr>
          <w:rFonts w:hint="eastAsia" w:cs="仿宋_GB2312"/>
        </w:rPr>
        <w:t>2024年我单位无一般公共预算财政拨款安排的“三公”经费支出。</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（一）我单位不在机关运行经费统计范围之内。</w:t>
      </w:r>
    </w:p>
    <w:p>
      <w:pPr>
        <w:adjustRightInd w:val="0"/>
        <w:snapToGrid w:val="0"/>
        <w:spacing w:line="600" w:lineRule="exact"/>
        <w:ind w:firstLine="640" w:firstLineChars="200"/>
        <w:rPr>
          <w:rFonts w:hint="eastAsia" w:cs="仿宋_GB2312"/>
        </w:rPr>
      </w:pPr>
      <w:r>
        <w:rPr>
          <w:rFonts w:hint="eastAsia" w:cs="仿宋_GB2312"/>
        </w:rPr>
        <w:t>（二）</w:t>
      </w:r>
      <w:r>
        <w:rPr>
          <w:rFonts w:hint="eastAsia" w:ascii="方正仿宋_GBK" w:hAnsi="方正仿宋_GBK" w:cs="方正仿宋_GBK"/>
        </w:rPr>
        <w:t>政府采购情况。</w:t>
      </w:r>
      <w:r>
        <w:rPr>
          <w:rFonts w:hint="eastAsia" w:cs="仿宋_GB2312"/>
        </w:rPr>
        <w:t>本单位政府采购预算总额1000万元：政府采购货物预算950万元、政府采购工程预算50万元；其中一般公共预算拨款政府采购0万元。</w:t>
      </w:r>
    </w:p>
    <w:p>
      <w:pPr>
        <w:adjustRightInd w:val="0"/>
        <w:snapToGrid w:val="0"/>
        <w:spacing w:line="600" w:lineRule="exact"/>
        <w:ind w:firstLine="640" w:firstLineChars="200"/>
        <w:rPr>
          <w:rFonts w:ascii="方正仿宋_GBK" w:hAnsi="方正仿宋_GBK" w:cs="方正仿宋_GBK"/>
        </w:rPr>
      </w:pPr>
      <w:r>
        <w:rPr>
          <w:rFonts w:hint="eastAsia" w:cs="仿宋_GB2312"/>
        </w:rPr>
        <w:t>（三）绩效目标设置情况。2024年项目支出均实行了绩效目标管理，涉及一般公共预算当年财政拨款0万元。</w:t>
      </w:r>
    </w:p>
    <w:p>
      <w:pPr>
        <w:adjustRightInd w:val="0"/>
        <w:snapToGrid w:val="0"/>
        <w:spacing w:line="600" w:lineRule="exact"/>
        <w:ind w:firstLine="640" w:firstLineChars="200"/>
        <w:rPr>
          <w:rFonts w:ascii="方正仿宋_GBK" w:hAnsi="方正仿宋_GBK" w:cs="方正仿宋_GBK"/>
        </w:rPr>
      </w:pPr>
      <w:r>
        <w:rPr>
          <w:rFonts w:hint="eastAsia" w:cs="仿宋_GB2312"/>
        </w:rPr>
        <w:t>（四）国有资产占有使用情况</w:t>
      </w:r>
      <w:r>
        <w:rPr>
          <w:rFonts w:hint="eastAsia" w:ascii="方正仿宋_GBK" w:hAnsi="方正仿宋_GBK" w:cs="方正仿宋_GBK"/>
        </w:rPr>
        <w:t>。</w:t>
      </w:r>
      <w:r>
        <w:rPr>
          <w:rFonts w:hint="eastAsia" w:cs="仿宋_GB2312"/>
        </w:rPr>
        <w:t>截止2023年12月，本单位共有车辆5辆，其中一般公务用车2辆，特种专业技术用车3辆。2024年一般公共预算安排购置车辆0辆。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7"/>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7"/>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rPr>
      </w:pPr>
      <w:r>
        <w:rPr>
          <w:rFonts w:hint="eastAsia" w:ascii="方正楷体_GBK"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rPr>
          <w:b/>
        </w:rPr>
      </w:pPr>
    </w:p>
    <w:p>
      <w:pPr>
        <w:adjustRightInd w:val="0"/>
        <w:snapToGrid w:val="0"/>
        <w:spacing w:line="600" w:lineRule="exact"/>
        <w:ind w:firstLine="320" w:firstLineChars="100"/>
        <w:rPr>
          <w:rFonts w:ascii="方正仿宋_GBK" w:hAnsi="方正仿宋_GBK" w:cs="方正仿宋_GBK"/>
        </w:rPr>
      </w:pPr>
      <w:r>
        <w:rPr>
          <w:rFonts w:hint="eastAsia" w:cs="仿宋_GB2312"/>
        </w:rPr>
        <w:t>（单位预算公开联系人：任东，联系方式：023-65769256</w:t>
      </w:r>
      <w:r>
        <w:rPr>
          <w:rFonts w:hint="eastAsia" w:ascii="方正仿宋_GBK" w:hAnsi="方正仿宋_GBK" w:cs="方正仿宋_GBK"/>
        </w:rPr>
        <w:t>）</w:t>
      </w:r>
    </w:p>
    <w:p>
      <w:pPr>
        <w:adjustRightInd w:val="0"/>
        <w:snapToGrid w:val="0"/>
        <w:spacing w:line="600" w:lineRule="exact"/>
        <w:rPr>
          <w:b/>
        </w:rPr>
      </w:pPr>
    </w:p>
    <w:p>
      <w:pPr>
        <w:adjustRightInd w:val="0"/>
        <w:snapToGrid w:val="0"/>
        <w:spacing w:line="600" w:lineRule="exact"/>
        <w:ind w:left="1600" w:leftChars="200" w:hanging="960" w:hangingChars="300"/>
        <w:rPr>
          <w:rFonts w:ascii="方正仿宋_GBK" w:hAnsi="方正仿宋_GBK" w:cs="方正仿宋_GBK"/>
        </w:rPr>
      </w:pPr>
      <w:r>
        <w:rPr>
          <w:rFonts w:hint="eastAsia" w:ascii="方正仿宋_GBK" w:hAnsi="方正仿宋_GBK" w:cs="方正仿宋_GBK"/>
        </w:rPr>
        <w:t>附件：</w:t>
      </w:r>
      <w:r>
        <w:rPr>
          <w:rFonts w:hint="eastAsia" w:cs="仿宋_GB2312"/>
        </w:rPr>
        <w:t>1.2024</w:t>
      </w:r>
      <w:r>
        <w:rPr>
          <w:rFonts w:hint="eastAsia" w:ascii="方正仿宋_GBK" w:hAnsi="方正仿宋_GBK" w:cs="方正仿宋_GBK"/>
        </w:rPr>
        <w:t>年重庆市九龙坡区科学城人民医院财政拨款收支总表</w:t>
      </w:r>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2.2024</w:t>
      </w:r>
      <w:r>
        <w:rPr>
          <w:rFonts w:hint="eastAsia" w:ascii="方正仿宋_GBK" w:hAnsi="方正仿宋_GBK" w:cs="方正仿宋_GBK"/>
        </w:rPr>
        <w:t>年重庆市九龙坡区科学城人民医院一般公共预算财政拨款支出预算表</w:t>
      </w:r>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3.2024</w:t>
      </w:r>
      <w:r>
        <w:rPr>
          <w:rFonts w:hint="eastAsia" w:ascii="方正仿宋_GBK" w:hAnsi="方正仿宋_GBK" w:cs="方正仿宋_GBK"/>
        </w:rPr>
        <w:t>年重庆市九龙坡区科学城人民医院一般公共预算财政拨款基本支出预算表</w:t>
      </w:r>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4.2024</w:t>
      </w:r>
      <w:r>
        <w:rPr>
          <w:rFonts w:hint="eastAsia" w:ascii="方正仿宋_GBK" w:hAnsi="方正仿宋_GBK" w:cs="方正仿宋_GBK"/>
        </w:rPr>
        <w:t>年重庆市九龙坡区科学城人民医院一般公共预算财政拨款基本支出预算表（政府预算支出经济分类科目）</w:t>
      </w:r>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5.2024</w:t>
      </w:r>
      <w:r>
        <w:rPr>
          <w:rFonts w:hint="eastAsia" w:ascii="方正仿宋_GBK" w:hAnsi="方正仿宋_GBK" w:cs="方正仿宋_GBK"/>
        </w:rPr>
        <w:t>年重庆市九龙坡区科学城人民医院一般公共预算“三公”经费支出表</w:t>
      </w:r>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6.2024</w:t>
      </w:r>
      <w:r>
        <w:rPr>
          <w:rFonts w:hint="eastAsia" w:ascii="方正仿宋_GBK" w:hAnsi="方正仿宋_GBK" w:cs="方正仿宋_GBK"/>
        </w:rPr>
        <w:t>年重庆市九龙坡区科学城人民医院政府性基金预算支出表</w:t>
      </w:r>
    </w:p>
    <w:p>
      <w:pPr>
        <w:adjustRightInd w:val="0"/>
        <w:snapToGrid w:val="0"/>
        <w:spacing w:line="600" w:lineRule="exact"/>
        <w:ind w:firstLine="1600" w:firstLineChars="500"/>
        <w:rPr>
          <w:rFonts w:ascii="方正仿宋_GBK" w:hAnsi="方正仿宋_GBK" w:cs="方正仿宋_GBK"/>
        </w:rPr>
      </w:pPr>
      <w:r>
        <w:rPr>
          <w:rFonts w:hint="eastAsia" w:cs="仿宋_GB2312"/>
        </w:rPr>
        <w:t>7.2024</w:t>
      </w:r>
      <w:r>
        <w:rPr>
          <w:rFonts w:hint="eastAsia" w:ascii="方正仿宋_GBK" w:hAnsi="方正仿宋_GBK" w:cs="方正仿宋_GBK"/>
        </w:rPr>
        <w:t>年重庆市九龙坡区科学城人民医院收支总表</w:t>
      </w:r>
    </w:p>
    <w:p>
      <w:pPr>
        <w:adjustRightInd w:val="0"/>
        <w:snapToGrid w:val="0"/>
        <w:spacing w:line="600" w:lineRule="exact"/>
        <w:ind w:firstLine="1600" w:firstLineChars="500"/>
        <w:rPr>
          <w:rFonts w:ascii="方正仿宋_GBK" w:hAnsi="方正仿宋_GBK" w:cs="方正仿宋_GBK"/>
        </w:rPr>
      </w:pPr>
      <w:r>
        <w:rPr>
          <w:rFonts w:hint="eastAsia" w:cs="仿宋_GB2312"/>
        </w:rPr>
        <w:t>8.2024</w:t>
      </w:r>
      <w:r>
        <w:rPr>
          <w:rFonts w:hint="eastAsia" w:ascii="方正仿宋_GBK" w:hAnsi="方正仿宋_GBK" w:cs="方正仿宋_GBK"/>
        </w:rPr>
        <w:t>年重庆市九龙坡区科学城人民医院收入总表</w:t>
      </w:r>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9.2024</w:t>
      </w:r>
      <w:r>
        <w:rPr>
          <w:rFonts w:hint="eastAsia" w:ascii="方正仿宋_GBK" w:hAnsi="方正仿宋_GBK" w:cs="方正仿宋_GBK"/>
        </w:rPr>
        <w:t>年重庆市九龙坡区科学城人民医院支出总表（功能科目分类到项）</w:t>
      </w:r>
    </w:p>
    <w:p>
      <w:pPr>
        <w:adjustRightInd w:val="0"/>
        <w:snapToGrid w:val="0"/>
        <w:spacing w:line="600" w:lineRule="exact"/>
        <w:ind w:left="1651" w:leftChars="500" w:hanging="51" w:hangingChars="16"/>
        <w:rPr>
          <w:rFonts w:ascii="方正仿宋_GBK" w:hAnsi="方正仿宋_GBK" w:cs="方正仿宋_GBK"/>
        </w:rPr>
      </w:pPr>
      <w:r>
        <w:rPr>
          <w:rFonts w:hint="eastAsia" w:cs="仿宋_GB2312"/>
        </w:rPr>
        <w:t>10.2024</w:t>
      </w:r>
      <w:r>
        <w:rPr>
          <w:rFonts w:hint="eastAsia" w:ascii="方正仿宋_GBK" w:hAnsi="方正仿宋_GBK" w:cs="方正仿宋_GBK"/>
        </w:rPr>
        <w:t>年重庆市九龙坡区科学城人民医院一般公共预算财政拨款项目支出预算表（部门预算支出经济分类科目）</w:t>
      </w:r>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11.2024</w:t>
      </w:r>
      <w:r>
        <w:rPr>
          <w:rFonts w:hint="eastAsia" w:ascii="方正仿宋_GBK" w:hAnsi="方正仿宋_GBK" w:cs="方正仿宋_GBK"/>
        </w:rPr>
        <w:t>年重庆市九龙坡区科学城人民医院一般公共预算财政拨款项目支出预算表（政府预算支出经济分类科目）</w:t>
      </w:r>
      <w:bookmarkStart w:id="0" w:name="_GoBack"/>
      <w:bookmarkEnd w:id="0"/>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12.2024</w:t>
      </w:r>
      <w:r>
        <w:rPr>
          <w:rFonts w:hint="eastAsia" w:ascii="方正仿宋_GBK" w:hAnsi="方正仿宋_GBK" w:cs="方正仿宋_GBK"/>
        </w:rPr>
        <w:t>年重庆市九龙坡区科学城人民医院政府采购明细表</w:t>
      </w:r>
    </w:p>
    <w:p>
      <w:pPr>
        <w:adjustRightInd w:val="0"/>
        <w:snapToGrid w:val="0"/>
        <w:spacing w:line="600" w:lineRule="exact"/>
        <w:ind w:left="1600" w:leftChars="500" w:firstLine="0" w:firstLineChars="0"/>
        <w:rPr>
          <w:rFonts w:ascii="方正仿宋_GBK" w:hAnsi="方正仿宋_GBK" w:cs="方正仿宋_GBK"/>
        </w:rPr>
      </w:pPr>
      <w:r>
        <w:rPr>
          <w:rFonts w:hint="eastAsia" w:cs="仿宋_GB2312"/>
        </w:rPr>
        <w:t>13.2024年</w:t>
      </w:r>
      <w:r>
        <w:rPr>
          <w:rFonts w:hint="eastAsia" w:ascii="方正仿宋_GBK" w:hAnsi="方正仿宋_GBK" w:cs="方正仿宋_GBK"/>
        </w:rPr>
        <w:t>重庆市九龙坡区科学城人民医院项目绩效目标表</w:t>
      </w:r>
    </w:p>
    <w:p>
      <w:pPr>
        <w:adjustRightInd w:val="0"/>
        <w:snapToGrid w:val="0"/>
        <w:spacing w:line="600" w:lineRule="exact"/>
        <w:ind w:firstLine="1600" w:firstLineChars="500"/>
        <w:rPr>
          <w:szCs w:val="32"/>
        </w:rPr>
      </w:pPr>
    </w:p>
    <w:p>
      <w:pPr>
        <w:adjustRightInd w:val="0"/>
        <w:snapToGrid w:val="0"/>
        <w:spacing w:line="600" w:lineRule="exact"/>
        <w:ind w:firstLine="1600" w:firstLineChars="500"/>
        <w:rPr>
          <w:szCs w:val="32"/>
        </w:rPr>
      </w:pPr>
    </w:p>
    <w:p>
      <w:pPr>
        <w:adjustRightInd w:val="0"/>
        <w:snapToGrid w:val="0"/>
        <w:spacing w:line="600" w:lineRule="exact"/>
        <w:rPr>
          <w:szCs w:val="32"/>
        </w:rPr>
      </w:pPr>
    </w:p>
    <w:p>
      <w:pPr>
        <w:adjustRightInd w:val="0"/>
        <w:snapToGrid w:val="0"/>
        <w:spacing w:line="600" w:lineRule="exact"/>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JkMmI2NDNiYzBmMjMxNzMxODg5ZDFiYmFlMjEzNjYifQ=="/>
  </w:docVars>
  <w:rsids>
    <w:rsidRoot w:val="00046016"/>
    <w:rsid w:val="00046016"/>
    <w:rsid w:val="00077895"/>
    <w:rsid w:val="00081F91"/>
    <w:rsid w:val="00093614"/>
    <w:rsid w:val="000F5A9A"/>
    <w:rsid w:val="001F56DE"/>
    <w:rsid w:val="00327ABE"/>
    <w:rsid w:val="003F5312"/>
    <w:rsid w:val="00412776"/>
    <w:rsid w:val="0045292E"/>
    <w:rsid w:val="00494026"/>
    <w:rsid w:val="00505031"/>
    <w:rsid w:val="00510CC8"/>
    <w:rsid w:val="0061374D"/>
    <w:rsid w:val="0069565D"/>
    <w:rsid w:val="006A225F"/>
    <w:rsid w:val="006B1E81"/>
    <w:rsid w:val="006C2A18"/>
    <w:rsid w:val="00740E66"/>
    <w:rsid w:val="0075307A"/>
    <w:rsid w:val="007B23C2"/>
    <w:rsid w:val="00850C73"/>
    <w:rsid w:val="00867AEC"/>
    <w:rsid w:val="009336A0"/>
    <w:rsid w:val="00A43BF0"/>
    <w:rsid w:val="00CD66A7"/>
    <w:rsid w:val="00D049F0"/>
    <w:rsid w:val="00D11D4D"/>
    <w:rsid w:val="00D605C4"/>
    <w:rsid w:val="00DF640D"/>
    <w:rsid w:val="00E961E6"/>
    <w:rsid w:val="00F17C86"/>
    <w:rsid w:val="00F823B7"/>
    <w:rsid w:val="00FA4B7B"/>
    <w:rsid w:val="00FB77D1"/>
    <w:rsid w:val="05C72C4A"/>
    <w:rsid w:val="07D23B28"/>
    <w:rsid w:val="08FB62E0"/>
    <w:rsid w:val="0DBE099B"/>
    <w:rsid w:val="0E83792A"/>
    <w:rsid w:val="11072A94"/>
    <w:rsid w:val="25C1725E"/>
    <w:rsid w:val="26983D65"/>
    <w:rsid w:val="29656152"/>
    <w:rsid w:val="31EA3699"/>
    <w:rsid w:val="3E187CB0"/>
    <w:rsid w:val="49846DC1"/>
    <w:rsid w:val="53394028"/>
    <w:rsid w:val="55DF0EB7"/>
    <w:rsid w:val="576D24F2"/>
    <w:rsid w:val="58C3686E"/>
    <w:rsid w:val="61CD250B"/>
    <w:rsid w:val="62740BD9"/>
    <w:rsid w:val="689F088A"/>
    <w:rsid w:val="6933534A"/>
    <w:rsid w:val="6DD679D8"/>
    <w:rsid w:val="6EC1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lock Text"/>
    <w:basedOn w:val="1"/>
    <w:autoRedefine/>
    <w:qFormat/>
    <w:uiPriority w:val="0"/>
    <w:pPr>
      <w:ind w:left="-178" w:leftChars="-85" w:right="-693" w:rightChars="-330" w:firstLine="560" w:firstLineChars="200"/>
    </w:pPr>
    <w:rPr>
      <w:rFonts w:eastAsia="宋体"/>
      <w:sz w:val="28"/>
      <w:szCs w:val="24"/>
    </w:rPr>
  </w:style>
  <w:style w:type="paragraph" w:styleId="3">
    <w:name w:val="footer"/>
    <w:basedOn w:val="1"/>
    <w:autoRedefine/>
    <w:semiHidden/>
    <w:unhideWhenUsed/>
    <w:qFormat/>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autoRedefine/>
    <w:qFormat/>
    <w:uiPriority w:val="34"/>
    <w:pPr>
      <w:ind w:firstLine="420" w:firstLineChars="200"/>
    </w:pPr>
    <w:rPr>
      <w:rFonts w:ascii="仿宋" w:hAnsi="仿宋" w:eastAsia="仿宋"/>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289</Words>
  <Characters>1648</Characters>
  <Lines>13</Lines>
  <Paragraphs>3</Paragraphs>
  <TotalTime>4</TotalTime>
  <ScaleCrop>false</ScaleCrop>
  <LinksUpToDate>false</LinksUpToDate>
  <CharactersWithSpaces>1934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2024-02-23T06:50:00Z</dcterms:created>
  <dc:creator>DD</dc:creator>
  <cp:lastModifiedBy>雁字回时，月满西楼</cp:lastModifiedBy>
  <dcterms:modified xsi:type="dcterms:W3CDTF">2024-03-06T01:53:40Z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CC5C5F6D4DCD436EAF04C129501C63E7_12</vt:lpwstr>
  </property>
</Properties>
</file>