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C216B">
      <w:pPr>
        <w:widowControl w:val="0"/>
        <w:adjustRightInd w:val="0"/>
        <w:snapToGrid w:val="0"/>
        <w:spacing w:after="0" w:line="600" w:lineRule="exact"/>
        <w:jc w:val="center"/>
        <w:rPr>
          <w:rFonts w:ascii="方正小标宋_GBK" w:hAnsi="Times New Roman" w:eastAsia="方正小标宋_GBK" w:cs="方正小标宋简体"/>
          <w:color w:val="auto"/>
          <w:sz w:val="44"/>
          <w:szCs w:val="44"/>
        </w:rPr>
      </w:pPr>
      <w:r>
        <w:rPr>
          <w:rFonts w:hint="eastAsia" w:ascii="方正小标宋_GBK" w:hAnsi="Times New Roman" w:eastAsia="方正小标宋_GBK" w:cs="方正小标宋简体"/>
          <w:color w:val="auto"/>
          <w:sz w:val="44"/>
          <w:szCs w:val="44"/>
        </w:rPr>
        <w:t>重庆市九龙坡区锦苑小学校</w:t>
      </w:r>
    </w:p>
    <w:p w14:paraId="50CEA708">
      <w:pPr>
        <w:widowControl w:val="0"/>
        <w:adjustRightInd w:val="0"/>
        <w:snapToGrid w:val="0"/>
        <w:spacing w:after="0" w:line="600" w:lineRule="exact"/>
        <w:jc w:val="center"/>
        <w:rPr>
          <w:rFonts w:ascii="方正小标宋_GBK" w:hAnsi="Times New Roman" w:eastAsia="方正小标宋_GBK" w:cs="方正小标宋简体"/>
          <w:color w:val="auto"/>
          <w:sz w:val="44"/>
          <w:szCs w:val="44"/>
        </w:rPr>
      </w:pPr>
      <w:r>
        <w:rPr>
          <w:rFonts w:hint="eastAsia" w:ascii="方正小标宋_GBK" w:hAnsi="Times New Roman" w:eastAsia="方正小标宋_GBK" w:cs="方正小标宋简体"/>
          <w:color w:val="auto"/>
          <w:sz w:val="44"/>
          <w:szCs w:val="44"/>
        </w:rPr>
        <w:t>2025年单位预算情况说明</w:t>
      </w:r>
    </w:p>
    <w:p w14:paraId="564E4843">
      <w:pPr>
        <w:widowControl w:val="0"/>
        <w:adjustRightInd w:val="0"/>
        <w:snapToGrid w:val="0"/>
        <w:spacing w:after="0" w:line="600" w:lineRule="exact"/>
        <w:jc w:val="center"/>
        <w:rPr>
          <w:rFonts w:ascii="Times New Roman" w:hAnsi="Times New Roman" w:eastAsia="方正小标宋_GBK" w:cs="Times New Roman"/>
          <w:color w:val="auto"/>
          <w:sz w:val="44"/>
          <w:szCs w:val="44"/>
        </w:rPr>
      </w:pPr>
    </w:p>
    <w:p w14:paraId="0B9841BA">
      <w:pPr>
        <w:pStyle w:val="15"/>
        <w:widowControl w:val="0"/>
        <w:adjustRightInd w:val="0"/>
        <w:snapToGrid w:val="0"/>
        <w:spacing w:after="0" w:line="600" w:lineRule="exact"/>
        <w:ind w:left="440" w:leftChars="200" w:firstLine="0" w:firstLineChars="0"/>
        <w:jc w:val="both"/>
        <w:rPr>
          <w:rFonts w:ascii="Times New Roman" w:hAnsi="Times New Roman" w:eastAsia="方正黑体_GBK" w:cs="Times New Roman"/>
          <w:color w:val="auto"/>
          <w:sz w:val="32"/>
          <w:szCs w:val="20"/>
        </w:rPr>
      </w:pPr>
      <w:r>
        <w:rPr>
          <w:rFonts w:hint="eastAsia" w:ascii="Times New Roman" w:hAnsi="Times New Roman" w:eastAsia="方正黑体_GBK" w:cs="Times New Roman"/>
          <w:color w:val="auto"/>
          <w:sz w:val="32"/>
          <w:szCs w:val="20"/>
        </w:rPr>
        <w:t>一、单位基本情况</w:t>
      </w:r>
      <w:bookmarkStart w:id="0" w:name="_GoBack"/>
      <w:bookmarkEnd w:id="0"/>
    </w:p>
    <w:p w14:paraId="2C5BBB6E">
      <w:pPr>
        <w:spacing w:after="0" w:line="600" w:lineRule="exact"/>
        <w:ind w:left="440" w:leftChars="200"/>
        <w:rPr>
          <w:rFonts w:ascii="Times New Roman" w:hAnsi="Times New Roman" w:eastAsia="方正楷体_GBK" w:cs="Times New Roman"/>
        </w:rPr>
      </w:pPr>
      <w:r>
        <w:rPr>
          <w:rFonts w:hint="eastAsia" w:ascii="Times New Roman" w:hAnsi="Times New Roman" w:eastAsia="方正楷体_GBK" w:cs="Times New Roman"/>
          <w:sz w:val="32"/>
        </w:rPr>
        <w:t>（一）</w:t>
      </w:r>
      <w:r>
        <w:rPr>
          <w:rFonts w:ascii="Times New Roman" w:hAnsi="Times New Roman" w:eastAsia="方正楷体_GBK" w:cs="Times New Roman"/>
          <w:sz w:val="32"/>
        </w:rPr>
        <w:t>职能职责</w:t>
      </w:r>
    </w:p>
    <w:p w14:paraId="78DF061E">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重庆市九龙坡区锦苑小学校的主要职能是：实施普通小学义务教育，促进学生全面发展，开展教育教学工作，开展学校德育工作，开展学前教育。</w:t>
      </w:r>
    </w:p>
    <w:p w14:paraId="762A2691">
      <w:pPr>
        <w:spacing w:after="0" w:line="600" w:lineRule="exact"/>
        <w:ind w:left="440" w:leftChars="200"/>
        <w:rPr>
          <w:rFonts w:ascii="Times New Roman" w:hAnsi="Times New Roman" w:eastAsia="方正楷体_GBK" w:cs="Times New Roman"/>
          <w:sz w:val="32"/>
        </w:rPr>
      </w:pPr>
      <w:r>
        <w:rPr>
          <w:rFonts w:hint="eastAsia" w:ascii="Times New Roman" w:hAnsi="Times New Roman" w:eastAsia="方正楷体_GBK" w:cs="Times New Roman"/>
          <w:sz w:val="32"/>
        </w:rPr>
        <w:t>（二）</w:t>
      </w:r>
      <w:r>
        <w:rPr>
          <w:rFonts w:ascii="Times New Roman" w:hAnsi="Times New Roman" w:eastAsia="方正楷体_GBK" w:cs="Times New Roman"/>
          <w:sz w:val="32"/>
        </w:rPr>
        <w:t>单位构成</w:t>
      </w:r>
    </w:p>
    <w:p w14:paraId="0353DB2A">
      <w:pPr>
        <w:pStyle w:val="8"/>
        <w:adjustRightInd w:val="0"/>
        <w:snapToGrid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重庆市九龙坡区锦苑小学校是九龙坡区教委主管的全日制公办小学，是全额拨款事业单位，是独立核算的二级预算单位。学校共设有党政办公室、教学督导部、教科室、德育部、后勤部、信息中心、安稳办等7个</w:t>
      </w:r>
      <w:r>
        <w:rPr>
          <w:rFonts w:hint="eastAsia" w:ascii="Times New Roman" w:hAnsi="Times New Roman" w:eastAsia="方正仿宋_GBK" w:cs="Times New Roman"/>
          <w:kern w:val="2"/>
          <w:sz w:val="32"/>
          <w:szCs w:val="32"/>
        </w:rPr>
        <w:t>部门</w:t>
      </w:r>
      <w:r>
        <w:rPr>
          <w:rFonts w:ascii="Times New Roman" w:hAnsi="Times New Roman" w:eastAsia="方正仿宋_GBK" w:cs="Times New Roman"/>
          <w:kern w:val="2"/>
          <w:sz w:val="32"/>
          <w:szCs w:val="32"/>
        </w:rPr>
        <w:t>。在职教职工60人，聘用教职工107人，学生2755人。</w:t>
      </w:r>
    </w:p>
    <w:p w14:paraId="0F99F64D">
      <w:pPr>
        <w:pStyle w:val="15"/>
        <w:widowControl w:val="0"/>
        <w:adjustRightInd w:val="0"/>
        <w:snapToGrid w:val="0"/>
        <w:spacing w:after="0" w:line="600" w:lineRule="exact"/>
        <w:ind w:left="440" w:leftChars="200" w:firstLine="0" w:firstLineChars="0"/>
        <w:jc w:val="both"/>
        <w:rPr>
          <w:rFonts w:ascii="Times New Roman" w:hAnsi="Times New Roman" w:eastAsia="方正黑体_GBK" w:cs="Times New Roman"/>
          <w:color w:val="auto"/>
          <w:sz w:val="32"/>
          <w:szCs w:val="20"/>
        </w:rPr>
      </w:pPr>
      <w:r>
        <w:rPr>
          <w:rFonts w:hint="eastAsia" w:ascii="Times New Roman" w:hAnsi="Times New Roman" w:eastAsia="方正黑体_GBK" w:cs="Times New Roman"/>
          <w:color w:val="auto"/>
          <w:sz w:val="32"/>
          <w:szCs w:val="20"/>
        </w:rPr>
        <w:t>二、</w:t>
      </w:r>
      <w:r>
        <w:rPr>
          <w:rFonts w:ascii="Times New Roman" w:hAnsi="Times New Roman" w:eastAsia="方正黑体_GBK" w:cs="Times New Roman"/>
          <w:color w:val="auto"/>
          <w:sz w:val="32"/>
          <w:szCs w:val="20"/>
        </w:rPr>
        <w:t>单位收支总体情况</w:t>
      </w:r>
    </w:p>
    <w:p w14:paraId="7BA07804">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（一）收入预算：</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年年初预算数</w:t>
      </w:r>
      <w:r>
        <w:rPr>
          <w:rFonts w:hint="eastAsia" w:ascii="Times New Roman" w:hAnsi="Times New Roman" w:eastAsia="方正仿宋_GBK" w:cs="Times New Roman"/>
          <w:color w:val="auto"/>
          <w:sz w:val="32"/>
          <w:szCs w:val="32"/>
        </w:rPr>
        <w:t>1957.12</w:t>
      </w:r>
      <w:r>
        <w:rPr>
          <w:rFonts w:ascii="Times New Roman" w:hAnsi="Times New Roman" w:eastAsia="方正仿宋_GBK" w:cs="Times New Roman"/>
          <w:color w:val="auto"/>
          <w:sz w:val="32"/>
          <w:szCs w:val="32"/>
        </w:rPr>
        <w:t>万元，其中：一般公共预算拨款</w:t>
      </w:r>
      <w:r>
        <w:rPr>
          <w:rFonts w:hint="eastAsia" w:ascii="Times New Roman" w:hAnsi="Times New Roman" w:eastAsia="方正仿宋_GBK" w:cs="Times New Roman"/>
          <w:color w:val="auto"/>
          <w:sz w:val="32"/>
          <w:szCs w:val="32"/>
        </w:rPr>
        <w:t>1899.12</w:t>
      </w:r>
      <w:r>
        <w:rPr>
          <w:rFonts w:ascii="Times New Roman" w:hAnsi="Times New Roman" w:eastAsia="方正仿宋_GBK" w:cs="Times New Roman"/>
          <w:color w:val="auto"/>
          <w:sz w:val="32"/>
          <w:szCs w:val="32"/>
        </w:rPr>
        <w:t>万元，政府性基金预算拨款</w:t>
      </w:r>
      <w:r>
        <w:rPr>
          <w:rFonts w:hint="eastAsia"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，国有资本经营预算收入</w:t>
      </w:r>
      <w:r>
        <w:rPr>
          <w:rFonts w:hint="eastAsia"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，财政专户管理资金</w:t>
      </w:r>
      <w:r>
        <w:rPr>
          <w:rFonts w:hint="eastAsia" w:ascii="Times New Roman" w:hAnsi="Times New Roman" w:eastAsia="方正仿宋_GBK" w:cs="Times New Roman"/>
          <w:color w:val="auto"/>
          <w:sz w:val="32"/>
          <w:szCs w:val="32"/>
        </w:rPr>
        <w:t>收入58</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，事业单位经营收入</w:t>
      </w:r>
      <w:r>
        <w:rPr>
          <w:rFonts w:hint="eastAsia"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，其他收入</w:t>
      </w:r>
      <w:r>
        <w:rPr>
          <w:rFonts w:hint="eastAsia"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ascii="Times New Roman" w:hAnsi="Times New Roman" w:eastAsia="方正仿宋_GBK" w:cs="Times New Roman"/>
          <w:color w:val="auto"/>
          <w:sz w:val="32"/>
          <w:szCs w:val="32"/>
        </w:rPr>
        <w:t>。收入较202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年增加</w:t>
      </w:r>
      <w:r>
        <w:rPr>
          <w:rFonts w:hint="eastAsia" w:ascii="Times New Roman" w:hAnsi="Times New Roman" w:eastAsia="方正仿宋_GBK" w:cs="Times New Roman"/>
          <w:color w:val="auto"/>
          <w:sz w:val="32"/>
          <w:szCs w:val="32"/>
        </w:rPr>
        <w:t>3.04</w:t>
      </w:r>
      <w:r>
        <w:rPr>
          <w:rFonts w:ascii="Times New Roman" w:hAnsi="Times New Roman" w:eastAsia="方正仿宋_GBK" w:cs="Times New Roman"/>
          <w:color w:val="auto"/>
          <w:sz w:val="32"/>
          <w:szCs w:val="32"/>
        </w:rPr>
        <w:t>万元，主要是一般公共预算拨款增加</w:t>
      </w:r>
      <w:r>
        <w:rPr>
          <w:rFonts w:hint="eastAsia" w:ascii="Times New Roman" w:hAnsi="Times New Roman" w:eastAsia="方正仿宋_GBK" w:cs="Times New Roman"/>
          <w:color w:val="auto"/>
          <w:sz w:val="32"/>
          <w:szCs w:val="32"/>
        </w:rPr>
        <w:t>19.23</w:t>
      </w:r>
      <w:r>
        <w:rPr>
          <w:rFonts w:ascii="Times New Roman" w:hAnsi="Times New Roman" w:eastAsia="方正仿宋_GBK" w:cs="Times New Roman"/>
          <w:color w:val="auto"/>
          <w:sz w:val="32"/>
          <w:szCs w:val="32"/>
        </w:rPr>
        <w:t>万元，财政专户管理资金</w:t>
      </w:r>
      <w:r>
        <w:rPr>
          <w:rFonts w:hint="eastAsia" w:ascii="Times New Roman" w:hAnsi="Times New Roman" w:eastAsia="方正仿宋_GBK" w:cs="Times New Roman"/>
          <w:color w:val="auto"/>
          <w:sz w:val="32"/>
          <w:szCs w:val="32"/>
        </w:rPr>
        <w:t>减少16.19</w:t>
      </w:r>
      <w:r>
        <w:rPr>
          <w:rFonts w:ascii="Times New Roman" w:hAnsi="Times New Roman" w:eastAsia="方正仿宋_GBK" w:cs="Times New Roman"/>
          <w:color w:val="auto"/>
          <w:sz w:val="32"/>
          <w:szCs w:val="32"/>
        </w:rPr>
        <w:t>万元。</w:t>
      </w:r>
    </w:p>
    <w:p w14:paraId="496AFC0C">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（二）支出预算：</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年年初预算数195</w:t>
      </w:r>
      <w:r>
        <w:rPr>
          <w:rFonts w:hint="eastAsia" w:ascii="Times New Roman" w:hAnsi="Times New Roman" w:eastAsia="方正仿宋_GBK" w:cs="Times New Roman"/>
          <w:color w:val="auto"/>
          <w:sz w:val="32"/>
          <w:szCs w:val="32"/>
        </w:rPr>
        <w:t>7</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12</w:t>
      </w:r>
      <w:r>
        <w:rPr>
          <w:rFonts w:ascii="Times New Roman" w:hAnsi="Times New Roman" w:eastAsia="方正仿宋_GBK" w:cs="Times New Roman"/>
          <w:color w:val="auto"/>
          <w:sz w:val="32"/>
          <w:szCs w:val="32"/>
        </w:rPr>
        <w:t>万元，其中</w:t>
      </w:r>
      <w:r>
        <w:rPr>
          <w:rFonts w:hint="eastAsia" w:ascii="Times New Roman" w:hAnsi="Times New Roman" w:eastAsia="方正仿宋_GBK" w:cs="Times New Roman"/>
          <w:color w:val="auto"/>
          <w:sz w:val="32"/>
          <w:szCs w:val="32"/>
        </w:rPr>
        <w:t>一般公共服务支出预算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教育支出预算</w:t>
      </w:r>
      <w:r>
        <w:rPr>
          <w:rFonts w:hint="eastAsia" w:ascii="Times New Roman" w:hAnsi="Times New Roman" w:eastAsia="方正仿宋_GBK" w:cs="Times New Roman"/>
          <w:color w:val="auto"/>
          <w:sz w:val="32"/>
          <w:szCs w:val="32"/>
        </w:rPr>
        <w:t>1665.32</w:t>
      </w:r>
      <w:r>
        <w:rPr>
          <w:rFonts w:ascii="Times New Roman" w:hAnsi="Times New Roman" w:eastAsia="方正仿宋_GBK" w:cs="Times New Roman"/>
          <w:color w:val="auto"/>
          <w:sz w:val="32"/>
          <w:szCs w:val="32"/>
        </w:rPr>
        <w:t>万元，社会保障和就业支出预算</w:t>
      </w:r>
      <w:r>
        <w:rPr>
          <w:rFonts w:hint="eastAsia" w:ascii="Times New Roman" w:hAnsi="Times New Roman" w:eastAsia="方正仿宋_GBK" w:cs="Times New Roman"/>
          <w:color w:val="auto"/>
          <w:sz w:val="32"/>
          <w:szCs w:val="32"/>
        </w:rPr>
        <w:t>155.59</w:t>
      </w:r>
      <w:r>
        <w:rPr>
          <w:rFonts w:ascii="Times New Roman" w:hAnsi="Times New Roman" w:eastAsia="方正仿宋_GBK" w:cs="Times New Roman"/>
          <w:color w:val="auto"/>
          <w:sz w:val="32"/>
          <w:szCs w:val="32"/>
        </w:rPr>
        <w:t>万元，卫生健康支出预算</w:t>
      </w:r>
      <w:r>
        <w:rPr>
          <w:rFonts w:hint="eastAsia" w:ascii="Times New Roman" w:hAnsi="Times New Roman" w:eastAsia="方正仿宋_GBK" w:cs="Times New Roman"/>
          <w:color w:val="auto"/>
          <w:sz w:val="32"/>
          <w:szCs w:val="32"/>
        </w:rPr>
        <w:t>44.34</w:t>
      </w:r>
      <w:r>
        <w:rPr>
          <w:rFonts w:ascii="Times New Roman" w:hAnsi="Times New Roman" w:eastAsia="方正仿宋_GBK" w:cs="Times New Roman"/>
          <w:color w:val="auto"/>
          <w:sz w:val="32"/>
          <w:szCs w:val="32"/>
        </w:rPr>
        <w:t>万元，住房保障支出预算</w:t>
      </w:r>
      <w:r>
        <w:rPr>
          <w:rFonts w:hint="eastAsia" w:ascii="Times New Roman" w:hAnsi="Times New Roman" w:eastAsia="方正仿宋_GBK" w:cs="Times New Roman"/>
          <w:color w:val="auto"/>
          <w:sz w:val="32"/>
          <w:szCs w:val="32"/>
        </w:rPr>
        <w:t>91.87</w:t>
      </w:r>
      <w:r>
        <w:rPr>
          <w:rFonts w:ascii="Times New Roman" w:hAnsi="Times New Roman" w:eastAsia="方正仿宋_GBK" w:cs="Times New Roman"/>
          <w:color w:val="auto"/>
          <w:sz w:val="32"/>
          <w:szCs w:val="32"/>
        </w:rPr>
        <w:t>万元。支出预算较202</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年增加</w:t>
      </w:r>
      <w:r>
        <w:rPr>
          <w:rFonts w:hint="eastAsia" w:ascii="Times New Roman" w:hAnsi="Times New Roman" w:eastAsia="方正仿宋_GBK" w:cs="Times New Roman"/>
          <w:color w:val="auto"/>
          <w:sz w:val="32"/>
          <w:szCs w:val="32"/>
        </w:rPr>
        <w:t>3.04</w:t>
      </w:r>
      <w:r>
        <w:rPr>
          <w:rFonts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rPr>
        <w:t>，主要是基本支出预算增加103.73万元，项目支出减少100.69万元</w:t>
      </w:r>
      <w:r>
        <w:rPr>
          <w:rFonts w:ascii="Times New Roman" w:hAnsi="Times New Roman" w:eastAsia="方正仿宋_GBK" w:cs="Times New Roman"/>
          <w:color w:val="auto"/>
          <w:sz w:val="32"/>
          <w:szCs w:val="32"/>
        </w:rPr>
        <w:t>。</w:t>
      </w:r>
    </w:p>
    <w:p w14:paraId="18A768AB">
      <w:pPr>
        <w:pStyle w:val="15"/>
        <w:widowControl w:val="0"/>
        <w:adjustRightInd w:val="0"/>
        <w:snapToGrid w:val="0"/>
        <w:spacing w:after="0" w:line="600" w:lineRule="exact"/>
        <w:ind w:left="440" w:leftChars="200" w:firstLine="0" w:firstLineChars="0"/>
        <w:jc w:val="both"/>
        <w:rPr>
          <w:rFonts w:ascii="Times New Roman" w:hAnsi="Times New Roman" w:eastAsia="方正黑体_GBK" w:cs="Times New Roman"/>
          <w:color w:val="auto"/>
          <w:sz w:val="32"/>
          <w:szCs w:val="20"/>
        </w:rPr>
      </w:pPr>
      <w:r>
        <w:rPr>
          <w:rFonts w:hint="eastAsia" w:ascii="Times New Roman" w:hAnsi="Times New Roman" w:eastAsia="方正黑体_GBK" w:cs="Times New Roman"/>
          <w:color w:val="auto"/>
          <w:sz w:val="32"/>
          <w:szCs w:val="20"/>
        </w:rPr>
        <w:t>三、</w:t>
      </w:r>
      <w:r>
        <w:rPr>
          <w:rFonts w:ascii="Times New Roman" w:hAnsi="Times New Roman" w:eastAsia="方正黑体_GBK" w:cs="Times New Roman"/>
          <w:color w:val="auto"/>
          <w:sz w:val="32"/>
          <w:szCs w:val="20"/>
        </w:rPr>
        <w:t>单位预算情况说明</w:t>
      </w:r>
    </w:p>
    <w:p w14:paraId="2674A94C">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一般公共预算财政拨款收入1899.12万元，一般公共预算财政拨款支出1899.12万元，比2024年增加19.23万元。其中，基本支出1391.12万元，比2024年增加103.73万元，主要原因是师生人数增加，主要用于在职人员工资福利以及社保缴纳，保障单位正常运转的各项商品服务支出；项目支出508</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，比2024年减少84.50万元，主要原因是聘用人数减少，主要用于保障聘用教师工资社保及学校正常运转等。</w:t>
      </w:r>
    </w:p>
    <w:p w14:paraId="45205D6B">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重庆市九龙坡区锦苑小学校2025年无使用政府性基金预算拨款安排的支出。</w:t>
      </w:r>
    </w:p>
    <w:p w14:paraId="242E454F">
      <w:pPr>
        <w:pStyle w:val="15"/>
        <w:widowControl w:val="0"/>
        <w:adjustRightInd w:val="0"/>
        <w:snapToGrid w:val="0"/>
        <w:spacing w:after="0" w:line="600" w:lineRule="exact"/>
        <w:ind w:left="440" w:leftChars="200" w:firstLine="0" w:firstLineChars="0"/>
        <w:jc w:val="both"/>
        <w:rPr>
          <w:rFonts w:ascii="Times New Roman" w:hAnsi="Times New Roman" w:eastAsia="方正黑体_GBK" w:cs="Times New Roman"/>
          <w:color w:val="auto"/>
          <w:sz w:val="32"/>
          <w:szCs w:val="20"/>
        </w:rPr>
      </w:pPr>
      <w:r>
        <w:rPr>
          <w:rFonts w:hint="eastAsia" w:ascii="Times New Roman" w:hAnsi="Times New Roman" w:eastAsia="方正黑体_GBK" w:cs="Times New Roman"/>
          <w:color w:val="auto"/>
          <w:sz w:val="32"/>
          <w:szCs w:val="20"/>
        </w:rPr>
        <w:t>四、“三公”经费情况说明</w:t>
      </w:r>
    </w:p>
    <w:p w14:paraId="67CB7ED9">
      <w:pPr>
        <w:adjustRightInd w:val="0"/>
        <w:snapToGrid w:val="0"/>
        <w:spacing w:line="600" w:lineRule="exact"/>
        <w:ind w:firstLine="6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2025年“三公”经费预算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，比2024年减少0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。其中：因公出国（境）费用</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，比2024年减少</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，本单位2025年无因公出国（境）费用预算；公务接待费</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，比2024年减少0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，本单位2025年无公务接待费预算；公务用车运行维护费</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，比2024年减少0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，本单位2025年无公务用车运行维护费预算；公务用车购置费</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，比2024年减少0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，本单位2025年无公务用车购置预算。</w:t>
      </w:r>
    </w:p>
    <w:p w14:paraId="5457E4C5">
      <w:pPr>
        <w:pStyle w:val="15"/>
        <w:widowControl w:val="0"/>
        <w:adjustRightInd w:val="0"/>
        <w:snapToGrid w:val="0"/>
        <w:spacing w:after="0" w:line="600" w:lineRule="exact"/>
        <w:ind w:left="440" w:leftChars="200" w:firstLine="0" w:firstLineChars="0"/>
        <w:jc w:val="both"/>
        <w:rPr>
          <w:rFonts w:ascii="Times New Roman" w:hAnsi="Times New Roman" w:eastAsia="方正黑体_GBK" w:cs="Times New Roman"/>
          <w:color w:val="auto"/>
          <w:sz w:val="32"/>
          <w:szCs w:val="20"/>
        </w:rPr>
      </w:pPr>
      <w:r>
        <w:rPr>
          <w:rFonts w:hint="eastAsia" w:ascii="Times New Roman" w:hAnsi="Times New Roman" w:eastAsia="方正黑体_GBK" w:cs="Times New Roman"/>
          <w:color w:val="auto"/>
          <w:sz w:val="32"/>
          <w:szCs w:val="20"/>
        </w:rPr>
        <w:t>五、</w:t>
      </w:r>
      <w:r>
        <w:rPr>
          <w:rFonts w:ascii="Times New Roman" w:hAnsi="Times New Roman" w:eastAsia="方正黑体_GBK" w:cs="Times New Roman"/>
          <w:color w:val="auto"/>
          <w:sz w:val="32"/>
          <w:szCs w:val="20"/>
        </w:rPr>
        <w:t>其他重要事项的情况说明</w:t>
      </w:r>
    </w:p>
    <w:p w14:paraId="2373E2E1">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1.</w:t>
      </w:r>
      <w:r>
        <w:rPr>
          <w:rFonts w:hint="eastAsia" w:ascii="Times New Roman" w:hAnsi="Times New Roman" w:eastAsia="方正仿宋_GBK" w:cs="Times New Roman"/>
          <w:color w:val="auto"/>
          <w:sz w:val="32"/>
          <w:szCs w:val="32"/>
        </w:rPr>
        <w:t>我单位不在机关运行经费统计范围之内。</w:t>
      </w:r>
    </w:p>
    <w:p w14:paraId="00434C6B">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2.政府采购情况。本单位政府采购预算总额</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：政府采购货物预算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、政府采购工程预算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、政府采购服务预算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；其中一般公共预算拨款政府采购</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：政府采购货物预算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、政府采购工程预算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、政府采购服务预算</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w:t>
      </w:r>
    </w:p>
    <w:p w14:paraId="6D85DACE">
      <w:pPr>
        <w:widowControl w:val="0"/>
        <w:adjustRightInd w:val="0"/>
        <w:snapToGrid w:val="0"/>
        <w:spacing w:after="0" w:line="60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3.绩效目标设置情况。2025年项目支出均实行了绩效目标管理，涉及一般公共预算当年财政拨款508</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w:t>
      </w:r>
    </w:p>
    <w:p w14:paraId="4E115B43">
      <w:pPr>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4.国有资产占有使用情况。截止2024年12月，本单位共有车辆</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辆，其中一般公务用车</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辆、执勤执法用车</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辆。2025年一般公共预算安排购置车辆</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辆，其中一般公务用车</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辆、执勤执法用车</w:t>
      </w:r>
      <w:r>
        <w:rPr>
          <w:rFonts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rPr>
        <w:t>辆。</w:t>
      </w:r>
    </w:p>
    <w:p w14:paraId="7F20F88C">
      <w:pPr>
        <w:pStyle w:val="1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Times New Roman" w:hAnsi="Times New Roman" w:eastAsia="方正黑体_GBK" w:cs="Times New Roman"/>
          <w:color w:val="auto"/>
          <w:sz w:val="32"/>
          <w:szCs w:val="20"/>
        </w:rPr>
      </w:pPr>
      <w:r>
        <w:rPr>
          <w:rFonts w:hint="eastAsia" w:ascii="Times New Roman" w:hAnsi="Times New Roman" w:eastAsia="方正黑体_GBK" w:cs="Times New Roman"/>
          <w:color w:val="auto"/>
          <w:sz w:val="32"/>
          <w:szCs w:val="20"/>
        </w:rPr>
        <w:t>六、</w:t>
      </w:r>
      <w:r>
        <w:rPr>
          <w:rFonts w:ascii="Times New Roman" w:hAnsi="Times New Roman" w:eastAsia="方正黑体_GBK" w:cs="Times New Roman"/>
          <w:color w:val="auto"/>
          <w:sz w:val="32"/>
          <w:szCs w:val="20"/>
        </w:rPr>
        <w:t>专业性名词解释</w:t>
      </w:r>
    </w:p>
    <w:p w14:paraId="0DDD85C3">
      <w:pPr>
        <w:pStyle w:val="15"/>
        <w:keepNext w:val="0"/>
        <w:keepLines w:val="0"/>
        <w:pageBreakBefore w:val="0"/>
        <w:widowControl/>
        <w:numPr>
          <w:ilvl w:val="0"/>
          <w:numId w:val="1"/>
        </w:numPr>
        <w:tabs>
          <w:tab w:val="center" w:pos="4153"/>
          <w:tab w:val="left" w:pos="7275"/>
        </w:tabs>
        <w:kinsoku/>
        <w:wordWrap/>
        <w:overflowPunct/>
        <w:topLinePunct w:val="0"/>
        <w:autoSpaceDE/>
        <w:autoSpaceDN/>
        <w:bidi w:val="0"/>
        <w:adjustRightInd w:val="0"/>
        <w:snapToGrid w:val="0"/>
        <w:spacing w:after="0" w:line="600" w:lineRule="exact"/>
        <w:ind w:left="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财政拨款收入</w:t>
      </w:r>
      <w:r>
        <w:rPr>
          <w:rFonts w:hint="eastAsia" w:ascii="Times New Roman" w:hAnsi="Times New Roman" w:eastAsia="方正仿宋_GBK" w:cs="Times New Roman"/>
          <w:sz w:val="32"/>
          <w:szCs w:val="32"/>
        </w:rPr>
        <w:t>：指本年度从本级财政部门取得的财政拨款，包括一般公共预算财政拨款和政府性基金预算财政拨款。</w:t>
      </w:r>
    </w:p>
    <w:p w14:paraId="328FDA67">
      <w:pPr>
        <w:pStyle w:val="15"/>
        <w:keepNext w:val="0"/>
        <w:keepLines w:val="0"/>
        <w:pageBreakBefore w:val="0"/>
        <w:widowControl/>
        <w:numPr>
          <w:ilvl w:val="0"/>
          <w:numId w:val="1"/>
        </w:numPr>
        <w:tabs>
          <w:tab w:val="center" w:pos="4153"/>
          <w:tab w:val="left" w:pos="7275"/>
        </w:tabs>
        <w:kinsoku/>
        <w:wordWrap/>
        <w:overflowPunct/>
        <w:topLinePunct w:val="0"/>
        <w:autoSpaceDE/>
        <w:autoSpaceDN/>
        <w:bidi w:val="0"/>
        <w:adjustRightInd w:val="0"/>
        <w:snapToGrid w:val="0"/>
        <w:spacing w:after="0" w:line="600" w:lineRule="exact"/>
        <w:ind w:left="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其他收入：</w:t>
      </w:r>
      <w:r>
        <w:rPr>
          <w:rFonts w:hint="eastAsia" w:ascii="Times New Roman" w:hAnsi="Times New Roman" w:eastAsia="方正仿宋_GBK" w:cs="Times New Roman"/>
          <w:sz w:val="32"/>
          <w:szCs w:val="32"/>
        </w:rPr>
        <w:t>指单位取得的除“财政拨款收入”、“事业收入”、“经营收入”等以外的收入。</w:t>
      </w:r>
    </w:p>
    <w:p w14:paraId="093312FC">
      <w:pPr>
        <w:pStyle w:val="15"/>
        <w:keepNext w:val="0"/>
        <w:keepLines w:val="0"/>
        <w:pageBreakBefore w:val="0"/>
        <w:widowControl/>
        <w:numPr>
          <w:ilvl w:val="0"/>
          <w:numId w:val="1"/>
        </w:numPr>
        <w:tabs>
          <w:tab w:val="center" w:pos="4153"/>
          <w:tab w:val="left" w:pos="7275"/>
        </w:tabs>
        <w:kinsoku/>
        <w:wordWrap/>
        <w:overflowPunct/>
        <w:topLinePunct w:val="0"/>
        <w:autoSpaceDE/>
        <w:autoSpaceDN/>
        <w:bidi w:val="0"/>
        <w:adjustRightInd w:val="0"/>
        <w:snapToGrid w:val="0"/>
        <w:spacing w:after="0" w:line="600" w:lineRule="exact"/>
        <w:ind w:left="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基本支出：</w:t>
      </w:r>
      <w:r>
        <w:rPr>
          <w:rFonts w:hint="eastAsia" w:ascii="Times New Roman" w:hAnsi="Times New Roman" w:eastAsia="方正仿宋_GBK" w:cs="Times New Roman"/>
          <w:sz w:val="32"/>
          <w:szCs w:val="32"/>
        </w:rPr>
        <w:t>指为保障机构正常运转、完成日常工作任务而发生的人员经费和公用经费。</w:t>
      </w:r>
    </w:p>
    <w:p w14:paraId="3FE6A1CC">
      <w:pPr>
        <w:pStyle w:val="15"/>
        <w:keepNext w:val="0"/>
        <w:keepLines w:val="0"/>
        <w:pageBreakBefore w:val="0"/>
        <w:widowControl/>
        <w:numPr>
          <w:ilvl w:val="0"/>
          <w:numId w:val="1"/>
        </w:numPr>
        <w:tabs>
          <w:tab w:val="center" w:pos="4153"/>
          <w:tab w:val="left" w:pos="7275"/>
        </w:tabs>
        <w:kinsoku/>
        <w:wordWrap/>
        <w:overflowPunct/>
        <w:topLinePunct w:val="0"/>
        <w:autoSpaceDE/>
        <w:autoSpaceDN/>
        <w:bidi w:val="0"/>
        <w:adjustRightInd w:val="0"/>
        <w:snapToGrid w:val="0"/>
        <w:spacing w:after="0" w:line="600" w:lineRule="exact"/>
        <w:ind w:left="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项目支出</w:t>
      </w:r>
      <w:r>
        <w:rPr>
          <w:rFonts w:hint="eastAsia" w:ascii="Times New Roman" w:hAnsi="Times New Roman" w:eastAsia="方正仿宋_GBK" w:cs="Times New Roman"/>
          <w:sz w:val="32"/>
          <w:szCs w:val="32"/>
        </w:rPr>
        <w:t>：指在基本支出之外为完成特定行政任务和事业发展目标所发生的支出。</w:t>
      </w:r>
    </w:p>
    <w:p w14:paraId="2835FB94">
      <w:pPr>
        <w:pStyle w:val="15"/>
        <w:keepNext w:val="0"/>
        <w:keepLines w:val="0"/>
        <w:pageBreakBefore w:val="0"/>
        <w:widowControl/>
        <w:numPr>
          <w:ilvl w:val="0"/>
          <w:numId w:val="1"/>
        </w:numPr>
        <w:tabs>
          <w:tab w:val="center" w:pos="4153"/>
          <w:tab w:val="left" w:pos="7275"/>
        </w:tabs>
        <w:kinsoku/>
        <w:wordWrap/>
        <w:overflowPunct/>
        <w:topLinePunct w:val="0"/>
        <w:autoSpaceDE/>
        <w:autoSpaceDN/>
        <w:bidi w:val="0"/>
        <w:adjustRightInd w:val="0"/>
        <w:snapToGrid w:val="0"/>
        <w:spacing w:after="0" w:line="600" w:lineRule="exact"/>
        <w:ind w:left="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“三公”经费</w:t>
      </w:r>
      <w:r>
        <w:rPr>
          <w:rFonts w:hint="eastAsia"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0032F6">
      <w:pPr>
        <w:pStyle w:val="15"/>
        <w:keepNext w:val="0"/>
        <w:keepLines w:val="0"/>
        <w:pageBreakBefore w:val="0"/>
        <w:widowControl/>
        <w:tabs>
          <w:tab w:val="center" w:pos="4153"/>
          <w:tab w:val="left" w:pos="7275"/>
        </w:tabs>
        <w:kinsoku/>
        <w:wordWrap/>
        <w:overflowPunct/>
        <w:topLinePunct w:val="0"/>
        <w:autoSpaceDE/>
        <w:autoSpaceDN/>
        <w:bidi w:val="0"/>
        <w:adjustRightInd w:val="0"/>
        <w:snapToGrid w:val="0"/>
        <w:spacing w:after="0" w:line="600" w:lineRule="exact"/>
        <w:ind w:left="0" w:firstLine="640" w:firstLineChars="200"/>
        <w:textAlignment w:val="auto"/>
        <w:rPr>
          <w:rFonts w:ascii="Times New Roman" w:hAnsi="Times New Roman" w:eastAsia="方正仿宋_GBK" w:cs="Times New Roman"/>
          <w:sz w:val="32"/>
          <w:szCs w:val="32"/>
        </w:rPr>
      </w:pPr>
    </w:p>
    <w:p w14:paraId="5912E2A7">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单位</w:t>
      </w:r>
      <w:r>
        <w:rPr>
          <w:rFonts w:ascii="Times New Roman" w:hAnsi="Times New Roman" w:eastAsia="方正仿宋_GBK" w:cs="Times New Roman"/>
          <w:color w:val="auto"/>
          <w:sz w:val="32"/>
          <w:szCs w:val="32"/>
        </w:rPr>
        <w:t xml:space="preserve">预算公开联系人：杨发群 </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电话：15736360846</w:t>
      </w:r>
    </w:p>
    <w:p w14:paraId="7BBEB1FF">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Times New Roman" w:hAnsi="Times New Roman" w:eastAsia="方正仿宋_GBK" w:cs="Times New Roman"/>
          <w:color w:val="auto"/>
          <w:sz w:val="32"/>
          <w:szCs w:val="32"/>
        </w:rPr>
      </w:pPr>
    </w:p>
    <w:p w14:paraId="07900E2C">
      <w:pPr>
        <w:keepNext w:val="0"/>
        <w:keepLines w:val="0"/>
        <w:pageBreakBefore w:val="0"/>
        <w:widowControl w:val="0"/>
        <w:kinsoku/>
        <w:wordWrap/>
        <w:overflowPunct/>
        <w:topLinePunct w:val="0"/>
        <w:autoSpaceDE/>
        <w:autoSpaceDN/>
        <w:bidi w:val="0"/>
        <w:adjustRightInd w:val="0"/>
        <w:snapToGrid w:val="0"/>
        <w:spacing w:after="0" w:line="600" w:lineRule="exact"/>
        <w:ind w:left="1598" w:leftChars="290" w:hanging="960" w:hangingChars="3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附表：1.</w:t>
      </w:r>
      <w:r>
        <w:rPr>
          <w:rFonts w:ascii="Times New Roman" w:hAnsi="Times New Roman" w:eastAsia="方正仿宋_GBK" w:cs="Times New Roman"/>
          <w:sz w:val="32"/>
        </w:rPr>
        <w:t>202</w:t>
      </w:r>
      <w:r>
        <w:rPr>
          <w:rFonts w:hint="eastAsia" w:ascii="Times New Roman" w:hAnsi="Times New Roman" w:eastAsia="方正仿宋_GBK" w:cs="Times New Roman"/>
          <w:sz w:val="32"/>
        </w:rPr>
        <w:t>5</w:t>
      </w:r>
      <w:r>
        <w:rPr>
          <w:rFonts w:ascii="Times New Roman" w:hAnsi="Times New Roman" w:eastAsia="方正仿宋_GBK" w:cs="Times New Roman"/>
          <w:sz w:val="32"/>
        </w:rPr>
        <w:t>年重庆市九龙坡区锦苑小学校</w:t>
      </w:r>
      <w:r>
        <w:rPr>
          <w:rFonts w:hint="eastAsia" w:ascii="Times New Roman" w:hAnsi="Times New Roman" w:eastAsia="方正仿宋_GBK" w:cs="Times New Roman"/>
          <w:color w:val="auto"/>
          <w:sz w:val="32"/>
          <w:szCs w:val="32"/>
        </w:rPr>
        <w:t>财政拨款收支总表</w:t>
      </w:r>
    </w:p>
    <w:p w14:paraId="6103FAB5">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sz w:val="32"/>
        </w:rPr>
        <w:t>202</w:t>
      </w:r>
      <w:r>
        <w:rPr>
          <w:rFonts w:hint="eastAsia" w:ascii="Times New Roman" w:hAnsi="Times New Roman" w:eastAsia="方正仿宋_GBK" w:cs="Times New Roman"/>
          <w:sz w:val="32"/>
        </w:rPr>
        <w:t>5</w:t>
      </w:r>
      <w:r>
        <w:rPr>
          <w:rFonts w:ascii="Times New Roman" w:hAnsi="Times New Roman" w:eastAsia="方正仿宋_GBK" w:cs="Times New Roman"/>
          <w:sz w:val="32"/>
        </w:rPr>
        <w:t>年重庆市九龙坡区锦苑小学校</w:t>
      </w:r>
      <w:r>
        <w:rPr>
          <w:rFonts w:hint="eastAsia" w:ascii="Times New Roman" w:hAnsi="Times New Roman" w:eastAsia="方正仿宋_GBK" w:cs="Times New Roman"/>
          <w:color w:val="auto"/>
          <w:sz w:val="32"/>
          <w:szCs w:val="32"/>
        </w:rPr>
        <w:t>一般公共预算财政拨款支出预算表</w:t>
      </w:r>
    </w:p>
    <w:p w14:paraId="7C402352">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3.2025年重庆市九龙坡区锦苑小学校一般公共预算财政拨款基本支出预算表</w:t>
      </w:r>
    </w:p>
    <w:p w14:paraId="4DE0514F">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4.2025年重庆市九龙坡区锦苑小学校一般公共预算财政拨款基本支出预算表（政府预算支出经济分类科目）</w:t>
      </w:r>
    </w:p>
    <w:p w14:paraId="1E1B2EA2">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5.2025年重庆市九龙坡区锦苑小学校一般公共预算三公经费支出表</w:t>
      </w:r>
    </w:p>
    <w:p w14:paraId="76A5F639">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6.2025年重庆市九龙坡区锦苑小学校政府性基金预算支出表</w:t>
      </w:r>
    </w:p>
    <w:p w14:paraId="2B36A256">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7.2025年重庆市九龙坡区锦苑小学校单位收支总表</w:t>
      </w:r>
    </w:p>
    <w:p w14:paraId="1CD66DEE">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8.2025年重庆市九龙坡区锦苑小学校单位收入总表</w:t>
      </w:r>
    </w:p>
    <w:p w14:paraId="12239C91">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9.2025年重庆市九龙坡区锦苑小学校单位支出总表</w:t>
      </w:r>
    </w:p>
    <w:p w14:paraId="0CF58AE7">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10.2025年重庆市九龙坡区锦苑小学校一般公共预算财政拨款项目支出预算表（部门预算支出经济分类科目）</w:t>
      </w:r>
    </w:p>
    <w:p w14:paraId="256F3D5F">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11.2024年重庆市九龙坡区锦苑小学校一般公共预算财政拨款项目支出预算表（政府预算支出经济分类科目）</w:t>
      </w:r>
    </w:p>
    <w:p w14:paraId="7063F53B">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12.2025年重庆市九龙坡区锦苑小学校政府采购明细表</w:t>
      </w:r>
    </w:p>
    <w:p w14:paraId="49EA70CE">
      <w:pPr>
        <w:keepNext w:val="0"/>
        <w:keepLines w:val="0"/>
        <w:pageBreakBefore w:val="0"/>
        <w:widowControl w:val="0"/>
        <w:kinsoku/>
        <w:wordWrap/>
        <w:overflowPunct/>
        <w:topLinePunct w:val="0"/>
        <w:autoSpaceDE/>
        <w:autoSpaceDN/>
        <w:bidi w:val="0"/>
        <w:adjustRightInd w:val="0"/>
        <w:snapToGrid w:val="0"/>
        <w:spacing w:after="0" w:line="600" w:lineRule="exact"/>
        <w:ind w:left="1595" w:leftChars="725" w:firstLine="0" w:firstLineChars="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13.2025年重庆市九龙坡区锦苑小学校项目绩效目标表</w:t>
      </w:r>
    </w:p>
    <w:sectPr>
      <w:footerReference r:id="rId7" w:type="first"/>
      <w:footerReference r:id="rId5" w:type="default"/>
      <w:footerReference r:id="rId6" w:type="even"/>
      <w:pgSz w:w="11906" w:h="16838"/>
      <w:pgMar w:top="2098" w:right="1531" w:bottom="1984" w:left="1532" w:header="720" w:footer="875" w:gutter="0"/>
      <w:pgNumType w:fmt="numberInDash"/>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3D50">
    <w:pPr>
      <w:pStyle w:val="6"/>
      <w:jc w:val="right"/>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3756CE3">
                <w:pPr>
                  <w:pStyle w:val="6"/>
                  <w:rPr>
                    <w:rFonts w:eastAsia="宋体"/>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- 5 -</w:t>
                </w:r>
                <w:r>
                  <w:rPr>
                    <w:rFonts w:hint="eastAsia" w:ascii="方正仿宋_GBK" w:hAnsi="方正仿宋_GBK" w:eastAsia="方正仿宋_GBK" w:cs="方正仿宋_GBK"/>
                    <w:sz w:val="28"/>
                    <w:szCs w:val="28"/>
                  </w:rPr>
                  <w:fldChar w:fldCharType="end"/>
                </w:r>
              </w:p>
            </w:txbxContent>
          </v:textbox>
        </v:shape>
      </w:pict>
    </w:r>
  </w:p>
  <w:p w14:paraId="13811066">
    <w:pPr>
      <w:tabs>
        <w:tab w:val="center" w:pos="1071"/>
        <w:tab w:val="center" w:pos="12879"/>
      </w:tabs>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C64D2">
    <w:pPr>
      <w:pStyle w:val="6"/>
    </w:pPr>
    <w: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CD47D2F">
                <w:pPr>
                  <w:pStyle w:val="6"/>
                  <w:rPr>
                    <w:rFonts w:eastAsia="宋体"/>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- 4 -</w:t>
                </w:r>
                <w:r>
                  <w:rPr>
                    <w:rFonts w:hint="eastAsia" w:ascii="方正仿宋_GBK" w:hAnsi="方正仿宋_GBK" w:eastAsia="方正仿宋_GBK" w:cs="方正仿宋_GBK"/>
                    <w:sz w:val="28"/>
                    <w:szCs w:val="28"/>
                  </w:rPr>
                  <w:fldChar w:fldCharType="end"/>
                </w:r>
              </w:p>
            </w:txbxContent>
          </v:textbox>
        </v:shape>
      </w:pict>
    </w:r>
  </w:p>
  <w:p w14:paraId="68B56A4F">
    <w:pPr>
      <w:tabs>
        <w:tab w:val="center" w:pos="1071"/>
        <w:tab w:val="center" w:pos="12879"/>
      </w:tabs>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6E4E">
    <w:pPr>
      <w:tabs>
        <w:tab w:val="center" w:pos="1071"/>
        <w:tab w:val="center" w:pos="12879"/>
      </w:tabs>
      <w:spacing w:after="0"/>
    </w:pPr>
    <w: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482509E">
                <w:pPr>
                  <w:pStyle w:val="6"/>
                  <w:rPr>
                    <w:rFonts w:eastAsia="宋体"/>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F506F"/>
    <w:multiLevelType w:val="singleLevel"/>
    <w:tmpl w:val="14DF506F"/>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doNotExpandShiftReturn/>
    <w:adjustLineHeightInTable/>
    <w:useFELayout/>
    <w:doNotUseIndentAsNumberingTabStop/>
    <w:useAltKinsokuLineBreakRules/>
    <w:compatSetting w:name="compatibilityMode" w:uri="http://schemas.microsoft.com/office/word" w:val="12"/>
  </w:compat>
  <w:docVars>
    <w:docVar w:name="commondata" w:val="eyJoZGlkIjoiODI1MTk4OTEzZTU2YmRhNWNhNDdjNzhjYWFmNzY0YmEifQ=="/>
  </w:docVars>
  <w:rsids>
    <w:rsidRoot w:val="003C3FD8"/>
    <w:rsid w:val="000518D9"/>
    <w:rsid w:val="00090FDF"/>
    <w:rsid w:val="000B5B39"/>
    <w:rsid w:val="000C6337"/>
    <w:rsid w:val="000D2E94"/>
    <w:rsid w:val="000D30E3"/>
    <w:rsid w:val="000D5A8E"/>
    <w:rsid w:val="00112005"/>
    <w:rsid w:val="00122413"/>
    <w:rsid w:val="001312BD"/>
    <w:rsid w:val="001F54F3"/>
    <w:rsid w:val="00221F68"/>
    <w:rsid w:val="00265CF2"/>
    <w:rsid w:val="002829CE"/>
    <w:rsid w:val="002F53BE"/>
    <w:rsid w:val="0031187A"/>
    <w:rsid w:val="00337681"/>
    <w:rsid w:val="00345C89"/>
    <w:rsid w:val="00351A2D"/>
    <w:rsid w:val="003C3FD8"/>
    <w:rsid w:val="003C4638"/>
    <w:rsid w:val="004559BD"/>
    <w:rsid w:val="004E59DB"/>
    <w:rsid w:val="004F1684"/>
    <w:rsid w:val="00553BB2"/>
    <w:rsid w:val="005545B2"/>
    <w:rsid w:val="00562C38"/>
    <w:rsid w:val="0058251B"/>
    <w:rsid w:val="006028A4"/>
    <w:rsid w:val="00641ADB"/>
    <w:rsid w:val="00695D2F"/>
    <w:rsid w:val="006E5DAE"/>
    <w:rsid w:val="00701793"/>
    <w:rsid w:val="00761798"/>
    <w:rsid w:val="00774546"/>
    <w:rsid w:val="007B5C37"/>
    <w:rsid w:val="007E6793"/>
    <w:rsid w:val="0081654D"/>
    <w:rsid w:val="008273CD"/>
    <w:rsid w:val="00856F13"/>
    <w:rsid w:val="008A0F08"/>
    <w:rsid w:val="008A3102"/>
    <w:rsid w:val="008E3F33"/>
    <w:rsid w:val="009160A4"/>
    <w:rsid w:val="00926542"/>
    <w:rsid w:val="00935EFD"/>
    <w:rsid w:val="0095212E"/>
    <w:rsid w:val="009631FC"/>
    <w:rsid w:val="00993595"/>
    <w:rsid w:val="009C028D"/>
    <w:rsid w:val="009C6C51"/>
    <w:rsid w:val="009D51BB"/>
    <w:rsid w:val="009D5BAE"/>
    <w:rsid w:val="009D7981"/>
    <w:rsid w:val="00A56FFE"/>
    <w:rsid w:val="00A93F66"/>
    <w:rsid w:val="00B27026"/>
    <w:rsid w:val="00B368B5"/>
    <w:rsid w:val="00B55633"/>
    <w:rsid w:val="00B77C29"/>
    <w:rsid w:val="00B84919"/>
    <w:rsid w:val="00B860ED"/>
    <w:rsid w:val="00BD47AA"/>
    <w:rsid w:val="00BF240F"/>
    <w:rsid w:val="00C04C4A"/>
    <w:rsid w:val="00C12EA7"/>
    <w:rsid w:val="00C256C8"/>
    <w:rsid w:val="00C56338"/>
    <w:rsid w:val="00CA512E"/>
    <w:rsid w:val="00CA6B2A"/>
    <w:rsid w:val="00CD1CAA"/>
    <w:rsid w:val="00D24562"/>
    <w:rsid w:val="00D42980"/>
    <w:rsid w:val="00D512D9"/>
    <w:rsid w:val="00D71625"/>
    <w:rsid w:val="00D81FC7"/>
    <w:rsid w:val="00D83C5D"/>
    <w:rsid w:val="00DA7953"/>
    <w:rsid w:val="00DE3C81"/>
    <w:rsid w:val="00E153FB"/>
    <w:rsid w:val="00E82FFA"/>
    <w:rsid w:val="00EB6696"/>
    <w:rsid w:val="00F271D2"/>
    <w:rsid w:val="00F90741"/>
    <w:rsid w:val="00FB7B3D"/>
    <w:rsid w:val="00FD49E0"/>
    <w:rsid w:val="00FF367B"/>
    <w:rsid w:val="01CB58A5"/>
    <w:rsid w:val="02873BB9"/>
    <w:rsid w:val="03916BF4"/>
    <w:rsid w:val="064C15F1"/>
    <w:rsid w:val="08AC6497"/>
    <w:rsid w:val="08DB0B60"/>
    <w:rsid w:val="092A1BF8"/>
    <w:rsid w:val="0A0E2DF1"/>
    <w:rsid w:val="0D3F2D41"/>
    <w:rsid w:val="116A4DD1"/>
    <w:rsid w:val="140212F1"/>
    <w:rsid w:val="16A2763D"/>
    <w:rsid w:val="1748676D"/>
    <w:rsid w:val="17C872B2"/>
    <w:rsid w:val="1B9B3291"/>
    <w:rsid w:val="1E114DF5"/>
    <w:rsid w:val="1F43084B"/>
    <w:rsid w:val="1FE439AE"/>
    <w:rsid w:val="223D4895"/>
    <w:rsid w:val="2CED26D9"/>
    <w:rsid w:val="2E6F1CC9"/>
    <w:rsid w:val="2F2A7C22"/>
    <w:rsid w:val="2FD816A9"/>
    <w:rsid w:val="369F6FCD"/>
    <w:rsid w:val="375872F6"/>
    <w:rsid w:val="38454AF6"/>
    <w:rsid w:val="38DC3643"/>
    <w:rsid w:val="38E91B42"/>
    <w:rsid w:val="39266A79"/>
    <w:rsid w:val="3AFE1F63"/>
    <w:rsid w:val="3DA45043"/>
    <w:rsid w:val="41700409"/>
    <w:rsid w:val="422932C0"/>
    <w:rsid w:val="426A3716"/>
    <w:rsid w:val="4495671A"/>
    <w:rsid w:val="46421419"/>
    <w:rsid w:val="46EA3161"/>
    <w:rsid w:val="4C201D3B"/>
    <w:rsid w:val="4C3161D5"/>
    <w:rsid w:val="4EA64F53"/>
    <w:rsid w:val="502A438F"/>
    <w:rsid w:val="54CE5AA0"/>
    <w:rsid w:val="54D062C6"/>
    <w:rsid w:val="5503126A"/>
    <w:rsid w:val="58493374"/>
    <w:rsid w:val="58783407"/>
    <w:rsid w:val="5EA20CD3"/>
    <w:rsid w:val="5EE017FC"/>
    <w:rsid w:val="601479AF"/>
    <w:rsid w:val="639406CE"/>
    <w:rsid w:val="643B1A24"/>
    <w:rsid w:val="650A4329"/>
    <w:rsid w:val="69AB27D2"/>
    <w:rsid w:val="70ED435A"/>
    <w:rsid w:val="743E2E7B"/>
    <w:rsid w:val="78A443E1"/>
    <w:rsid w:val="7DF438B1"/>
    <w:rsid w:val="7F315A30"/>
    <w:rsid w:val="7FB40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2"/>
    <w:unhideWhenUsed/>
    <w:qFormat/>
    <w:uiPriority w:val="9"/>
    <w:pPr>
      <w:keepNext/>
      <w:keepLines/>
      <w:spacing w:after="177" w:line="259" w:lineRule="auto"/>
      <w:ind w:left="651" w:right="2843" w:hanging="10"/>
      <w:outlineLvl w:val="0"/>
    </w:pPr>
    <w:rPr>
      <w:rFonts w:ascii="微软雅黑" w:hAnsi="微软雅黑" w:eastAsia="微软雅黑" w:cs="微软雅黑"/>
      <w:color w:val="000000"/>
      <w:kern w:val="2"/>
      <w:sz w:val="32"/>
      <w:szCs w:val="22"/>
      <w:lang w:val="en-US" w:eastAsia="zh-CN" w:bidi="ar-SA"/>
    </w:rPr>
  </w:style>
  <w:style w:type="paragraph" w:styleId="3">
    <w:name w:val="heading 2"/>
    <w:next w:val="1"/>
    <w:link w:val="13"/>
    <w:unhideWhenUsed/>
    <w:qFormat/>
    <w:uiPriority w:val="9"/>
    <w:pPr>
      <w:keepNext/>
      <w:keepLines/>
      <w:spacing w:after="4" w:line="259" w:lineRule="auto"/>
      <w:ind w:left="732" w:hanging="10"/>
      <w:outlineLvl w:val="1"/>
    </w:pPr>
    <w:rPr>
      <w:rFonts w:ascii="微软雅黑" w:hAnsi="微软雅黑" w:eastAsia="微软雅黑" w:cs="微软雅黑"/>
      <w:color w:val="0D0D0D"/>
      <w:kern w:val="2"/>
      <w:sz w:val="32"/>
      <w:szCs w:val="22"/>
      <w:lang w:val="en-US" w:eastAsia="zh-CN" w:bidi="ar-SA"/>
    </w:rPr>
  </w:style>
  <w:style w:type="paragraph" w:styleId="4">
    <w:name w:val="heading 3"/>
    <w:next w:val="1"/>
    <w:link w:val="11"/>
    <w:unhideWhenUsed/>
    <w:qFormat/>
    <w:uiPriority w:val="9"/>
    <w:pPr>
      <w:keepNext/>
      <w:keepLines/>
      <w:spacing w:after="166" w:line="259" w:lineRule="auto"/>
      <w:ind w:left="100" w:right="772" w:hanging="10"/>
      <w:jc w:val="center"/>
      <w:outlineLvl w:val="2"/>
    </w:pPr>
    <w:rPr>
      <w:rFonts w:ascii="微软雅黑" w:hAnsi="微软雅黑" w:eastAsia="微软雅黑" w:cs="微软雅黑"/>
      <w:color w:val="000000"/>
      <w:kern w:val="2"/>
      <w:sz w:val="28"/>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lock Text"/>
    <w:basedOn w:val="1"/>
    <w:qFormat/>
    <w:uiPriority w:val="0"/>
    <w:pPr>
      <w:ind w:left="-178" w:leftChars="-85" w:right="-693" w:rightChars="-330" w:firstLine="560" w:firstLineChars="200"/>
    </w:pPr>
    <w:rPr>
      <w:rFonts w:eastAsia="宋体"/>
      <w:sz w:val="28"/>
      <w:szCs w:val="24"/>
    </w:rPr>
  </w:style>
  <w:style w:type="paragraph" w:styleId="6">
    <w:name w:val="footer"/>
    <w:basedOn w:val="1"/>
    <w:link w:val="17"/>
    <w:unhideWhenUsed/>
    <w:qFormat/>
    <w:uiPriority w:val="99"/>
    <w:pPr>
      <w:tabs>
        <w:tab w:val="center" w:pos="4680"/>
        <w:tab w:val="right" w:pos="9360"/>
      </w:tabs>
      <w:spacing w:after="0" w:line="240" w:lineRule="auto"/>
    </w:pPr>
    <w:rPr>
      <w:rFonts w:cs="Times New Roman" w:asciiTheme="minorHAnsi" w:hAnsiTheme="minorHAnsi" w:eastAsiaTheme="minorEastAsia"/>
      <w:color w:val="auto"/>
      <w:kern w:val="0"/>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uiPriority w:val="99"/>
    <w:pPr>
      <w:spacing w:before="100" w:beforeAutospacing="1" w:after="100" w:afterAutospacing="1" w:line="240" w:lineRule="auto"/>
    </w:pPr>
    <w:rPr>
      <w:rFonts w:ascii="宋体" w:hAnsi="宋体" w:eastAsia="宋体" w:cs="宋体"/>
      <w:color w:val="auto"/>
      <w:kern w:val="0"/>
      <w:sz w:val="24"/>
      <w:szCs w:val="24"/>
    </w:rPr>
  </w:style>
  <w:style w:type="character" w:customStyle="1" w:styleId="11">
    <w:name w:val="标题 3 Char"/>
    <w:link w:val="4"/>
    <w:qFormat/>
    <w:uiPriority w:val="0"/>
    <w:rPr>
      <w:rFonts w:ascii="微软雅黑" w:hAnsi="微软雅黑" w:eastAsia="微软雅黑" w:cs="微软雅黑"/>
      <w:color w:val="000000"/>
      <w:sz w:val="28"/>
    </w:rPr>
  </w:style>
  <w:style w:type="character" w:customStyle="1" w:styleId="12">
    <w:name w:val="标题 1 Char"/>
    <w:link w:val="2"/>
    <w:qFormat/>
    <w:uiPriority w:val="0"/>
    <w:rPr>
      <w:rFonts w:ascii="微软雅黑" w:hAnsi="微软雅黑" w:eastAsia="微软雅黑" w:cs="微软雅黑"/>
      <w:color w:val="000000"/>
      <w:sz w:val="32"/>
    </w:rPr>
  </w:style>
  <w:style w:type="character" w:customStyle="1" w:styleId="13">
    <w:name w:val="标题 2 Char"/>
    <w:link w:val="3"/>
    <w:qFormat/>
    <w:uiPriority w:val="0"/>
    <w:rPr>
      <w:rFonts w:ascii="微软雅黑" w:hAnsi="微软雅黑" w:eastAsia="微软雅黑" w:cs="微软雅黑"/>
      <w:color w:val="0D0D0D"/>
      <w:sz w:val="32"/>
    </w:rPr>
  </w:style>
  <w:style w:type="table" w:customStyle="1" w:styleId="14">
    <w:name w:val="TableGrid"/>
    <w:qFormat/>
    <w:uiPriority w:val="0"/>
    <w:tblPr>
      <w:tblCellMar>
        <w:top w:w="0" w:type="dxa"/>
        <w:left w:w="0" w:type="dxa"/>
        <w:bottom w:w="0" w:type="dxa"/>
        <w:right w:w="0" w:type="dxa"/>
      </w:tblCellMar>
    </w:tblPr>
  </w:style>
  <w:style w:type="paragraph" w:styleId="15">
    <w:name w:val="List Paragraph"/>
    <w:basedOn w:val="1"/>
    <w:unhideWhenUsed/>
    <w:qFormat/>
    <w:uiPriority w:val="34"/>
    <w:pPr>
      <w:ind w:firstLine="420" w:firstLineChars="200"/>
    </w:pPr>
  </w:style>
  <w:style w:type="character" w:customStyle="1" w:styleId="16">
    <w:name w:val="页眉 Char"/>
    <w:basedOn w:val="10"/>
    <w:link w:val="7"/>
    <w:qFormat/>
    <w:uiPriority w:val="99"/>
    <w:rPr>
      <w:rFonts w:ascii="Calibri" w:hAnsi="Calibri" w:eastAsia="Calibri" w:cs="Calibri"/>
      <w:color w:val="000000"/>
      <w:kern w:val="2"/>
      <w:sz w:val="18"/>
      <w:szCs w:val="18"/>
    </w:rPr>
  </w:style>
  <w:style w:type="character" w:customStyle="1" w:styleId="17">
    <w:name w:val="页脚 Char"/>
    <w:basedOn w:val="10"/>
    <w:link w:val="6"/>
    <w:qFormat/>
    <w:uiPriority w:val="99"/>
    <w:rPr>
      <w:rFonts w:asciiTheme="minorHAnsi" w:hAnsiTheme="minorHAnsi" w:eastAsiaTheme="minorEastAsia"/>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1945</Words>
  <Characters>2279</Characters>
  <Lines>16</Lines>
  <Paragraphs>4</Paragraphs>
  <TotalTime>1</TotalTime>
  <ScaleCrop>false</ScaleCrop>
  <LinksUpToDate>false</LinksUpToDate>
  <CharactersWithSpaces>2281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2023-02-22T04:06:00Z</dcterms:created>
  <dc:creator>微软中国</dc:creator>
  <cp:lastModifiedBy>May</cp:lastModifiedBy>
  <dcterms:modified xsi:type="dcterms:W3CDTF">2025-01-23T03:35:13Z</dcterms:modified>
  <dc:title>（来文单位：□□□□）</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B648B8720F004C1E863C7F45C8969DB7</vt:lpwstr>
  </property>
  <property fmtid="{D5CDD505-2E9C-101B-9397-08002B2CF9AE}" pid="4" name="KSOTemplateDocerSaveRecord">
    <vt:lpwstr>eyJoZGlkIjoiZjk1YzE1ZGU0MDM1MzlkNDQzMjY4OWFkZjhiOTNmZWMiLCJ1c2VySWQiOiIzMTI3Mjg5NzIifQ==</vt:lpwstr>
  </property>
</Properties>
</file>