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5BDE4">
      <w:pPr>
        <w:widowControl w:val="0"/>
        <w:adjustRightInd w:val="0"/>
        <w:snapToGrid w:val="0"/>
        <w:spacing w:after="0"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重庆市九龙坡区华福实验幼儿园</w:t>
      </w:r>
    </w:p>
    <w:p w14:paraId="3FE7B35F">
      <w:pPr>
        <w:widowControl w:val="0"/>
        <w:adjustRightInd w:val="0"/>
        <w:snapToGrid w:val="0"/>
        <w:spacing w:after="0"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rPr>
        <w:t>5</w:t>
      </w:r>
      <w:r>
        <w:rPr>
          <w:rFonts w:ascii="Times New Roman" w:hAnsi="Times New Roman" w:eastAsia="方正小标宋_GBK" w:cs="Times New Roman"/>
          <w:color w:val="auto"/>
          <w:sz w:val="44"/>
          <w:szCs w:val="44"/>
        </w:rPr>
        <w:t>年单位预算情况说明</w:t>
      </w:r>
    </w:p>
    <w:p w14:paraId="36241284">
      <w:pPr>
        <w:widowControl w:val="0"/>
        <w:adjustRightInd w:val="0"/>
        <w:snapToGrid w:val="0"/>
        <w:spacing w:after="0" w:line="600" w:lineRule="exact"/>
        <w:jc w:val="center"/>
        <w:rPr>
          <w:rFonts w:ascii="Times New Roman" w:hAnsi="Times New Roman" w:eastAsia="方正小标宋_GBK" w:cs="Times New Roman"/>
          <w:color w:val="auto"/>
          <w:sz w:val="44"/>
          <w:szCs w:val="44"/>
        </w:rPr>
      </w:pPr>
    </w:p>
    <w:p w14:paraId="701E48F0">
      <w:pPr>
        <w:widowControl w:val="0"/>
        <w:adjustRightInd w:val="0"/>
        <w:snapToGrid w:val="0"/>
        <w:spacing w:after="0" w:line="600" w:lineRule="exact"/>
        <w:ind w:firstLine="640" w:firstLineChars="200"/>
        <w:jc w:val="both"/>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一、单位基本情况</w:t>
      </w:r>
    </w:p>
    <w:p w14:paraId="7CC4AC5A">
      <w:pPr>
        <w:widowControl w:val="0"/>
        <w:adjustRightInd w:val="0"/>
        <w:snapToGrid w:val="0"/>
        <w:spacing w:after="0" w:line="600" w:lineRule="exact"/>
        <w:ind w:firstLine="640" w:firstLineChars="200"/>
        <w:jc w:val="both"/>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（一）职能职责</w:t>
      </w:r>
    </w:p>
    <w:p w14:paraId="1B3B5933">
      <w:pPr>
        <w:spacing w:after="0"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重庆市九龙坡区华福实验幼儿园的主要职能是：为学龄前儿童提供保育和教育服务，开展保育教育服务；促进幼儿的智力发展；培养幼儿热爱祖国的情感和良好的品德行为；开展基本卫生保健服务；负责幼儿园人事、财务、档案及后勤等行政管理工作；维护园区安全，提供后勤保障服务。</w:t>
      </w:r>
    </w:p>
    <w:p w14:paraId="73053C9A">
      <w:pPr>
        <w:widowControl w:val="0"/>
        <w:adjustRightInd w:val="0"/>
        <w:snapToGrid w:val="0"/>
        <w:spacing w:after="0" w:line="600" w:lineRule="exact"/>
        <w:ind w:firstLine="640" w:firstLineChars="200"/>
        <w:jc w:val="both"/>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（二）单位构成</w:t>
      </w:r>
      <w:bookmarkStart w:id="1" w:name="_GoBack"/>
      <w:bookmarkEnd w:id="1"/>
    </w:p>
    <w:p w14:paraId="27F8FC87">
      <w:pPr>
        <w:widowControl w:val="0"/>
        <w:spacing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重庆市九龙坡区华福实验幼儿园是重庆市九龙坡区教育委员会下属的全日制公办幼儿园，公益二类事业单位；独立核算的二级预算单位。下设：行政办公室、总务处、保教部、保健部、财务室等5个处室。2024年12月共有在岗教职工173人，其中在编教师12人，直聘人员87人，劳务派遣员工74人，在籍在园幼儿895人。</w:t>
      </w:r>
    </w:p>
    <w:p w14:paraId="2CDD8C08">
      <w:pPr>
        <w:widowControl w:val="0"/>
        <w:adjustRightInd w:val="0"/>
        <w:snapToGrid w:val="0"/>
        <w:spacing w:after="0" w:line="600" w:lineRule="exact"/>
        <w:ind w:firstLine="640" w:firstLineChars="200"/>
        <w:jc w:val="both"/>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 xml:space="preserve">二、单位收支总体情况 </w:t>
      </w:r>
    </w:p>
    <w:p w14:paraId="0EBE9682">
      <w:pPr>
        <w:spacing w:after="0" w:line="600" w:lineRule="exact"/>
        <w:ind w:firstLine="640" w:firstLineChars="200"/>
        <w:jc w:val="both"/>
        <w:rPr>
          <w:rFonts w:ascii="Times New Roman" w:hAnsi="Times New Roman" w:cs="Times New Roman"/>
          <w:sz w:val="32"/>
          <w:szCs w:val="32"/>
        </w:rPr>
      </w:pPr>
      <w:r>
        <w:rPr>
          <w:rFonts w:ascii="Times New Roman" w:hAnsi="Times New Roman" w:eastAsia="方正楷体_GBK" w:cs="Times New Roman"/>
          <w:color w:val="auto"/>
          <w:sz w:val="32"/>
          <w:szCs w:val="32"/>
        </w:rPr>
        <w:t>（一）收入预算：</w:t>
      </w:r>
    </w:p>
    <w:p w14:paraId="69C942AA">
      <w:pPr>
        <w:widowControl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年年初预算数1127.91万元，其中：一般公共预算拨款692.91万元，政府性基金预算拨款0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，国有资本经营预算收入0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，财政专户管理资金</w:t>
      </w:r>
      <w:r>
        <w:rPr>
          <w:rFonts w:hint="eastAsia" w:ascii="Times New Roman" w:hAnsi="Times New Roman" w:eastAsia="方正仿宋_GBK" w:cs="Times New Roman"/>
          <w:color w:val="auto"/>
          <w:sz w:val="32"/>
          <w:szCs w:val="32"/>
          <w:lang w:val="en-US" w:eastAsia="zh-CN"/>
        </w:rPr>
        <w:t>收入</w:t>
      </w:r>
      <w:r>
        <w:rPr>
          <w:rFonts w:ascii="Times New Roman" w:hAnsi="Times New Roman" w:eastAsia="方正仿宋_GBK" w:cs="Times New Roman"/>
          <w:color w:val="auto"/>
          <w:sz w:val="32"/>
          <w:szCs w:val="32"/>
        </w:rPr>
        <w:t>435</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，事业单位经营收入0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，其他收入0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。收入较202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w:t>
      </w:r>
      <w:r>
        <w:rPr>
          <w:rFonts w:hint="eastAsia" w:ascii="Times New Roman" w:hAnsi="Times New Roman" w:eastAsia="方正仿宋_GBK" w:cs="Times New Roman"/>
          <w:color w:val="auto"/>
          <w:sz w:val="32"/>
          <w:szCs w:val="32"/>
        </w:rPr>
        <w:t>61.34</w:t>
      </w:r>
      <w:r>
        <w:rPr>
          <w:rFonts w:ascii="Times New Roman" w:hAnsi="Times New Roman" w:eastAsia="方正仿宋_GBK" w:cs="Times New Roman"/>
          <w:color w:val="auto"/>
          <w:sz w:val="32"/>
          <w:szCs w:val="32"/>
        </w:rPr>
        <w:t>万元，主要是一般公共预算拨款</w:t>
      </w:r>
      <w:r>
        <w:rPr>
          <w:rFonts w:hint="eastAsia" w:ascii="Times New Roman" w:hAnsi="Times New Roman" w:eastAsia="方正仿宋_GBK" w:cs="Times New Roman"/>
          <w:color w:val="auto"/>
          <w:sz w:val="32"/>
          <w:szCs w:val="32"/>
          <w:lang w:val="en-US" w:eastAsia="zh-CN"/>
        </w:rPr>
        <w:t>减少24.86</w:t>
      </w:r>
      <w:r>
        <w:rPr>
          <w:rFonts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财政专户管理资金</w:t>
      </w:r>
      <w:r>
        <w:rPr>
          <w:rFonts w:hint="eastAsia" w:ascii="Times New Roman" w:hAnsi="Times New Roman" w:eastAsia="方正仿宋_GBK" w:cs="Times New Roman"/>
          <w:color w:val="auto"/>
          <w:sz w:val="32"/>
          <w:szCs w:val="32"/>
          <w:lang w:val="en-US" w:eastAsia="zh-CN"/>
        </w:rPr>
        <w:t>收入减少36.48</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w:t>
      </w:r>
    </w:p>
    <w:p w14:paraId="2F7F1D58">
      <w:pPr>
        <w:spacing w:after="0" w:line="600" w:lineRule="exact"/>
        <w:ind w:firstLine="640" w:firstLineChars="200"/>
        <w:jc w:val="both"/>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（二）支出预算：</w:t>
      </w:r>
    </w:p>
    <w:p w14:paraId="256FDF43">
      <w:pPr>
        <w:spacing w:after="0" w:line="600"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年年初预算数1127.91万元，其中：一般公共服务支出预算0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，教育支出预算1065.84万元，社会保障和就业支出预算33.1</w:t>
      </w:r>
      <w:r>
        <w:rPr>
          <w:rFonts w:hint="eastAsia" w:ascii="Times New Roman" w:hAnsi="Times New Roman" w:eastAsia="方正仿宋_GBK" w:cs="Times New Roman"/>
          <w:color w:val="auto"/>
          <w:sz w:val="32"/>
          <w:szCs w:val="32"/>
        </w:rPr>
        <w:t>0</w:t>
      </w:r>
      <w:r>
        <w:rPr>
          <w:rFonts w:ascii="Times New Roman" w:hAnsi="Times New Roman" w:eastAsia="方正仿宋_GBK" w:cs="Times New Roman"/>
          <w:color w:val="auto"/>
          <w:sz w:val="32"/>
          <w:szCs w:val="32"/>
        </w:rPr>
        <w:t>万元，卫生健康支出预算9.35万元，住房保障支出预算19.62万元。支出预算较202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w:t>
      </w:r>
      <w:r>
        <w:rPr>
          <w:rFonts w:hint="eastAsia" w:ascii="Times New Roman" w:hAnsi="Times New Roman" w:eastAsia="方正仿宋_GBK" w:cs="Times New Roman"/>
          <w:color w:val="auto"/>
          <w:sz w:val="32"/>
          <w:szCs w:val="32"/>
        </w:rPr>
        <w:t>61.34</w:t>
      </w:r>
      <w:r>
        <w:rPr>
          <w:rFonts w:ascii="Times New Roman" w:hAnsi="Times New Roman" w:eastAsia="方正仿宋_GBK" w:cs="Times New Roman"/>
          <w:color w:val="auto"/>
          <w:sz w:val="32"/>
          <w:szCs w:val="32"/>
        </w:rPr>
        <w:t>万元，主要是基本支出预算增</w:t>
      </w:r>
      <w:r>
        <w:rPr>
          <w:rFonts w:ascii="Times New Roman" w:hAnsi="Times New Roman" w:eastAsia="方正仿宋_GBK" w:cs="Times New Roman"/>
          <w:color w:val="000000" w:themeColor="text1"/>
          <w:sz w:val="32"/>
          <w:szCs w:val="32"/>
        </w:rPr>
        <w:t>加</w:t>
      </w:r>
      <w:r>
        <w:rPr>
          <w:rFonts w:hint="eastAsia" w:ascii="Times New Roman" w:hAnsi="Times New Roman" w:eastAsia="方正仿宋_GBK" w:cs="Times New Roman"/>
          <w:color w:val="000000" w:themeColor="text1"/>
          <w:sz w:val="32"/>
          <w:szCs w:val="32"/>
        </w:rPr>
        <w:t>16.14</w:t>
      </w:r>
      <w:r>
        <w:rPr>
          <w:rFonts w:ascii="Times New Roman" w:hAnsi="Times New Roman" w:eastAsia="方正仿宋_GBK" w:cs="Times New Roman"/>
          <w:color w:val="000000" w:themeColor="text1"/>
          <w:sz w:val="32"/>
          <w:szCs w:val="32"/>
        </w:rPr>
        <w:t>万元，项目支出预算减少</w:t>
      </w:r>
      <w:r>
        <w:rPr>
          <w:rFonts w:hint="eastAsia" w:ascii="Times New Roman" w:hAnsi="Times New Roman" w:eastAsia="方正仿宋_GBK" w:cs="Times New Roman"/>
          <w:color w:val="000000" w:themeColor="text1"/>
          <w:sz w:val="32"/>
          <w:szCs w:val="32"/>
        </w:rPr>
        <w:t>77.48</w:t>
      </w:r>
      <w:r>
        <w:rPr>
          <w:rFonts w:ascii="Times New Roman" w:hAnsi="Times New Roman" w:eastAsia="方正仿宋_GBK" w:cs="Times New Roman"/>
          <w:color w:val="000000" w:themeColor="text1"/>
          <w:sz w:val="32"/>
          <w:szCs w:val="32"/>
        </w:rPr>
        <w:t>万元。</w:t>
      </w:r>
    </w:p>
    <w:p w14:paraId="704BFF90">
      <w:pPr>
        <w:widowControl w:val="0"/>
        <w:adjustRightInd w:val="0"/>
        <w:snapToGrid w:val="0"/>
        <w:spacing w:after="0" w:line="600" w:lineRule="exact"/>
        <w:ind w:firstLine="640" w:firstLineChars="200"/>
        <w:jc w:val="both"/>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三、单位预算情况说明</w:t>
      </w:r>
    </w:p>
    <w:p w14:paraId="2402E960">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年一般公共预算财政拨款收入692.91万元，一般公共预算财政拨款支出692.91万元，比202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w:t>
      </w:r>
      <w:r>
        <w:rPr>
          <w:rFonts w:hint="eastAsia" w:ascii="Times New Roman" w:hAnsi="Times New Roman" w:eastAsia="方正仿宋_GBK" w:cs="Times New Roman"/>
          <w:color w:val="auto"/>
          <w:sz w:val="32"/>
          <w:szCs w:val="32"/>
        </w:rPr>
        <w:t>24.86</w:t>
      </w:r>
      <w:r>
        <w:rPr>
          <w:rFonts w:ascii="Times New Roman" w:hAnsi="Times New Roman" w:eastAsia="方正仿宋_GBK" w:cs="Times New Roman"/>
          <w:color w:val="auto"/>
          <w:sz w:val="32"/>
          <w:szCs w:val="32"/>
        </w:rPr>
        <w:t>万元。其中：基本支出318.91万元，比202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年增加</w:t>
      </w:r>
      <w:r>
        <w:rPr>
          <w:rFonts w:hint="eastAsia" w:ascii="Times New Roman" w:hAnsi="Times New Roman" w:eastAsia="方正仿宋_GBK" w:cs="Times New Roman"/>
          <w:color w:val="auto"/>
          <w:sz w:val="32"/>
          <w:szCs w:val="32"/>
        </w:rPr>
        <w:t>16.14</w:t>
      </w:r>
      <w:r>
        <w:rPr>
          <w:rFonts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rPr>
        <w:t>教师工资正常变动，主要用于保障在职人员工资福利及社会保险缴费，保障单位正常运转的各项商品服务支出；</w:t>
      </w:r>
      <w:r>
        <w:rPr>
          <w:rFonts w:ascii="Times New Roman" w:hAnsi="Times New Roman" w:eastAsia="方正仿宋_GBK" w:cs="Times New Roman"/>
          <w:color w:val="auto"/>
          <w:sz w:val="32"/>
          <w:szCs w:val="32"/>
        </w:rPr>
        <w:t>项目支出374</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w:t>
      </w:r>
      <w:r>
        <w:rPr>
          <w:rFonts w:hint="eastAsia" w:ascii="Times New Roman" w:hAnsi="Times New Roman" w:eastAsia="方正仿宋_GBK" w:cs="Times New Roman"/>
          <w:color w:val="auto"/>
          <w:sz w:val="32"/>
          <w:szCs w:val="32"/>
        </w:rPr>
        <w:t>41</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，主要原因是学生人数减少</w:t>
      </w:r>
      <w:r>
        <w:rPr>
          <w:rFonts w:hint="eastAsia" w:ascii="Times New Roman" w:hAnsi="Times New Roman" w:eastAsia="方正仿宋_GBK" w:cs="Times New Roman"/>
          <w:color w:val="auto"/>
          <w:sz w:val="32"/>
          <w:szCs w:val="32"/>
        </w:rPr>
        <w:t>，学前教育项目经费减少，主要用于保障临聘教师工资社保等以及幼儿园运转支出等重点工作</w:t>
      </w:r>
      <w:r>
        <w:rPr>
          <w:rFonts w:ascii="Times New Roman" w:hAnsi="Times New Roman" w:eastAsia="方正仿宋_GBK" w:cs="Times New Roman"/>
          <w:color w:val="auto"/>
          <w:sz w:val="32"/>
          <w:szCs w:val="32"/>
        </w:rPr>
        <w:t>。</w:t>
      </w:r>
    </w:p>
    <w:p w14:paraId="02115091">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重庆市九龙坡区华福实验幼儿园202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年无使用政府性基金预算拨款安排的支出。</w:t>
      </w:r>
    </w:p>
    <w:p w14:paraId="5EE09E5E">
      <w:pPr>
        <w:widowControl w:val="0"/>
        <w:adjustRightInd w:val="0"/>
        <w:snapToGrid w:val="0"/>
        <w:spacing w:after="0" w:line="600" w:lineRule="exact"/>
        <w:ind w:firstLine="640" w:firstLineChars="200"/>
        <w:jc w:val="both"/>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四、“三公”经费情况说明</w:t>
      </w:r>
    </w:p>
    <w:p w14:paraId="39C03098">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年“三公”经费预算0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。其中：因公出国（境）费用0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w:t>
      </w:r>
      <w:bookmarkStart w:id="0" w:name="_Hlk94112687"/>
      <w:r>
        <w:rPr>
          <w:rFonts w:ascii="Times New Roman" w:hAnsi="Times New Roman" w:eastAsia="方正仿宋_GBK" w:cs="Times New Roman"/>
          <w:color w:val="auto"/>
          <w:sz w:val="32"/>
          <w:szCs w:val="32"/>
        </w:rPr>
        <w:t>本单位202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年无</w:t>
      </w:r>
      <w:bookmarkEnd w:id="0"/>
      <w:r>
        <w:rPr>
          <w:rFonts w:ascii="Times New Roman" w:hAnsi="Times New Roman" w:eastAsia="方正仿宋_GBK" w:cs="Times New Roman"/>
          <w:color w:val="auto"/>
          <w:sz w:val="32"/>
          <w:szCs w:val="32"/>
        </w:rPr>
        <w:t>因公出国（境）费用预算；公务接待费0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，本单位202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年无公务接待费预算；公务用车运行维护费0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，本单位202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年无公务用车运行维护费预算；公务用车购置费0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，比202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年减少0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，本单位202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年无公务用车购置费预算。</w:t>
      </w:r>
    </w:p>
    <w:p w14:paraId="7186B5CF">
      <w:pPr>
        <w:widowControl w:val="0"/>
        <w:adjustRightInd w:val="0"/>
        <w:snapToGrid w:val="0"/>
        <w:spacing w:after="0" w:line="600" w:lineRule="exact"/>
        <w:ind w:firstLine="640" w:firstLineChars="200"/>
        <w:jc w:val="both"/>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 xml:space="preserve">五、其他重要事项的情况说明 </w:t>
      </w:r>
    </w:p>
    <w:p w14:paraId="2BDC809E">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我单位</w:t>
      </w:r>
      <w:r>
        <w:rPr>
          <w:rFonts w:ascii="Times New Roman" w:hAnsi="Times New Roman" w:eastAsia="方正仿宋_GBK" w:cs="Times New Roman"/>
          <w:color w:val="auto"/>
          <w:sz w:val="32"/>
          <w:szCs w:val="32"/>
        </w:rPr>
        <w:t xml:space="preserve">不在机关运行经费统计范围之内。 </w:t>
      </w:r>
    </w:p>
    <w:p w14:paraId="594F2BF0">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2.政府采购情况。</w:t>
      </w:r>
      <w:r>
        <w:rPr>
          <w:rFonts w:hint="eastAsia" w:ascii="Times New Roman" w:hAnsi="Times New Roman" w:eastAsia="方正仿宋_GBK" w:cs="Times New Roman"/>
          <w:color w:val="auto"/>
          <w:sz w:val="32"/>
          <w:szCs w:val="32"/>
        </w:rPr>
        <w:t>本单位政府采购预算总额11.70万元：政府采购货物预算11.70万元、政府采购工程预算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、政府采购服务预算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；其中一般公共预算拨款政府采购1.60万元：政府采购货物预算1.60万元、政府采购工程预算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、政府采购服务预算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w:t>
      </w:r>
    </w:p>
    <w:p w14:paraId="3E7939DF">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3.绩效目标设置情况。202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年项目支出均实行了绩效目标管理，涉及一般公共预算当年财政拨款</w:t>
      </w:r>
      <w:r>
        <w:rPr>
          <w:rFonts w:hint="eastAsia" w:ascii="Times New Roman" w:hAnsi="Times New Roman" w:eastAsia="方正仿宋_GBK" w:cs="Times New Roman"/>
          <w:color w:val="auto"/>
          <w:sz w:val="32"/>
          <w:szCs w:val="32"/>
        </w:rPr>
        <w:t>374</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w:t>
      </w:r>
    </w:p>
    <w:p w14:paraId="7B7EBB2F">
      <w:pPr>
        <w:adjustRightInd w:val="0"/>
        <w:snapToGrid w:val="0"/>
        <w:spacing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rPr>
        <w:t>国有资产占有使用情况。截止2024年12月，本单位共有车辆</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辆，其中一般公务用车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辆、执勤执法用车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辆。2025年一般公共预算安排购置车辆</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辆，其中一般公务用车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辆、执勤执法用车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w:t>
      </w:r>
    </w:p>
    <w:p w14:paraId="08A284D7">
      <w:pPr>
        <w:widowControl w:val="0"/>
        <w:adjustRightInd w:val="0"/>
        <w:snapToGrid w:val="0"/>
        <w:spacing w:after="0" w:line="600" w:lineRule="exact"/>
        <w:ind w:firstLine="640" w:firstLineChars="200"/>
        <w:jc w:val="both"/>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 xml:space="preserve">六、专业性名词解释 </w:t>
      </w:r>
    </w:p>
    <w:p w14:paraId="43F5D06C">
      <w:pPr>
        <w:pStyle w:val="14"/>
        <w:tabs>
          <w:tab w:val="center" w:pos="4153"/>
          <w:tab w:val="left" w:pos="7275"/>
        </w:tabs>
        <w:adjustRightInd w:val="0"/>
        <w:snapToGrid w:val="0"/>
        <w:spacing w:after="0" w:line="600" w:lineRule="exact"/>
        <w:ind w:firstLine="64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14:paraId="73297909">
      <w:pPr>
        <w:pStyle w:val="14"/>
        <w:tabs>
          <w:tab w:val="center" w:pos="4153"/>
          <w:tab w:val="left" w:pos="7275"/>
        </w:tabs>
        <w:adjustRightInd w:val="0"/>
        <w:snapToGrid w:val="0"/>
        <w:spacing w:after="0" w:line="600" w:lineRule="exact"/>
        <w:ind w:firstLine="64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（二）其他收入：</w:t>
      </w:r>
      <w:r>
        <w:rPr>
          <w:rFonts w:ascii="Times New Roman" w:hAnsi="Times New Roman" w:eastAsia="方正仿宋_GBK" w:cs="Times New Roman"/>
          <w:sz w:val="32"/>
          <w:szCs w:val="32"/>
        </w:rPr>
        <w:t>指单位取得的除“财政拨款收入”、“事业收入”、“经营收入”等以外的收入。</w:t>
      </w:r>
    </w:p>
    <w:p w14:paraId="1DD708FD">
      <w:pPr>
        <w:pStyle w:val="14"/>
        <w:tabs>
          <w:tab w:val="center" w:pos="4153"/>
          <w:tab w:val="left" w:pos="7275"/>
        </w:tabs>
        <w:adjustRightInd w:val="0"/>
        <w:snapToGrid w:val="0"/>
        <w:spacing w:after="0" w:line="600" w:lineRule="exact"/>
        <w:ind w:firstLine="64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（三）基本支出：</w:t>
      </w:r>
      <w:r>
        <w:rPr>
          <w:rFonts w:ascii="Times New Roman" w:hAnsi="Times New Roman" w:eastAsia="方正仿宋_GBK" w:cs="Times New Roman"/>
          <w:sz w:val="32"/>
          <w:szCs w:val="32"/>
        </w:rPr>
        <w:t>指为保障机构正常运转、完成日常工作任务而发生的人员经费和公用经费。</w:t>
      </w:r>
    </w:p>
    <w:p w14:paraId="40127D4C">
      <w:pPr>
        <w:pStyle w:val="14"/>
        <w:widowControl w:val="0"/>
        <w:tabs>
          <w:tab w:val="center" w:pos="4153"/>
          <w:tab w:val="left" w:pos="7275"/>
        </w:tabs>
        <w:adjustRightInd w:val="0"/>
        <w:snapToGrid w:val="0"/>
        <w:spacing w:after="0" w:line="600" w:lineRule="exact"/>
        <w:ind w:firstLine="64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（四）项目支出：</w:t>
      </w:r>
      <w:r>
        <w:rPr>
          <w:rFonts w:ascii="Times New Roman" w:hAnsi="Times New Roman" w:eastAsia="方正仿宋_GBK" w:cs="Times New Roman"/>
          <w:sz w:val="32"/>
          <w:szCs w:val="32"/>
        </w:rPr>
        <w:t>指在基本支出之外为完成特定行政任务和事业发展目标所发生的支出。</w:t>
      </w:r>
    </w:p>
    <w:p w14:paraId="28782B51">
      <w:pPr>
        <w:adjustRightInd w:val="0"/>
        <w:snapToGrid w:val="0"/>
        <w:spacing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（五）“三公”经费：</w:t>
      </w:r>
      <w:r>
        <w:rPr>
          <w:rFonts w:ascii="Times New Roman" w:hAnsi="Times New Roman" w:eastAsia="方正仿宋_GBK" w:cs="Times New Roman"/>
          <w:color w:val="auto"/>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CD7DFA">
      <w:pPr>
        <w:spacing w:after="179"/>
        <w:rPr>
          <w:rFonts w:ascii="Times New Roman" w:hAnsi="Times New Roman" w:cs="Times New Roman" w:eastAsiaTheme="minorEastAsia"/>
          <w:sz w:val="32"/>
          <w:szCs w:val="32"/>
        </w:rPr>
      </w:pPr>
    </w:p>
    <w:p w14:paraId="415CEDF6">
      <w:pPr>
        <w:widowControl w:val="0"/>
        <w:adjustRightInd w:val="0"/>
        <w:snapToGrid w:val="0"/>
        <w:spacing w:after="0" w:line="600" w:lineRule="exact"/>
        <w:ind w:firstLine="640" w:firstLineChars="200"/>
        <w:jc w:val="both"/>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单位</w:t>
      </w:r>
      <w:r>
        <w:rPr>
          <w:rFonts w:ascii="Times New Roman" w:hAnsi="Times New Roman" w:eastAsia="方正仿宋_GBK" w:cs="Times New Roman"/>
          <w:color w:val="auto"/>
          <w:sz w:val="32"/>
          <w:szCs w:val="32"/>
        </w:rPr>
        <w:t>预算公开联系人：曾丽洁  联系方式：18223242491</w:t>
      </w:r>
    </w:p>
    <w:p w14:paraId="365C2908">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p>
    <w:p w14:paraId="551064EF">
      <w:pPr>
        <w:widowControl w:val="0"/>
        <w:adjustRightInd w:val="0"/>
        <w:snapToGrid w:val="0"/>
        <w:spacing w:after="0" w:line="600" w:lineRule="exact"/>
        <w:ind w:left="1780" w:leftChars="300" w:hanging="1120" w:hangingChars="35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附表：1.202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年重庆市九龙坡区华福实验幼儿园财政拨款收支总表</w:t>
      </w:r>
    </w:p>
    <w:p w14:paraId="4F561C58">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年重庆市九龙坡区华福实验幼儿园一般公共预算财政拨款支出预算表</w:t>
      </w:r>
    </w:p>
    <w:p w14:paraId="11304306">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年重庆市九龙坡区华福实验幼儿园一般公共预算财政拨款基本支出预算表（部门预算支出经济分类科目）</w:t>
      </w:r>
    </w:p>
    <w:p w14:paraId="6D5F3AE4">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年重庆市九龙坡区华福实验幼儿园一般公共预算财政拨款基本支出预算表</w:t>
      </w:r>
      <w:r>
        <w:rPr>
          <w:rFonts w:ascii="Times New Roman" w:hAnsi="Times New Roman" w:eastAsia="方正仿宋_GBK" w:cs="Times New Roman"/>
          <w:sz w:val="32"/>
          <w:szCs w:val="32"/>
        </w:rPr>
        <w:t>（政府预算支出经济分类科目）</w:t>
      </w:r>
    </w:p>
    <w:p w14:paraId="337D460F">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年重庆市九龙坡区华福实验幼儿园一般公共预算三公经费支出表</w:t>
      </w:r>
    </w:p>
    <w:p w14:paraId="6789D36E">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年重庆市九龙坡区华福实验幼儿园政府性基金预算支出表</w:t>
      </w:r>
    </w:p>
    <w:p w14:paraId="32F816A8">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w:t>
      </w:r>
      <w:r>
        <w:rPr>
          <w:rFonts w:hint="eastAsia" w:ascii="Times New Roman" w:hAnsi="Times New Roman" w:eastAsia="方正仿宋_GBK" w:cs="Times New Roman"/>
          <w:color w:val="auto"/>
          <w:sz w:val="32"/>
          <w:szCs w:val="32"/>
        </w:rPr>
        <w:t>单位</w:t>
      </w:r>
      <w:r>
        <w:rPr>
          <w:rFonts w:ascii="Times New Roman" w:hAnsi="Times New Roman" w:eastAsia="方正仿宋_GBK" w:cs="Times New Roman"/>
          <w:color w:val="auto"/>
          <w:sz w:val="32"/>
          <w:szCs w:val="32"/>
        </w:rPr>
        <w:t>收支总表</w:t>
      </w:r>
    </w:p>
    <w:p w14:paraId="16D9F412">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w:t>
      </w:r>
      <w:r>
        <w:rPr>
          <w:rFonts w:hint="eastAsia" w:ascii="Times New Roman" w:hAnsi="Times New Roman" w:eastAsia="方正仿宋_GBK" w:cs="Times New Roman"/>
          <w:color w:val="auto"/>
          <w:sz w:val="32"/>
          <w:szCs w:val="32"/>
        </w:rPr>
        <w:t>单位</w:t>
      </w:r>
      <w:r>
        <w:rPr>
          <w:rFonts w:ascii="Times New Roman" w:hAnsi="Times New Roman" w:eastAsia="方正仿宋_GBK" w:cs="Times New Roman"/>
          <w:color w:val="auto"/>
          <w:sz w:val="32"/>
          <w:szCs w:val="32"/>
        </w:rPr>
        <w:t>收入总表</w:t>
      </w:r>
    </w:p>
    <w:p w14:paraId="08E336DA">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9.202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w:t>
      </w:r>
      <w:r>
        <w:rPr>
          <w:rFonts w:hint="eastAsia" w:ascii="Times New Roman" w:hAnsi="Times New Roman" w:eastAsia="方正仿宋_GBK" w:cs="Times New Roman"/>
          <w:color w:val="auto"/>
          <w:sz w:val="32"/>
          <w:szCs w:val="32"/>
        </w:rPr>
        <w:t>单位</w:t>
      </w:r>
      <w:r>
        <w:rPr>
          <w:rFonts w:ascii="Times New Roman" w:hAnsi="Times New Roman" w:eastAsia="方正仿宋_GBK" w:cs="Times New Roman"/>
          <w:color w:val="auto"/>
          <w:sz w:val="32"/>
          <w:szCs w:val="32"/>
        </w:rPr>
        <w:t>支出总表</w:t>
      </w:r>
    </w:p>
    <w:p w14:paraId="223C0F5C">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10.202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年重庆市九龙坡区华福实验幼儿园一般公共预算财政拨款项目支出预算表（部门预算支出经济分类科目）</w:t>
      </w:r>
    </w:p>
    <w:p w14:paraId="7AAC4A6C">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11.202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年重庆市九龙坡区华福实验幼儿园一般公共预算财政拨款项目支出预算表（政府预算支出经济分类科目）</w:t>
      </w:r>
    </w:p>
    <w:p w14:paraId="4D9A6005">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年重庆市九龙坡区华福实验幼儿园政府采购明细表</w:t>
      </w:r>
    </w:p>
    <w:p w14:paraId="314BE4EC">
      <w:pPr>
        <w:widowControl w:val="0"/>
        <w:adjustRightInd w:val="0"/>
        <w:snapToGrid w:val="0"/>
        <w:spacing w:after="0" w:line="600" w:lineRule="exact"/>
        <w:ind w:left="1760" w:leftChars="8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年重庆市九龙坡区华福实验幼儿园项目绩效目标表</w:t>
      </w:r>
    </w:p>
    <w:p w14:paraId="0271D76D">
      <w:pPr>
        <w:widowControl w:val="0"/>
        <w:adjustRightInd w:val="0"/>
        <w:snapToGrid w:val="0"/>
        <w:spacing w:after="0" w:line="600" w:lineRule="exact"/>
        <w:jc w:val="both"/>
        <w:rPr>
          <w:rFonts w:ascii="Times New Roman" w:hAnsi="Times New Roman" w:eastAsia="方正仿宋_GBK" w:cs="Times New Roman"/>
          <w:color w:val="auto"/>
          <w:sz w:val="32"/>
          <w:szCs w:val="32"/>
        </w:rPr>
      </w:pPr>
    </w:p>
    <w:p w14:paraId="6FD6361B">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p>
    <w:p w14:paraId="035BFAB3">
      <w:pPr>
        <w:spacing w:after="0"/>
        <w:rPr>
          <w:rFonts w:ascii="Times New Roman" w:hAnsi="Times New Roman" w:cs="Times New Roman" w:eastAsiaTheme="minorEastAsia"/>
          <w:sz w:val="32"/>
          <w:szCs w:val="32"/>
        </w:rPr>
      </w:pPr>
    </w:p>
    <w:p w14:paraId="5DDC5A91">
      <w:pPr>
        <w:spacing w:after="0"/>
        <w:rPr>
          <w:rFonts w:ascii="Times New Roman" w:hAnsi="Times New Roman" w:cs="Times New Roman"/>
          <w:sz w:val="32"/>
          <w:szCs w:val="32"/>
        </w:rPr>
      </w:pPr>
    </w:p>
    <w:p w14:paraId="16E6F0BF">
      <w:pPr>
        <w:spacing w:after="0"/>
        <w:rPr>
          <w:rFonts w:ascii="Times New Roman" w:hAnsi="Times New Roman" w:cs="Times New Roman"/>
          <w:sz w:val="32"/>
          <w:szCs w:val="32"/>
        </w:rPr>
      </w:pPr>
    </w:p>
    <w:p w14:paraId="7FF751EA">
      <w:pPr>
        <w:spacing w:after="0"/>
        <w:rPr>
          <w:rFonts w:ascii="Times New Roman" w:hAnsi="Times New Roman" w:cs="Times New Roman"/>
          <w:sz w:val="32"/>
          <w:szCs w:val="32"/>
        </w:rPr>
      </w:pPr>
    </w:p>
    <w:p w14:paraId="742CA16C">
      <w:pPr>
        <w:spacing w:after="4"/>
        <w:rPr>
          <w:rFonts w:hint="eastAsia" w:ascii="Times New Roman" w:hAnsi="Times New Roman" w:cs="Times New Roman" w:eastAsiaTheme="minorEastAsia"/>
          <w:sz w:val="32"/>
          <w:szCs w:val="32"/>
        </w:rPr>
      </w:pPr>
    </w:p>
    <w:sectPr>
      <w:footerReference r:id="rId7" w:type="first"/>
      <w:footerReference r:id="rId5" w:type="default"/>
      <w:footerReference r:id="rId6" w:type="even"/>
      <w:pgSz w:w="11906" w:h="16838"/>
      <w:pgMar w:top="2098" w:right="1531" w:bottom="1985" w:left="1531" w:header="720" w:footer="873" w:gutter="0"/>
      <w:pgNumType w:fmt="numberInDash"/>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D971">
    <w:pPr>
      <w:tabs>
        <w:tab w:val="center" w:pos="1071"/>
        <w:tab w:val="center" w:pos="12879"/>
      </w:tabs>
      <w:spacing w:after="0"/>
    </w:pPr>
    <w: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183F84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E91F">
    <w:pPr>
      <w:tabs>
        <w:tab w:val="center" w:pos="1071"/>
        <w:tab w:val="center" w:pos="12879"/>
      </w:tabs>
      <w:spacing w:after="0"/>
    </w:pPr>
    <w:r>
      <w:pict>
        <v:shape id="_x0000_s4101" o:spid="_x0000_s410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E496B9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A677">
    <w:pPr>
      <w:tabs>
        <w:tab w:val="center" w:pos="1071"/>
        <w:tab w:val="center" w:pos="12879"/>
      </w:tabs>
      <w:spacing w:after="0"/>
    </w:pPr>
    <w:r>
      <w:pict>
        <v:shape id="_x0000_s4102" o:spid="_x0000_s410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F543F9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Setting w:name="compatibilityMode" w:uri="http://schemas.microsoft.com/office/word" w:val="12"/>
  </w:compat>
  <w:docVars>
    <w:docVar w:name="commondata" w:val="eyJoZGlkIjoiODI1MTk4OTEzZTU2YmRhNWNhNDdjNzhjYWFmNzY0YmEifQ=="/>
  </w:docVars>
  <w:rsids>
    <w:rsidRoot w:val="003C3FD8"/>
    <w:rsid w:val="000518D9"/>
    <w:rsid w:val="00090FDF"/>
    <w:rsid w:val="000B5B39"/>
    <w:rsid w:val="000C6337"/>
    <w:rsid w:val="000D30E3"/>
    <w:rsid w:val="00112005"/>
    <w:rsid w:val="00122413"/>
    <w:rsid w:val="001312BD"/>
    <w:rsid w:val="001C6F0D"/>
    <w:rsid w:val="001F54F3"/>
    <w:rsid w:val="00221F68"/>
    <w:rsid w:val="00265CF2"/>
    <w:rsid w:val="002F53BE"/>
    <w:rsid w:val="0031187A"/>
    <w:rsid w:val="00337681"/>
    <w:rsid w:val="00345C89"/>
    <w:rsid w:val="003C3FD8"/>
    <w:rsid w:val="003C4638"/>
    <w:rsid w:val="003E738B"/>
    <w:rsid w:val="003F6DAF"/>
    <w:rsid w:val="004559BD"/>
    <w:rsid w:val="004E59DB"/>
    <w:rsid w:val="00553BB2"/>
    <w:rsid w:val="00562C38"/>
    <w:rsid w:val="0058251B"/>
    <w:rsid w:val="006028A4"/>
    <w:rsid w:val="00641ADB"/>
    <w:rsid w:val="00680C1F"/>
    <w:rsid w:val="00695D2F"/>
    <w:rsid w:val="006E5DAE"/>
    <w:rsid w:val="00701793"/>
    <w:rsid w:val="00761798"/>
    <w:rsid w:val="00774546"/>
    <w:rsid w:val="007B5C37"/>
    <w:rsid w:val="007E6793"/>
    <w:rsid w:val="00803D89"/>
    <w:rsid w:val="0081654D"/>
    <w:rsid w:val="00856F13"/>
    <w:rsid w:val="008A0F08"/>
    <w:rsid w:val="008A3102"/>
    <w:rsid w:val="008E3F33"/>
    <w:rsid w:val="009160A4"/>
    <w:rsid w:val="00926542"/>
    <w:rsid w:val="00935EFD"/>
    <w:rsid w:val="0095212E"/>
    <w:rsid w:val="009631FC"/>
    <w:rsid w:val="00970910"/>
    <w:rsid w:val="009C028D"/>
    <w:rsid w:val="009C6175"/>
    <w:rsid w:val="009C6C51"/>
    <w:rsid w:val="009D5BAE"/>
    <w:rsid w:val="009D7981"/>
    <w:rsid w:val="00A46EAD"/>
    <w:rsid w:val="00A56FFE"/>
    <w:rsid w:val="00A93F66"/>
    <w:rsid w:val="00B368B5"/>
    <w:rsid w:val="00B77C29"/>
    <w:rsid w:val="00B84919"/>
    <w:rsid w:val="00B860ED"/>
    <w:rsid w:val="00BD47AA"/>
    <w:rsid w:val="00BF240F"/>
    <w:rsid w:val="00C04C4A"/>
    <w:rsid w:val="00C12EA7"/>
    <w:rsid w:val="00C256C8"/>
    <w:rsid w:val="00C56338"/>
    <w:rsid w:val="00CA512E"/>
    <w:rsid w:val="00CA6B2A"/>
    <w:rsid w:val="00CD1CAA"/>
    <w:rsid w:val="00D24562"/>
    <w:rsid w:val="00D31BC5"/>
    <w:rsid w:val="00D42980"/>
    <w:rsid w:val="00D81FC7"/>
    <w:rsid w:val="00D83C5D"/>
    <w:rsid w:val="00DA7953"/>
    <w:rsid w:val="00DE3C81"/>
    <w:rsid w:val="00E153FB"/>
    <w:rsid w:val="00E82FFA"/>
    <w:rsid w:val="00EB6696"/>
    <w:rsid w:val="00F271D2"/>
    <w:rsid w:val="00F90741"/>
    <w:rsid w:val="00FD49E0"/>
    <w:rsid w:val="00FF367B"/>
    <w:rsid w:val="016D0B16"/>
    <w:rsid w:val="01CB58A5"/>
    <w:rsid w:val="02873BB9"/>
    <w:rsid w:val="03916BF4"/>
    <w:rsid w:val="064C15F1"/>
    <w:rsid w:val="08AC6497"/>
    <w:rsid w:val="08DB0B60"/>
    <w:rsid w:val="092A1BF8"/>
    <w:rsid w:val="0A0E2DF1"/>
    <w:rsid w:val="0BE5195F"/>
    <w:rsid w:val="116A4DD1"/>
    <w:rsid w:val="12125AF8"/>
    <w:rsid w:val="129C42E0"/>
    <w:rsid w:val="140212F1"/>
    <w:rsid w:val="15291A25"/>
    <w:rsid w:val="16A2763D"/>
    <w:rsid w:val="17C17EBE"/>
    <w:rsid w:val="17C872B2"/>
    <w:rsid w:val="1B0B24B2"/>
    <w:rsid w:val="1CEE7AC3"/>
    <w:rsid w:val="1E114DF5"/>
    <w:rsid w:val="1F43084B"/>
    <w:rsid w:val="1FE439AE"/>
    <w:rsid w:val="21E156B9"/>
    <w:rsid w:val="223D4895"/>
    <w:rsid w:val="2F2A7C22"/>
    <w:rsid w:val="2FD816A9"/>
    <w:rsid w:val="373D070E"/>
    <w:rsid w:val="375872F6"/>
    <w:rsid w:val="38454AF6"/>
    <w:rsid w:val="38E91B42"/>
    <w:rsid w:val="39266A79"/>
    <w:rsid w:val="3A026F6A"/>
    <w:rsid w:val="3A1313DF"/>
    <w:rsid w:val="3AFE1F63"/>
    <w:rsid w:val="3BBE354B"/>
    <w:rsid w:val="3DA45043"/>
    <w:rsid w:val="3E717642"/>
    <w:rsid w:val="40745064"/>
    <w:rsid w:val="426A3716"/>
    <w:rsid w:val="4495671A"/>
    <w:rsid w:val="46421419"/>
    <w:rsid w:val="46EA3161"/>
    <w:rsid w:val="4AE3378D"/>
    <w:rsid w:val="4EA64F53"/>
    <w:rsid w:val="514821CE"/>
    <w:rsid w:val="51E348D2"/>
    <w:rsid w:val="54CE5AA0"/>
    <w:rsid w:val="54D062C6"/>
    <w:rsid w:val="5503126A"/>
    <w:rsid w:val="58493374"/>
    <w:rsid w:val="58783407"/>
    <w:rsid w:val="58C5373D"/>
    <w:rsid w:val="58F044A2"/>
    <w:rsid w:val="5CF67674"/>
    <w:rsid w:val="5EA20CD3"/>
    <w:rsid w:val="5EE017FC"/>
    <w:rsid w:val="5F5A15AE"/>
    <w:rsid w:val="601479AF"/>
    <w:rsid w:val="639406CE"/>
    <w:rsid w:val="643B1A24"/>
    <w:rsid w:val="650A4329"/>
    <w:rsid w:val="6934621B"/>
    <w:rsid w:val="69AB27D2"/>
    <w:rsid w:val="6E7C0D9D"/>
    <w:rsid w:val="70ED435A"/>
    <w:rsid w:val="743E2E7B"/>
    <w:rsid w:val="78A443E1"/>
    <w:rsid w:val="7B8C0CBF"/>
    <w:rsid w:val="7DF438B1"/>
    <w:rsid w:val="7F315A30"/>
    <w:rsid w:val="7FB40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1"/>
    <w:unhideWhenUsed/>
    <w:qFormat/>
    <w:uiPriority w:val="9"/>
    <w:pPr>
      <w:keepNext/>
      <w:keepLines/>
      <w:spacing w:after="177" w:line="259" w:lineRule="auto"/>
      <w:ind w:left="651" w:right="2843" w:hanging="10"/>
      <w:outlineLvl w:val="0"/>
    </w:pPr>
    <w:rPr>
      <w:rFonts w:ascii="微软雅黑" w:hAnsi="微软雅黑" w:eastAsia="微软雅黑" w:cs="微软雅黑"/>
      <w:color w:val="000000"/>
      <w:kern w:val="2"/>
      <w:sz w:val="32"/>
      <w:szCs w:val="22"/>
      <w:lang w:val="en-US" w:eastAsia="zh-CN" w:bidi="ar-SA"/>
    </w:rPr>
  </w:style>
  <w:style w:type="paragraph" w:styleId="3">
    <w:name w:val="heading 2"/>
    <w:next w:val="1"/>
    <w:link w:val="12"/>
    <w:unhideWhenUsed/>
    <w:qFormat/>
    <w:uiPriority w:val="9"/>
    <w:pPr>
      <w:keepNext/>
      <w:keepLines/>
      <w:spacing w:after="4" w:line="259" w:lineRule="auto"/>
      <w:ind w:left="732" w:hanging="10"/>
      <w:outlineLvl w:val="1"/>
    </w:pPr>
    <w:rPr>
      <w:rFonts w:ascii="微软雅黑" w:hAnsi="微软雅黑" w:eastAsia="微软雅黑" w:cs="微软雅黑"/>
      <w:color w:val="0D0D0D"/>
      <w:kern w:val="2"/>
      <w:sz w:val="32"/>
      <w:szCs w:val="22"/>
      <w:lang w:val="en-US" w:eastAsia="zh-CN" w:bidi="ar-SA"/>
    </w:rPr>
  </w:style>
  <w:style w:type="paragraph" w:styleId="4">
    <w:name w:val="heading 3"/>
    <w:next w:val="1"/>
    <w:link w:val="10"/>
    <w:unhideWhenUsed/>
    <w:qFormat/>
    <w:uiPriority w:val="9"/>
    <w:pPr>
      <w:keepNext/>
      <w:keepLines/>
      <w:spacing w:after="166" w:line="259" w:lineRule="auto"/>
      <w:ind w:left="100" w:right="772" w:hanging="10"/>
      <w:jc w:val="center"/>
      <w:outlineLvl w:val="2"/>
    </w:pPr>
    <w:rPr>
      <w:rFonts w:ascii="微软雅黑" w:hAnsi="微软雅黑" w:eastAsia="微软雅黑" w:cs="微软雅黑"/>
      <w:color w:val="000000"/>
      <w:kern w:val="2"/>
      <w:sz w:val="28"/>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uiPriority w:val="99"/>
    <w:rPr>
      <w:rFonts w:ascii="Times New Roman" w:hAnsi="Times New Roman" w:cs="Times New Roman"/>
      <w:sz w:val="24"/>
      <w:szCs w:val="24"/>
    </w:rPr>
  </w:style>
  <w:style w:type="character" w:customStyle="1" w:styleId="10">
    <w:name w:val="标题 3 Char"/>
    <w:link w:val="4"/>
    <w:qFormat/>
    <w:uiPriority w:val="0"/>
    <w:rPr>
      <w:rFonts w:ascii="微软雅黑" w:hAnsi="微软雅黑" w:eastAsia="微软雅黑" w:cs="微软雅黑"/>
      <w:color w:val="000000"/>
      <w:sz w:val="28"/>
    </w:rPr>
  </w:style>
  <w:style w:type="character" w:customStyle="1" w:styleId="11">
    <w:name w:val="标题 1 Char"/>
    <w:link w:val="2"/>
    <w:qFormat/>
    <w:uiPriority w:val="0"/>
    <w:rPr>
      <w:rFonts w:ascii="微软雅黑" w:hAnsi="微软雅黑" w:eastAsia="微软雅黑" w:cs="微软雅黑"/>
      <w:color w:val="000000"/>
      <w:sz w:val="32"/>
    </w:rPr>
  </w:style>
  <w:style w:type="character" w:customStyle="1" w:styleId="12">
    <w:name w:val="标题 2 Char"/>
    <w:link w:val="3"/>
    <w:qFormat/>
    <w:uiPriority w:val="0"/>
    <w:rPr>
      <w:rFonts w:ascii="微软雅黑" w:hAnsi="微软雅黑" w:eastAsia="微软雅黑" w:cs="微软雅黑"/>
      <w:color w:val="0D0D0D"/>
      <w:sz w:val="32"/>
    </w:rPr>
  </w:style>
  <w:style w:type="table" w:customStyle="1" w:styleId="13">
    <w:name w:val="TableGrid"/>
    <w:qFormat/>
    <w:uiPriority w:val="0"/>
    <w:tblPr>
      <w:tblCellMar>
        <w:top w:w="0" w:type="dxa"/>
        <w:left w:w="0" w:type="dxa"/>
        <w:bottom w:w="0" w:type="dxa"/>
        <w:right w:w="0" w:type="dxa"/>
      </w:tblCellMar>
    </w:tblPr>
  </w:style>
  <w:style w:type="paragraph" w:styleId="14">
    <w:name w:val="List Paragraph"/>
    <w:basedOn w:val="1"/>
    <w:unhideWhenUsed/>
    <w:qFormat/>
    <w:uiPriority w:val="34"/>
    <w:pPr>
      <w:ind w:firstLine="420" w:firstLineChars="200"/>
    </w:pPr>
  </w:style>
  <w:style w:type="character" w:customStyle="1" w:styleId="15">
    <w:name w:val="页眉 Char"/>
    <w:basedOn w:val="9"/>
    <w:link w:val="6"/>
    <w:qFormat/>
    <w:uiPriority w:val="99"/>
    <w:rPr>
      <w:rFonts w:ascii="Calibri" w:hAnsi="Calibri" w:eastAsia="Calibri" w:cs="Calibri"/>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2105</Words>
  <Characters>2435</Characters>
  <Lines>17</Lines>
  <Paragraphs>5</Paragraphs>
  <TotalTime>150</TotalTime>
  <ScaleCrop>false</ScaleCrop>
  <LinksUpToDate>false</LinksUpToDate>
  <CharactersWithSpaces>2473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2023-02-22T04:06:00Z</dcterms:created>
  <dc:creator>微软中国</dc:creator>
  <cp:lastModifiedBy>May</cp:lastModifiedBy>
  <dcterms:modified xsi:type="dcterms:W3CDTF">2025-01-23T06:07:56Z</dcterms:modified>
  <dc:title>（来文单位：□□□□）</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B648B8720F004C1E863C7F45C8969DB7</vt:lpwstr>
  </property>
  <property fmtid="{D5CDD505-2E9C-101B-9397-08002B2CF9AE}" pid="4" name="KSOTemplateDocerSaveRecord">
    <vt:lpwstr>eyJoZGlkIjoiZjk1YzE1ZGU0MDM1MzlkNDQzMjY4OWFkZjhiOTNmZWMiLCJ1c2VySWQiOiIzMTI3Mjg5NzIifQ==</vt:lpwstr>
  </property>
</Properties>
</file>