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50B51">
      <w:pPr>
        <w:pStyle w:val="8"/>
        <w:keepNext w:val="0"/>
        <w:keepLines w:val="0"/>
        <w:pageBreakBefore w:val="0"/>
        <w:widowControl/>
        <w:kinsoku/>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重庆市杨家坪中学</w:t>
      </w:r>
    </w:p>
    <w:p w14:paraId="7506D74F">
      <w:pPr>
        <w:pStyle w:val="8"/>
        <w:keepNext w:val="0"/>
        <w:keepLines w:val="0"/>
        <w:pageBreakBefore w:val="0"/>
        <w:widowControl/>
        <w:kinsoku/>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b w:val="0"/>
          <w:bCs w:val="0"/>
          <w:color w:val="auto"/>
          <w:sz w:val="44"/>
          <w:szCs w:val="44"/>
          <w:shd w:val="clear" w:color="auto" w:fill="FFFFFF"/>
        </w:rPr>
        <w:t>2024年度</w:t>
      </w:r>
      <w:r>
        <w:rPr>
          <w:rFonts w:hint="default" w:ascii="Times New Roman" w:hAnsi="Times New Roman" w:eastAsia="方正小标宋_GBK" w:cs="Times New Roman"/>
          <w:b w:val="0"/>
          <w:bCs w:val="0"/>
          <w:color w:val="auto"/>
          <w:sz w:val="44"/>
          <w:szCs w:val="44"/>
          <w:shd w:val="clear" w:color="auto" w:fill="FFFFFF"/>
          <w:lang w:eastAsia="zh-CN"/>
        </w:rPr>
        <w:t>单位</w:t>
      </w:r>
      <w:r>
        <w:rPr>
          <w:rFonts w:hint="default" w:ascii="Times New Roman" w:hAnsi="Times New Roman" w:eastAsia="方正小标宋_GBK" w:cs="Times New Roman"/>
          <w:b w:val="0"/>
          <w:bCs w:val="0"/>
          <w:color w:val="auto"/>
          <w:sz w:val="44"/>
          <w:szCs w:val="44"/>
          <w:shd w:val="clear" w:color="auto" w:fill="FFFFFF"/>
        </w:rPr>
        <w:t>决算</w:t>
      </w:r>
      <w:r>
        <w:rPr>
          <w:rFonts w:hint="default" w:ascii="Times New Roman" w:hAnsi="Times New Roman" w:eastAsia="方正小标宋_GBK" w:cs="Times New Roman"/>
          <w:b w:val="0"/>
          <w:bCs w:val="0"/>
          <w:color w:val="auto"/>
          <w:sz w:val="44"/>
          <w:szCs w:val="44"/>
          <w:shd w:val="clear" w:color="auto" w:fill="FFFFFF"/>
          <w:lang w:eastAsia="zh-CN"/>
        </w:rPr>
        <w:t>情况</w:t>
      </w:r>
      <w:r>
        <w:rPr>
          <w:rFonts w:hint="default" w:ascii="Times New Roman" w:hAnsi="Times New Roman" w:eastAsia="方正小标宋_GBK" w:cs="Times New Roman"/>
          <w:b w:val="0"/>
          <w:bCs w:val="0"/>
          <w:color w:val="auto"/>
          <w:sz w:val="44"/>
          <w:szCs w:val="44"/>
          <w:shd w:val="clear" w:color="auto" w:fill="FFFFFF"/>
        </w:rPr>
        <w:t>说明</w:t>
      </w:r>
    </w:p>
    <w:p w14:paraId="728D9CC5">
      <w:pPr>
        <w:keepNext w:val="0"/>
        <w:keepLines w:val="0"/>
        <w:pageBreakBefore w:val="0"/>
        <w:widowControl/>
        <w:kinsoku/>
        <w:overflowPunct/>
        <w:topLinePunct w:val="0"/>
        <w:autoSpaceDN/>
        <w:bidi w:val="0"/>
        <w:spacing w:beforeAutospacing="0" w:afterAutospacing="0" w:line="600" w:lineRule="exact"/>
        <w:ind w:firstLine="640" w:firstLineChars="200"/>
        <w:jc w:val="both"/>
        <w:rPr>
          <w:rFonts w:hint="default" w:ascii="Times New Roman" w:hAnsi="Times New Roman" w:eastAsia="方正黑体_GBK" w:cs="Times New Roman"/>
          <w:bCs/>
          <w:color w:val="auto"/>
          <w:kern w:val="0"/>
          <w:sz w:val="32"/>
          <w:szCs w:val="32"/>
        </w:rPr>
      </w:pPr>
    </w:p>
    <w:p w14:paraId="74EC7E0B">
      <w:pPr>
        <w:keepNext w:val="0"/>
        <w:keepLines w:val="0"/>
        <w:pageBreakBefore w:val="0"/>
        <w:widowControl/>
        <w:kinsoku/>
        <w:wordWrap/>
        <w:overflowPunct/>
        <w:topLinePunct w:val="0"/>
        <w:autoSpaceDN/>
        <w:bidi w:val="0"/>
        <w:spacing w:beforeAutospacing="0" w:afterAutospacing="0" w:line="600" w:lineRule="atLeast"/>
        <w:ind w:firstLine="640" w:firstLineChars="200"/>
        <w:jc w:val="both"/>
        <w:rPr>
          <w:rFonts w:hint="default" w:ascii="Times New Roman" w:hAnsi="Times New Roman" w:eastAsia="方正黑体_GBK" w:cs="Times New Roman"/>
          <w:b/>
          <w:color w:val="auto"/>
          <w:kern w:val="0"/>
          <w:sz w:val="32"/>
          <w:szCs w:val="32"/>
        </w:rPr>
      </w:pPr>
      <w:r>
        <w:rPr>
          <w:rFonts w:hint="default" w:ascii="Times New Roman" w:hAnsi="Times New Roman" w:eastAsia="方正黑体_GBK" w:cs="Times New Roman"/>
          <w:bCs/>
          <w:color w:val="auto"/>
          <w:kern w:val="0"/>
          <w:sz w:val="32"/>
          <w:szCs w:val="32"/>
        </w:rPr>
        <w:t>一、</w:t>
      </w:r>
      <w:r>
        <w:rPr>
          <w:rFonts w:hint="default" w:ascii="Times New Roman" w:hAnsi="Times New Roman" w:eastAsia="方正黑体_GBK" w:cs="Times New Roman"/>
          <w:bCs/>
          <w:color w:val="auto"/>
          <w:kern w:val="0"/>
          <w:sz w:val="32"/>
          <w:szCs w:val="32"/>
          <w:lang w:eastAsia="zh-CN"/>
        </w:rPr>
        <w:t>单位</w:t>
      </w:r>
      <w:r>
        <w:rPr>
          <w:rFonts w:hint="default" w:ascii="Times New Roman" w:hAnsi="Times New Roman" w:eastAsia="方正黑体_GBK" w:cs="Times New Roman"/>
          <w:bCs/>
          <w:color w:val="auto"/>
          <w:kern w:val="0"/>
          <w:sz w:val="32"/>
          <w:szCs w:val="32"/>
        </w:rPr>
        <w:t>基本情况</w:t>
      </w:r>
    </w:p>
    <w:p w14:paraId="34C30D0E">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楷体_GBK" w:cs="Times New Roman"/>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（一）职能职责</w:t>
      </w:r>
    </w:p>
    <w:p w14:paraId="3EF71B5B">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学校宗旨为实施普通初中义务教育和普通高中教育，促进学生全面发展。学校职责任务为：</w:t>
      </w:r>
    </w:p>
    <w:p w14:paraId="25B3CF2C">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3"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1.开展教育教学工作。</w:t>
      </w:r>
      <w:r>
        <w:rPr>
          <w:rFonts w:hint="default" w:ascii="Times New Roman" w:hAnsi="Times New Roman" w:eastAsia="方正仿宋_GBK" w:cs="Times New Roman"/>
          <w:color w:val="auto"/>
          <w:sz w:val="32"/>
          <w:szCs w:val="32"/>
          <w:shd w:val="clear" w:color="auto" w:fill="FFFFFF"/>
        </w:rPr>
        <w:t>主要包括开展普通初、高中各类课程教学及管理、教育科研、学籍管理等工作。</w:t>
      </w:r>
    </w:p>
    <w:p w14:paraId="16814AEB">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3"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2.开展学校德育工作。</w:t>
      </w:r>
      <w:r>
        <w:rPr>
          <w:rFonts w:hint="default" w:ascii="Times New Roman" w:hAnsi="Times New Roman" w:eastAsia="方正仿宋_GBK" w:cs="Times New Roman"/>
          <w:color w:val="auto"/>
          <w:sz w:val="32"/>
          <w:szCs w:val="32"/>
          <w:shd w:val="clear" w:color="auto" w:fill="FFFFFF"/>
        </w:rPr>
        <w:t>主要包括对学生进行思想品德教育，开展课外教育活动、社会实践活动等工作。</w:t>
      </w:r>
    </w:p>
    <w:p w14:paraId="4B2673A1">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3"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3.开展学校体育、卫生、艺术工作。</w:t>
      </w:r>
      <w:r>
        <w:rPr>
          <w:rFonts w:hint="default" w:ascii="Times New Roman" w:hAnsi="Times New Roman" w:eastAsia="方正仿宋_GBK" w:cs="Times New Roman"/>
          <w:color w:val="auto"/>
          <w:sz w:val="32"/>
          <w:szCs w:val="32"/>
          <w:shd w:val="clear" w:color="auto" w:fill="FFFFFF"/>
        </w:rPr>
        <w:t>主要包括开展课外体育和艺术活动、课余体育训练与竞赛、艺术展演展评、对传染病及学生常见病的预防和治疗工作。</w:t>
      </w:r>
    </w:p>
    <w:p w14:paraId="3DC63B7A">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3"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4.负责学校行政管理工作。</w:t>
      </w:r>
      <w:r>
        <w:rPr>
          <w:rFonts w:hint="default" w:ascii="Times New Roman" w:hAnsi="Times New Roman" w:eastAsia="方正仿宋_GBK" w:cs="Times New Roman"/>
          <w:color w:val="auto"/>
          <w:sz w:val="32"/>
          <w:szCs w:val="32"/>
          <w:shd w:val="clear" w:color="auto" w:fill="FFFFFF"/>
        </w:rPr>
        <w:t>主要包括人事、财务、档案及后勤管理工作。</w:t>
      </w:r>
    </w:p>
    <w:p w14:paraId="344BA7A1">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3"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5.开展对外交流工作。</w:t>
      </w:r>
      <w:r>
        <w:rPr>
          <w:rFonts w:hint="default" w:ascii="Times New Roman" w:hAnsi="Times New Roman" w:eastAsia="方正仿宋_GBK" w:cs="Times New Roman"/>
          <w:color w:val="auto"/>
          <w:sz w:val="32"/>
          <w:szCs w:val="32"/>
          <w:shd w:val="clear" w:color="auto" w:fill="FFFFFF"/>
        </w:rPr>
        <w:t>主要包括对外文化教育交流、对口支教等工作。</w:t>
      </w:r>
    </w:p>
    <w:p w14:paraId="37030B2E">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3"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6.维护校园安全，提供后勤保障服务。</w:t>
      </w:r>
      <w:r>
        <w:rPr>
          <w:rFonts w:hint="default" w:ascii="Times New Roman" w:hAnsi="Times New Roman" w:eastAsia="方正仿宋_GBK" w:cs="Times New Roman"/>
          <w:color w:val="auto"/>
          <w:sz w:val="32"/>
          <w:szCs w:val="32"/>
          <w:shd w:val="clear" w:color="auto" w:fill="FFFFFF"/>
        </w:rPr>
        <w:t>主要包括维护校园安全稳定、提供食堂餐饮服务、学生宿舍服务及物业服务等工作。</w:t>
      </w:r>
    </w:p>
    <w:p w14:paraId="240DB8A1">
      <w:pPr>
        <w:pStyle w:val="8"/>
        <w:keepNext w:val="0"/>
        <w:keepLines w:val="0"/>
        <w:pageBreakBefore w:val="0"/>
        <w:widowControl/>
        <w:kinsoku/>
        <w:wordWrap/>
        <w:overflowPunct/>
        <w:topLinePunct w:val="0"/>
        <w:autoSpaceDN/>
        <w:bidi w:val="0"/>
        <w:snapToGrid w:val="0"/>
        <w:spacing w:before="0" w:beforeAutospacing="0" w:after="0" w:afterAutospacing="0" w:line="600" w:lineRule="atLeast"/>
        <w:jc w:val="both"/>
        <w:rPr>
          <w:rFonts w:hint="default" w:ascii="Times New Roman" w:hAnsi="Times New Roman" w:eastAsia="方正仿宋_GBK" w:cs="Times New Roman"/>
          <w:color w:val="auto"/>
          <w:sz w:val="32"/>
          <w:szCs w:val="32"/>
          <w:shd w:val="clear" w:color="auto" w:fill="FFFFFF"/>
        </w:rPr>
      </w:pPr>
    </w:p>
    <w:p w14:paraId="0147A682">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方正楷体_GBK" w:cs="Times New Roman"/>
          <w:b w:val="0"/>
          <w:bCs/>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（二）机构设置</w:t>
      </w:r>
    </w:p>
    <w:p w14:paraId="4FF53B32">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本单位机构设置如下：</w:t>
      </w:r>
    </w:p>
    <w:p w14:paraId="1AF3299A">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党委办公室：</w:t>
      </w:r>
      <w:r>
        <w:rPr>
          <w:rFonts w:hint="default" w:ascii="Times New Roman" w:hAnsi="Times New Roman" w:eastAsia="方正仿宋_GBK" w:cs="Times New Roman"/>
          <w:color w:val="auto"/>
          <w:sz w:val="32"/>
          <w:szCs w:val="32"/>
          <w:shd w:val="clear" w:color="auto" w:fill="FFFFFF"/>
        </w:rPr>
        <w:t>负责学校党建工作。</w:t>
      </w:r>
    </w:p>
    <w:p w14:paraId="7E0F6F67">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学校发展中心：</w:t>
      </w:r>
      <w:r>
        <w:rPr>
          <w:rFonts w:hint="default" w:ascii="Times New Roman" w:hAnsi="Times New Roman" w:eastAsia="方正仿宋_GBK" w:cs="Times New Roman"/>
          <w:color w:val="auto"/>
          <w:sz w:val="32"/>
          <w:szCs w:val="32"/>
          <w:shd w:val="clear" w:color="auto" w:fill="FFFFFF"/>
        </w:rPr>
        <w:t>负责行政、招生、人事等工作。</w:t>
      </w:r>
    </w:p>
    <w:p w14:paraId="2027D00A">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学生发展中心：</w:t>
      </w:r>
      <w:r>
        <w:rPr>
          <w:rFonts w:hint="default" w:ascii="Times New Roman" w:hAnsi="Times New Roman" w:eastAsia="方正仿宋_GBK" w:cs="Times New Roman"/>
          <w:color w:val="auto"/>
          <w:sz w:val="32"/>
          <w:szCs w:val="32"/>
          <w:shd w:val="clear" w:color="auto" w:fill="FFFFFF"/>
        </w:rPr>
        <w:t>负责D区德育常规、劳动教育、寝室管理、德育科研、心理健康、学生资助、藏区学生管理等工作。</w:t>
      </w:r>
    </w:p>
    <w:p w14:paraId="682517BC">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学生活动中心：</w:t>
      </w:r>
      <w:r>
        <w:rPr>
          <w:rFonts w:hint="default" w:ascii="Times New Roman" w:hAnsi="Times New Roman" w:eastAsia="方正仿宋_GBK" w:cs="Times New Roman"/>
          <w:color w:val="auto"/>
          <w:sz w:val="32"/>
          <w:szCs w:val="32"/>
          <w:shd w:val="clear" w:color="auto" w:fill="FFFFFF"/>
        </w:rPr>
        <w:t>负责D区学校竞技体育、艺术队伍、学生活动、团委、学生会、班主任激励工程、体育教育（体育活动）、卫生、艺术教育（艺术活动）、学生活动等工作。</w:t>
      </w:r>
    </w:p>
    <w:p w14:paraId="5870AF2A">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质量管理中心：</w:t>
      </w:r>
      <w:r>
        <w:rPr>
          <w:rFonts w:hint="default" w:ascii="Times New Roman" w:hAnsi="Times New Roman" w:eastAsia="方正仿宋_GBK" w:cs="Times New Roman"/>
          <w:color w:val="auto"/>
          <w:sz w:val="32"/>
          <w:szCs w:val="32"/>
          <w:shd w:val="clear" w:color="auto" w:fill="FFFFFF"/>
        </w:rPr>
        <w:t>负责D区教务、</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强基计划</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实施、大型考试考务管理和高品质学校文化建设、教学常规、教学督导和高中学籍管理、私人订制课程、生涯课程、品质课堂建设、功能室管理等工作。</w:t>
      </w:r>
    </w:p>
    <w:p w14:paraId="4D10D4DB">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教师发展中心：</w:t>
      </w:r>
      <w:r>
        <w:rPr>
          <w:rFonts w:hint="default" w:ascii="Times New Roman" w:hAnsi="Times New Roman" w:eastAsia="方正仿宋_GBK" w:cs="Times New Roman"/>
          <w:color w:val="auto"/>
          <w:sz w:val="32"/>
          <w:szCs w:val="32"/>
          <w:shd w:val="clear" w:color="auto" w:fill="FFFFFF"/>
        </w:rPr>
        <w:t>负责教师培训、继续教育、高中学术专委会管理等工作。</w:t>
      </w:r>
    </w:p>
    <w:p w14:paraId="0CFDAFE8">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科技信息中心：</w:t>
      </w:r>
      <w:r>
        <w:rPr>
          <w:rFonts w:hint="default" w:ascii="Times New Roman" w:hAnsi="Times New Roman" w:eastAsia="方正仿宋_GBK" w:cs="Times New Roman"/>
          <w:color w:val="auto"/>
          <w:sz w:val="32"/>
          <w:szCs w:val="32"/>
          <w:shd w:val="clear" w:color="auto" w:fill="FFFFFF"/>
        </w:rPr>
        <w:t>负责信息技术、科创、宣传等工作。</w:t>
      </w:r>
    </w:p>
    <w:p w14:paraId="26DAACEF">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后勤服务中心：</w:t>
      </w:r>
      <w:r>
        <w:rPr>
          <w:rFonts w:hint="default" w:ascii="Times New Roman" w:hAnsi="Times New Roman" w:eastAsia="方正仿宋_GBK" w:cs="Times New Roman"/>
          <w:color w:val="auto"/>
          <w:sz w:val="32"/>
          <w:szCs w:val="32"/>
          <w:shd w:val="clear" w:color="auto" w:fill="FFFFFF"/>
        </w:rPr>
        <w:t>负责财务、采购、水电、基建维修、环境卫生等相关工作。</w:t>
      </w:r>
    </w:p>
    <w:p w14:paraId="1FD4741F">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人力资源中心：</w:t>
      </w:r>
      <w:r>
        <w:rPr>
          <w:rFonts w:hint="default" w:ascii="Times New Roman" w:hAnsi="Times New Roman" w:eastAsia="方正仿宋_GBK" w:cs="Times New Roman"/>
          <w:color w:val="auto"/>
          <w:sz w:val="32"/>
          <w:szCs w:val="32"/>
          <w:shd w:val="clear" w:color="auto" w:fill="FFFFFF"/>
        </w:rPr>
        <w:t>负责学校非编教师和临聘人员管理工作、食品安全管理工作。</w:t>
      </w:r>
    </w:p>
    <w:p w14:paraId="2B09B0C5">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膳食营养中心：</w:t>
      </w:r>
      <w:r>
        <w:rPr>
          <w:rFonts w:hint="default" w:ascii="Times New Roman" w:hAnsi="Times New Roman" w:eastAsia="方正仿宋_GBK" w:cs="Times New Roman"/>
          <w:color w:val="auto"/>
          <w:sz w:val="32"/>
          <w:szCs w:val="32"/>
          <w:shd w:val="clear" w:color="auto" w:fill="FFFFFF"/>
        </w:rPr>
        <w:t>负责学校食堂管理工作。</w:t>
      </w:r>
    </w:p>
    <w:p w14:paraId="5B88D2F5">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安全保障中心：</w:t>
      </w:r>
      <w:r>
        <w:rPr>
          <w:rFonts w:hint="default" w:ascii="Times New Roman" w:hAnsi="Times New Roman" w:eastAsia="方正仿宋_GBK" w:cs="Times New Roman"/>
          <w:color w:val="auto"/>
          <w:sz w:val="32"/>
          <w:szCs w:val="32"/>
          <w:shd w:val="clear" w:color="auto" w:fill="FFFFFF"/>
        </w:rPr>
        <w:t>负责D区安全稳定工作。</w:t>
      </w:r>
    </w:p>
    <w:p w14:paraId="3ED9FCFD">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纪委办公室：</w:t>
      </w:r>
      <w:r>
        <w:rPr>
          <w:rFonts w:hint="default" w:ascii="Times New Roman" w:hAnsi="Times New Roman" w:eastAsia="方正仿宋_GBK" w:cs="Times New Roman"/>
          <w:color w:val="auto"/>
          <w:sz w:val="32"/>
          <w:szCs w:val="32"/>
          <w:shd w:val="clear" w:color="auto" w:fill="FFFFFF"/>
        </w:rPr>
        <w:t>负责纪委相关工作。</w:t>
      </w:r>
    </w:p>
    <w:p w14:paraId="1F7E1834">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A区办公室：</w:t>
      </w:r>
      <w:r>
        <w:rPr>
          <w:rFonts w:hint="default" w:ascii="Times New Roman" w:hAnsi="Times New Roman" w:eastAsia="方正仿宋_GBK" w:cs="Times New Roman"/>
          <w:color w:val="auto"/>
          <w:sz w:val="32"/>
          <w:szCs w:val="32"/>
          <w:shd w:val="clear" w:color="auto" w:fill="FFFFFF"/>
        </w:rPr>
        <w:t>负责A区行政、外联、工作督查等相关工作。</w:t>
      </w:r>
    </w:p>
    <w:p w14:paraId="1EAE3507">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A区德育处：</w:t>
      </w:r>
      <w:r>
        <w:rPr>
          <w:rFonts w:hint="default" w:ascii="Times New Roman" w:hAnsi="Times New Roman" w:eastAsia="方正仿宋_GBK" w:cs="Times New Roman"/>
          <w:color w:val="auto"/>
          <w:sz w:val="32"/>
          <w:szCs w:val="32"/>
          <w:shd w:val="clear" w:color="auto" w:fill="FFFFFF"/>
        </w:rPr>
        <w:t>负责A区德育常规、班主任队伍建设、班级建设、学生思想教育、学生活动、艺术教育、住读生管理、社团建设体育、卫生、安全稳定等工作。</w:t>
      </w:r>
    </w:p>
    <w:p w14:paraId="56D89746">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A区教务处：</w:t>
      </w:r>
      <w:r>
        <w:rPr>
          <w:rFonts w:hint="default" w:ascii="Times New Roman" w:hAnsi="Times New Roman" w:eastAsia="方正仿宋_GBK" w:cs="Times New Roman"/>
          <w:color w:val="auto"/>
          <w:sz w:val="32"/>
          <w:szCs w:val="32"/>
          <w:shd w:val="clear" w:color="auto" w:fill="FFFFFF"/>
        </w:rPr>
        <w:t>A区教学质量管理、教研组建设、初中学籍管理、考试考务、实验室管理、电教及智慧校园建设等工作。</w:t>
      </w:r>
    </w:p>
    <w:p w14:paraId="436C7703">
      <w:pPr>
        <w:keepNext w:val="0"/>
        <w:keepLines w:val="0"/>
        <w:pageBreakBefore w:val="0"/>
        <w:widowControl/>
        <w:kinsoku/>
        <w:wordWrap/>
        <w:overflowPunct/>
        <w:topLinePunct w:val="0"/>
        <w:autoSpaceDN/>
        <w:bidi w:val="0"/>
        <w:adjustRightInd/>
        <w:spacing w:line="600" w:lineRule="atLeast"/>
        <w:ind w:firstLine="640" w:firstLineChars="200"/>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黑体_GBK" w:cs="Times New Roman"/>
          <w:b w:val="0"/>
          <w:bCs/>
          <w:color w:val="auto"/>
          <w:sz w:val="32"/>
          <w:szCs w:val="32"/>
          <w:shd w:val="clear" w:color="auto" w:fill="FFFFFF"/>
        </w:rPr>
        <w:t>二、</w:t>
      </w:r>
      <w:r>
        <w:rPr>
          <w:rStyle w:val="11"/>
          <w:rFonts w:hint="default" w:ascii="Times New Roman" w:hAnsi="Times New Roman" w:eastAsia="方正黑体_GBK" w:cs="Times New Roman"/>
          <w:b w:val="0"/>
          <w:bCs/>
          <w:color w:val="auto"/>
          <w:sz w:val="32"/>
          <w:szCs w:val="32"/>
          <w:shd w:val="clear" w:color="auto" w:fill="FFFFFF"/>
          <w:lang w:eastAsia="zh-CN"/>
        </w:rPr>
        <w:t>单位</w:t>
      </w:r>
      <w:r>
        <w:rPr>
          <w:rStyle w:val="11"/>
          <w:rFonts w:hint="default" w:ascii="Times New Roman" w:hAnsi="Times New Roman" w:eastAsia="方正黑体_GBK" w:cs="Times New Roman"/>
          <w:b w:val="0"/>
          <w:bCs/>
          <w:color w:val="auto"/>
          <w:sz w:val="32"/>
          <w:szCs w:val="32"/>
          <w:shd w:val="clear" w:color="auto" w:fill="FFFFFF"/>
        </w:rPr>
        <w:t>决算</w:t>
      </w:r>
      <w:r>
        <w:rPr>
          <w:rStyle w:val="11"/>
          <w:rFonts w:hint="default" w:ascii="Times New Roman" w:hAnsi="Times New Roman" w:eastAsia="方正黑体_GBK" w:cs="Times New Roman"/>
          <w:b w:val="0"/>
          <w:bCs/>
          <w:color w:val="auto"/>
          <w:sz w:val="32"/>
          <w:szCs w:val="32"/>
          <w:shd w:val="clear" w:color="auto" w:fill="FFFFFF"/>
          <w:lang w:eastAsia="zh-CN"/>
        </w:rPr>
        <w:t>收支</w:t>
      </w:r>
      <w:r>
        <w:rPr>
          <w:rStyle w:val="11"/>
          <w:rFonts w:hint="default" w:ascii="Times New Roman" w:hAnsi="Times New Roman" w:eastAsia="方正黑体_GBK" w:cs="Times New Roman"/>
          <w:b w:val="0"/>
          <w:bCs/>
          <w:color w:val="auto"/>
          <w:sz w:val="32"/>
          <w:szCs w:val="32"/>
          <w:shd w:val="clear" w:color="auto" w:fill="FFFFFF"/>
        </w:rPr>
        <w:t>情况说明</w:t>
      </w:r>
    </w:p>
    <w:p w14:paraId="0EB831C9">
      <w:pPr>
        <w:pStyle w:val="12"/>
        <w:keepNext w:val="0"/>
        <w:keepLines w:val="0"/>
        <w:pageBreakBefore w:val="0"/>
        <w:widowControl/>
        <w:kinsoku/>
        <w:wordWrap/>
        <w:overflowPunct/>
        <w:topLinePunct w:val="0"/>
        <w:autoSpaceDE w:val="0"/>
        <w:autoSpaceDN/>
        <w:bidi w:val="0"/>
        <w:adjustRightInd/>
        <w:spacing w:beforeAutospacing="0" w:afterAutospacing="0" w:line="600" w:lineRule="atLeast"/>
        <w:ind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（一）收入支出决算总体情况说明</w:t>
      </w:r>
    </w:p>
    <w:p w14:paraId="46D97C88">
      <w:pPr>
        <w:pStyle w:val="12"/>
        <w:keepNext w:val="0"/>
        <w:keepLines w:val="0"/>
        <w:pageBreakBefore w:val="0"/>
        <w:widowControl/>
        <w:kinsoku/>
        <w:wordWrap/>
        <w:overflowPunct/>
        <w:topLinePunct w:val="0"/>
        <w:autoSpaceDE w:val="0"/>
        <w:autoSpaceDN/>
        <w:bidi w:val="0"/>
        <w:adjustRightInd/>
        <w:spacing w:beforeAutospacing="0" w:afterAutospacing="0" w:line="600" w:lineRule="atLeast"/>
        <w:ind w:firstLine="643"/>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度收入总计25722.00万元，支出总计</w:t>
      </w:r>
      <w:r>
        <w:rPr>
          <w:rFonts w:hint="default" w:ascii="Times New Roman" w:hAnsi="Times New Roman" w:eastAsia="方正仿宋_GBK" w:cs="Times New Roman"/>
          <w:color w:val="auto"/>
          <w:sz w:val="32"/>
          <w:szCs w:val="32"/>
        </w:rPr>
        <w:t>25722.00</w:t>
      </w:r>
      <w:r>
        <w:rPr>
          <w:rFonts w:hint="default" w:ascii="Times New Roman" w:hAnsi="Times New Roman" w:eastAsia="方正仿宋_GBK" w:cs="Times New Roman"/>
          <w:color w:val="auto"/>
          <w:sz w:val="32"/>
          <w:szCs w:val="32"/>
          <w:shd w:val="clear" w:color="auto" w:fill="FFFFFF"/>
        </w:rPr>
        <w:t>万元。收、支与2023年度相比，增加6231.54万元，增长32.0%，主要原因是</w:t>
      </w:r>
      <w:r>
        <w:rPr>
          <w:rFonts w:hint="default" w:ascii="Times New Roman" w:hAnsi="Times New Roman" w:eastAsia="方正仿宋_GBK" w:cs="Times New Roman"/>
          <w:color w:val="auto"/>
          <w:sz w:val="32"/>
          <w:szCs w:val="32"/>
          <w:shd w:val="clear" w:color="auto" w:fill="FFFFFF"/>
          <w:lang w:eastAsia="zh-CN"/>
        </w:rPr>
        <w:t>本年</w:t>
      </w:r>
      <w:r>
        <w:rPr>
          <w:rFonts w:hint="default" w:ascii="Times New Roman" w:hAnsi="Times New Roman" w:eastAsia="方正仿宋_GBK" w:cs="Times New Roman"/>
          <w:color w:val="auto"/>
          <w:sz w:val="32"/>
          <w:szCs w:val="32"/>
          <w:shd w:val="clear" w:color="auto" w:fill="FFFFFF"/>
          <w:lang w:val="en-US" w:eastAsia="zh-CN"/>
        </w:rPr>
        <w:t>A区改扩建工程继续进行，项目经费增加。</w:t>
      </w:r>
    </w:p>
    <w:p w14:paraId="31A32CEA">
      <w:pPr>
        <w:keepNext w:val="0"/>
        <w:keepLines w:val="0"/>
        <w:pageBreakBefore w:val="0"/>
        <w:widowControl/>
        <w:kinsoku/>
        <w:wordWrap/>
        <w:overflowPunct/>
        <w:topLinePunct w:val="0"/>
        <w:autoSpaceDN/>
        <w:bidi w:val="0"/>
        <w:adjustRightInd/>
        <w:spacing w:beforeAutospacing="0" w:afterAutospacing="0" w:line="600" w:lineRule="atLeast"/>
        <w:ind w:firstLine="630" w:firstLineChars="196"/>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度收入合计25722.00万元，与2023年度相比，增加6231.54万元，增长32.0%，主要原因是</w:t>
      </w:r>
      <w:r>
        <w:rPr>
          <w:rFonts w:hint="default" w:ascii="Times New Roman" w:hAnsi="Times New Roman" w:eastAsia="方正仿宋_GBK" w:cs="Times New Roman"/>
          <w:color w:val="auto"/>
          <w:sz w:val="32"/>
          <w:szCs w:val="32"/>
          <w:shd w:val="clear" w:color="auto" w:fill="FFFFFF"/>
          <w:lang w:eastAsia="zh-CN"/>
        </w:rPr>
        <w:t>本年</w:t>
      </w:r>
      <w:r>
        <w:rPr>
          <w:rFonts w:hint="default" w:ascii="Times New Roman" w:hAnsi="Times New Roman" w:eastAsia="方正仿宋_GBK" w:cs="Times New Roman"/>
          <w:color w:val="auto"/>
          <w:sz w:val="32"/>
          <w:szCs w:val="32"/>
          <w:shd w:val="clear" w:color="auto" w:fill="FFFFFF"/>
          <w:lang w:val="en-US" w:eastAsia="zh-CN"/>
        </w:rPr>
        <w:t>A区改扩建工程继续进行，项目经费增加。</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23639.00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91.90</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rPr>
        <w:t>2083.00</w:t>
      </w:r>
      <w:r>
        <w:rPr>
          <w:rFonts w:hint="default" w:ascii="Times New Roman" w:hAnsi="Times New Roman" w:eastAsia="方正仿宋_GBK" w:cs="Times New Roman"/>
          <w:color w:val="auto"/>
          <w:sz w:val="32"/>
          <w:szCs w:val="32"/>
          <w:shd w:val="clear" w:color="auto" w:fill="FFFFFF"/>
        </w:rPr>
        <w:t>万元，占8.10%。</w:t>
      </w:r>
    </w:p>
    <w:p w14:paraId="241F6C31">
      <w:pPr>
        <w:pStyle w:val="8"/>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00" w:lineRule="atLeast"/>
        <w:ind w:left="0" w:leftChars="0"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1"/>
          <w:rFonts w:hint="default" w:ascii="Times New Roman" w:hAnsi="Times New Roman" w:eastAsia="方正仿宋_GBK" w:cs="Times New Roman"/>
          <w:color w:val="auto"/>
          <w:sz w:val="32"/>
          <w:szCs w:val="32"/>
          <w:shd w:val="clear" w:color="auto" w:fill="FFFFFF"/>
          <w:lang w:val="en-US" w:eastAsia="zh-CN"/>
        </w:rPr>
        <w:t>3.</w:t>
      </w:r>
      <w:r>
        <w:rPr>
          <w:rStyle w:val="11"/>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度支出合计</w:t>
      </w:r>
      <w:r>
        <w:rPr>
          <w:rFonts w:hint="default" w:ascii="Times New Roman" w:hAnsi="Times New Roman" w:eastAsia="方正仿宋_GBK" w:cs="Times New Roman"/>
          <w:color w:val="auto"/>
          <w:sz w:val="32"/>
          <w:szCs w:val="32"/>
        </w:rPr>
        <w:t>25722.00</w:t>
      </w:r>
      <w:r>
        <w:rPr>
          <w:rFonts w:hint="default" w:ascii="Times New Roman" w:hAnsi="Times New Roman" w:eastAsia="方正仿宋_GBK" w:cs="Times New Roman"/>
          <w:color w:val="auto"/>
          <w:sz w:val="32"/>
          <w:szCs w:val="32"/>
          <w:shd w:val="clear" w:color="auto" w:fill="FFFFFF"/>
        </w:rPr>
        <w:t>万元，与2023年度相比，增加6231.54万元，增长32.0%，主要原因是</w:t>
      </w:r>
      <w:r>
        <w:rPr>
          <w:rFonts w:hint="default" w:ascii="Times New Roman" w:hAnsi="Times New Roman" w:eastAsia="方正仿宋_GBK" w:cs="Times New Roman"/>
          <w:color w:val="auto"/>
          <w:sz w:val="32"/>
          <w:szCs w:val="32"/>
          <w:shd w:val="clear" w:color="auto" w:fill="FFFFFF"/>
          <w:lang w:eastAsia="zh-CN"/>
        </w:rPr>
        <w:t>本年</w:t>
      </w:r>
      <w:r>
        <w:rPr>
          <w:rFonts w:hint="default" w:ascii="Times New Roman" w:hAnsi="Times New Roman" w:eastAsia="方正仿宋_GBK" w:cs="Times New Roman"/>
          <w:color w:val="auto"/>
          <w:sz w:val="32"/>
          <w:szCs w:val="32"/>
          <w:shd w:val="clear" w:color="auto" w:fill="FFFFFF"/>
          <w:lang w:val="en-US" w:eastAsia="zh-CN"/>
        </w:rPr>
        <w:t>A区改扩建工程继续进行，项目经费增加。</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13500.88</w:t>
      </w:r>
      <w:r>
        <w:rPr>
          <w:rFonts w:hint="default" w:ascii="Times New Roman" w:hAnsi="Times New Roman" w:eastAsia="方正仿宋_GBK" w:cs="Times New Roman"/>
          <w:color w:val="auto"/>
          <w:sz w:val="32"/>
          <w:szCs w:val="32"/>
          <w:shd w:val="clear" w:color="auto" w:fill="FFFFFF"/>
        </w:rPr>
        <w:t>万元，占52.49%；项目支出</w:t>
      </w:r>
      <w:r>
        <w:rPr>
          <w:rFonts w:hint="default" w:ascii="Times New Roman" w:hAnsi="Times New Roman" w:eastAsia="方正仿宋_GBK" w:cs="Times New Roman"/>
          <w:color w:val="auto"/>
          <w:sz w:val="32"/>
          <w:szCs w:val="32"/>
        </w:rPr>
        <w:t>12221.12</w:t>
      </w:r>
      <w:r>
        <w:rPr>
          <w:rFonts w:hint="default" w:ascii="Times New Roman" w:hAnsi="Times New Roman" w:eastAsia="方正仿宋_GBK" w:cs="Times New Roman"/>
          <w:color w:val="auto"/>
          <w:sz w:val="32"/>
          <w:szCs w:val="32"/>
          <w:shd w:val="clear" w:color="auto" w:fill="FFFFFF"/>
        </w:rPr>
        <w:t>万元，占47.51%。</w:t>
      </w:r>
    </w:p>
    <w:p w14:paraId="2AF10879">
      <w:pPr>
        <w:pStyle w:val="8"/>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00" w:lineRule="atLeast"/>
        <w:ind w:left="0" w:leftChars="0"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w:t>
      </w:r>
      <w:r>
        <w:rPr>
          <w:rFonts w:hint="default" w:ascii="Times New Roman" w:hAnsi="Times New Roman" w:eastAsia="方正仿宋_GBK" w:cs="Times New Roman"/>
          <w:color w:val="auto"/>
          <w:sz w:val="32"/>
          <w:szCs w:val="32"/>
          <w:shd w:val="clear" w:color="auto" w:fill="FFFFFF"/>
          <w:lang w:val="en-US" w:eastAsia="zh-CN"/>
        </w:rPr>
        <w:t>无</w:t>
      </w:r>
      <w:r>
        <w:rPr>
          <w:rFonts w:hint="default" w:ascii="Times New Roman" w:hAnsi="Times New Roman" w:eastAsia="方正仿宋_GBK" w:cs="Times New Roman"/>
          <w:color w:val="auto"/>
          <w:sz w:val="32"/>
          <w:szCs w:val="32"/>
          <w:shd w:val="clear" w:color="auto" w:fill="FFFFFF"/>
        </w:rPr>
        <w:t>年末结转和结余，与2023年度相比，无增减，主要原因是</w:t>
      </w:r>
      <w:r>
        <w:rPr>
          <w:rFonts w:hint="default" w:ascii="Times New Roman" w:hAnsi="Times New Roman" w:eastAsia="方正仿宋_GBK" w:cs="Times New Roman"/>
          <w:color w:val="auto"/>
          <w:sz w:val="32"/>
          <w:szCs w:val="32"/>
          <w:shd w:val="clear" w:color="auto" w:fill="FFFFFF"/>
          <w:lang w:eastAsia="zh-CN"/>
        </w:rPr>
        <w:t>收支平衡。</w:t>
      </w:r>
    </w:p>
    <w:p w14:paraId="66605644">
      <w:pPr>
        <w:pStyle w:val="12"/>
        <w:keepNext w:val="0"/>
        <w:keepLines w:val="0"/>
        <w:pageBreakBefore w:val="0"/>
        <w:widowControl/>
        <w:kinsoku/>
        <w:wordWrap/>
        <w:overflowPunct/>
        <w:topLinePunct w:val="0"/>
        <w:autoSpaceDE w:val="0"/>
        <w:autoSpaceDN/>
        <w:bidi w:val="0"/>
        <w:spacing w:beforeAutospacing="0" w:afterAutospacing="0" w:line="600" w:lineRule="atLeast"/>
        <w:ind w:firstLine="643"/>
        <w:jc w:val="both"/>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（二）财政拨款收入支出决算总体情况说明</w:t>
      </w:r>
    </w:p>
    <w:p w14:paraId="6C7B091E">
      <w:pPr>
        <w:keepNext w:val="0"/>
        <w:keepLines w:val="0"/>
        <w:pageBreakBefore w:val="0"/>
        <w:widowControl/>
        <w:kinsoku/>
        <w:wordWrap/>
        <w:overflowPunct/>
        <w:topLinePunct w:val="0"/>
        <w:autoSpaceDN/>
        <w:bidi w:val="0"/>
        <w:spacing w:beforeAutospacing="0" w:afterAutospacing="0" w:line="600" w:lineRule="atLeas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度财政拨款收、支总计23639.00万元。与202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年相比，财政拨款收、支总计各增加5315.64万元，增长29.0%。主要原因是</w:t>
      </w:r>
      <w:r>
        <w:rPr>
          <w:rFonts w:hint="default" w:ascii="Times New Roman" w:hAnsi="Times New Roman" w:eastAsia="方正仿宋_GBK" w:cs="Times New Roman"/>
          <w:color w:val="auto"/>
          <w:sz w:val="32"/>
          <w:szCs w:val="32"/>
          <w:shd w:val="clear" w:color="auto" w:fill="FFFFFF"/>
          <w:lang w:eastAsia="zh-CN"/>
        </w:rPr>
        <w:t>本年</w:t>
      </w:r>
      <w:r>
        <w:rPr>
          <w:rFonts w:hint="default" w:ascii="Times New Roman" w:hAnsi="Times New Roman" w:eastAsia="方正仿宋_GBK" w:cs="Times New Roman"/>
          <w:color w:val="auto"/>
          <w:sz w:val="32"/>
          <w:szCs w:val="32"/>
          <w:shd w:val="clear" w:color="auto" w:fill="FFFFFF"/>
          <w:lang w:val="en-US" w:eastAsia="zh-CN"/>
        </w:rPr>
        <w:t>A区改扩建工程继续进行，项目经费增加。</w:t>
      </w:r>
    </w:p>
    <w:p w14:paraId="3FF70079">
      <w:pPr>
        <w:pStyle w:val="12"/>
        <w:keepNext w:val="0"/>
        <w:keepLines w:val="0"/>
        <w:pageBreakBefore w:val="0"/>
        <w:widowControl/>
        <w:kinsoku/>
        <w:wordWrap/>
        <w:overflowPunct/>
        <w:topLinePunct w:val="0"/>
        <w:autoSpaceDE w:val="0"/>
        <w:autoSpaceDN/>
        <w:bidi w:val="0"/>
        <w:spacing w:beforeAutospacing="0" w:afterAutospacing="0" w:line="600" w:lineRule="atLeast"/>
        <w:ind w:left="0" w:leftChars="0" w:firstLine="640" w:firstLineChars="200"/>
        <w:jc w:val="both"/>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（三）一般公共预算财政拨款收入支出决算情况说明</w:t>
      </w:r>
    </w:p>
    <w:p w14:paraId="49DA1AF0">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3" w:firstLineChars="200"/>
        <w:jc w:val="both"/>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度一般公共预算财政拨款收入</w:t>
      </w:r>
      <w:r>
        <w:rPr>
          <w:rFonts w:hint="default" w:ascii="Times New Roman" w:hAnsi="Times New Roman" w:eastAsia="方正仿宋_GBK" w:cs="Times New Roman"/>
          <w:color w:val="auto"/>
          <w:sz w:val="32"/>
          <w:szCs w:val="32"/>
        </w:rPr>
        <w:t>20317.00</w:t>
      </w:r>
      <w:r>
        <w:rPr>
          <w:rFonts w:hint="default" w:ascii="Times New Roman" w:hAnsi="Times New Roman" w:eastAsia="方正仿宋_GBK" w:cs="Times New Roman"/>
          <w:color w:val="auto"/>
          <w:sz w:val="32"/>
          <w:szCs w:val="32"/>
          <w:shd w:val="clear" w:color="auto" w:fill="FFFFFF"/>
        </w:rPr>
        <w:t>万元，与2023年度相比，增加2825.21万元，增长16.2%。主要原因是</w:t>
      </w:r>
      <w:r>
        <w:rPr>
          <w:rFonts w:hint="default" w:ascii="Times New Roman" w:hAnsi="Times New Roman" w:eastAsia="方正仿宋_GBK" w:cs="Times New Roman"/>
          <w:color w:val="auto"/>
          <w:sz w:val="32"/>
          <w:szCs w:val="32"/>
          <w:shd w:val="clear" w:color="auto" w:fill="FFFFFF"/>
          <w:lang w:eastAsia="zh-CN"/>
        </w:rPr>
        <w:t>本年</w:t>
      </w:r>
      <w:r>
        <w:rPr>
          <w:rFonts w:hint="default" w:ascii="Times New Roman" w:hAnsi="Times New Roman" w:eastAsia="方正仿宋_GBK" w:cs="Times New Roman"/>
          <w:color w:val="auto"/>
          <w:sz w:val="32"/>
          <w:szCs w:val="32"/>
          <w:shd w:val="clear" w:color="auto" w:fill="FFFFFF"/>
          <w:lang w:val="en-US" w:eastAsia="zh-CN"/>
        </w:rPr>
        <w:t>A区改扩建工程继续进行，项目经费增加。</w:t>
      </w:r>
      <w:r>
        <w:rPr>
          <w:rFonts w:hint="default" w:ascii="Times New Roman" w:hAnsi="Times New Roman" w:eastAsia="方正仿宋_GBK" w:cs="Times New Roman"/>
          <w:color w:val="auto"/>
          <w:sz w:val="32"/>
          <w:szCs w:val="32"/>
          <w:shd w:val="clear" w:color="auto" w:fill="FFFFFF"/>
        </w:rPr>
        <w:t>较年初预算数增加4318.29万元，增长27.0%。主要原因是</w:t>
      </w:r>
      <w:r>
        <w:rPr>
          <w:rFonts w:hint="default" w:ascii="Times New Roman" w:hAnsi="Times New Roman" w:eastAsia="方正仿宋_GBK" w:cs="Times New Roman"/>
          <w:color w:val="auto"/>
          <w:sz w:val="32"/>
          <w:szCs w:val="32"/>
          <w:shd w:val="clear" w:color="auto" w:fill="FFFFFF"/>
          <w:lang w:eastAsia="zh-CN"/>
        </w:rPr>
        <w:t>本年</w:t>
      </w:r>
      <w:r>
        <w:rPr>
          <w:rFonts w:hint="default" w:ascii="Times New Roman" w:hAnsi="Times New Roman" w:eastAsia="方正仿宋_GBK" w:cs="Times New Roman"/>
          <w:color w:val="auto"/>
          <w:sz w:val="32"/>
          <w:szCs w:val="32"/>
          <w:shd w:val="clear" w:color="auto" w:fill="FFFFFF"/>
          <w:lang w:val="en-US" w:eastAsia="zh-CN"/>
        </w:rPr>
        <w:t>A区改扩建工程继续进行，项目经费增加。</w:t>
      </w:r>
      <w:r>
        <w:rPr>
          <w:rFonts w:hint="default" w:ascii="Times New Roman" w:hAnsi="Times New Roman" w:eastAsia="方正仿宋_GBK" w:cs="Times New Roman"/>
          <w:color w:val="auto"/>
          <w:sz w:val="32"/>
          <w:szCs w:val="32"/>
          <w:shd w:val="clear" w:color="auto" w:fill="FFFFFF"/>
        </w:rPr>
        <w:t>此外，</w:t>
      </w:r>
      <w:r>
        <w:rPr>
          <w:rFonts w:hint="default" w:ascii="Times New Roman" w:hAnsi="Times New Roman" w:eastAsia="方正仿宋_GBK" w:cs="Times New Roman"/>
          <w:color w:val="auto"/>
          <w:sz w:val="32"/>
          <w:szCs w:val="32"/>
          <w:shd w:val="clear" w:color="auto" w:fill="FFFFFF"/>
          <w:lang w:val="en-US" w:eastAsia="zh-CN"/>
        </w:rPr>
        <w:t>无</w:t>
      </w:r>
      <w:r>
        <w:rPr>
          <w:rFonts w:hint="default" w:ascii="Times New Roman" w:hAnsi="Times New Roman" w:eastAsia="方正仿宋_GBK" w:cs="Times New Roman"/>
          <w:color w:val="auto"/>
          <w:sz w:val="32"/>
          <w:szCs w:val="32"/>
          <w:shd w:val="clear" w:color="auto" w:fill="FFFFFF"/>
        </w:rPr>
        <w:t>年初财政拨款结转和结余。</w:t>
      </w:r>
    </w:p>
    <w:p w14:paraId="42A52530">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3" w:firstLineChars="200"/>
        <w:jc w:val="both"/>
        <w:rPr>
          <w:rFonts w:hint="default" w:ascii="Times New Roman" w:hAnsi="Times New Roman" w:eastAsia="方正仿宋_GBK" w:cs="Times New Roman"/>
          <w:color w:val="auto"/>
          <w:sz w:val="32"/>
          <w:szCs w:val="32"/>
          <w:shd w:val="clear" w:color="auto" w:fill="FFFFFF"/>
          <w:lang w:val="en-US" w:eastAsia="zh-CN"/>
        </w:rPr>
      </w:pPr>
      <w:r>
        <w:rPr>
          <w:rStyle w:val="11"/>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w:t>
      </w:r>
      <w:r>
        <w:rPr>
          <w:rFonts w:hint="default" w:ascii="Times New Roman" w:hAnsi="Times New Roman" w:eastAsia="方正仿宋_GBK" w:cs="Times New Roman"/>
          <w:color w:val="auto"/>
          <w:sz w:val="32"/>
          <w:szCs w:val="32"/>
        </w:rPr>
        <w:t>20317.00</w:t>
      </w:r>
      <w:r>
        <w:rPr>
          <w:rFonts w:hint="default" w:ascii="Times New Roman" w:hAnsi="Times New Roman" w:eastAsia="方正仿宋_GBK" w:cs="Times New Roman"/>
          <w:color w:val="auto"/>
          <w:sz w:val="32"/>
          <w:szCs w:val="32"/>
          <w:shd w:val="clear" w:color="auto" w:fill="FFFFFF"/>
        </w:rPr>
        <w:t>万元，与2023年度相比，增加2825.21万元，增长16.2%。主要原因是</w:t>
      </w:r>
      <w:r>
        <w:rPr>
          <w:rFonts w:hint="default" w:ascii="Times New Roman" w:hAnsi="Times New Roman" w:eastAsia="方正仿宋_GBK" w:cs="Times New Roman"/>
          <w:color w:val="auto"/>
          <w:sz w:val="32"/>
          <w:szCs w:val="32"/>
          <w:shd w:val="clear" w:color="auto" w:fill="FFFFFF"/>
          <w:lang w:eastAsia="zh-CN"/>
        </w:rPr>
        <w:t>本年</w:t>
      </w:r>
      <w:r>
        <w:rPr>
          <w:rFonts w:hint="default" w:ascii="Times New Roman" w:hAnsi="Times New Roman" w:eastAsia="方正仿宋_GBK" w:cs="Times New Roman"/>
          <w:color w:val="auto"/>
          <w:sz w:val="32"/>
          <w:szCs w:val="32"/>
          <w:shd w:val="clear" w:color="auto" w:fill="FFFFFF"/>
          <w:lang w:val="en-US" w:eastAsia="zh-CN"/>
        </w:rPr>
        <w:t>A区改扩建工程继续进行，项目经费增加。</w:t>
      </w:r>
      <w:r>
        <w:rPr>
          <w:rFonts w:hint="default" w:ascii="Times New Roman" w:hAnsi="Times New Roman" w:eastAsia="方正仿宋_GBK" w:cs="Times New Roman"/>
          <w:color w:val="auto"/>
          <w:sz w:val="32"/>
          <w:szCs w:val="32"/>
          <w:shd w:val="clear" w:color="auto" w:fill="FFFFFF"/>
        </w:rPr>
        <w:t>较年初预算数增加4318.29万元，增长27.0%。主要原因是</w:t>
      </w:r>
      <w:bookmarkStart w:id="0" w:name="OLE_LINK1"/>
      <w:r>
        <w:rPr>
          <w:rFonts w:hint="default" w:ascii="Times New Roman" w:hAnsi="Times New Roman" w:eastAsia="方正仿宋_GBK" w:cs="Times New Roman"/>
          <w:color w:val="auto"/>
          <w:sz w:val="32"/>
          <w:szCs w:val="32"/>
          <w:shd w:val="clear" w:color="auto" w:fill="FFFFFF"/>
          <w:lang w:eastAsia="zh-CN"/>
        </w:rPr>
        <w:t>本年</w:t>
      </w:r>
      <w:r>
        <w:rPr>
          <w:rFonts w:hint="default" w:ascii="Times New Roman" w:hAnsi="Times New Roman" w:eastAsia="方正仿宋_GBK" w:cs="Times New Roman"/>
          <w:color w:val="auto"/>
          <w:sz w:val="32"/>
          <w:szCs w:val="32"/>
          <w:shd w:val="clear" w:color="auto" w:fill="FFFFFF"/>
          <w:lang w:val="en-US" w:eastAsia="zh-CN"/>
        </w:rPr>
        <w:t>A区改扩建工程继续进行，项目经费增加。</w:t>
      </w:r>
      <w:bookmarkEnd w:id="0"/>
    </w:p>
    <w:p w14:paraId="2E6DB822">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3" w:firstLineChars="200"/>
        <w:jc w:val="both"/>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w:t>
      </w:r>
      <w:r>
        <w:rPr>
          <w:rFonts w:hint="default" w:ascii="Times New Roman" w:hAnsi="Times New Roman" w:eastAsia="方正仿宋_GBK" w:cs="Times New Roman"/>
          <w:color w:val="auto"/>
          <w:sz w:val="32"/>
          <w:szCs w:val="32"/>
          <w:shd w:val="clear" w:color="auto" w:fill="FFFFFF"/>
          <w:lang w:val="en-US" w:eastAsia="zh-CN"/>
        </w:rPr>
        <w:t>无</w:t>
      </w:r>
      <w:r>
        <w:rPr>
          <w:rFonts w:hint="default" w:ascii="Times New Roman" w:hAnsi="Times New Roman" w:eastAsia="方正仿宋_GBK" w:cs="Times New Roman"/>
          <w:color w:val="auto"/>
          <w:sz w:val="32"/>
          <w:szCs w:val="32"/>
          <w:shd w:val="clear" w:color="auto" w:fill="FFFFFF"/>
        </w:rPr>
        <w:t>一般公共预算财政拨款结转和结余，与2023年度相比，无增减，主要原因是</w:t>
      </w:r>
      <w:r>
        <w:rPr>
          <w:rFonts w:hint="default" w:ascii="Times New Roman" w:hAnsi="Times New Roman" w:eastAsia="方正仿宋_GBK" w:cs="Times New Roman"/>
          <w:color w:val="auto"/>
          <w:sz w:val="32"/>
          <w:szCs w:val="32"/>
          <w:shd w:val="clear" w:color="auto" w:fill="FFFFFF"/>
          <w:lang w:eastAsia="zh-CN"/>
        </w:rPr>
        <w:t>收支平衡。</w:t>
      </w:r>
    </w:p>
    <w:p w14:paraId="6F92181C">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3" w:firstLineChars="200"/>
        <w:jc w:val="both"/>
        <w:rPr>
          <w:rFonts w:hint="default" w:ascii="Times New Roman" w:hAnsi="Times New Roman" w:eastAsia="方正仿宋_GBK" w:cs="Times New Roman"/>
          <w:color w:val="auto"/>
          <w:sz w:val="32"/>
          <w:szCs w:val="32"/>
          <w:highlight w:val="cyan"/>
          <w:shd w:val="clear" w:color="auto" w:fill="FFFFFF"/>
        </w:rPr>
      </w:pPr>
      <w:r>
        <w:rPr>
          <w:rStyle w:val="11"/>
          <w:rFonts w:hint="default" w:ascii="Times New Roman" w:hAnsi="Times New Roman" w:eastAsia="方正仿宋_GBK" w:cs="Times New Roman"/>
          <w:color w:val="auto"/>
          <w:sz w:val="32"/>
          <w:szCs w:val="32"/>
          <w:shd w:val="clear" w:color="auto" w:fill="FFFFFF"/>
        </w:rPr>
        <w:t xml:space="preserve"> 4.比较情况。</w:t>
      </w: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单位2024年</w:t>
      </w:r>
      <w:r>
        <w:rPr>
          <w:rFonts w:hint="default" w:ascii="Times New Roman" w:hAnsi="Times New Roman" w:eastAsia="方正仿宋_GBK" w:cs="Times New Roman"/>
          <w:color w:val="auto"/>
          <w:sz w:val="32"/>
          <w:szCs w:val="32"/>
          <w:shd w:val="clear" w:color="auto" w:fill="FFFFFF"/>
        </w:rPr>
        <w:t>度一般公共预算财政拨款支出主要用于以下几个方面：</w:t>
      </w:r>
    </w:p>
    <w:p w14:paraId="0ABDAD33">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（1）一般公共服务支出</w:t>
      </w:r>
      <w:r>
        <w:rPr>
          <w:rFonts w:hint="default" w:ascii="Times New Roman" w:hAnsi="Times New Roman" w:eastAsia="方正仿宋_GBK" w:cs="Times New Roman"/>
          <w:color w:val="auto"/>
          <w:sz w:val="32"/>
          <w:szCs w:val="32"/>
        </w:rPr>
        <w:t>5.58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0.03</w:t>
      </w:r>
      <w:r>
        <w:rPr>
          <w:rFonts w:hint="default" w:ascii="Times New Roman" w:hAnsi="Times New Roman" w:eastAsia="方正仿宋_GBK" w:cs="Times New Roman"/>
          <w:color w:val="auto"/>
          <w:sz w:val="32"/>
          <w:szCs w:val="32"/>
          <w:shd w:val="clear" w:color="auto" w:fill="FFFFFF"/>
        </w:rPr>
        <w:t>%，较年初预算数增加5.58万元，增长100.0%，主要原因是</w:t>
      </w:r>
      <w:r>
        <w:rPr>
          <w:rFonts w:hint="eastAsia" w:ascii="Times New Roman" w:hAnsi="Times New Roman" w:eastAsia="方正仿宋_GBK" w:cs="Times New Roman"/>
          <w:color w:val="auto"/>
          <w:sz w:val="32"/>
          <w:szCs w:val="32"/>
          <w:shd w:val="clear" w:color="auto" w:fill="FFFFFF"/>
          <w:lang w:val="en-US" w:eastAsia="zh-CN"/>
        </w:rPr>
        <w:t>其他部门拨付</w:t>
      </w:r>
      <w:r>
        <w:rPr>
          <w:rFonts w:hint="default" w:ascii="Times New Roman" w:hAnsi="Times New Roman" w:eastAsia="方正仿宋_GBK" w:cs="Times New Roman"/>
          <w:color w:val="auto"/>
          <w:sz w:val="32"/>
          <w:szCs w:val="32"/>
          <w:shd w:val="clear" w:color="auto" w:fill="FFFFFF"/>
          <w:lang w:val="en-US" w:eastAsia="zh-CN"/>
        </w:rPr>
        <w:t>2024年遴选公务员、事业单位工作人员笔试考务费项目。</w:t>
      </w:r>
    </w:p>
    <w:p w14:paraId="7D162528">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）教育支出</w:t>
      </w:r>
      <w:r>
        <w:rPr>
          <w:rFonts w:hint="default" w:ascii="Times New Roman" w:hAnsi="Times New Roman" w:eastAsia="方正仿宋_GBK" w:cs="Times New Roman"/>
          <w:color w:val="auto"/>
          <w:sz w:val="32"/>
          <w:szCs w:val="32"/>
        </w:rPr>
        <w:t>16977.97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83.57</w:t>
      </w:r>
      <w:r>
        <w:rPr>
          <w:rFonts w:hint="default" w:ascii="Times New Roman" w:hAnsi="Times New Roman" w:eastAsia="方正仿宋_GBK" w:cs="Times New Roman"/>
          <w:color w:val="auto"/>
          <w:sz w:val="32"/>
          <w:szCs w:val="32"/>
          <w:shd w:val="clear" w:color="auto" w:fill="FFFFFF"/>
        </w:rPr>
        <w:t>%，较年初预算数增加4582.53万元，增长37.0%，主要原因是</w:t>
      </w:r>
      <w:r>
        <w:rPr>
          <w:rFonts w:hint="default" w:ascii="Times New Roman" w:hAnsi="Times New Roman" w:eastAsia="方正仿宋_GBK" w:cs="Times New Roman"/>
          <w:color w:val="auto"/>
          <w:sz w:val="32"/>
          <w:szCs w:val="32"/>
          <w:shd w:val="clear" w:color="auto" w:fill="FFFFFF"/>
          <w:lang w:eastAsia="zh-CN"/>
        </w:rPr>
        <w:t>本年</w:t>
      </w:r>
      <w:r>
        <w:rPr>
          <w:rFonts w:hint="default" w:ascii="Times New Roman" w:hAnsi="Times New Roman" w:eastAsia="方正仿宋_GBK" w:cs="Times New Roman"/>
          <w:color w:val="auto"/>
          <w:sz w:val="32"/>
          <w:szCs w:val="32"/>
          <w:shd w:val="clear" w:color="auto" w:fill="FFFFFF"/>
          <w:lang w:val="en-US" w:eastAsia="zh-CN"/>
        </w:rPr>
        <w:t>A区改扩建工程继续进行，项目经费增加。</w:t>
      </w:r>
      <w:r>
        <w:rPr>
          <w:rFonts w:hint="default" w:ascii="Times New Roman" w:hAnsi="Times New Roman" w:eastAsia="方正仿宋_GBK" w:cs="Times New Roman"/>
          <w:color w:val="auto"/>
          <w:sz w:val="32"/>
          <w:szCs w:val="32"/>
          <w:shd w:val="clear" w:color="auto" w:fill="FFFFFF"/>
        </w:rPr>
        <w:t xml:space="preserve"> </w:t>
      </w:r>
    </w:p>
    <w:p w14:paraId="25B8A1E4">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）科学技术支出</w:t>
      </w:r>
      <w:r>
        <w:rPr>
          <w:rFonts w:hint="default" w:ascii="Times New Roman" w:hAnsi="Times New Roman" w:eastAsia="方正仿宋_GBK" w:cs="Times New Roman"/>
          <w:color w:val="auto"/>
          <w:sz w:val="32"/>
          <w:szCs w:val="32"/>
        </w:rPr>
        <w:t>1.00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%，较年初预算数增加1.00万元，增长100.0%，主要原因是</w:t>
      </w:r>
      <w:r>
        <w:rPr>
          <w:rFonts w:hint="eastAsia" w:ascii="Times New Roman" w:hAnsi="Times New Roman" w:eastAsia="方正仿宋_GBK" w:cs="Times New Roman"/>
          <w:color w:val="auto"/>
          <w:sz w:val="32"/>
          <w:szCs w:val="32"/>
          <w:shd w:val="clear" w:color="auto" w:fill="FFFFFF"/>
          <w:lang w:val="en-US" w:eastAsia="zh-CN"/>
        </w:rPr>
        <w:t>其他部门拨付</w:t>
      </w:r>
      <w:r>
        <w:rPr>
          <w:rFonts w:hint="default" w:ascii="Times New Roman" w:hAnsi="Times New Roman" w:eastAsia="方正仿宋_GBK" w:cs="Times New Roman"/>
          <w:color w:val="auto"/>
          <w:sz w:val="32"/>
          <w:szCs w:val="32"/>
          <w:shd w:val="clear" w:color="auto" w:fill="FFFFFF"/>
          <w:lang w:val="en-US" w:eastAsia="zh-CN"/>
        </w:rPr>
        <w:t>科技传播与普及项目</w:t>
      </w:r>
      <w:r>
        <w:rPr>
          <w:rFonts w:hint="eastAsia" w:ascii="Times New Roman" w:hAnsi="Times New Roman" w:eastAsia="方正仿宋_GBK" w:cs="Times New Roman"/>
          <w:color w:val="auto"/>
          <w:sz w:val="32"/>
          <w:szCs w:val="32"/>
          <w:shd w:val="clear" w:color="auto" w:fill="FFFFFF"/>
          <w:lang w:val="en-US" w:eastAsia="zh-CN"/>
        </w:rPr>
        <w:t>经费</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 xml:space="preserve"> </w:t>
      </w:r>
    </w:p>
    <w:p w14:paraId="06DFCFCB">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1689.93</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8.32</w:t>
      </w:r>
      <w:r>
        <w:rPr>
          <w:rFonts w:hint="default" w:ascii="Times New Roman" w:hAnsi="Times New Roman" w:eastAsia="方正仿宋_GBK" w:cs="Times New Roman"/>
          <w:color w:val="auto"/>
          <w:sz w:val="32"/>
          <w:szCs w:val="32"/>
          <w:shd w:val="clear" w:color="auto" w:fill="FFFFFF"/>
        </w:rPr>
        <w:t>%，较年初预算数减少306.79万元，下降15.4%，主要原因是</w:t>
      </w:r>
      <w:r>
        <w:rPr>
          <w:rFonts w:hint="eastAsia" w:ascii="Times New Roman" w:hAnsi="Times New Roman" w:eastAsia="方正仿宋_GBK" w:cs="Times New Roman"/>
          <w:color w:val="auto"/>
          <w:sz w:val="32"/>
          <w:szCs w:val="32"/>
          <w:shd w:val="clear" w:color="auto" w:fill="FFFFFF"/>
          <w:lang w:val="en-US" w:eastAsia="zh-CN"/>
        </w:rPr>
        <w:t>政策性调整</w:t>
      </w:r>
      <w:r>
        <w:rPr>
          <w:rFonts w:hint="default" w:ascii="Times New Roman" w:hAnsi="Times New Roman" w:eastAsia="方正仿宋_GBK" w:cs="Times New Roman"/>
          <w:color w:val="auto"/>
          <w:sz w:val="32"/>
          <w:szCs w:val="32"/>
          <w:shd w:val="clear" w:color="auto" w:fill="FFFFFF"/>
          <w:lang w:eastAsia="zh-CN"/>
        </w:rPr>
        <w:t>。</w:t>
      </w:r>
    </w:p>
    <w:p w14:paraId="7E57B89E">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608.37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2.99</w:t>
      </w:r>
      <w:r>
        <w:rPr>
          <w:rFonts w:hint="default" w:ascii="Times New Roman" w:hAnsi="Times New Roman" w:eastAsia="方正仿宋_GBK" w:cs="Times New Roman"/>
          <w:color w:val="auto"/>
          <w:sz w:val="32"/>
          <w:szCs w:val="32"/>
          <w:shd w:val="clear" w:color="auto" w:fill="FFFFFF"/>
        </w:rPr>
        <w:t>%，较年初预算数增加3.84万元，增长0.6%，主要原因是</w:t>
      </w:r>
      <w:r>
        <w:rPr>
          <w:rFonts w:hint="default" w:ascii="Times New Roman" w:hAnsi="Times New Roman" w:eastAsia="方正仿宋_GBK" w:cs="Times New Roman"/>
          <w:color w:val="auto"/>
          <w:sz w:val="32"/>
          <w:szCs w:val="32"/>
          <w:shd w:val="clear" w:color="auto" w:fill="FFFFFF"/>
          <w:lang w:eastAsia="zh-CN"/>
        </w:rPr>
        <w:t>人员变动导致</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shd w:val="clear" w:color="auto" w:fill="FFFFFF"/>
          <w:lang w:eastAsia="zh-CN"/>
        </w:rPr>
        <w:t>增加。</w:t>
      </w:r>
    </w:p>
    <w:p w14:paraId="2B216945">
      <w:pPr>
        <w:keepNext w:val="0"/>
        <w:keepLines w:val="0"/>
        <w:pageBreakBefore w:val="0"/>
        <w:widowControl/>
        <w:kinsoku/>
        <w:wordWrap/>
        <w:overflowPunct/>
        <w:topLinePunct w:val="0"/>
        <w:autoSpaceDN/>
        <w:bidi w:val="0"/>
        <w:spacing w:beforeAutospacing="0" w:afterAutospacing="0" w:line="600" w:lineRule="atLeas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住房保障支出1034.15</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5.09</w:t>
      </w:r>
      <w:r>
        <w:rPr>
          <w:rFonts w:hint="default" w:ascii="Times New Roman" w:hAnsi="Times New Roman" w:eastAsia="方正仿宋_GBK" w:cs="Times New Roman"/>
          <w:color w:val="auto"/>
          <w:sz w:val="32"/>
          <w:szCs w:val="32"/>
          <w:shd w:val="clear" w:color="auto" w:fill="FFFFFF"/>
        </w:rPr>
        <w:t>%，较年初预算数增加32.13万元，增长3.2%，主要原因是</w:t>
      </w:r>
      <w:r>
        <w:rPr>
          <w:rFonts w:hint="default" w:ascii="Times New Roman" w:hAnsi="Times New Roman" w:eastAsia="方正仿宋_GBK" w:cs="Times New Roman"/>
          <w:color w:val="auto"/>
          <w:sz w:val="32"/>
          <w:szCs w:val="32"/>
          <w:shd w:val="clear" w:color="auto" w:fill="FFFFFF"/>
          <w:lang w:eastAsia="zh-CN"/>
        </w:rPr>
        <w:t>购房补贴补发导致</w:t>
      </w:r>
      <w:r>
        <w:rPr>
          <w:rFonts w:hint="default" w:ascii="Times New Roman" w:hAnsi="Times New Roman" w:eastAsia="方正仿宋_GBK" w:cs="Times New Roman"/>
          <w:color w:val="auto"/>
          <w:sz w:val="32"/>
          <w:szCs w:val="32"/>
        </w:rPr>
        <w:t>住房保障支出</w:t>
      </w:r>
      <w:r>
        <w:rPr>
          <w:rFonts w:hint="default" w:ascii="Times New Roman" w:hAnsi="Times New Roman" w:eastAsia="方正仿宋_GBK" w:cs="Times New Roman"/>
          <w:color w:val="auto"/>
          <w:sz w:val="32"/>
          <w:szCs w:val="32"/>
          <w:lang w:eastAsia="zh-CN"/>
        </w:rPr>
        <w:t>增加。</w:t>
      </w:r>
      <w:r>
        <w:rPr>
          <w:rFonts w:hint="default" w:ascii="Times New Roman" w:hAnsi="Times New Roman" w:eastAsia="方正仿宋_GBK" w:cs="Times New Roman"/>
          <w:color w:val="auto"/>
          <w:sz w:val="32"/>
          <w:szCs w:val="32"/>
          <w:shd w:val="clear" w:color="auto" w:fill="FFFFFF"/>
        </w:rPr>
        <w:t xml:space="preserve"> </w:t>
      </w:r>
    </w:p>
    <w:p w14:paraId="64D23878">
      <w:pPr>
        <w:pStyle w:val="12"/>
        <w:keepNext w:val="0"/>
        <w:keepLines w:val="0"/>
        <w:pageBreakBefore w:val="0"/>
        <w:widowControl/>
        <w:kinsoku/>
        <w:wordWrap/>
        <w:overflowPunct/>
        <w:topLinePunct w:val="0"/>
        <w:autoSpaceDE w:val="0"/>
        <w:autoSpaceDN/>
        <w:bidi w:val="0"/>
        <w:spacing w:beforeAutospacing="0" w:afterAutospacing="0" w:line="600" w:lineRule="atLeast"/>
        <w:ind w:firstLine="643"/>
        <w:jc w:val="both"/>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（四）一般公共预算财政拨款基本支出决算情况说明</w:t>
      </w:r>
    </w:p>
    <w:p w14:paraId="0C31548D">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度一般公共财政拨款基本支出</w:t>
      </w:r>
      <w:r>
        <w:rPr>
          <w:rFonts w:hint="default" w:ascii="Times New Roman" w:hAnsi="Times New Roman" w:eastAsia="方正仿宋_GBK" w:cs="Times New Roman"/>
          <w:color w:val="auto"/>
          <w:sz w:val="32"/>
          <w:szCs w:val="32"/>
        </w:rPr>
        <w:t>13500.88</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11753.44</w:t>
      </w:r>
      <w:r>
        <w:rPr>
          <w:rFonts w:hint="default" w:ascii="Times New Roman" w:hAnsi="Times New Roman" w:eastAsia="方正仿宋_GBK" w:cs="Times New Roman"/>
          <w:color w:val="auto"/>
          <w:sz w:val="32"/>
          <w:szCs w:val="32"/>
          <w:shd w:val="clear" w:color="auto" w:fill="FFFFFF"/>
        </w:rPr>
        <w:t>万元，与2023年度相比，减少443.96万元，下降3.6%，主要原因是</w:t>
      </w:r>
      <w:r>
        <w:rPr>
          <w:rFonts w:hint="default" w:ascii="Times New Roman" w:hAnsi="Times New Roman" w:eastAsia="方正仿宋_GBK" w:cs="Times New Roman"/>
          <w:color w:val="auto"/>
          <w:sz w:val="32"/>
          <w:szCs w:val="32"/>
          <w:shd w:val="clear" w:color="auto" w:fill="FFFFFF"/>
          <w:lang w:val="en-US" w:eastAsia="zh-CN"/>
        </w:rPr>
        <w:t>职业年金、养老保险政策性补缴经费相较于2023年减少</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eastAsia="zh-CN"/>
        </w:rPr>
        <w:t>基本工资、津贴补贴、伙食补助费、绩效工资、社会保障缴费、对个人和家庭的补助。</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1747.44</w:t>
      </w:r>
      <w:r>
        <w:rPr>
          <w:rFonts w:hint="default" w:ascii="Times New Roman" w:hAnsi="Times New Roman" w:eastAsia="方正仿宋_GBK" w:cs="Times New Roman"/>
          <w:color w:val="auto"/>
          <w:sz w:val="32"/>
          <w:szCs w:val="32"/>
          <w:shd w:val="clear" w:color="auto" w:fill="FFFFFF"/>
        </w:rPr>
        <w:t>万元，与2023年度相比，减少70.03万元，下降3.9%，主要原因是公用经费中设备购置费减少。公用经费用途主要包括办公费、印刷费、水费、电费、邮电费、物业管理费、差旅费、维修（护）费、会议费、培训费、专用材料费、劳务费、工会经费、福利费、公务用车运行维护费、其他商品和服务支出。</w:t>
      </w:r>
    </w:p>
    <w:p w14:paraId="48E7F1E5">
      <w:pPr>
        <w:pStyle w:val="12"/>
        <w:keepNext w:val="0"/>
        <w:keepLines w:val="0"/>
        <w:pageBreakBefore w:val="0"/>
        <w:widowControl/>
        <w:kinsoku/>
        <w:wordWrap/>
        <w:overflowPunct/>
        <w:topLinePunct w:val="0"/>
        <w:autoSpaceDE w:val="0"/>
        <w:autoSpaceDN/>
        <w:bidi w:val="0"/>
        <w:spacing w:beforeAutospacing="0" w:afterAutospacing="0" w:line="600" w:lineRule="atLeast"/>
        <w:ind w:firstLine="643"/>
        <w:jc w:val="both"/>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（五）政府性基金预算收支决算情况说明</w:t>
      </w:r>
    </w:p>
    <w:p w14:paraId="0A427A5F">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度政府性基金预算财政拨款年初结转结余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万元，年末结转结余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万元。本年收入</w:t>
      </w:r>
      <w:r>
        <w:rPr>
          <w:rFonts w:hint="default" w:ascii="Times New Roman" w:hAnsi="Times New Roman" w:eastAsia="方正仿宋_GBK" w:cs="Times New Roman"/>
          <w:color w:val="auto"/>
          <w:sz w:val="32"/>
          <w:szCs w:val="32"/>
        </w:rPr>
        <w:t>3322.00</w:t>
      </w:r>
      <w:r>
        <w:rPr>
          <w:rFonts w:hint="default" w:ascii="Times New Roman" w:hAnsi="Times New Roman" w:eastAsia="方正仿宋_GBK" w:cs="Times New Roman"/>
          <w:color w:val="auto"/>
          <w:sz w:val="32"/>
          <w:szCs w:val="32"/>
          <w:shd w:val="clear" w:color="auto" w:fill="FFFFFF"/>
        </w:rPr>
        <w:t>万元，与2023年度相比，增加2490.43万元，增长299.5%，主要原因是</w:t>
      </w:r>
      <w:bookmarkStart w:id="1" w:name="OLE_LINK2"/>
      <w:r>
        <w:rPr>
          <w:rFonts w:hint="default" w:ascii="Times New Roman" w:hAnsi="Times New Roman" w:eastAsia="方正仿宋_GBK" w:cs="Times New Roman"/>
          <w:color w:val="auto"/>
          <w:sz w:val="32"/>
          <w:szCs w:val="32"/>
          <w:shd w:val="clear" w:color="auto" w:fill="FFFFFF"/>
          <w:lang w:eastAsia="zh-CN"/>
        </w:rPr>
        <w:t>本年</w:t>
      </w:r>
      <w:r>
        <w:rPr>
          <w:rFonts w:hint="default" w:ascii="Times New Roman" w:hAnsi="Times New Roman" w:eastAsia="方正仿宋_GBK" w:cs="Times New Roman"/>
          <w:color w:val="auto"/>
          <w:sz w:val="32"/>
          <w:szCs w:val="32"/>
          <w:shd w:val="clear" w:color="auto" w:fill="FFFFFF"/>
        </w:rPr>
        <w:t>政府性基金预算财政拨款</w:t>
      </w:r>
      <w:r>
        <w:rPr>
          <w:rFonts w:hint="default" w:ascii="Times New Roman" w:hAnsi="Times New Roman" w:eastAsia="方正仿宋_GBK" w:cs="Times New Roman"/>
          <w:color w:val="auto"/>
          <w:sz w:val="32"/>
          <w:szCs w:val="32"/>
          <w:shd w:val="clear" w:color="auto" w:fill="FFFFFF"/>
          <w:lang w:eastAsia="zh-CN"/>
        </w:rPr>
        <w:t>安排的</w:t>
      </w:r>
      <w:r>
        <w:rPr>
          <w:rFonts w:hint="default" w:ascii="Times New Roman" w:hAnsi="Times New Roman" w:eastAsia="方正仿宋_GBK" w:cs="Times New Roman"/>
          <w:color w:val="auto"/>
          <w:sz w:val="32"/>
          <w:szCs w:val="32"/>
          <w:shd w:val="clear" w:color="auto" w:fill="FFFFFF"/>
          <w:lang w:val="en-US" w:eastAsia="zh-CN"/>
        </w:rPr>
        <w:t>A区改扩建项目工程款增加</w:t>
      </w:r>
      <w:r>
        <w:rPr>
          <w:rFonts w:hint="default" w:ascii="Times New Roman" w:hAnsi="Times New Roman" w:eastAsia="方正仿宋_GBK" w:cs="Times New Roman"/>
          <w:color w:val="auto"/>
          <w:sz w:val="32"/>
          <w:szCs w:val="32"/>
          <w:shd w:val="clear" w:color="auto" w:fill="FFFFFF"/>
          <w:lang w:eastAsia="zh-CN"/>
        </w:rPr>
        <w:t>。</w:t>
      </w:r>
      <w:bookmarkEnd w:id="1"/>
      <w:r>
        <w:rPr>
          <w:rFonts w:hint="default" w:ascii="Times New Roman" w:hAnsi="Times New Roman" w:eastAsia="方正仿宋_GBK" w:cs="Times New Roman"/>
          <w:color w:val="auto"/>
          <w:sz w:val="32"/>
          <w:szCs w:val="32"/>
          <w:shd w:val="clear" w:color="auto" w:fill="FFFFFF"/>
        </w:rPr>
        <w:t>本年支出</w:t>
      </w:r>
      <w:r>
        <w:rPr>
          <w:rFonts w:hint="default" w:ascii="Times New Roman" w:hAnsi="Times New Roman" w:eastAsia="方正仿宋_GBK" w:cs="Times New Roman"/>
          <w:color w:val="auto"/>
          <w:sz w:val="32"/>
          <w:szCs w:val="32"/>
        </w:rPr>
        <w:t>3322.00</w:t>
      </w:r>
      <w:r>
        <w:rPr>
          <w:rFonts w:hint="default" w:ascii="Times New Roman" w:hAnsi="Times New Roman" w:eastAsia="方正仿宋_GBK" w:cs="Times New Roman"/>
          <w:color w:val="auto"/>
          <w:sz w:val="32"/>
          <w:szCs w:val="32"/>
          <w:shd w:val="clear" w:color="auto" w:fill="FFFFFF"/>
        </w:rPr>
        <w:t>万元，与2023年度相比，增加2490.43万元，增长299.5%，主要原因是</w:t>
      </w:r>
      <w:r>
        <w:rPr>
          <w:rFonts w:hint="default" w:ascii="Times New Roman" w:hAnsi="Times New Roman" w:eastAsia="方正仿宋_GBK" w:cs="Times New Roman"/>
          <w:color w:val="auto"/>
          <w:sz w:val="32"/>
          <w:szCs w:val="32"/>
          <w:shd w:val="clear" w:color="auto" w:fill="FFFFFF"/>
          <w:lang w:eastAsia="zh-CN"/>
        </w:rPr>
        <w:t>本年</w:t>
      </w:r>
      <w:r>
        <w:rPr>
          <w:rFonts w:hint="default" w:ascii="Times New Roman" w:hAnsi="Times New Roman" w:eastAsia="方正仿宋_GBK" w:cs="Times New Roman"/>
          <w:color w:val="auto"/>
          <w:sz w:val="32"/>
          <w:szCs w:val="32"/>
          <w:shd w:val="clear" w:color="auto" w:fill="FFFFFF"/>
        </w:rPr>
        <w:t>政府性基金预算财政拨款</w:t>
      </w:r>
      <w:r>
        <w:rPr>
          <w:rFonts w:hint="default" w:ascii="Times New Roman" w:hAnsi="Times New Roman" w:eastAsia="方正仿宋_GBK" w:cs="Times New Roman"/>
          <w:color w:val="auto"/>
          <w:sz w:val="32"/>
          <w:szCs w:val="32"/>
          <w:shd w:val="clear" w:color="auto" w:fill="FFFFFF"/>
          <w:lang w:eastAsia="zh-CN"/>
        </w:rPr>
        <w:t>安排的</w:t>
      </w:r>
      <w:r>
        <w:rPr>
          <w:rFonts w:hint="default" w:ascii="Times New Roman" w:hAnsi="Times New Roman" w:eastAsia="方正仿宋_GBK" w:cs="Times New Roman"/>
          <w:color w:val="auto"/>
          <w:sz w:val="32"/>
          <w:szCs w:val="32"/>
          <w:shd w:val="clear" w:color="auto" w:fill="FFFFFF"/>
          <w:lang w:val="en-US" w:eastAsia="zh-CN"/>
        </w:rPr>
        <w:t>A区改扩建项目工程款增加</w:t>
      </w:r>
      <w:r>
        <w:rPr>
          <w:rFonts w:hint="default" w:ascii="Times New Roman" w:hAnsi="Times New Roman" w:eastAsia="方正仿宋_GBK" w:cs="Times New Roman"/>
          <w:color w:val="auto"/>
          <w:sz w:val="32"/>
          <w:szCs w:val="32"/>
          <w:shd w:val="clear" w:color="auto" w:fill="FFFFFF"/>
          <w:lang w:eastAsia="zh-CN"/>
        </w:rPr>
        <w:t>。</w:t>
      </w:r>
    </w:p>
    <w:p w14:paraId="092EEA06">
      <w:pPr>
        <w:pStyle w:val="12"/>
        <w:keepNext w:val="0"/>
        <w:keepLines w:val="0"/>
        <w:pageBreakBefore w:val="0"/>
        <w:widowControl/>
        <w:kinsoku/>
        <w:wordWrap/>
        <w:overflowPunct/>
        <w:topLinePunct w:val="0"/>
        <w:autoSpaceDE w:val="0"/>
        <w:autoSpaceDN/>
        <w:bidi w:val="0"/>
        <w:adjustRightInd/>
        <w:spacing w:beforeAutospacing="0" w:afterAutospacing="0" w:line="600" w:lineRule="atLeast"/>
        <w:ind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（六）国有资本经营预算财政拨款支出决算情况说明</w:t>
      </w:r>
    </w:p>
    <w:p w14:paraId="2BD71991">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Style w:val="11"/>
          <w:rFonts w:hint="default" w:ascii="Times New Roman" w:hAnsi="Times New Roman" w:eastAsia="方正仿宋_GBK" w:cs="Times New Roman"/>
          <w:b w:val="0"/>
          <w:bCs w:val="0"/>
          <w:color w:val="auto"/>
          <w:sz w:val="32"/>
          <w:szCs w:val="32"/>
          <w:shd w:val="clear" w:color="auto" w:fill="FFFF00"/>
        </w:rPr>
      </w:pPr>
      <w:r>
        <w:rPr>
          <w:rFonts w:hint="default" w:ascii="Times New Roman" w:hAnsi="Times New Roman" w:eastAsia="方正仿宋_GBK" w:cs="Times New Roman"/>
          <w:b w:val="0"/>
          <w:bCs w:val="0"/>
          <w:color w:val="auto"/>
          <w:sz w:val="32"/>
          <w:szCs w:val="32"/>
          <w:shd w:val="clear" w:color="auto" w:fill="FFFFFF"/>
        </w:rPr>
        <w:t> </w:t>
      </w: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单位2024年</w:t>
      </w:r>
      <w:r>
        <w:rPr>
          <w:rFonts w:hint="default" w:ascii="Times New Roman" w:hAnsi="Times New Roman" w:eastAsia="方正仿宋_GBK" w:cs="Times New Roman"/>
          <w:color w:val="auto"/>
          <w:sz w:val="32"/>
          <w:szCs w:val="32"/>
          <w:shd w:val="clear" w:color="auto" w:fill="FFFFFF"/>
        </w:rPr>
        <w:t>度无国有资本经营预算财政拨款支出。</w:t>
      </w:r>
    </w:p>
    <w:p w14:paraId="4B3F3CA6">
      <w:pPr>
        <w:keepNext w:val="0"/>
        <w:keepLines w:val="0"/>
        <w:pageBreakBefore w:val="0"/>
        <w:widowControl/>
        <w:kinsoku/>
        <w:wordWrap/>
        <w:overflowPunct/>
        <w:topLinePunct w:val="0"/>
        <w:autoSpaceDN/>
        <w:bidi w:val="0"/>
        <w:adjustRightInd/>
        <w:spacing w:line="600" w:lineRule="atLeas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三、</w:t>
      </w:r>
      <w:r>
        <w:rPr>
          <w:rStyle w:val="11"/>
          <w:rFonts w:hint="default" w:ascii="Times New Roman" w:hAnsi="Times New Roman" w:eastAsia="方正黑体_GBK" w:cs="Times New Roman"/>
          <w:b w:val="0"/>
          <w:bCs/>
          <w:color w:val="auto"/>
          <w:sz w:val="32"/>
          <w:szCs w:val="32"/>
          <w:shd w:val="clear" w:color="auto" w:fill="FFFFFF"/>
          <w:lang w:eastAsia="zh-CN"/>
        </w:rPr>
        <w:t>财政拨款</w:t>
      </w:r>
      <w:r>
        <w:rPr>
          <w:rStyle w:val="11"/>
          <w:rFonts w:hint="eastAsia" w:ascii="Times New Roman" w:hAnsi="Times New Roman" w:eastAsia="方正黑体_GBK" w:cs="Times New Roman"/>
          <w:b w:val="0"/>
          <w:bCs/>
          <w:color w:val="auto"/>
          <w:sz w:val="32"/>
          <w:szCs w:val="32"/>
          <w:shd w:val="clear" w:color="auto" w:fill="FFFFFF"/>
          <w:lang w:eastAsia="zh-CN"/>
        </w:rPr>
        <w:t>“</w:t>
      </w:r>
      <w:r>
        <w:rPr>
          <w:rStyle w:val="11"/>
          <w:rFonts w:hint="default" w:ascii="Times New Roman" w:hAnsi="Times New Roman" w:eastAsia="方正黑体_GBK" w:cs="Times New Roman"/>
          <w:b w:val="0"/>
          <w:bCs/>
          <w:color w:val="auto"/>
          <w:sz w:val="32"/>
          <w:szCs w:val="32"/>
          <w:shd w:val="clear" w:color="auto" w:fill="FFFFFF"/>
        </w:rPr>
        <w:t>三公</w:t>
      </w:r>
      <w:r>
        <w:rPr>
          <w:rStyle w:val="11"/>
          <w:rFonts w:hint="eastAsia" w:ascii="Times New Roman" w:hAnsi="Times New Roman" w:eastAsia="方正黑体_GBK" w:cs="Times New Roman"/>
          <w:b w:val="0"/>
          <w:bCs/>
          <w:color w:val="auto"/>
          <w:sz w:val="32"/>
          <w:szCs w:val="32"/>
          <w:shd w:val="clear" w:color="auto" w:fill="FFFFFF"/>
          <w:lang w:eastAsia="zh-CN"/>
        </w:rPr>
        <w:t>”</w:t>
      </w:r>
      <w:r>
        <w:rPr>
          <w:rStyle w:val="11"/>
          <w:rFonts w:hint="default" w:ascii="Times New Roman" w:hAnsi="Times New Roman" w:eastAsia="方正黑体_GBK" w:cs="Times New Roman"/>
          <w:b w:val="0"/>
          <w:bCs/>
          <w:color w:val="auto"/>
          <w:sz w:val="32"/>
          <w:szCs w:val="32"/>
          <w:shd w:val="clear" w:color="auto" w:fill="FFFFFF"/>
        </w:rPr>
        <w:t>经费情况说明</w:t>
      </w:r>
    </w:p>
    <w:p w14:paraId="4242D8FB">
      <w:pPr>
        <w:pStyle w:val="12"/>
        <w:keepNext w:val="0"/>
        <w:keepLines w:val="0"/>
        <w:pageBreakBefore w:val="0"/>
        <w:widowControl/>
        <w:kinsoku/>
        <w:wordWrap/>
        <w:overflowPunct/>
        <w:topLinePunct w:val="0"/>
        <w:autoSpaceDE w:val="0"/>
        <w:autoSpaceDN/>
        <w:bidi w:val="0"/>
        <w:adjustRightInd/>
        <w:spacing w:beforeAutospacing="0" w:afterAutospacing="0" w:line="600" w:lineRule="atLeast"/>
        <w:ind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w:t>
      </w:r>
      <w:r>
        <w:rPr>
          <w:rFonts w:hint="eastAsia" w:ascii="Times New Roman" w:hAnsi="Times New Roman" w:eastAsia="方正楷体_GBK" w:cs="Times New Roman"/>
          <w:b w:val="0"/>
          <w:bCs w:val="0"/>
          <w:color w:val="auto"/>
          <w:sz w:val="32"/>
          <w:szCs w:val="32"/>
          <w:shd w:val="clear" w:color="auto" w:fill="FFFFFF"/>
          <w:lang w:eastAsia="zh-CN"/>
        </w:rPr>
        <w:t>“</w:t>
      </w:r>
      <w:r>
        <w:rPr>
          <w:rFonts w:hint="default" w:ascii="Times New Roman" w:hAnsi="Times New Roman" w:eastAsia="方正楷体_GBK" w:cs="Times New Roman"/>
          <w:b w:val="0"/>
          <w:bCs w:val="0"/>
          <w:color w:val="auto"/>
          <w:sz w:val="32"/>
          <w:szCs w:val="32"/>
          <w:shd w:val="clear" w:color="auto" w:fill="FFFFFF"/>
        </w:rPr>
        <w:t>三公</w:t>
      </w:r>
      <w:r>
        <w:rPr>
          <w:rFonts w:hint="eastAsia" w:ascii="Times New Roman" w:hAnsi="Times New Roman" w:eastAsia="方正楷体_GBK" w:cs="Times New Roman"/>
          <w:b w:val="0"/>
          <w:bCs w:val="0"/>
          <w:color w:val="auto"/>
          <w:sz w:val="32"/>
          <w:szCs w:val="32"/>
          <w:shd w:val="clear" w:color="auto" w:fill="FFFFFF"/>
          <w:lang w:eastAsia="zh-CN"/>
        </w:rPr>
        <w:t>”</w:t>
      </w:r>
      <w:r>
        <w:rPr>
          <w:rFonts w:hint="default" w:ascii="Times New Roman" w:hAnsi="Times New Roman" w:eastAsia="方正楷体_GBK" w:cs="Times New Roman"/>
          <w:b w:val="0"/>
          <w:bCs w:val="0"/>
          <w:color w:val="auto"/>
          <w:sz w:val="32"/>
          <w:szCs w:val="32"/>
          <w:shd w:val="clear" w:color="auto" w:fill="FFFFFF"/>
        </w:rPr>
        <w:t>经费支出总体情况说明</w:t>
      </w:r>
    </w:p>
    <w:p w14:paraId="587A62C9">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三公</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经费支出共计</w:t>
      </w:r>
      <w:r>
        <w:rPr>
          <w:rFonts w:hint="default" w:ascii="Times New Roman" w:hAnsi="Times New Roman" w:eastAsia="方正仿宋_GBK" w:cs="Times New Roman"/>
          <w:color w:val="auto"/>
          <w:sz w:val="32"/>
          <w:szCs w:val="32"/>
        </w:rPr>
        <w:t>4.20</w:t>
      </w:r>
      <w:r>
        <w:rPr>
          <w:rFonts w:hint="default" w:ascii="Times New Roman" w:hAnsi="Times New Roman" w:eastAsia="方正仿宋_GBK" w:cs="Times New Roman"/>
          <w:color w:val="auto"/>
          <w:sz w:val="32"/>
          <w:szCs w:val="32"/>
          <w:shd w:val="clear" w:color="auto" w:fill="FFFFFF"/>
        </w:rPr>
        <w:t>万元，较年初预算数无增减，主要原因是</w:t>
      </w:r>
      <w:r>
        <w:rPr>
          <w:rFonts w:hint="default" w:ascii="Times New Roman" w:hAnsi="Times New Roman" w:eastAsia="方正仿宋_GBK" w:cs="Times New Roman"/>
          <w:color w:val="auto"/>
          <w:sz w:val="32"/>
          <w:szCs w:val="32"/>
          <w:shd w:val="clear" w:color="auto" w:fill="FFFFFF"/>
          <w:lang w:eastAsia="zh-CN"/>
        </w:rPr>
        <w:t>严格控制</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三公</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经费，按预算金额支出。</w:t>
      </w:r>
      <w:r>
        <w:rPr>
          <w:rFonts w:hint="default" w:ascii="Times New Roman" w:hAnsi="Times New Roman" w:eastAsia="方正仿宋_GBK" w:cs="Times New Roman"/>
          <w:color w:val="auto"/>
          <w:sz w:val="32"/>
          <w:szCs w:val="32"/>
          <w:shd w:val="clear" w:color="auto" w:fill="FFFFFF"/>
        </w:rPr>
        <w:t>较上年支出数减少0.03万元，下降0.7%，主要原因是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认真贯彻落实中央八项规定精神和厉行节约要求，严格控制公务用车运行维护费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与上年基本持平</w:t>
      </w:r>
      <w:r>
        <w:rPr>
          <w:rFonts w:hint="default" w:ascii="Times New Roman" w:hAnsi="Times New Roman" w:eastAsia="方正仿宋_GBK" w:cs="Times New Roman"/>
          <w:color w:val="auto"/>
          <w:sz w:val="32"/>
          <w:szCs w:val="32"/>
          <w:shd w:val="clear" w:color="auto" w:fill="FFFFFF"/>
        </w:rPr>
        <w:t>。</w:t>
      </w:r>
    </w:p>
    <w:p w14:paraId="6BD6B1D0">
      <w:pPr>
        <w:pStyle w:val="12"/>
        <w:keepNext w:val="0"/>
        <w:keepLines w:val="0"/>
        <w:pageBreakBefore w:val="0"/>
        <w:widowControl/>
        <w:kinsoku/>
        <w:wordWrap/>
        <w:overflowPunct/>
        <w:topLinePunct w:val="0"/>
        <w:autoSpaceDE w:val="0"/>
        <w:autoSpaceDN/>
        <w:bidi w:val="0"/>
        <w:spacing w:beforeAutospacing="0" w:afterAutospacing="0" w:line="600" w:lineRule="atLeast"/>
        <w:ind w:firstLine="643"/>
        <w:jc w:val="both"/>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w:t>
      </w:r>
      <w:r>
        <w:rPr>
          <w:rFonts w:hint="eastAsia" w:ascii="Times New Roman" w:hAnsi="Times New Roman" w:eastAsia="方正楷体_GBK" w:cs="Times New Roman"/>
          <w:b w:val="0"/>
          <w:bCs w:val="0"/>
          <w:color w:val="auto"/>
          <w:sz w:val="32"/>
          <w:szCs w:val="32"/>
          <w:shd w:val="clear" w:color="auto" w:fill="FFFFFF"/>
          <w:lang w:eastAsia="zh-CN"/>
        </w:rPr>
        <w:t>“</w:t>
      </w:r>
      <w:r>
        <w:rPr>
          <w:rFonts w:hint="default" w:ascii="Times New Roman" w:hAnsi="Times New Roman" w:eastAsia="方正楷体_GBK" w:cs="Times New Roman"/>
          <w:b w:val="0"/>
          <w:bCs w:val="0"/>
          <w:color w:val="auto"/>
          <w:sz w:val="32"/>
          <w:szCs w:val="32"/>
          <w:shd w:val="clear" w:color="auto" w:fill="FFFFFF"/>
        </w:rPr>
        <w:t>三公</w:t>
      </w:r>
      <w:r>
        <w:rPr>
          <w:rFonts w:hint="eastAsia" w:ascii="Times New Roman" w:hAnsi="Times New Roman" w:eastAsia="方正楷体_GBK" w:cs="Times New Roman"/>
          <w:b w:val="0"/>
          <w:bCs w:val="0"/>
          <w:color w:val="auto"/>
          <w:sz w:val="32"/>
          <w:szCs w:val="32"/>
          <w:shd w:val="clear" w:color="auto" w:fill="FFFFFF"/>
          <w:lang w:eastAsia="zh-CN"/>
        </w:rPr>
        <w:t>”</w:t>
      </w:r>
      <w:r>
        <w:rPr>
          <w:rFonts w:hint="default" w:ascii="Times New Roman" w:hAnsi="Times New Roman" w:eastAsia="方正楷体_GBK" w:cs="Times New Roman"/>
          <w:b w:val="0"/>
          <w:bCs w:val="0"/>
          <w:color w:val="auto"/>
          <w:sz w:val="32"/>
          <w:szCs w:val="32"/>
          <w:shd w:val="clear" w:color="auto" w:fill="FFFFFF"/>
        </w:rPr>
        <w:t>经费分项支出情况</w:t>
      </w:r>
    </w:p>
    <w:p w14:paraId="41078D7D">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万元，费用支出较年初预算数无增减，主要原因是本单位无公务接待费支出预算。较上年支出数无增减，主要原因是本单位202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年度未发生公务接待费支出</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与上年</w:t>
      </w:r>
      <w:r>
        <w:rPr>
          <w:rFonts w:hint="eastAsia" w:ascii="Times New Roman" w:hAnsi="Times New Roman" w:eastAsia="方正仿宋_GBK" w:cs="Times New Roman"/>
          <w:color w:val="auto"/>
          <w:sz w:val="32"/>
          <w:szCs w:val="32"/>
          <w:shd w:val="clear" w:color="auto" w:fill="FFFFFF"/>
          <w:lang w:val="en-US" w:eastAsia="zh-CN"/>
        </w:rPr>
        <w:t>决算数</w:t>
      </w:r>
      <w:r>
        <w:rPr>
          <w:rFonts w:hint="default" w:ascii="Times New Roman" w:hAnsi="Times New Roman" w:eastAsia="方正仿宋_GBK" w:cs="Times New Roman"/>
          <w:color w:val="auto"/>
          <w:sz w:val="32"/>
          <w:szCs w:val="32"/>
          <w:shd w:val="clear" w:color="auto" w:fill="FFFFFF"/>
          <w:lang w:val="en-US" w:eastAsia="zh-CN"/>
        </w:rPr>
        <w:t>持平</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 </w:t>
      </w:r>
    </w:p>
    <w:p w14:paraId="1E14756E">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万元，费用支出较年初预算数无增减，主要原因是本单位无公务车购置费支出预算。较上年支出数无增减，主要原因是本单位202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年度未发生公务车购置费支出</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与上年</w:t>
      </w:r>
      <w:r>
        <w:rPr>
          <w:rFonts w:hint="eastAsia" w:ascii="Times New Roman" w:hAnsi="Times New Roman" w:eastAsia="方正仿宋_GBK" w:cs="Times New Roman"/>
          <w:color w:val="auto"/>
          <w:sz w:val="32"/>
          <w:szCs w:val="32"/>
          <w:shd w:val="clear" w:color="auto" w:fill="FFFFFF"/>
          <w:lang w:val="en-US" w:eastAsia="zh-CN"/>
        </w:rPr>
        <w:t>决算数</w:t>
      </w:r>
      <w:r>
        <w:rPr>
          <w:rFonts w:hint="default" w:ascii="Times New Roman" w:hAnsi="Times New Roman" w:eastAsia="方正仿宋_GBK" w:cs="Times New Roman"/>
          <w:color w:val="auto"/>
          <w:sz w:val="32"/>
          <w:szCs w:val="32"/>
          <w:shd w:val="clear" w:color="auto" w:fill="FFFFFF"/>
          <w:lang w:val="en-US" w:eastAsia="zh-CN"/>
        </w:rPr>
        <w:t>持平</w:t>
      </w:r>
      <w:r>
        <w:rPr>
          <w:rFonts w:hint="default" w:ascii="Times New Roman" w:hAnsi="Times New Roman" w:eastAsia="方正仿宋_GBK" w:cs="Times New Roman"/>
          <w:color w:val="auto"/>
          <w:sz w:val="32"/>
          <w:szCs w:val="32"/>
          <w:shd w:val="clear" w:color="auto" w:fill="FFFFFF"/>
        </w:rPr>
        <w:t>。</w:t>
      </w:r>
    </w:p>
    <w:p w14:paraId="4430CB0C">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公务车运行维护费</w:t>
      </w:r>
      <w:r>
        <w:rPr>
          <w:rFonts w:hint="default" w:ascii="Times New Roman" w:hAnsi="Times New Roman" w:eastAsia="方正仿宋_GBK" w:cs="Times New Roman"/>
          <w:color w:val="auto"/>
          <w:sz w:val="32"/>
          <w:szCs w:val="32"/>
        </w:rPr>
        <w:t>4.20</w:t>
      </w:r>
      <w:r>
        <w:rPr>
          <w:rFonts w:hint="default" w:ascii="Times New Roman" w:hAnsi="Times New Roman" w:eastAsia="方正仿宋_GBK" w:cs="Times New Roman"/>
          <w:color w:val="auto"/>
          <w:sz w:val="32"/>
          <w:szCs w:val="32"/>
          <w:shd w:val="clear" w:color="auto" w:fill="FFFFFF"/>
        </w:rPr>
        <w:t>万元，主要用于市内因公出行、校区间业务工作所需车辆的燃料费、维修费、过桥过路费、保险费等。费用支出较年初预算数无增减，主要原因是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严格控制</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三公</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经费，按预算金额支出。</w:t>
      </w:r>
      <w:r>
        <w:rPr>
          <w:rFonts w:hint="default" w:ascii="Times New Roman" w:hAnsi="Times New Roman" w:eastAsia="方正仿宋_GBK" w:cs="Times New Roman"/>
          <w:color w:val="auto"/>
          <w:sz w:val="32"/>
          <w:szCs w:val="32"/>
          <w:shd w:val="clear" w:color="auto" w:fill="FFFFFF"/>
        </w:rPr>
        <w:t>较上年支出数减少0.03万元，下降0.7%，主要原因是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认真贯彻落实中央八项规定精神和厉行节约要求，严格控制公务用车运行维护费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与上年基本持平</w:t>
      </w:r>
      <w:r>
        <w:rPr>
          <w:rFonts w:hint="default" w:ascii="Times New Roman" w:hAnsi="Times New Roman" w:eastAsia="方正仿宋_GBK" w:cs="Times New Roman"/>
          <w:color w:val="auto"/>
          <w:sz w:val="32"/>
          <w:szCs w:val="32"/>
          <w:shd w:val="clear" w:color="auto" w:fill="FFFFFF"/>
        </w:rPr>
        <w:t>。 </w:t>
      </w:r>
    </w:p>
    <w:p w14:paraId="37BACC1E">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万元，费用支出较年初预算数无增减，主要原因是本单位无公务接待费支出预算。较上年支出数无增减，主要原因是本单位202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年度未发生</w:t>
      </w:r>
      <w:r>
        <w:rPr>
          <w:rFonts w:hint="default" w:ascii="Times New Roman" w:hAnsi="Times New Roman" w:eastAsia="方正仿宋_GBK" w:cs="Times New Roman"/>
          <w:color w:val="auto"/>
          <w:sz w:val="32"/>
          <w:szCs w:val="32"/>
          <w:shd w:val="clear" w:color="auto" w:fill="FFFFFF"/>
          <w:lang w:eastAsia="zh-CN"/>
        </w:rPr>
        <w:t>公务接待费支出，</w:t>
      </w:r>
      <w:r>
        <w:rPr>
          <w:rFonts w:hint="default" w:ascii="Times New Roman" w:hAnsi="Times New Roman" w:eastAsia="方正仿宋_GBK" w:cs="Times New Roman"/>
          <w:color w:val="auto"/>
          <w:sz w:val="32"/>
          <w:szCs w:val="32"/>
          <w:shd w:val="clear" w:color="auto" w:fill="FFFFFF"/>
          <w:lang w:val="en-US" w:eastAsia="zh-CN"/>
        </w:rPr>
        <w:t>与上年决算数持平</w:t>
      </w:r>
      <w:bookmarkStart w:id="4" w:name="_GoBack"/>
      <w:bookmarkEnd w:id="4"/>
      <w:r>
        <w:rPr>
          <w:rFonts w:hint="default" w:ascii="Times New Roman" w:hAnsi="Times New Roman" w:eastAsia="方正仿宋_GBK" w:cs="Times New Roman"/>
          <w:color w:val="auto"/>
          <w:sz w:val="32"/>
          <w:szCs w:val="32"/>
          <w:shd w:val="clear" w:color="auto" w:fill="FFFFFF"/>
          <w:lang w:eastAsia="zh-CN"/>
        </w:rPr>
        <w:t>。</w:t>
      </w:r>
    </w:p>
    <w:p w14:paraId="337DCEFF">
      <w:pPr>
        <w:pStyle w:val="12"/>
        <w:keepNext w:val="0"/>
        <w:keepLines w:val="0"/>
        <w:pageBreakBefore w:val="0"/>
        <w:widowControl/>
        <w:kinsoku/>
        <w:wordWrap/>
        <w:overflowPunct/>
        <w:topLinePunct w:val="0"/>
        <w:autoSpaceDE w:val="0"/>
        <w:autoSpaceDN/>
        <w:bidi w:val="0"/>
        <w:spacing w:beforeAutospacing="0" w:afterAutospacing="0" w:line="600" w:lineRule="atLeast"/>
        <w:ind w:firstLine="643"/>
        <w:jc w:val="both"/>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w:t>
      </w:r>
      <w:r>
        <w:rPr>
          <w:rFonts w:hint="eastAsia" w:ascii="Times New Roman" w:hAnsi="Times New Roman" w:eastAsia="方正楷体_GBK" w:cs="Times New Roman"/>
          <w:b w:val="0"/>
          <w:bCs w:val="0"/>
          <w:color w:val="auto"/>
          <w:sz w:val="32"/>
          <w:szCs w:val="32"/>
          <w:shd w:val="clear" w:color="auto" w:fill="FFFFFF"/>
          <w:lang w:eastAsia="zh-CN"/>
        </w:rPr>
        <w:t>“</w:t>
      </w:r>
      <w:r>
        <w:rPr>
          <w:rFonts w:hint="default" w:ascii="Times New Roman" w:hAnsi="Times New Roman" w:eastAsia="方正楷体_GBK" w:cs="Times New Roman"/>
          <w:b w:val="0"/>
          <w:bCs w:val="0"/>
          <w:color w:val="auto"/>
          <w:sz w:val="32"/>
          <w:szCs w:val="32"/>
          <w:shd w:val="clear" w:color="auto" w:fill="FFFFFF"/>
        </w:rPr>
        <w:t>三公</w:t>
      </w:r>
      <w:r>
        <w:rPr>
          <w:rFonts w:hint="eastAsia" w:ascii="Times New Roman" w:hAnsi="Times New Roman" w:eastAsia="方正楷体_GBK" w:cs="Times New Roman"/>
          <w:b w:val="0"/>
          <w:bCs w:val="0"/>
          <w:color w:val="auto"/>
          <w:sz w:val="32"/>
          <w:szCs w:val="32"/>
          <w:shd w:val="clear" w:color="auto" w:fill="FFFFFF"/>
          <w:lang w:eastAsia="zh-CN"/>
        </w:rPr>
        <w:t>”</w:t>
      </w:r>
      <w:r>
        <w:rPr>
          <w:rFonts w:hint="default" w:ascii="Times New Roman" w:hAnsi="Times New Roman" w:eastAsia="方正楷体_GBK" w:cs="Times New Roman"/>
          <w:b w:val="0"/>
          <w:bCs w:val="0"/>
          <w:color w:val="auto"/>
          <w:sz w:val="32"/>
          <w:szCs w:val="32"/>
          <w:shd w:val="clear" w:color="auto" w:fill="FFFFFF"/>
        </w:rPr>
        <w:t>经费实物量情况</w:t>
      </w:r>
    </w:p>
    <w:p w14:paraId="3DBF0027">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xml:space="preserve">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人均接待费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2.10</w:t>
      </w:r>
      <w:r>
        <w:rPr>
          <w:rFonts w:hint="default" w:ascii="Times New Roman" w:hAnsi="Times New Roman" w:eastAsia="方正仿宋_GBK" w:cs="Times New Roman"/>
          <w:color w:val="auto"/>
          <w:sz w:val="32"/>
          <w:szCs w:val="32"/>
          <w:shd w:val="clear" w:color="auto" w:fill="FFFFFF"/>
        </w:rPr>
        <w:t>万元。</w:t>
      </w:r>
    </w:p>
    <w:p w14:paraId="28AA3BA2">
      <w:pPr>
        <w:keepNext w:val="0"/>
        <w:keepLines w:val="0"/>
        <w:pageBreakBefore w:val="0"/>
        <w:widowControl/>
        <w:kinsoku/>
        <w:wordWrap/>
        <w:overflowPunct/>
        <w:topLinePunct w:val="0"/>
        <w:autoSpaceDN/>
        <w:bidi w:val="0"/>
        <w:adjustRightInd/>
        <w:spacing w:line="600" w:lineRule="atLeas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四、其他需要说明的事项</w:t>
      </w:r>
    </w:p>
    <w:p w14:paraId="27E0001D">
      <w:pPr>
        <w:pStyle w:val="12"/>
        <w:keepNext w:val="0"/>
        <w:keepLines w:val="0"/>
        <w:pageBreakBefore w:val="0"/>
        <w:widowControl/>
        <w:kinsoku/>
        <w:wordWrap/>
        <w:overflowPunct/>
        <w:topLinePunct w:val="0"/>
        <w:autoSpaceDE w:val="0"/>
        <w:autoSpaceDN/>
        <w:bidi w:val="0"/>
        <w:adjustRightInd/>
        <w:spacing w:beforeAutospacing="0" w:afterAutospacing="0" w:line="600" w:lineRule="atLeast"/>
        <w:ind w:firstLine="643"/>
        <w:jc w:val="both"/>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  （一）财政拨款会议费和培训费情况说明</w:t>
      </w:r>
    </w:p>
    <w:p w14:paraId="322718C1">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rPr>
        <w:t>5.66</w:t>
      </w:r>
      <w:r>
        <w:rPr>
          <w:rFonts w:hint="default" w:ascii="Times New Roman" w:hAnsi="Times New Roman" w:eastAsia="方正仿宋_GBK" w:cs="Times New Roman"/>
          <w:color w:val="auto"/>
          <w:sz w:val="32"/>
          <w:szCs w:val="32"/>
          <w:shd w:val="clear" w:color="auto" w:fill="FFFFFF"/>
        </w:rPr>
        <w:t>万元，与2023年度相比，无增减，主要原因是本年度</w:t>
      </w:r>
      <w:r>
        <w:rPr>
          <w:rFonts w:hint="default" w:ascii="Times New Roman" w:hAnsi="Times New Roman" w:eastAsia="方正仿宋_GBK" w:cs="Times New Roman"/>
          <w:color w:val="auto"/>
          <w:sz w:val="32"/>
          <w:szCs w:val="32"/>
          <w:shd w:val="clear" w:color="auto" w:fill="FFFFFF"/>
          <w:lang w:eastAsia="zh-CN"/>
        </w:rPr>
        <w:t>严格</w:t>
      </w:r>
      <w:r>
        <w:rPr>
          <w:rFonts w:hint="default" w:ascii="Times New Roman" w:hAnsi="Times New Roman" w:eastAsia="方正仿宋_GBK" w:cs="Times New Roman"/>
          <w:color w:val="auto"/>
          <w:sz w:val="32"/>
          <w:szCs w:val="32"/>
          <w:shd w:val="clear" w:color="auto" w:fill="FFFFFF"/>
        </w:rPr>
        <w:t>控制会议费的支出</w:t>
      </w:r>
      <w:r>
        <w:rPr>
          <w:rFonts w:hint="default" w:ascii="Times New Roman" w:hAnsi="Times New Roman" w:eastAsia="方正仿宋_GBK" w:cs="Times New Roman"/>
          <w:color w:val="auto"/>
          <w:sz w:val="32"/>
          <w:szCs w:val="32"/>
          <w:shd w:val="clear" w:color="auto" w:fill="FFFFFF"/>
          <w:lang w:eastAsia="zh-CN"/>
        </w:rPr>
        <w:t>，与上年持平</w:t>
      </w:r>
      <w:r>
        <w:rPr>
          <w:rFonts w:hint="default" w:ascii="Times New Roman" w:hAnsi="Times New Roman" w:eastAsia="方正仿宋_GBK" w:cs="Times New Roman"/>
          <w:color w:val="auto"/>
          <w:sz w:val="32"/>
          <w:szCs w:val="32"/>
          <w:shd w:val="clear" w:color="auto" w:fill="FFFFFF"/>
        </w:rPr>
        <w:t>。本年度培训费支出</w:t>
      </w:r>
      <w:r>
        <w:rPr>
          <w:rFonts w:hint="default" w:ascii="Times New Roman" w:hAnsi="Times New Roman" w:eastAsia="方正仿宋_GBK" w:cs="Times New Roman"/>
          <w:color w:val="auto"/>
          <w:sz w:val="32"/>
          <w:szCs w:val="32"/>
        </w:rPr>
        <w:t>105.60</w:t>
      </w:r>
      <w:r>
        <w:rPr>
          <w:rFonts w:hint="default" w:ascii="Times New Roman" w:hAnsi="Times New Roman" w:eastAsia="方正仿宋_GBK" w:cs="Times New Roman"/>
          <w:color w:val="auto"/>
          <w:sz w:val="32"/>
          <w:szCs w:val="32"/>
          <w:shd w:val="clear" w:color="auto" w:fill="FFFFFF"/>
        </w:rPr>
        <w:t>万元，与2023年度相比，减少23.78万元，下降18.4%，主要原因是</w:t>
      </w:r>
      <w:r>
        <w:rPr>
          <w:rFonts w:hint="default" w:ascii="Times New Roman" w:hAnsi="Times New Roman" w:eastAsia="方正仿宋_GBK" w:cs="Times New Roman"/>
          <w:color w:val="auto"/>
          <w:sz w:val="32"/>
          <w:szCs w:val="32"/>
          <w:shd w:val="clear" w:color="auto" w:fill="FFFFFF"/>
          <w:lang w:eastAsia="zh-CN"/>
        </w:rPr>
        <w:t>严格落实过紧日子要求，合理安排教师培训</w:t>
      </w:r>
      <w:r>
        <w:rPr>
          <w:rFonts w:hint="default" w:ascii="Times New Roman" w:hAnsi="Times New Roman" w:eastAsia="方正仿宋_GBK" w:cs="Times New Roman"/>
          <w:color w:val="auto"/>
          <w:sz w:val="32"/>
          <w:szCs w:val="32"/>
          <w:shd w:val="clear" w:color="auto" w:fill="FFFFFF"/>
        </w:rPr>
        <w:t>。</w:t>
      </w:r>
    </w:p>
    <w:p w14:paraId="2B13FA06">
      <w:pPr>
        <w:pStyle w:val="12"/>
        <w:keepNext w:val="0"/>
        <w:keepLines w:val="0"/>
        <w:pageBreakBefore w:val="0"/>
        <w:widowControl/>
        <w:kinsoku/>
        <w:wordWrap/>
        <w:overflowPunct/>
        <w:topLinePunct w:val="0"/>
        <w:autoSpaceDE w:val="0"/>
        <w:autoSpaceDN/>
        <w:bidi w:val="0"/>
        <w:spacing w:beforeAutospacing="0" w:afterAutospacing="0" w:line="600" w:lineRule="atLeast"/>
        <w:ind w:firstLine="643"/>
        <w:jc w:val="both"/>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（二）机关运行经费情况说明</w:t>
      </w:r>
    </w:p>
    <w:p w14:paraId="08BAE1C6">
      <w:pPr>
        <w:pStyle w:val="8"/>
        <w:keepNext w:val="0"/>
        <w:keepLines w:val="0"/>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bidi="ar-SA"/>
        </w:rPr>
        <w:t>按照单位决算列报口径，我单位不在机关运行经费统计范围之内。</w:t>
      </w:r>
    </w:p>
    <w:p w14:paraId="6D0D521A">
      <w:pPr>
        <w:pStyle w:val="12"/>
        <w:keepNext w:val="0"/>
        <w:keepLines w:val="0"/>
        <w:pageBreakBefore w:val="0"/>
        <w:widowControl/>
        <w:kinsoku/>
        <w:wordWrap/>
        <w:overflowPunct/>
        <w:topLinePunct w:val="0"/>
        <w:autoSpaceDE w:val="0"/>
        <w:autoSpaceDN/>
        <w:bidi w:val="0"/>
        <w:spacing w:beforeAutospacing="0" w:afterAutospacing="0" w:line="600" w:lineRule="atLeast"/>
        <w:ind w:firstLine="643"/>
        <w:jc w:val="both"/>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（三）国有资产占用情况说明</w:t>
      </w:r>
    </w:p>
    <w:p w14:paraId="4E436166">
      <w:pPr>
        <w:keepNext w:val="0"/>
        <w:keepLines w:val="0"/>
        <w:pageBreakBefore w:val="0"/>
        <w:widowControl/>
        <w:kinsoku/>
        <w:wordWrap/>
        <w:overflowPunct/>
        <w:topLinePunct w:val="0"/>
        <w:autoSpaceDE/>
        <w:autoSpaceDN/>
        <w:bidi w:val="0"/>
        <w:adjustRightInd/>
        <w:snapToGrid/>
        <w:spacing w:beforeAutospacing="0" w:afterAutospacing="0" w:line="60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12月31日，本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共有车辆</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14:paraId="5DD4B05D">
      <w:pPr>
        <w:pStyle w:val="12"/>
        <w:keepNext w:val="0"/>
        <w:keepLines w:val="0"/>
        <w:pageBreakBefore w:val="0"/>
        <w:widowControl/>
        <w:kinsoku/>
        <w:wordWrap/>
        <w:overflowPunct/>
        <w:topLinePunct w:val="0"/>
        <w:autoSpaceDE w:val="0"/>
        <w:autoSpaceDN/>
        <w:bidi w:val="0"/>
        <w:spacing w:beforeAutospacing="0" w:afterAutospacing="0" w:line="600" w:lineRule="atLeast"/>
        <w:ind w:firstLine="643"/>
        <w:jc w:val="both"/>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（四）政府采购支出情况说明</w:t>
      </w:r>
    </w:p>
    <w:p w14:paraId="01B4F7B1">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政府采购支出总额</w:t>
      </w:r>
      <w:r>
        <w:rPr>
          <w:rFonts w:hint="default" w:ascii="Times New Roman" w:hAnsi="Times New Roman" w:eastAsia="方正仿宋_GBK" w:cs="Times New Roman"/>
          <w:color w:val="auto"/>
          <w:sz w:val="32"/>
          <w:szCs w:val="32"/>
        </w:rPr>
        <w:t>2118.14</w:t>
      </w:r>
      <w:r>
        <w:rPr>
          <w:rFonts w:hint="default" w:ascii="Times New Roman" w:hAnsi="Times New Roman" w:eastAsia="方正仿宋_GBK" w:cs="Times New Roman"/>
          <w:color w:val="auto"/>
          <w:sz w:val="32"/>
          <w:szCs w:val="32"/>
          <w:shd w:val="clear" w:color="auto" w:fill="FFFFFF"/>
        </w:rPr>
        <w:t>万元，其中：政府采购货物支出</w:t>
      </w:r>
      <w:r>
        <w:rPr>
          <w:rFonts w:hint="default" w:ascii="Times New Roman" w:hAnsi="Times New Roman" w:eastAsia="方正仿宋_GBK" w:cs="Times New Roman"/>
          <w:color w:val="auto"/>
          <w:sz w:val="32"/>
          <w:szCs w:val="32"/>
        </w:rPr>
        <w:t>1764.02</w:t>
      </w:r>
      <w:r>
        <w:rPr>
          <w:rFonts w:hint="default" w:ascii="Times New Roman" w:hAnsi="Times New Roman" w:eastAsia="方正仿宋_GBK" w:cs="Times New Roman"/>
          <w:color w:val="auto"/>
          <w:sz w:val="32"/>
          <w:szCs w:val="32"/>
          <w:shd w:val="clear" w:color="auto" w:fill="FFFFFF"/>
        </w:rPr>
        <w:t>万元、政府采购工程支出</w:t>
      </w:r>
      <w:r>
        <w:rPr>
          <w:rFonts w:hint="default" w:ascii="Times New Roman" w:hAnsi="Times New Roman" w:eastAsia="方正仿宋_GBK" w:cs="Times New Roman"/>
          <w:color w:val="auto"/>
          <w:sz w:val="32"/>
          <w:szCs w:val="32"/>
        </w:rPr>
        <w:t>252.93</w:t>
      </w:r>
      <w:r>
        <w:rPr>
          <w:rFonts w:hint="default" w:ascii="Times New Roman" w:hAnsi="Times New Roman" w:eastAsia="方正仿宋_GBK" w:cs="Times New Roman"/>
          <w:color w:val="auto"/>
          <w:sz w:val="32"/>
          <w:szCs w:val="32"/>
          <w:shd w:val="clear" w:color="auto" w:fill="FFFFFF"/>
        </w:rPr>
        <w:t>万元、政府采购服务支出</w:t>
      </w:r>
      <w:r>
        <w:rPr>
          <w:rFonts w:hint="default" w:ascii="Times New Roman" w:hAnsi="Times New Roman" w:eastAsia="方正仿宋_GBK" w:cs="Times New Roman"/>
          <w:color w:val="auto"/>
          <w:sz w:val="32"/>
          <w:szCs w:val="32"/>
        </w:rPr>
        <w:t>101.20</w:t>
      </w:r>
      <w:r>
        <w:rPr>
          <w:rFonts w:hint="default" w:ascii="Times New Roman" w:hAnsi="Times New Roman" w:eastAsia="方正仿宋_GBK" w:cs="Times New Roman"/>
          <w:color w:val="auto"/>
          <w:sz w:val="32"/>
          <w:szCs w:val="32"/>
          <w:shd w:val="clear" w:color="auto" w:fill="FFFFFF"/>
        </w:rPr>
        <w:t>万元。授予中小企业合同金额</w:t>
      </w:r>
      <w:r>
        <w:rPr>
          <w:rFonts w:hint="default" w:ascii="Times New Roman" w:hAnsi="Times New Roman" w:eastAsia="方正仿宋_GBK" w:cs="Times New Roman"/>
          <w:color w:val="auto"/>
          <w:sz w:val="32"/>
          <w:szCs w:val="32"/>
        </w:rPr>
        <w:t>2113.23万</w:t>
      </w:r>
      <w:r>
        <w:rPr>
          <w:rFonts w:hint="default" w:ascii="Times New Roman" w:hAnsi="Times New Roman" w:eastAsia="方正仿宋_GBK" w:cs="Times New Roman"/>
          <w:color w:val="auto"/>
          <w:sz w:val="32"/>
          <w:szCs w:val="32"/>
          <w:shd w:val="clear" w:color="auto" w:fill="FFFFFF"/>
        </w:rPr>
        <w:t>元，占政府采购支出总额的</w:t>
      </w:r>
      <w:r>
        <w:rPr>
          <w:rFonts w:hint="default" w:ascii="Times New Roman" w:hAnsi="Times New Roman" w:eastAsia="方正仿宋_GBK" w:cs="Times New Roman"/>
          <w:color w:val="auto"/>
          <w:sz w:val="32"/>
          <w:szCs w:val="32"/>
        </w:rPr>
        <w:t>99.77</w:t>
      </w:r>
      <w:r>
        <w:rPr>
          <w:rFonts w:hint="default" w:ascii="Times New Roman" w:hAnsi="Times New Roman" w:eastAsia="方正仿宋_GBK" w:cs="Times New Roman"/>
          <w:color w:val="auto"/>
          <w:sz w:val="32"/>
          <w:szCs w:val="32"/>
          <w:shd w:val="clear" w:color="auto" w:fill="FFFFFF"/>
        </w:rPr>
        <w:t>%，其中：授予小微企业合同金额</w:t>
      </w:r>
      <w:r>
        <w:rPr>
          <w:rFonts w:hint="default" w:ascii="Times New Roman" w:hAnsi="Times New Roman" w:eastAsia="方正仿宋_GBK" w:cs="Times New Roman"/>
          <w:color w:val="auto"/>
          <w:sz w:val="32"/>
          <w:szCs w:val="32"/>
        </w:rPr>
        <w:t>2113.23</w:t>
      </w:r>
      <w:r>
        <w:rPr>
          <w:rFonts w:hint="default" w:ascii="Times New Roman" w:hAnsi="Times New Roman" w:eastAsia="方正仿宋_GBK" w:cs="Times New Roman"/>
          <w:color w:val="auto"/>
          <w:sz w:val="32"/>
          <w:szCs w:val="32"/>
          <w:shd w:val="clear" w:color="auto" w:fill="FFFFFF"/>
        </w:rPr>
        <w:t>万元，占政府采购支出总额的</w:t>
      </w:r>
      <w:r>
        <w:rPr>
          <w:rFonts w:hint="default" w:ascii="Times New Roman" w:hAnsi="Times New Roman" w:eastAsia="方正仿宋_GBK" w:cs="Times New Roman"/>
          <w:color w:val="auto"/>
          <w:sz w:val="32"/>
          <w:szCs w:val="32"/>
        </w:rPr>
        <w:t>99.77</w:t>
      </w:r>
      <w:r>
        <w:rPr>
          <w:rFonts w:hint="default" w:ascii="Times New Roman" w:hAnsi="Times New Roman" w:eastAsia="方正仿宋_GBK" w:cs="Times New Roman"/>
          <w:color w:val="auto"/>
          <w:sz w:val="32"/>
          <w:szCs w:val="32"/>
          <w:shd w:val="clear" w:color="auto" w:fill="FFFFFF"/>
        </w:rPr>
        <w:t xml:space="preserve"> %。主要用于</w:t>
      </w:r>
      <w:r>
        <w:rPr>
          <w:rFonts w:hint="default" w:ascii="Times New Roman" w:hAnsi="Times New Roman" w:eastAsia="方正仿宋_GBK" w:cs="Times New Roman"/>
          <w:color w:val="auto"/>
          <w:sz w:val="32"/>
          <w:szCs w:val="32"/>
          <w:shd w:val="clear" w:color="auto" w:fill="FFFFFF"/>
          <w:lang w:val="en-US" w:eastAsia="zh-CN"/>
        </w:rPr>
        <w:t>A区改扩建弱电、实验设备，A区学生课桌椅、书包柜、宿舍家具</w:t>
      </w:r>
      <w:r>
        <w:rPr>
          <w:rFonts w:hint="default" w:ascii="Times New Roman" w:hAnsi="Times New Roman" w:eastAsia="方正仿宋_GBK" w:cs="Times New Roman"/>
          <w:color w:val="auto"/>
          <w:sz w:val="32"/>
          <w:szCs w:val="32"/>
          <w:shd w:val="clear" w:color="auto" w:fill="FFFFFF"/>
        </w:rPr>
        <w:t>采购</w:t>
      </w:r>
      <w:r>
        <w:rPr>
          <w:rFonts w:hint="default" w:ascii="Times New Roman" w:hAnsi="Times New Roman" w:eastAsia="方正仿宋_GBK" w:cs="Times New Roman"/>
          <w:color w:val="auto"/>
          <w:sz w:val="32"/>
          <w:szCs w:val="32"/>
          <w:shd w:val="clear" w:color="auto" w:fill="FFFFFF"/>
          <w:lang w:val="en-US" w:eastAsia="zh-CN"/>
        </w:rPr>
        <w:t>，A区校园文化建设项目。</w:t>
      </w:r>
    </w:p>
    <w:p w14:paraId="3B89F57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atLeast"/>
        <w:ind w:firstLine="640" w:firstLineChars="200"/>
        <w:jc w:val="both"/>
        <w:textAlignment w:val="auto"/>
        <w:rPr>
          <w:rStyle w:val="11"/>
          <w:rFonts w:hint="default" w:ascii="Times New Roman" w:hAnsi="Times New Roman" w:eastAsia="方正黑体_GBK" w:cs="Times New Roman"/>
          <w:b w:val="0"/>
          <w:bCs/>
          <w:color w:val="auto"/>
          <w:sz w:val="32"/>
          <w:szCs w:val="32"/>
          <w:shd w:val="clear" w:color="auto" w:fill="FFFFFF"/>
          <w:lang w:val="en-US" w:eastAsia="zh-CN" w:bidi="ar-SA"/>
        </w:rPr>
      </w:pPr>
      <w:r>
        <w:rPr>
          <w:rStyle w:val="11"/>
          <w:rFonts w:hint="default" w:ascii="Times New Roman" w:hAnsi="Times New Roman" w:eastAsia="方正黑体_GBK" w:cs="Times New Roman"/>
          <w:b w:val="0"/>
          <w:bCs/>
          <w:color w:val="auto"/>
          <w:sz w:val="32"/>
          <w:szCs w:val="32"/>
          <w:shd w:val="clear" w:color="auto" w:fill="FFFFFF"/>
          <w:lang w:val="en-US" w:eastAsia="zh-CN" w:bidi="ar-SA"/>
        </w:rPr>
        <w:t>五、预算绩效管理情况说明</w:t>
      </w:r>
    </w:p>
    <w:p w14:paraId="760EC811">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楷体_GBK" w:cs="Times New Roman"/>
          <w:b w:val="0"/>
          <w:bCs w:val="0"/>
          <w:color w:val="auto"/>
          <w:kern w:val="0"/>
          <w:sz w:val="32"/>
          <w:szCs w:val="32"/>
          <w:shd w:val="clear" w:fill="FFFFFF"/>
        </w:rPr>
      </w:pPr>
      <w:r>
        <w:rPr>
          <w:rFonts w:hint="default" w:ascii="Times New Roman" w:hAnsi="Times New Roman" w:eastAsia="方正楷体_GBK" w:cs="Times New Roman"/>
          <w:b w:val="0"/>
          <w:bCs w:val="0"/>
          <w:color w:val="auto"/>
          <w:kern w:val="0"/>
          <w:sz w:val="32"/>
          <w:szCs w:val="32"/>
          <w:shd w:val="clear" w:fill="FFFFFF"/>
        </w:rPr>
        <w:t>（一）单位自评情况</w:t>
      </w:r>
    </w:p>
    <w:p w14:paraId="67D23E9A">
      <w:pPr>
        <w:keepNext w:val="0"/>
        <w:keepLines w:val="0"/>
        <w:pageBreakBefore w:val="0"/>
        <w:widowControl/>
        <w:tabs>
          <w:tab w:val="center" w:pos="4153"/>
          <w:tab w:val="left" w:pos="7275"/>
        </w:tabs>
        <w:kinsoku/>
        <w:wordWrap/>
        <w:overflowPunct/>
        <w:topLinePunct w:val="0"/>
        <w:autoSpaceDN/>
        <w:bidi w:val="0"/>
        <w:spacing w:beforeAutospacing="0" w:afterAutospacing="0" w:line="600" w:lineRule="atLeast"/>
        <w:ind w:firstLine="640" w:firstLineChars="200"/>
        <w:jc w:val="both"/>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根据预算绩效管理要求，我单位对38个项目开展了绩效自评，涉及财政拨款项目支出</w:t>
      </w:r>
      <w:r>
        <w:rPr>
          <w:rFonts w:hint="eastAsia" w:ascii="Times New Roman" w:hAnsi="Times New Roman" w:eastAsia="方正仿宋_GBK" w:cs="Times New Roman"/>
          <w:color w:val="auto"/>
          <w:sz w:val="32"/>
          <w:szCs w:val="32"/>
          <w:lang w:val="en-US" w:eastAsia="zh-CN" w:bidi="ar-SA"/>
        </w:rPr>
        <w:t>6816.12</w:t>
      </w:r>
      <w:r>
        <w:rPr>
          <w:rFonts w:hint="default" w:ascii="Times New Roman" w:hAnsi="Times New Roman" w:eastAsia="方正仿宋_GBK" w:cs="Times New Roman"/>
          <w:color w:val="auto"/>
          <w:sz w:val="32"/>
          <w:szCs w:val="32"/>
          <w:lang w:val="en-US" w:eastAsia="zh-CN" w:bidi="ar-SA"/>
        </w:rPr>
        <w:t>万元。</w:t>
      </w:r>
    </w:p>
    <w:p w14:paraId="059B889E">
      <w:pPr>
        <w:keepNext w:val="0"/>
        <w:keepLines w:val="0"/>
        <w:pageBreakBefore w:val="0"/>
        <w:widowControl/>
        <w:tabs>
          <w:tab w:val="center" w:pos="4153"/>
          <w:tab w:val="left" w:pos="7275"/>
        </w:tabs>
        <w:kinsoku/>
        <w:wordWrap/>
        <w:overflowPunct/>
        <w:topLinePunct w:val="0"/>
        <w:autoSpaceDN/>
        <w:bidi w:val="0"/>
        <w:spacing w:beforeAutospacing="0" w:afterAutospacing="0" w:line="600" w:lineRule="atLeast"/>
        <w:jc w:val="center"/>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lang w:eastAsia="zh-CN" w:bidi="ar"/>
        </w:rPr>
        <w:t>重庆市杨家坪中学</w:t>
      </w:r>
      <w:r>
        <w:rPr>
          <w:rFonts w:hint="default" w:ascii="Times New Roman" w:hAnsi="Times New Roman" w:eastAsia="方正黑体_GBK" w:cs="Times New Roman"/>
          <w:color w:val="auto"/>
          <w:kern w:val="0"/>
          <w:sz w:val="32"/>
          <w:szCs w:val="32"/>
          <w:lang w:bidi="ar"/>
        </w:rPr>
        <w:t>2024年度项目支出绩效自评表</w:t>
      </w:r>
    </w:p>
    <w:tbl>
      <w:tblPr>
        <w:tblStyle w:val="9"/>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077"/>
        <w:gridCol w:w="1834"/>
        <w:gridCol w:w="688"/>
        <w:gridCol w:w="859"/>
        <w:gridCol w:w="832"/>
        <w:gridCol w:w="723"/>
        <w:gridCol w:w="859"/>
        <w:gridCol w:w="668"/>
        <w:gridCol w:w="518"/>
        <w:gridCol w:w="628"/>
      </w:tblGrid>
      <w:tr w14:paraId="51B5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574" w:type="dxa"/>
            <w:tcBorders>
              <w:top w:val="single" w:color="auto" w:sz="4" w:space="0"/>
            </w:tcBorders>
            <w:noWrap w:val="0"/>
            <w:vAlign w:val="center"/>
          </w:tcPr>
          <w:p w14:paraId="7B2519F4">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序号</w:t>
            </w:r>
          </w:p>
        </w:tc>
        <w:tc>
          <w:tcPr>
            <w:tcW w:w="1077" w:type="dxa"/>
            <w:tcBorders>
              <w:top w:val="single" w:color="auto" w:sz="4" w:space="0"/>
            </w:tcBorders>
            <w:noWrap w:val="0"/>
            <w:vAlign w:val="center"/>
          </w:tcPr>
          <w:p w14:paraId="352B10FB">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项目名称</w:t>
            </w:r>
          </w:p>
        </w:tc>
        <w:tc>
          <w:tcPr>
            <w:tcW w:w="1834" w:type="dxa"/>
            <w:tcBorders>
              <w:top w:val="single" w:color="auto" w:sz="4" w:space="0"/>
            </w:tcBorders>
            <w:noWrap w:val="0"/>
            <w:vAlign w:val="center"/>
          </w:tcPr>
          <w:p w14:paraId="4BD0C73E">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指标名称</w:t>
            </w:r>
          </w:p>
        </w:tc>
        <w:tc>
          <w:tcPr>
            <w:tcW w:w="688" w:type="dxa"/>
            <w:tcBorders>
              <w:top w:val="single" w:color="auto" w:sz="4" w:space="0"/>
            </w:tcBorders>
            <w:noWrap w:val="0"/>
            <w:vAlign w:val="center"/>
          </w:tcPr>
          <w:p w14:paraId="487147AA">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指标性质</w:t>
            </w:r>
          </w:p>
        </w:tc>
        <w:tc>
          <w:tcPr>
            <w:tcW w:w="859" w:type="dxa"/>
            <w:tcBorders>
              <w:top w:val="single" w:color="auto" w:sz="4" w:space="0"/>
            </w:tcBorders>
            <w:noWrap w:val="0"/>
            <w:vAlign w:val="center"/>
          </w:tcPr>
          <w:p w14:paraId="45B22AC8">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指标值</w:t>
            </w:r>
          </w:p>
        </w:tc>
        <w:tc>
          <w:tcPr>
            <w:tcW w:w="832" w:type="dxa"/>
            <w:tcBorders>
              <w:top w:val="single" w:color="auto" w:sz="4" w:space="0"/>
            </w:tcBorders>
            <w:noWrap w:val="0"/>
            <w:vAlign w:val="center"/>
          </w:tcPr>
          <w:p w14:paraId="559C49ED">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计量单位</w:t>
            </w:r>
          </w:p>
        </w:tc>
        <w:tc>
          <w:tcPr>
            <w:tcW w:w="723" w:type="dxa"/>
            <w:tcBorders>
              <w:top w:val="single" w:color="auto" w:sz="4" w:space="0"/>
            </w:tcBorders>
            <w:noWrap w:val="0"/>
            <w:vAlign w:val="center"/>
          </w:tcPr>
          <w:p w14:paraId="6EEC94B4">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指标权重</w:t>
            </w:r>
          </w:p>
        </w:tc>
        <w:tc>
          <w:tcPr>
            <w:tcW w:w="859" w:type="dxa"/>
            <w:tcBorders>
              <w:top w:val="single" w:color="auto" w:sz="4" w:space="0"/>
            </w:tcBorders>
            <w:noWrap w:val="0"/>
            <w:vAlign w:val="center"/>
          </w:tcPr>
          <w:p w14:paraId="73AD4AF4">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全年完成值</w:t>
            </w:r>
          </w:p>
        </w:tc>
        <w:tc>
          <w:tcPr>
            <w:tcW w:w="668" w:type="dxa"/>
            <w:tcBorders>
              <w:top w:val="single" w:color="auto" w:sz="4" w:space="0"/>
            </w:tcBorders>
            <w:noWrap w:val="0"/>
            <w:vAlign w:val="center"/>
          </w:tcPr>
          <w:p w14:paraId="520408F8">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指标得分</w:t>
            </w:r>
          </w:p>
        </w:tc>
        <w:tc>
          <w:tcPr>
            <w:tcW w:w="518" w:type="dxa"/>
            <w:tcBorders>
              <w:top w:val="single" w:color="auto" w:sz="4" w:space="0"/>
            </w:tcBorders>
            <w:noWrap w:val="0"/>
            <w:vAlign w:val="center"/>
          </w:tcPr>
          <w:p w14:paraId="6EC01D37">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说明</w:t>
            </w:r>
          </w:p>
        </w:tc>
        <w:tc>
          <w:tcPr>
            <w:tcW w:w="628" w:type="dxa"/>
            <w:tcBorders>
              <w:top w:val="single" w:color="auto" w:sz="4" w:space="0"/>
            </w:tcBorders>
            <w:noWrap w:val="0"/>
            <w:vAlign w:val="center"/>
          </w:tcPr>
          <w:p w14:paraId="279D0374">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自评得分</w:t>
            </w:r>
          </w:p>
        </w:tc>
      </w:tr>
      <w:tr w14:paraId="12B5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74" w:type="dxa"/>
            <w:vMerge w:val="restart"/>
            <w:noWrap/>
            <w:vAlign w:val="center"/>
          </w:tcPr>
          <w:p w14:paraId="12E8F706">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1</w:t>
            </w:r>
          </w:p>
        </w:tc>
        <w:tc>
          <w:tcPr>
            <w:tcW w:w="1077" w:type="dxa"/>
            <w:vMerge w:val="restart"/>
            <w:noWrap/>
            <w:vAlign w:val="center"/>
          </w:tcPr>
          <w:p w14:paraId="1A697FC2">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bookmarkStart w:id="2" w:name="OLE_LINK3"/>
            <w:r>
              <w:rPr>
                <w:rFonts w:hint="default" w:ascii="Times New Roman" w:hAnsi="Times New Roman" w:eastAsia="方正仿宋_GBK" w:cs="Times New Roman"/>
                <w:color w:val="auto"/>
                <w:sz w:val="20"/>
                <w:szCs w:val="20"/>
              </w:rPr>
              <w:t>渝财教（2023）155号提前下达2024年普通高中生均公用经费市级补助经费</w:t>
            </w:r>
            <w:bookmarkEnd w:id="2"/>
          </w:p>
        </w:tc>
        <w:tc>
          <w:tcPr>
            <w:tcW w:w="1834" w:type="dxa"/>
            <w:noWrap/>
            <w:vAlign w:val="center"/>
          </w:tcPr>
          <w:p w14:paraId="2D4A11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执行率</w:t>
            </w:r>
          </w:p>
        </w:tc>
        <w:tc>
          <w:tcPr>
            <w:tcW w:w="688" w:type="dxa"/>
            <w:noWrap/>
            <w:vAlign w:val="center"/>
          </w:tcPr>
          <w:p w14:paraId="5C0F932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w:t>
            </w:r>
          </w:p>
        </w:tc>
        <w:tc>
          <w:tcPr>
            <w:tcW w:w="859" w:type="dxa"/>
            <w:noWrap/>
            <w:vAlign w:val="center"/>
          </w:tcPr>
          <w:p w14:paraId="1D70E57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100</w:t>
            </w:r>
          </w:p>
        </w:tc>
        <w:tc>
          <w:tcPr>
            <w:tcW w:w="832" w:type="dxa"/>
            <w:noWrap/>
            <w:vAlign w:val="center"/>
          </w:tcPr>
          <w:p w14:paraId="2A27F247">
            <w:pPr>
              <w:keepNext w:val="0"/>
              <w:keepLines w:val="0"/>
              <w:pageBreakBefore w:val="0"/>
              <w:widowControl/>
              <w:suppressLineNumbers w:val="0"/>
              <w:kinsoku/>
              <w:wordWrap/>
              <w:overflowPunct/>
              <w:topLinePunct w:val="0"/>
              <w:autoSpaceDE/>
              <w:autoSpaceDN/>
              <w:bidi w:val="0"/>
              <w:adjustRightInd/>
              <w:snapToGrid/>
              <w:spacing w:line="240" w:lineRule="atLeast"/>
              <w:ind w:firstLine="200" w:firstLineChars="10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w:t>
            </w:r>
          </w:p>
        </w:tc>
        <w:tc>
          <w:tcPr>
            <w:tcW w:w="723" w:type="dxa"/>
            <w:noWrap/>
            <w:vAlign w:val="center"/>
          </w:tcPr>
          <w:p w14:paraId="5E678988">
            <w:pPr>
              <w:keepNext w:val="0"/>
              <w:keepLines w:val="0"/>
              <w:pageBreakBefore w:val="0"/>
              <w:widowControl/>
              <w:suppressLineNumbers w:val="0"/>
              <w:kinsoku/>
              <w:wordWrap/>
              <w:overflowPunct/>
              <w:topLinePunct w:val="0"/>
              <w:autoSpaceDE/>
              <w:autoSpaceDN/>
              <w:bidi w:val="0"/>
              <w:adjustRightInd/>
              <w:snapToGrid/>
              <w:spacing w:line="240" w:lineRule="atLeast"/>
              <w:ind w:firstLine="200" w:firstLineChars="10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10</w:t>
            </w:r>
          </w:p>
        </w:tc>
        <w:tc>
          <w:tcPr>
            <w:tcW w:w="859" w:type="dxa"/>
            <w:noWrap/>
            <w:vAlign w:val="center"/>
          </w:tcPr>
          <w:p w14:paraId="66A7A9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100%</w:t>
            </w:r>
          </w:p>
        </w:tc>
        <w:tc>
          <w:tcPr>
            <w:tcW w:w="668" w:type="dxa"/>
            <w:noWrap/>
            <w:vAlign w:val="center"/>
          </w:tcPr>
          <w:p w14:paraId="0BEEB53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10</w:t>
            </w:r>
          </w:p>
        </w:tc>
        <w:tc>
          <w:tcPr>
            <w:tcW w:w="518" w:type="dxa"/>
            <w:noWrap/>
            <w:vAlign w:val="center"/>
          </w:tcPr>
          <w:p w14:paraId="55559836">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p>
        </w:tc>
        <w:tc>
          <w:tcPr>
            <w:tcW w:w="628" w:type="dxa"/>
            <w:noWrap/>
            <w:vAlign w:val="center"/>
          </w:tcPr>
          <w:p w14:paraId="6532C675">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lang w:val="en-US" w:eastAsia="zh-CN"/>
              </w:rPr>
            </w:pPr>
          </w:p>
        </w:tc>
      </w:tr>
      <w:tr w14:paraId="25BA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74" w:type="dxa"/>
            <w:vMerge w:val="continue"/>
            <w:noWrap/>
            <w:vAlign w:val="center"/>
          </w:tcPr>
          <w:p w14:paraId="2BCCD039">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center"/>
              <w:rPr>
                <w:rFonts w:hint="default" w:ascii="Times New Roman" w:hAnsi="Times New Roman" w:eastAsia="方正仿宋_GBK" w:cs="Times New Roman"/>
                <w:color w:val="auto"/>
                <w:sz w:val="20"/>
                <w:szCs w:val="20"/>
              </w:rPr>
            </w:pPr>
          </w:p>
        </w:tc>
        <w:tc>
          <w:tcPr>
            <w:tcW w:w="1077" w:type="dxa"/>
            <w:vMerge w:val="continue"/>
            <w:noWrap/>
            <w:vAlign w:val="center"/>
          </w:tcPr>
          <w:p w14:paraId="7D621823">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p>
        </w:tc>
        <w:tc>
          <w:tcPr>
            <w:tcW w:w="1834" w:type="dxa"/>
            <w:noWrap/>
            <w:vAlign w:val="center"/>
          </w:tcPr>
          <w:p w14:paraId="00D6B02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高中学生人数</w:t>
            </w:r>
          </w:p>
        </w:tc>
        <w:tc>
          <w:tcPr>
            <w:tcW w:w="688" w:type="dxa"/>
            <w:noWrap/>
            <w:vAlign w:val="center"/>
          </w:tcPr>
          <w:p w14:paraId="1DA879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w:t>
            </w:r>
          </w:p>
        </w:tc>
        <w:tc>
          <w:tcPr>
            <w:tcW w:w="859" w:type="dxa"/>
            <w:noWrap/>
            <w:vAlign w:val="center"/>
          </w:tcPr>
          <w:p w14:paraId="214753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4867</w:t>
            </w:r>
          </w:p>
        </w:tc>
        <w:tc>
          <w:tcPr>
            <w:tcW w:w="832" w:type="dxa"/>
            <w:noWrap/>
            <w:vAlign w:val="center"/>
          </w:tcPr>
          <w:p w14:paraId="68E823BD">
            <w:pPr>
              <w:keepNext w:val="0"/>
              <w:keepLines w:val="0"/>
              <w:pageBreakBefore w:val="0"/>
              <w:widowControl/>
              <w:suppressLineNumbers w:val="0"/>
              <w:kinsoku/>
              <w:wordWrap/>
              <w:overflowPunct/>
              <w:topLinePunct w:val="0"/>
              <w:autoSpaceDE/>
              <w:autoSpaceDN/>
              <w:bidi w:val="0"/>
              <w:adjustRightInd/>
              <w:snapToGrid/>
              <w:spacing w:line="240" w:lineRule="atLeast"/>
              <w:ind w:firstLine="200" w:firstLineChars="100"/>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人</w:t>
            </w:r>
          </w:p>
        </w:tc>
        <w:tc>
          <w:tcPr>
            <w:tcW w:w="723" w:type="dxa"/>
            <w:noWrap/>
            <w:vAlign w:val="center"/>
          </w:tcPr>
          <w:p w14:paraId="46447D91">
            <w:pPr>
              <w:keepNext w:val="0"/>
              <w:keepLines w:val="0"/>
              <w:pageBreakBefore w:val="0"/>
              <w:widowControl/>
              <w:suppressLineNumbers w:val="0"/>
              <w:kinsoku/>
              <w:wordWrap/>
              <w:overflowPunct/>
              <w:topLinePunct w:val="0"/>
              <w:autoSpaceDE/>
              <w:autoSpaceDN/>
              <w:bidi w:val="0"/>
              <w:adjustRightInd/>
              <w:snapToGrid/>
              <w:spacing w:line="240" w:lineRule="atLeast"/>
              <w:ind w:firstLine="200" w:firstLineChars="100"/>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15</w:t>
            </w:r>
          </w:p>
        </w:tc>
        <w:tc>
          <w:tcPr>
            <w:tcW w:w="859" w:type="dxa"/>
            <w:noWrap/>
            <w:vAlign w:val="center"/>
          </w:tcPr>
          <w:p w14:paraId="56148E7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4867</w:t>
            </w:r>
          </w:p>
        </w:tc>
        <w:tc>
          <w:tcPr>
            <w:tcW w:w="668" w:type="dxa"/>
            <w:noWrap/>
            <w:vAlign w:val="center"/>
          </w:tcPr>
          <w:p w14:paraId="61EA08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15</w:t>
            </w:r>
          </w:p>
        </w:tc>
        <w:tc>
          <w:tcPr>
            <w:tcW w:w="518" w:type="dxa"/>
            <w:noWrap/>
            <w:vAlign w:val="center"/>
          </w:tcPr>
          <w:p w14:paraId="0D1ACB46">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p>
        </w:tc>
        <w:tc>
          <w:tcPr>
            <w:tcW w:w="628" w:type="dxa"/>
            <w:vMerge w:val="restart"/>
            <w:noWrap/>
            <w:vAlign w:val="center"/>
          </w:tcPr>
          <w:p w14:paraId="1C76454F">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100</w:t>
            </w:r>
          </w:p>
        </w:tc>
      </w:tr>
      <w:tr w14:paraId="4FC9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74" w:type="dxa"/>
            <w:vMerge w:val="continue"/>
            <w:noWrap/>
            <w:vAlign w:val="center"/>
          </w:tcPr>
          <w:p w14:paraId="6A0064A5">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center"/>
              <w:rPr>
                <w:rFonts w:hint="default" w:ascii="Times New Roman" w:hAnsi="Times New Roman" w:eastAsia="方正仿宋_GBK" w:cs="Times New Roman"/>
                <w:color w:val="auto"/>
                <w:sz w:val="20"/>
                <w:szCs w:val="20"/>
              </w:rPr>
            </w:pPr>
          </w:p>
        </w:tc>
        <w:tc>
          <w:tcPr>
            <w:tcW w:w="1077" w:type="dxa"/>
            <w:vMerge w:val="continue"/>
            <w:noWrap/>
            <w:vAlign w:val="center"/>
          </w:tcPr>
          <w:p w14:paraId="428A384A">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p>
        </w:tc>
        <w:tc>
          <w:tcPr>
            <w:tcW w:w="1834" w:type="dxa"/>
            <w:noWrap/>
            <w:vAlign w:val="center"/>
          </w:tcPr>
          <w:p w14:paraId="37A9B2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资金下达时限</w:t>
            </w:r>
          </w:p>
        </w:tc>
        <w:tc>
          <w:tcPr>
            <w:tcW w:w="688" w:type="dxa"/>
            <w:noWrap/>
            <w:vAlign w:val="center"/>
          </w:tcPr>
          <w:p w14:paraId="00B3E0C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w:t>
            </w:r>
          </w:p>
        </w:tc>
        <w:tc>
          <w:tcPr>
            <w:tcW w:w="859" w:type="dxa"/>
            <w:noWrap/>
            <w:vAlign w:val="center"/>
          </w:tcPr>
          <w:p w14:paraId="43D15EE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2024</w:t>
            </w:r>
          </w:p>
        </w:tc>
        <w:tc>
          <w:tcPr>
            <w:tcW w:w="832" w:type="dxa"/>
            <w:noWrap/>
            <w:vAlign w:val="center"/>
          </w:tcPr>
          <w:p w14:paraId="02105E8E">
            <w:pPr>
              <w:keepNext w:val="0"/>
              <w:keepLines w:val="0"/>
              <w:pageBreakBefore w:val="0"/>
              <w:widowControl/>
              <w:suppressLineNumbers w:val="0"/>
              <w:kinsoku/>
              <w:wordWrap/>
              <w:overflowPunct/>
              <w:topLinePunct w:val="0"/>
              <w:autoSpaceDE/>
              <w:autoSpaceDN/>
              <w:bidi w:val="0"/>
              <w:adjustRightInd/>
              <w:snapToGrid/>
              <w:spacing w:line="240" w:lineRule="atLeast"/>
              <w:ind w:firstLine="200" w:firstLineChars="100"/>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年</w:t>
            </w:r>
          </w:p>
        </w:tc>
        <w:tc>
          <w:tcPr>
            <w:tcW w:w="723" w:type="dxa"/>
            <w:noWrap/>
            <w:vAlign w:val="center"/>
          </w:tcPr>
          <w:p w14:paraId="1DE45AA7">
            <w:pPr>
              <w:keepNext w:val="0"/>
              <w:keepLines w:val="0"/>
              <w:pageBreakBefore w:val="0"/>
              <w:widowControl/>
              <w:suppressLineNumbers w:val="0"/>
              <w:kinsoku/>
              <w:wordWrap/>
              <w:overflowPunct/>
              <w:topLinePunct w:val="0"/>
              <w:autoSpaceDE/>
              <w:autoSpaceDN/>
              <w:bidi w:val="0"/>
              <w:adjustRightInd/>
              <w:snapToGrid/>
              <w:spacing w:line="240" w:lineRule="atLeast"/>
              <w:ind w:firstLine="200" w:firstLineChars="100"/>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15</w:t>
            </w:r>
          </w:p>
        </w:tc>
        <w:tc>
          <w:tcPr>
            <w:tcW w:w="859" w:type="dxa"/>
            <w:noWrap/>
            <w:vAlign w:val="center"/>
          </w:tcPr>
          <w:p w14:paraId="2526FA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2024</w:t>
            </w:r>
          </w:p>
        </w:tc>
        <w:tc>
          <w:tcPr>
            <w:tcW w:w="668" w:type="dxa"/>
            <w:noWrap/>
            <w:vAlign w:val="center"/>
          </w:tcPr>
          <w:p w14:paraId="379A91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15</w:t>
            </w:r>
          </w:p>
        </w:tc>
        <w:tc>
          <w:tcPr>
            <w:tcW w:w="518" w:type="dxa"/>
            <w:noWrap/>
            <w:vAlign w:val="center"/>
          </w:tcPr>
          <w:p w14:paraId="5B183CB0">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p>
        </w:tc>
        <w:tc>
          <w:tcPr>
            <w:tcW w:w="628" w:type="dxa"/>
            <w:vMerge w:val="continue"/>
            <w:noWrap/>
            <w:vAlign w:val="center"/>
          </w:tcPr>
          <w:p w14:paraId="2BB54E6A">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p>
        </w:tc>
      </w:tr>
      <w:tr w14:paraId="0FD6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74" w:type="dxa"/>
            <w:vMerge w:val="continue"/>
            <w:noWrap/>
            <w:vAlign w:val="center"/>
          </w:tcPr>
          <w:p w14:paraId="3D79326A">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center"/>
              <w:rPr>
                <w:rFonts w:hint="default" w:ascii="Times New Roman" w:hAnsi="Times New Roman" w:eastAsia="方正仿宋_GBK" w:cs="Times New Roman"/>
                <w:color w:val="auto"/>
                <w:sz w:val="20"/>
                <w:szCs w:val="20"/>
              </w:rPr>
            </w:pPr>
          </w:p>
        </w:tc>
        <w:tc>
          <w:tcPr>
            <w:tcW w:w="1077" w:type="dxa"/>
            <w:vMerge w:val="continue"/>
            <w:noWrap/>
            <w:vAlign w:val="center"/>
          </w:tcPr>
          <w:p w14:paraId="255B3CCA">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p>
        </w:tc>
        <w:tc>
          <w:tcPr>
            <w:tcW w:w="1834" w:type="dxa"/>
            <w:noWrap/>
            <w:vAlign w:val="center"/>
          </w:tcPr>
          <w:p w14:paraId="09E9D5F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资金下达额度</w:t>
            </w:r>
          </w:p>
        </w:tc>
        <w:tc>
          <w:tcPr>
            <w:tcW w:w="688" w:type="dxa"/>
            <w:noWrap/>
            <w:vAlign w:val="center"/>
          </w:tcPr>
          <w:p w14:paraId="1292E6C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w:t>
            </w:r>
          </w:p>
        </w:tc>
        <w:tc>
          <w:tcPr>
            <w:tcW w:w="859" w:type="dxa"/>
            <w:noWrap/>
            <w:vAlign w:val="center"/>
          </w:tcPr>
          <w:p w14:paraId="086087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118.2</w:t>
            </w:r>
          </w:p>
        </w:tc>
        <w:tc>
          <w:tcPr>
            <w:tcW w:w="832" w:type="dxa"/>
            <w:noWrap/>
            <w:vAlign w:val="center"/>
          </w:tcPr>
          <w:p w14:paraId="4E6416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万元</w:t>
            </w:r>
          </w:p>
        </w:tc>
        <w:tc>
          <w:tcPr>
            <w:tcW w:w="723" w:type="dxa"/>
            <w:noWrap/>
            <w:vAlign w:val="center"/>
          </w:tcPr>
          <w:p w14:paraId="452B8349">
            <w:pPr>
              <w:keepNext w:val="0"/>
              <w:keepLines w:val="0"/>
              <w:pageBreakBefore w:val="0"/>
              <w:widowControl/>
              <w:suppressLineNumbers w:val="0"/>
              <w:kinsoku/>
              <w:wordWrap/>
              <w:overflowPunct/>
              <w:topLinePunct w:val="0"/>
              <w:autoSpaceDE/>
              <w:autoSpaceDN/>
              <w:bidi w:val="0"/>
              <w:adjustRightInd/>
              <w:snapToGrid/>
              <w:spacing w:line="240" w:lineRule="atLeast"/>
              <w:ind w:firstLine="200" w:firstLineChars="100"/>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20</w:t>
            </w:r>
          </w:p>
        </w:tc>
        <w:tc>
          <w:tcPr>
            <w:tcW w:w="859" w:type="dxa"/>
            <w:noWrap/>
            <w:vAlign w:val="center"/>
          </w:tcPr>
          <w:p w14:paraId="0D7369C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118.2</w:t>
            </w:r>
          </w:p>
        </w:tc>
        <w:tc>
          <w:tcPr>
            <w:tcW w:w="668" w:type="dxa"/>
            <w:noWrap/>
            <w:vAlign w:val="center"/>
          </w:tcPr>
          <w:p w14:paraId="3A001E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20</w:t>
            </w:r>
          </w:p>
        </w:tc>
        <w:tc>
          <w:tcPr>
            <w:tcW w:w="518" w:type="dxa"/>
            <w:noWrap/>
            <w:vAlign w:val="center"/>
          </w:tcPr>
          <w:p w14:paraId="47B98E75">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p>
        </w:tc>
        <w:tc>
          <w:tcPr>
            <w:tcW w:w="628" w:type="dxa"/>
            <w:vMerge w:val="continue"/>
            <w:noWrap/>
            <w:vAlign w:val="center"/>
          </w:tcPr>
          <w:p w14:paraId="732379D4">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p>
        </w:tc>
      </w:tr>
      <w:tr w14:paraId="0568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74" w:type="dxa"/>
            <w:vMerge w:val="continue"/>
            <w:noWrap/>
            <w:vAlign w:val="center"/>
          </w:tcPr>
          <w:p w14:paraId="7048DD77">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center"/>
              <w:rPr>
                <w:rFonts w:hint="default" w:ascii="Times New Roman" w:hAnsi="Times New Roman" w:eastAsia="方正仿宋_GBK" w:cs="Times New Roman"/>
                <w:color w:val="auto"/>
                <w:sz w:val="20"/>
                <w:szCs w:val="20"/>
              </w:rPr>
            </w:pPr>
          </w:p>
        </w:tc>
        <w:tc>
          <w:tcPr>
            <w:tcW w:w="1077" w:type="dxa"/>
            <w:vMerge w:val="continue"/>
            <w:noWrap/>
            <w:vAlign w:val="center"/>
          </w:tcPr>
          <w:p w14:paraId="466D912B">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p>
        </w:tc>
        <w:tc>
          <w:tcPr>
            <w:tcW w:w="1834" w:type="dxa"/>
            <w:noWrap/>
            <w:vAlign w:val="center"/>
          </w:tcPr>
          <w:p w14:paraId="2D6960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保障高中学生教育教学活动正常开展</w:t>
            </w:r>
          </w:p>
        </w:tc>
        <w:tc>
          <w:tcPr>
            <w:tcW w:w="688" w:type="dxa"/>
            <w:noWrap/>
            <w:vAlign w:val="center"/>
          </w:tcPr>
          <w:p w14:paraId="0B4BE7B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w:t>
            </w:r>
          </w:p>
        </w:tc>
        <w:tc>
          <w:tcPr>
            <w:tcW w:w="859" w:type="dxa"/>
            <w:noWrap/>
            <w:vAlign w:val="center"/>
          </w:tcPr>
          <w:p w14:paraId="54163A2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1</w:t>
            </w:r>
          </w:p>
        </w:tc>
        <w:tc>
          <w:tcPr>
            <w:tcW w:w="832" w:type="dxa"/>
            <w:noWrap/>
            <w:vAlign w:val="center"/>
          </w:tcPr>
          <w:p w14:paraId="18284A57">
            <w:pPr>
              <w:keepNext w:val="0"/>
              <w:keepLines w:val="0"/>
              <w:pageBreakBefore w:val="0"/>
              <w:widowControl/>
              <w:suppressLineNumbers w:val="0"/>
              <w:kinsoku/>
              <w:wordWrap/>
              <w:overflowPunct/>
              <w:topLinePunct w:val="0"/>
              <w:autoSpaceDE/>
              <w:autoSpaceDN/>
              <w:bidi w:val="0"/>
              <w:adjustRightInd/>
              <w:snapToGrid/>
              <w:spacing w:line="240" w:lineRule="atLeast"/>
              <w:ind w:firstLine="200" w:firstLineChars="100"/>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年</w:t>
            </w:r>
          </w:p>
        </w:tc>
        <w:tc>
          <w:tcPr>
            <w:tcW w:w="723" w:type="dxa"/>
            <w:noWrap/>
            <w:vAlign w:val="center"/>
          </w:tcPr>
          <w:p w14:paraId="299BCF24">
            <w:pPr>
              <w:keepNext w:val="0"/>
              <w:keepLines w:val="0"/>
              <w:pageBreakBefore w:val="0"/>
              <w:widowControl/>
              <w:suppressLineNumbers w:val="0"/>
              <w:kinsoku/>
              <w:wordWrap/>
              <w:overflowPunct/>
              <w:topLinePunct w:val="0"/>
              <w:autoSpaceDE/>
              <w:autoSpaceDN/>
              <w:bidi w:val="0"/>
              <w:adjustRightInd/>
              <w:snapToGrid/>
              <w:spacing w:line="240" w:lineRule="atLeast"/>
              <w:ind w:firstLine="200" w:firstLineChars="100"/>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15</w:t>
            </w:r>
          </w:p>
        </w:tc>
        <w:tc>
          <w:tcPr>
            <w:tcW w:w="859" w:type="dxa"/>
            <w:noWrap/>
            <w:vAlign w:val="center"/>
          </w:tcPr>
          <w:p w14:paraId="0257FF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1</w:t>
            </w:r>
          </w:p>
        </w:tc>
        <w:tc>
          <w:tcPr>
            <w:tcW w:w="668" w:type="dxa"/>
            <w:noWrap/>
            <w:vAlign w:val="center"/>
          </w:tcPr>
          <w:p w14:paraId="39F74B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15</w:t>
            </w:r>
          </w:p>
        </w:tc>
        <w:tc>
          <w:tcPr>
            <w:tcW w:w="518" w:type="dxa"/>
            <w:noWrap/>
            <w:vAlign w:val="center"/>
          </w:tcPr>
          <w:p w14:paraId="5C3CA6F0">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p>
        </w:tc>
        <w:tc>
          <w:tcPr>
            <w:tcW w:w="628" w:type="dxa"/>
            <w:vMerge w:val="continue"/>
            <w:noWrap/>
            <w:vAlign w:val="center"/>
          </w:tcPr>
          <w:p w14:paraId="0B4E8F35">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p>
        </w:tc>
      </w:tr>
      <w:tr w14:paraId="03D2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74" w:type="dxa"/>
            <w:vMerge w:val="continue"/>
            <w:noWrap/>
            <w:vAlign w:val="center"/>
          </w:tcPr>
          <w:p w14:paraId="2AD2A4F9">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center"/>
              <w:rPr>
                <w:rFonts w:hint="default" w:ascii="Times New Roman" w:hAnsi="Times New Roman" w:eastAsia="方正仿宋_GBK" w:cs="Times New Roman"/>
                <w:color w:val="auto"/>
                <w:sz w:val="20"/>
                <w:szCs w:val="20"/>
              </w:rPr>
            </w:pPr>
          </w:p>
        </w:tc>
        <w:tc>
          <w:tcPr>
            <w:tcW w:w="1077" w:type="dxa"/>
            <w:vMerge w:val="continue"/>
            <w:noWrap/>
            <w:vAlign w:val="center"/>
          </w:tcPr>
          <w:p w14:paraId="3F4EE115">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p>
        </w:tc>
        <w:tc>
          <w:tcPr>
            <w:tcW w:w="1834" w:type="dxa"/>
            <w:noWrap/>
            <w:vAlign w:val="center"/>
          </w:tcPr>
          <w:p w14:paraId="425F13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促进学校稳定发展</w:t>
            </w:r>
          </w:p>
        </w:tc>
        <w:tc>
          <w:tcPr>
            <w:tcW w:w="688" w:type="dxa"/>
            <w:noWrap/>
            <w:vAlign w:val="center"/>
          </w:tcPr>
          <w:p w14:paraId="42FFC4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定性</w:t>
            </w:r>
          </w:p>
        </w:tc>
        <w:tc>
          <w:tcPr>
            <w:tcW w:w="859" w:type="dxa"/>
            <w:noWrap/>
            <w:vAlign w:val="center"/>
          </w:tcPr>
          <w:p w14:paraId="03C1E0E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好</w:t>
            </w:r>
          </w:p>
        </w:tc>
        <w:tc>
          <w:tcPr>
            <w:tcW w:w="832" w:type="dxa"/>
            <w:noWrap/>
            <w:vAlign w:val="center"/>
          </w:tcPr>
          <w:p w14:paraId="6528D524">
            <w:pPr>
              <w:keepNext w:val="0"/>
              <w:keepLines w:val="0"/>
              <w:pageBreakBefore w:val="0"/>
              <w:widowControl/>
              <w:suppressLineNumbers w:val="0"/>
              <w:kinsoku/>
              <w:wordWrap/>
              <w:overflowPunct/>
              <w:topLinePunct w:val="0"/>
              <w:autoSpaceDE/>
              <w:autoSpaceDN/>
              <w:bidi w:val="0"/>
              <w:adjustRightInd/>
              <w:snapToGrid/>
              <w:spacing w:line="240" w:lineRule="atLeast"/>
              <w:ind w:firstLine="200" w:firstLineChars="100"/>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年</w:t>
            </w:r>
          </w:p>
        </w:tc>
        <w:tc>
          <w:tcPr>
            <w:tcW w:w="723" w:type="dxa"/>
            <w:noWrap/>
            <w:vAlign w:val="center"/>
          </w:tcPr>
          <w:p w14:paraId="34E7BF0B">
            <w:pPr>
              <w:keepNext w:val="0"/>
              <w:keepLines w:val="0"/>
              <w:pageBreakBefore w:val="0"/>
              <w:widowControl/>
              <w:suppressLineNumbers w:val="0"/>
              <w:kinsoku/>
              <w:wordWrap/>
              <w:overflowPunct/>
              <w:topLinePunct w:val="0"/>
              <w:autoSpaceDE/>
              <w:autoSpaceDN/>
              <w:bidi w:val="0"/>
              <w:adjustRightInd/>
              <w:snapToGrid/>
              <w:spacing w:line="240" w:lineRule="atLeast"/>
              <w:ind w:firstLine="200" w:firstLineChars="100"/>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15</w:t>
            </w:r>
          </w:p>
        </w:tc>
        <w:tc>
          <w:tcPr>
            <w:tcW w:w="859" w:type="dxa"/>
            <w:noWrap/>
            <w:vAlign w:val="center"/>
          </w:tcPr>
          <w:p w14:paraId="1F2685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1</w:t>
            </w:r>
          </w:p>
        </w:tc>
        <w:tc>
          <w:tcPr>
            <w:tcW w:w="668" w:type="dxa"/>
            <w:noWrap/>
            <w:vAlign w:val="center"/>
          </w:tcPr>
          <w:p w14:paraId="7C1541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15</w:t>
            </w:r>
          </w:p>
        </w:tc>
        <w:tc>
          <w:tcPr>
            <w:tcW w:w="518" w:type="dxa"/>
            <w:noWrap/>
            <w:vAlign w:val="center"/>
          </w:tcPr>
          <w:p w14:paraId="02E1AE96">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p>
        </w:tc>
        <w:tc>
          <w:tcPr>
            <w:tcW w:w="628" w:type="dxa"/>
            <w:vMerge w:val="continue"/>
            <w:noWrap/>
            <w:vAlign w:val="center"/>
          </w:tcPr>
          <w:p w14:paraId="4ED91CE3">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p>
        </w:tc>
      </w:tr>
      <w:tr w14:paraId="10D0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74" w:type="dxa"/>
            <w:vMerge w:val="continue"/>
            <w:noWrap/>
            <w:vAlign w:val="center"/>
          </w:tcPr>
          <w:p w14:paraId="1BB3745B">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textAlignment w:val="center"/>
              <w:rPr>
                <w:rFonts w:hint="default" w:ascii="Times New Roman" w:hAnsi="Times New Roman" w:eastAsia="方正仿宋_GBK" w:cs="Times New Roman"/>
                <w:color w:val="auto"/>
                <w:sz w:val="20"/>
                <w:szCs w:val="20"/>
              </w:rPr>
            </w:pPr>
          </w:p>
        </w:tc>
        <w:tc>
          <w:tcPr>
            <w:tcW w:w="1077" w:type="dxa"/>
            <w:vMerge w:val="continue"/>
            <w:noWrap/>
            <w:vAlign w:val="center"/>
          </w:tcPr>
          <w:p w14:paraId="51EA9256">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p>
        </w:tc>
        <w:tc>
          <w:tcPr>
            <w:tcW w:w="1834" w:type="dxa"/>
            <w:noWrap/>
            <w:vAlign w:val="center"/>
          </w:tcPr>
          <w:p w14:paraId="3B60C2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学生满意度</w:t>
            </w:r>
          </w:p>
        </w:tc>
        <w:tc>
          <w:tcPr>
            <w:tcW w:w="688" w:type="dxa"/>
            <w:noWrap/>
            <w:vAlign w:val="center"/>
          </w:tcPr>
          <w:p w14:paraId="2854976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w:t>
            </w:r>
          </w:p>
        </w:tc>
        <w:tc>
          <w:tcPr>
            <w:tcW w:w="859" w:type="dxa"/>
            <w:noWrap/>
            <w:vAlign w:val="center"/>
          </w:tcPr>
          <w:p w14:paraId="0B448F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95</w:t>
            </w:r>
          </w:p>
        </w:tc>
        <w:tc>
          <w:tcPr>
            <w:tcW w:w="832" w:type="dxa"/>
            <w:noWrap/>
            <w:vAlign w:val="center"/>
          </w:tcPr>
          <w:p w14:paraId="3FC359C1">
            <w:pPr>
              <w:keepNext w:val="0"/>
              <w:keepLines w:val="0"/>
              <w:pageBreakBefore w:val="0"/>
              <w:widowControl/>
              <w:suppressLineNumbers w:val="0"/>
              <w:kinsoku/>
              <w:wordWrap/>
              <w:overflowPunct/>
              <w:topLinePunct w:val="0"/>
              <w:autoSpaceDE/>
              <w:autoSpaceDN/>
              <w:bidi w:val="0"/>
              <w:adjustRightInd/>
              <w:snapToGrid/>
              <w:spacing w:line="240" w:lineRule="atLeast"/>
              <w:ind w:firstLine="200" w:firstLineChars="100"/>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w:t>
            </w:r>
          </w:p>
        </w:tc>
        <w:tc>
          <w:tcPr>
            <w:tcW w:w="723" w:type="dxa"/>
            <w:noWrap/>
            <w:vAlign w:val="center"/>
          </w:tcPr>
          <w:p w14:paraId="465B0745">
            <w:pPr>
              <w:keepNext w:val="0"/>
              <w:keepLines w:val="0"/>
              <w:pageBreakBefore w:val="0"/>
              <w:widowControl/>
              <w:suppressLineNumbers w:val="0"/>
              <w:kinsoku/>
              <w:wordWrap/>
              <w:overflowPunct/>
              <w:topLinePunct w:val="0"/>
              <w:autoSpaceDE/>
              <w:autoSpaceDN/>
              <w:bidi w:val="0"/>
              <w:adjustRightInd/>
              <w:snapToGrid/>
              <w:spacing w:line="240" w:lineRule="atLeast"/>
              <w:ind w:firstLine="200" w:firstLineChars="100"/>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10</w:t>
            </w:r>
          </w:p>
        </w:tc>
        <w:tc>
          <w:tcPr>
            <w:tcW w:w="859" w:type="dxa"/>
            <w:noWrap/>
            <w:vAlign w:val="center"/>
          </w:tcPr>
          <w:p w14:paraId="518295D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95</w:t>
            </w:r>
          </w:p>
        </w:tc>
        <w:tc>
          <w:tcPr>
            <w:tcW w:w="668" w:type="dxa"/>
            <w:noWrap/>
            <w:vAlign w:val="center"/>
          </w:tcPr>
          <w:p w14:paraId="658F003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iCs w:val="0"/>
                <w:color w:val="auto"/>
                <w:kern w:val="0"/>
                <w:sz w:val="20"/>
                <w:szCs w:val="20"/>
                <w:u w:val="none"/>
                <w:lang w:val="en-US" w:eastAsia="zh-CN" w:bidi="ar"/>
              </w:rPr>
              <w:t>10</w:t>
            </w:r>
          </w:p>
        </w:tc>
        <w:tc>
          <w:tcPr>
            <w:tcW w:w="518" w:type="dxa"/>
            <w:noWrap/>
            <w:vAlign w:val="center"/>
          </w:tcPr>
          <w:p w14:paraId="61363FBB">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p>
        </w:tc>
        <w:tc>
          <w:tcPr>
            <w:tcW w:w="628" w:type="dxa"/>
            <w:vMerge w:val="continue"/>
            <w:noWrap/>
            <w:vAlign w:val="center"/>
          </w:tcPr>
          <w:p w14:paraId="30BCC813">
            <w:pPr>
              <w:keepNext w:val="0"/>
              <w:keepLines w:val="0"/>
              <w:pageBreakBefore w:val="0"/>
              <w:widowControl/>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方正仿宋_GBK" w:cs="Times New Roman"/>
                <w:color w:val="auto"/>
                <w:sz w:val="20"/>
                <w:szCs w:val="20"/>
              </w:rPr>
            </w:pPr>
          </w:p>
        </w:tc>
      </w:tr>
    </w:tbl>
    <w:p w14:paraId="7D42C8B3">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楷体_GBK" w:cs="Times New Roman"/>
          <w:b w:val="0"/>
          <w:bCs w:val="0"/>
          <w:color w:val="auto"/>
          <w:kern w:val="0"/>
          <w:sz w:val="32"/>
          <w:szCs w:val="32"/>
          <w:shd w:val="clear" w:fill="FFFFFF"/>
          <w:lang w:val="en-US" w:eastAsia="zh-CN"/>
        </w:rPr>
      </w:pPr>
      <w:r>
        <w:rPr>
          <w:rFonts w:hint="default" w:ascii="Times New Roman" w:hAnsi="Times New Roman" w:eastAsia="方正楷体_GBK" w:cs="Times New Roman"/>
          <w:b w:val="0"/>
          <w:bCs w:val="0"/>
          <w:color w:val="auto"/>
          <w:kern w:val="0"/>
          <w:sz w:val="32"/>
          <w:szCs w:val="32"/>
          <w:shd w:val="clear" w:fill="FFFFFF"/>
          <w:lang w:val="en-US" w:eastAsia="zh-CN"/>
        </w:rPr>
        <w:t>（二）单位重点绩效评价情况</w:t>
      </w:r>
    </w:p>
    <w:p w14:paraId="1E6C7F72">
      <w:pPr>
        <w:keepNext w:val="0"/>
        <w:keepLines w:val="0"/>
        <w:pageBreakBefore w:val="0"/>
        <w:widowControl/>
        <w:numPr>
          <w:ilvl w:val="0"/>
          <w:numId w:val="0"/>
        </w:numPr>
        <w:tabs>
          <w:tab w:val="center" w:pos="4153"/>
          <w:tab w:val="left" w:pos="7275"/>
        </w:tabs>
        <w:kinsoku/>
        <w:wordWrap/>
        <w:overflowPunct/>
        <w:topLinePunct w:val="0"/>
        <w:autoSpaceDE/>
        <w:autoSpaceDN/>
        <w:bidi w:val="0"/>
        <w:adjustRightInd/>
        <w:snapToGrid/>
        <w:spacing w:beforeAutospacing="0" w:afterAutospacing="0" w:line="600" w:lineRule="atLeast"/>
        <w:ind w:left="0" w:leftChars="0" w:firstLine="640" w:firstLineChars="200"/>
        <w:jc w:val="both"/>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我单位2024年无重点绩效评价。</w:t>
      </w:r>
    </w:p>
    <w:p w14:paraId="034DC492">
      <w:pPr>
        <w:keepNext w:val="0"/>
        <w:keepLines w:val="0"/>
        <w:pageBreakBefore w:val="0"/>
        <w:widowControl/>
        <w:numPr>
          <w:ilvl w:val="0"/>
          <w:numId w:val="0"/>
        </w:numPr>
        <w:tabs>
          <w:tab w:val="center" w:pos="4153"/>
          <w:tab w:val="left" w:pos="7275"/>
        </w:tabs>
        <w:kinsoku/>
        <w:wordWrap/>
        <w:overflowPunct/>
        <w:topLinePunct w:val="0"/>
        <w:autoSpaceDN/>
        <w:bidi w:val="0"/>
        <w:spacing w:beforeAutospacing="0" w:afterAutospacing="0" w:line="600" w:lineRule="atLeast"/>
        <w:ind w:left="0" w:leftChars="0" w:firstLine="640" w:firstLineChars="200"/>
        <w:jc w:val="both"/>
        <w:rPr>
          <w:rStyle w:val="11"/>
          <w:rFonts w:hint="default" w:ascii="Times New Roman" w:hAnsi="Times New Roman" w:eastAsia="方正楷体_GBK" w:cs="Times New Roman"/>
          <w:b w:val="0"/>
          <w:bCs/>
          <w:color w:val="auto"/>
          <w:sz w:val="32"/>
          <w:szCs w:val="32"/>
          <w:shd w:val="clear" w:color="auto" w:fill="FFFFFF"/>
          <w:lang w:val="en-US" w:eastAsia="zh-CN" w:bidi="ar-SA"/>
        </w:rPr>
      </w:pPr>
      <w:r>
        <w:rPr>
          <w:rFonts w:hint="default" w:ascii="Times New Roman" w:hAnsi="Times New Roman" w:eastAsia="方正楷体_GBK" w:cs="Times New Roman"/>
          <w:b w:val="0"/>
          <w:bCs/>
          <w:color w:val="auto"/>
          <w:sz w:val="32"/>
          <w:szCs w:val="32"/>
          <w:shd w:val="clear" w:fill="FFFFFF"/>
          <w:lang w:val="en-US" w:eastAsia="zh-CN" w:bidi="ar-SA"/>
        </w:rPr>
        <w:t>（三）</w:t>
      </w:r>
      <w:r>
        <w:rPr>
          <w:rStyle w:val="11"/>
          <w:rFonts w:hint="default" w:ascii="Times New Roman" w:hAnsi="Times New Roman" w:eastAsia="方正楷体_GBK" w:cs="Times New Roman"/>
          <w:b w:val="0"/>
          <w:bCs/>
          <w:color w:val="auto"/>
          <w:sz w:val="32"/>
          <w:szCs w:val="32"/>
          <w:shd w:val="clear" w:color="auto" w:fill="FFFFFF"/>
          <w:lang w:val="en-US" w:eastAsia="zh-CN" w:bidi="ar-SA"/>
        </w:rPr>
        <w:t>财政绩效评价情况</w:t>
      </w:r>
    </w:p>
    <w:p w14:paraId="0AD183A7">
      <w:pPr>
        <w:keepNext w:val="0"/>
        <w:keepLines w:val="0"/>
        <w:pageBreakBefore w:val="0"/>
        <w:widowControl/>
        <w:numPr>
          <w:ilvl w:val="0"/>
          <w:numId w:val="0"/>
        </w:numPr>
        <w:tabs>
          <w:tab w:val="center" w:pos="4153"/>
          <w:tab w:val="left" w:pos="7275"/>
        </w:tabs>
        <w:kinsoku/>
        <w:wordWrap/>
        <w:overflowPunct/>
        <w:topLinePunct w:val="0"/>
        <w:autoSpaceDE/>
        <w:autoSpaceDN/>
        <w:bidi w:val="0"/>
        <w:adjustRightInd/>
        <w:snapToGrid/>
        <w:spacing w:beforeAutospacing="0" w:afterAutospacing="0" w:line="600" w:lineRule="atLeast"/>
        <w:ind w:left="0" w:leftChars="0" w:firstLine="640" w:firstLineChars="200"/>
        <w:jc w:val="both"/>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财政重点绩效评价由区财政局统一公开。</w:t>
      </w:r>
    </w:p>
    <w:p w14:paraId="088A9D26">
      <w:pPr>
        <w:keepNext w:val="0"/>
        <w:keepLines w:val="0"/>
        <w:pageBreakBefore w:val="0"/>
        <w:widowControl/>
        <w:kinsoku/>
        <w:wordWrap/>
        <w:overflowPunct/>
        <w:topLinePunct w:val="0"/>
        <w:autoSpaceDE/>
        <w:autoSpaceDN/>
        <w:bidi w:val="0"/>
        <w:adjustRightInd/>
        <w:snapToGrid/>
        <w:spacing w:beforeAutospacing="0" w:afterAutospacing="0" w:line="600" w:lineRule="atLeast"/>
        <w:ind w:firstLine="640" w:firstLineChars="200"/>
        <w:jc w:val="both"/>
        <w:textAlignment w:val="auto"/>
        <w:rPr>
          <w:rStyle w:val="11"/>
          <w:rFonts w:hint="default" w:ascii="Times New Roman" w:hAnsi="Times New Roman" w:eastAsia="方正黑体_GBK" w:cs="Times New Roman"/>
          <w:b w:val="0"/>
          <w:bCs/>
          <w:color w:val="auto"/>
          <w:sz w:val="32"/>
          <w:szCs w:val="32"/>
          <w:shd w:val="clear" w:color="auto" w:fill="FFFFFF"/>
          <w:lang w:val="en-US" w:eastAsia="zh-CN" w:bidi="ar-SA"/>
        </w:rPr>
      </w:pPr>
      <w:r>
        <w:rPr>
          <w:rStyle w:val="11"/>
          <w:rFonts w:hint="default" w:ascii="Times New Roman" w:hAnsi="Times New Roman" w:eastAsia="方正黑体_GBK" w:cs="Times New Roman"/>
          <w:b w:val="0"/>
          <w:bCs/>
          <w:color w:val="auto"/>
          <w:sz w:val="32"/>
          <w:szCs w:val="32"/>
          <w:shd w:val="clear" w:color="auto" w:fill="FFFFFF"/>
          <w:lang w:val="en-US" w:eastAsia="zh-CN" w:bidi="ar-SA"/>
        </w:rPr>
        <w:t>六、专业名词解释</w:t>
      </w:r>
    </w:p>
    <w:p w14:paraId="792B62A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（一）财政拨款收入：</w:t>
      </w:r>
      <w:r>
        <w:rPr>
          <w:rFonts w:hint="default" w:ascii="Times New Roman" w:hAnsi="Times New Roman" w:eastAsia="方正仿宋_GBK" w:cs="Times New Roman"/>
          <w:color w:val="auto"/>
          <w:kern w:val="0"/>
          <w:sz w:val="32"/>
          <w:szCs w:val="32"/>
          <w:shd w:val="clear" w:fill="FFFFFF"/>
        </w:rPr>
        <w:t>指本年度从本级财政</w:t>
      </w:r>
      <w:r>
        <w:rPr>
          <w:rFonts w:hint="default" w:ascii="Times New Roman" w:hAnsi="Times New Roman" w:eastAsia="方正仿宋_GBK" w:cs="Times New Roman"/>
          <w:color w:val="auto"/>
          <w:kern w:val="0"/>
          <w:sz w:val="32"/>
          <w:szCs w:val="32"/>
          <w:shd w:val="clear" w:fill="FFFFFF"/>
          <w:lang w:eastAsia="zh-CN"/>
        </w:rPr>
        <w:t>单位</w:t>
      </w:r>
      <w:r>
        <w:rPr>
          <w:rFonts w:hint="default" w:ascii="Times New Roman" w:hAnsi="Times New Roman" w:eastAsia="方正仿宋_GBK" w:cs="Times New Roman"/>
          <w:color w:val="auto"/>
          <w:kern w:val="0"/>
          <w:sz w:val="32"/>
          <w:szCs w:val="32"/>
          <w:shd w:val="clear" w:fill="FFFFFF"/>
        </w:rPr>
        <w:t>取得的财政拨款，包括一般公共预算财政拨款和政府性基金预算财政拨款。</w:t>
      </w:r>
    </w:p>
    <w:p w14:paraId="6F130A65">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（二）事业收入：</w:t>
      </w:r>
      <w:r>
        <w:rPr>
          <w:rFonts w:hint="default" w:ascii="Times New Roman" w:hAnsi="Times New Roman" w:eastAsia="方正仿宋_GBK" w:cs="Times New Roman"/>
          <w:color w:val="auto"/>
          <w:kern w:val="0"/>
          <w:sz w:val="32"/>
          <w:szCs w:val="32"/>
          <w:shd w:val="clear" w:fill="FFFFFF"/>
        </w:rPr>
        <w:t>指事业单位开展专业业务活动及其辅助活动取得的现金流入；事业单位收到的财政专户实际核拨的教育收费等资金在此反映。</w:t>
      </w:r>
    </w:p>
    <w:p w14:paraId="3490336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（三）使用非财政拨款结余：</w:t>
      </w:r>
      <w:r>
        <w:rPr>
          <w:rFonts w:hint="default" w:ascii="Times New Roman" w:hAnsi="Times New Roman" w:eastAsia="方正仿宋_GBK" w:cs="Times New Roman"/>
          <w:color w:val="auto"/>
          <w:kern w:val="0"/>
          <w:sz w:val="32"/>
          <w:szCs w:val="32"/>
          <w:shd w:val="clear" w:fill="FFFFFF"/>
        </w:rPr>
        <w:t>指单位在当年的</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财政拨款收入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事业收入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经营收入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其他收入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等不足以安排当年支出的情况下，使用以前年度积累的非财政拨款结余弥补本年度收支缺口的资金。</w:t>
      </w:r>
    </w:p>
    <w:p w14:paraId="2DB1C0EE">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（四）年初结转和结余：</w:t>
      </w:r>
      <w:r>
        <w:rPr>
          <w:rFonts w:hint="default" w:ascii="Times New Roman" w:hAnsi="Times New Roman" w:eastAsia="方正仿宋_GBK" w:cs="Times New Roman"/>
          <w:color w:val="auto"/>
          <w:kern w:val="0"/>
          <w:sz w:val="32"/>
          <w:szCs w:val="32"/>
          <w:shd w:val="clear" w:fill="FFFFFF"/>
        </w:rPr>
        <w:t>指单位上年结转本年使用的基本支出结转、项目支出结转和结余、经营结余。</w:t>
      </w:r>
    </w:p>
    <w:p w14:paraId="38944C6E">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（五）结余分配：</w:t>
      </w:r>
      <w:r>
        <w:rPr>
          <w:rFonts w:hint="default" w:ascii="Times New Roman" w:hAnsi="Times New Roman" w:eastAsia="方正仿宋_GBK" w:cs="Times New Roman"/>
          <w:color w:val="auto"/>
          <w:kern w:val="0"/>
          <w:sz w:val="32"/>
          <w:szCs w:val="32"/>
          <w:shd w:val="clear" w:fill="FFFFFF"/>
        </w:rPr>
        <w:t>指单位按照国家有关规定，缴纳所得税、提取专用基金、转入非财政拨款结余等当年结余的分配情况。</w:t>
      </w:r>
    </w:p>
    <w:p w14:paraId="28C701F1">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（六）年末结转和结余：</w:t>
      </w:r>
      <w:r>
        <w:rPr>
          <w:rFonts w:hint="default" w:ascii="Times New Roman" w:hAnsi="Times New Roman" w:eastAsia="方正仿宋_GBK" w:cs="Times New Roman"/>
          <w:color w:val="auto"/>
          <w:kern w:val="0"/>
          <w:sz w:val="32"/>
          <w:szCs w:val="32"/>
          <w:shd w:val="clear" w:fill="FFFFFF"/>
        </w:rPr>
        <w:t>指单位结转下年的基本支出结转、项目支出结转和结余、经营结余。</w:t>
      </w:r>
    </w:p>
    <w:p w14:paraId="425448C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（七）基本支出：</w:t>
      </w:r>
      <w:r>
        <w:rPr>
          <w:rFonts w:hint="default" w:ascii="Times New Roman" w:hAnsi="Times New Roman" w:eastAsia="方正仿宋_GBK" w:cs="Times New Roman"/>
          <w:color w:val="auto"/>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工资福利支出</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和</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对个人和家庭的补助</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；公用经费指政府收支分类经济科目中除</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工资福利支出</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和</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对个人和家庭的补助</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外的其他支出。</w:t>
      </w:r>
    </w:p>
    <w:p w14:paraId="627574A6">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（八）项目支出：</w:t>
      </w:r>
      <w:r>
        <w:rPr>
          <w:rFonts w:hint="default" w:ascii="Times New Roman" w:hAnsi="Times New Roman" w:eastAsia="方正仿宋_GBK" w:cs="Times New Roman"/>
          <w:color w:val="auto"/>
          <w:kern w:val="0"/>
          <w:sz w:val="32"/>
          <w:szCs w:val="32"/>
          <w:shd w:val="clear" w:fill="FFFFFF"/>
        </w:rPr>
        <w:t>指在基本支出之外为完成特定行政任务和事业发展目标所发生的支出。</w:t>
      </w:r>
    </w:p>
    <w:p w14:paraId="3EA1348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（九）</w:t>
      </w:r>
      <w:r>
        <w:rPr>
          <w:rStyle w:val="11"/>
          <w:rFonts w:hint="eastAsia" w:ascii="Times New Roman" w:hAnsi="Times New Roman" w:eastAsia="方正楷体_GBK" w:cs="Times New Roman"/>
          <w:b w:val="0"/>
          <w:bCs/>
          <w:color w:val="auto"/>
          <w:sz w:val="32"/>
          <w:szCs w:val="32"/>
          <w:shd w:val="clear" w:color="auto" w:fill="FFFFFF"/>
          <w:lang w:val="en-US" w:eastAsia="zh-CN" w:bidi="ar-SA"/>
        </w:rPr>
        <w:t>“</w:t>
      </w:r>
      <w:r>
        <w:rPr>
          <w:rStyle w:val="11"/>
          <w:rFonts w:hint="default" w:ascii="Times New Roman" w:hAnsi="Times New Roman" w:eastAsia="方正楷体_GBK" w:cs="Times New Roman"/>
          <w:b w:val="0"/>
          <w:bCs/>
          <w:color w:val="auto"/>
          <w:sz w:val="32"/>
          <w:szCs w:val="32"/>
          <w:shd w:val="clear" w:color="auto" w:fill="FFFFFF"/>
          <w:lang w:val="en-US" w:eastAsia="zh-CN" w:bidi="ar-SA"/>
        </w:rPr>
        <w:t>三公</w:t>
      </w:r>
      <w:r>
        <w:rPr>
          <w:rStyle w:val="11"/>
          <w:rFonts w:hint="eastAsia" w:ascii="Times New Roman" w:hAnsi="Times New Roman" w:eastAsia="方正楷体_GBK" w:cs="Times New Roman"/>
          <w:b w:val="0"/>
          <w:bCs/>
          <w:color w:val="auto"/>
          <w:sz w:val="32"/>
          <w:szCs w:val="32"/>
          <w:shd w:val="clear" w:color="auto" w:fill="FFFFFF"/>
          <w:lang w:val="en-US" w:eastAsia="zh-CN" w:bidi="ar-SA"/>
        </w:rPr>
        <w:t>”</w:t>
      </w:r>
      <w:r>
        <w:rPr>
          <w:rStyle w:val="11"/>
          <w:rFonts w:hint="default" w:ascii="Times New Roman" w:hAnsi="Times New Roman" w:eastAsia="方正楷体_GBK" w:cs="Times New Roman"/>
          <w:b w:val="0"/>
          <w:bCs/>
          <w:color w:val="auto"/>
          <w:sz w:val="32"/>
          <w:szCs w:val="32"/>
          <w:shd w:val="clear" w:color="auto" w:fill="FFFFFF"/>
          <w:lang w:val="en-US" w:eastAsia="zh-CN" w:bidi="ar-SA"/>
        </w:rPr>
        <w:t>经费：</w:t>
      </w:r>
      <w:r>
        <w:rPr>
          <w:rFonts w:hint="default" w:ascii="Times New Roman" w:hAnsi="Times New Roman" w:eastAsia="方正仿宋_GBK" w:cs="Times New Roman"/>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85B4F9D">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（十）机关运行经费：</w:t>
      </w:r>
      <w:r>
        <w:rPr>
          <w:rFonts w:hint="default" w:ascii="Times New Roman" w:hAnsi="Times New Roman" w:eastAsia="方正仿宋_GBK" w:cs="Times New Roman"/>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952F40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（十一）工资福利支出（支出经济分类科目类级）：</w:t>
      </w:r>
      <w:r>
        <w:rPr>
          <w:rFonts w:hint="default" w:ascii="Times New Roman" w:hAnsi="Times New Roman" w:eastAsia="方正仿宋_GBK" w:cs="Times New Roman"/>
          <w:color w:val="auto"/>
          <w:kern w:val="0"/>
          <w:sz w:val="32"/>
          <w:szCs w:val="32"/>
          <w:shd w:val="clear" w:fill="FFFFFF"/>
        </w:rPr>
        <w:t>反映单位开支的在职职工和编制外长期聘用人员的各类劳动报酬，以及为上述人员缴纳的各项社会保险费等。</w:t>
      </w:r>
    </w:p>
    <w:p w14:paraId="1238208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（十二）商品和服务支出（支出经济分类科目类级）：</w:t>
      </w:r>
      <w:r>
        <w:rPr>
          <w:rFonts w:hint="default" w:ascii="Times New Roman" w:hAnsi="Times New Roman" w:eastAsia="方正仿宋_GBK" w:cs="Times New Roman"/>
          <w:color w:val="auto"/>
          <w:kern w:val="0"/>
          <w:sz w:val="32"/>
          <w:szCs w:val="32"/>
          <w:shd w:val="clear" w:fill="FFFFFF"/>
        </w:rPr>
        <w:t>反映单位购买商品和服务的支出（不包括用于购置固定资产的支出、战略性和应急储备支出）。</w:t>
      </w:r>
    </w:p>
    <w:p w14:paraId="5FE87061">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（十三）对个人和家庭的补助（支出经济分类科目类级）：</w:t>
      </w:r>
      <w:r>
        <w:rPr>
          <w:rFonts w:hint="default" w:ascii="Times New Roman" w:hAnsi="Times New Roman" w:eastAsia="方正仿宋_GBK" w:cs="Times New Roman"/>
          <w:color w:val="auto"/>
          <w:kern w:val="0"/>
          <w:sz w:val="32"/>
          <w:szCs w:val="32"/>
          <w:shd w:val="clear" w:fill="FFFFFF"/>
        </w:rPr>
        <w:t>反映用于对个人和家庭的补助支出。</w:t>
      </w:r>
    </w:p>
    <w:p w14:paraId="0880516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（十四）其他资本性支出（支出经济分类科目类级）：</w:t>
      </w:r>
      <w:r>
        <w:rPr>
          <w:rFonts w:hint="default" w:ascii="Times New Roman" w:hAnsi="Times New Roman" w:eastAsia="方正仿宋_GBK" w:cs="Times New Roman"/>
          <w:color w:val="auto"/>
          <w:kern w:val="0"/>
          <w:sz w:val="32"/>
          <w:szCs w:val="32"/>
          <w:shd w:val="clear" w:fill="FFFFFF"/>
        </w:rPr>
        <w:t>反映非各级发展与改革</w:t>
      </w:r>
      <w:r>
        <w:rPr>
          <w:rFonts w:hint="default" w:ascii="Times New Roman" w:hAnsi="Times New Roman" w:eastAsia="方正仿宋_GBK" w:cs="Times New Roman"/>
          <w:color w:val="auto"/>
          <w:kern w:val="0"/>
          <w:sz w:val="32"/>
          <w:szCs w:val="32"/>
          <w:shd w:val="clear" w:fill="FFFFFF"/>
          <w:lang w:eastAsia="zh-CN"/>
        </w:rPr>
        <w:t>单位</w:t>
      </w:r>
      <w:r>
        <w:rPr>
          <w:rFonts w:hint="default" w:ascii="Times New Roman" w:hAnsi="Times New Roman" w:eastAsia="方正仿宋_GBK" w:cs="Times New Roman"/>
          <w:color w:val="auto"/>
          <w:kern w:val="0"/>
          <w:sz w:val="32"/>
          <w:szCs w:val="32"/>
          <w:shd w:val="clear" w:fill="FFFFFF"/>
        </w:rPr>
        <w:t>集中安排的用于购置固定资产、战略性和应急性储备、土地和无形资产，以及构建基础设施、大型修缮和财政支持企业更新改造所发生的支出。</w:t>
      </w:r>
    </w:p>
    <w:p w14:paraId="6AB0D5AA">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黑体_GBK" w:cs="Times New Roman"/>
          <w:b w:val="0"/>
          <w:bCs/>
          <w:color w:val="auto"/>
          <w:kern w:val="0"/>
          <w:sz w:val="32"/>
          <w:szCs w:val="32"/>
        </w:rPr>
      </w:pPr>
      <w:r>
        <w:rPr>
          <w:rStyle w:val="11"/>
          <w:rFonts w:hint="default" w:ascii="Times New Roman" w:hAnsi="Times New Roman" w:eastAsia="方正黑体_GBK" w:cs="Times New Roman"/>
          <w:b w:val="0"/>
          <w:bCs/>
          <w:color w:val="auto"/>
          <w:sz w:val="32"/>
          <w:szCs w:val="32"/>
          <w:shd w:val="clear" w:color="auto" w:fill="FFFFFF"/>
          <w:lang w:val="en-US" w:eastAsia="zh-CN" w:bidi="ar-SA"/>
        </w:rPr>
        <w:t>七、决算公开联系方式及信息反馈渠道</w:t>
      </w:r>
    </w:p>
    <w:p w14:paraId="662329C8">
      <w:pPr>
        <w:keepNext w:val="0"/>
        <w:keepLines w:val="0"/>
        <w:pageBreakBefore w:val="0"/>
        <w:widowControl/>
        <w:kinsoku/>
        <w:wordWrap/>
        <w:overflowPunct/>
        <w:topLinePunct w:val="0"/>
        <w:autoSpaceDN/>
        <w:bidi w:val="0"/>
        <w:adjustRightInd w:val="0"/>
        <w:snapToGrid w:val="0"/>
        <w:spacing w:beforeAutospacing="0" w:afterAutospacing="0" w:line="600" w:lineRule="atLeast"/>
        <w:ind w:firstLine="640" w:firstLineChars="200"/>
        <w:jc w:val="both"/>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本单位决算公开信息反馈和联系方式：023-68032048</w:t>
      </w:r>
    </w:p>
    <w:p w14:paraId="794E7491">
      <w:pPr>
        <w:keepNext w:val="0"/>
        <w:keepLines w:val="0"/>
        <w:pageBreakBefore w:val="0"/>
        <w:widowControl/>
        <w:kinsoku/>
        <w:wordWrap/>
        <w:overflowPunct/>
        <w:topLinePunct w:val="0"/>
        <w:autoSpaceDN/>
        <w:bidi w:val="0"/>
        <w:adjustRightInd w:val="0"/>
        <w:snapToGrid w:val="0"/>
        <w:spacing w:beforeAutospacing="0" w:afterAutospacing="0" w:line="600" w:lineRule="atLeast"/>
        <w:ind w:firstLine="640" w:firstLineChars="200"/>
        <w:jc w:val="both"/>
        <w:rPr>
          <w:rFonts w:hint="default" w:ascii="Times New Roman" w:hAnsi="Times New Roman" w:eastAsia="方正仿宋_GBK" w:cs="Times New Roman"/>
          <w:color w:val="auto"/>
          <w:kern w:val="0"/>
          <w:sz w:val="32"/>
          <w:szCs w:val="32"/>
          <w:shd w:val="clear" w:fill="FFFFFF"/>
          <w:lang w:val="en-US" w:eastAsia="zh-CN" w:bidi="ar-SA"/>
        </w:rPr>
      </w:pPr>
      <w:bookmarkStart w:id="3" w:name="OLE_LINK4"/>
    </w:p>
    <w:p w14:paraId="32B5F64E">
      <w:pPr>
        <w:keepNext w:val="0"/>
        <w:keepLines w:val="0"/>
        <w:pageBreakBefore w:val="0"/>
        <w:widowControl/>
        <w:kinsoku/>
        <w:wordWrap/>
        <w:overflowPunct/>
        <w:topLinePunct w:val="0"/>
        <w:autoSpaceDN/>
        <w:bidi w:val="0"/>
        <w:adjustRightInd w:val="0"/>
        <w:snapToGrid w:val="0"/>
        <w:spacing w:beforeAutospacing="0" w:afterAutospacing="0" w:line="600" w:lineRule="atLeast"/>
        <w:ind w:firstLine="640" w:firstLineChars="200"/>
        <w:jc w:val="both"/>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附件：1</w:t>
      </w:r>
      <w:bookmarkEnd w:id="3"/>
      <w:r>
        <w:rPr>
          <w:rFonts w:hint="default" w:ascii="Times New Roman" w:hAnsi="Times New Roman" w:eastAsia="方正仿宋_GBK" w:cs="Times New Roman"/>
          <w:color w:val="auto"/>
          <w:kern w:val="0"/>
          <w:sz w:val="32"/>
          <w:szCs w:val="32"/>
          <w:shd w:val="clear" w:fill="FFFFFF"/>
          <w:lang w:val="en-US" w:eastAsia="zh-CN" w:bidi="ar-SA"/>
        </w:rPr>
        <w:t>.收入支出决算总表</w:t>
      </w:r>
    </w:p>
    <w:p w14:paraId="42C46648">
      <w:pPr>
        <w:keepNext w:val="0"/>
        <w:keepLines w:val="0"/>
        <w:pageBreakBefore w:val="0"/>
        <w:widowControl/>
        <w:kinsoku/>
        <w:wordWrap/>
        <w:overflowPunct/>
        <w:topLinePunct w:val="0"/>
        <w:autoSpaceDN/>
        <w:bidi w:val="0"/>
        <w:adjustRightInd w:val="0"/>
        <w:snapToGrid w:val="0"/>
        <w:spacing w:beforeAutospacing="0" w:afterAutospacing="0" w:line="600" w:lineRule="atLeast"/>
        <w:ind w:firstLine="1600" w:firstLineChars="500"/>
        <w:jc w:val="both"/>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2.收入决算表</w:t>
      </w:r>
    </w:p>
    <w:p w14:paraId="310D135B">
      <w:pPr>
        <w:keepNext w:val="0"/>
        <w:keepLines w:val="0"/>
        <w:pageBreakBefore w:val="0"/>
        <w:widowControl/>
        <w:kinsoku/>
        <w:wordWrap/>
        <w:overflowPunct/>
        <w:topLinePunct w:val="0"/>
        <w:autoSpaceDN/>
        <w:bidi w:val="0"/>
        <w:adjustRightInd w:val="0"/>
        <w:snapToGrid w:val="0"/>
        <w:spacing w:beforeAutospacing="0" w:afterAutospacing="0" w:line="600" w:lineRule="atLeast"/>
        <w:ind w:firstLine="1600" w:firstLineChars="500"/>
        <w:jc w:val="both"/>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3.支出决算表</w:t>
      </w:r>
    </w:p>
    <w:p w14:paraId="0B678B77">
      <w:pPr>
        <w:keepNext w:val="0"/>
        <w:keepLines w:val="0"/>
        <w:pageBreakBefore w:val="0"/>
        <w:widowControl/>
        <w:kinsoku/>
        <w:wordWrap/>
        <w:overflowPunct/>
        <w:topLinePunct w:val="0"/>
        <w:autoSpaceDN/>
        <w:bidi w:val="0"/>
        <w:adjustRightInd w:val="0"/>
        <w:snapToGrid w:val="0"/>
        <w:spacing w:beforeAutospacing="0" w:afterAutospacing="0" w:line="600" w:lineRule="atLeast"/>
        <w:ind w:firstLine="1600" w:firstLineChars="500"/>
        <w:jc w:val="both"/>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4.财政拨款收入支出决算总表</w:t>
      </w:r>
    </w:p>
    <w:p w14:paraId="5A537F89">
      <w:pPr>
        <w:keepNext w:val="0"/>
        <w:keepLines w:val="0"/>
        <w:pageBreakBefore w:val="0"/>
        <w:widowControl/>
        <w:kinsoku/>
        <w:wordWrap/>
        <w:overflowPunct/>
        <w:topLinePunct w:val="0"/>
        <w:autoSpaceDN/>
        <w:bidi w:val="0"/>
        <w:adjustRightInd w:val="0"/>
        <w:snapToGrid w:val="0"/>
        <w:spacing w:beforeAutospacing="0" w:afterAutospacing="0" w:line="600" w:lineRule="atLeast"/>
        <w:ind w:firstLine="1600" w:firstLineChars="500"/>
        <w:jc w:val="both"/>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5.一般公共预算财政拨款支出决算表</w:t>
      </w:r>
    </w:p>
    <w:p w14:paraId="6E30511D">
      <w:pPr>
        <w:keepNext w:val="0"/>
        <w:keepLines w:val="0"/>
        <w:pageBreakBefore w:val="0"/>
        <w:widowControl/>
        <w:kinsoku/>
        <w:wordWrap/>
        <w:overflowPunct/>
        <w:topLinePunct w:val="0"/>
        <w:autoSpaceDN/>
        <w:bidi w:val="0"/>
        <w:adjustRightInd w:val="0"/>
        <w:snapToGrid w:val="0"/>
        <w:spacing w:beforeAutospacing="0" w:afterAutospacing="0" w:line="600" w:lineRule="atLeast"/>
        <w:ind w:firstLine="1600" w:firstLineChars="500"/>
        <w:jc w:val="both"/>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6.一般公共预算财政拨款基本支出决算表</w:t>
      </w:r>
    </w:p>
    <w:p w14:paraId="51995BC1">
      <w:pPr>
        <w:keepNext w:val="0"/>
        <w:keepLines w:val="0"/>
        <w:pageBreakBefore w:val="0"/>
        <w:widowControl/>
        <w:kinsoku/>
        <w:wordWrap/>
        <w:overflowPunct/>
        <w:topLinePunct w:val="0"/>
        <w:autoSpaceDE/>
        <w:autoSpaceDN/>
        <w:bidi w:val="0"/>
        <w:adjustRightInd w:val="0"/>
        <w:snapToGrid w:val="0"/>
        <w:spacing w:beforeAutospacing="0" w:afterAutospacing="0" w:line="600" w:lineRule="atLeast"/>
        <w:ind w:firstLine="1600" w:firstLineChars="500"/>
        <w:jc w:val="both"/>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7.政府性基金预算财政拨款收入支出决算表</w:t>
      </w:r>
    </w:p>
    <w:p w14:paraId="460A5C83">
      <w:pPr>
        <w:keepNext w:val="0"/>
        <w:keepLines w:val="0"/>
        <w:pageBreakBefore w:val="0"/>
        <w:widowControl/>
        <w:kinsoku/>
        <w:wordWrap/>
        <w:overflowPunct/>
        <w:topLinePunct w:val="0"/>
        <w:autoSpaceDN/>
        <w:bidi w:val="0"/>
        <w:adjustRightInd w:val="0"/>
        <w:snapToGrid w:val="0"/>
        <w:spacing w:beforeAutospacing="0" w:afterAutospacing="0" w:line="600" w:lineRule="atLeast"/>
        <w:ind w:firstLine="1600" w:firstLineChars="500"/>
        <w:jc w:val="both"/>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8.国有资本经营预算财政拨款支出决算表</w:t>
      </w:r>
    </w:p>
    <w:p w14:paraId="400F7088">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atLeast"/>
        <w:ind w:firstLine="1600" w:firstLineChars="500"/>
        <w:jc w:val="both"/>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9.机构运行信息表</w:t>
      </w:r>
    </w:p>
    <w:p w14:paraId="2BCB2DFA">
      <w:pPr>
        <w:pStyle w:val="12"/>
        <w:keepNext w:val="0"/>
        <w:keepLines w:val="0"/>
        <w:pageBreakBefore w:val="0"/>
        <w:widowControl/>
        <w:kinsoku/>
        <w:wordWrap/>
        <w:overflowPunct/>
        <w:topLinePunct w:val="0"/>
        <w:autoSpaceDE w:val="0"/>
        <w:autoSpaceDN/>
        <w:bidi w:val="0"/>
        <w:spacing w:beforeAutospacing="0" w:afterAutospacing="0" w:line="600" w:lineRule="atLeast"/>
        <w:ind w:firstLine="640"/>
        <w:jc w:val="both"/>
        <w:rPr>
          <w:rStyle w:val="11"/>
          <w:rFonts w:hint="default" w:ascii="Times New Roman" w:hAnsi="Times New Roman" w:eastAsia="方正仿宋_GBK" w:cs="Times New Roman"/>
          <w:color w:val="auto"/>
          <w:sz w:val="32"/>
          <w:szCs w:val="32"/>
          <w:shd w:val="clear" w:color="auto" w:fill="FFFF00"/>
        </w:rPr>
        <w:sectPr>
          <w:headerReference r:id="rId3" w:type="default"/>
          <w:footerReference r:id="rId4" w:type="default"/>
          <w:pgSz w:w="11915" w:h="16840"/>
          <w:pgMar w:top="2098" w:right="1531" w:bottom="1984" w:left="1531" w:header="851" w:footer="992" w:gutter="0"/>
          <w:pgNumType w:fmt="numberInDash"/>
          <w:cols w:space="0" w:num="1"/>
          <w:rtlGutter w:val="0"/>
          <w:docGrid w:type="lines" w:linePitch="330" w:charSpace="0"/>
        </w:sectPr>
      </w:pPr>
    </w:p>
    <w:p w14:paraId="11C2ACA3">
      <w:pPr>
        <w:rPr>
          <w:rFonts w:hint="default" w:ascii="Times New Roman" w:hAnsi="Times New Roman" w:cs="Times New Roman"/>
          <w:sz w:val="21"/>
          <w:szCs w:val="21"/>
        </w:rPr>
      </w:pPr>
      <w:r>
        <w:rPr>
          <w:rFonts w:hint="default" w:ascii="Times New Roman" w:hAnsi="Times New Roman" w:cs="Times New Roman"/>
          <w:sz w:val="21"/>
          <w:szCs w:val="21"/>
        </w:rPr>
        <w:t>附件1</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64DB50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73FC0AA">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3401216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3DC1785">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A915010">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3755CE5">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03F4A0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2CC6B42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12F8DD9">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重庆市杨家坪中学</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A91D14B">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916414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9CEBED5">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3429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C8878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6F8D5C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6130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53BA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C9C3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D29B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521641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7A74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3976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20,317.00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4835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B225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5.58</w:t>
            </w:r>
            <w:r>
              <w:rPr>
                <w:rFonts w:hint="default" w:ascii="Times New Roman" w:hAnsi="Times New Roman" w:cs="Times New Roman"/>
                <w:color w:val="000000"/>
                <w:sz w:val="20"/>
              </w:rPr>
              <w:t xml:space="preserve"> </w:t>
            </w:r>
          </w:p>
        </w:tc>
      </w:tr>
      <w:tr w14:paraId="6F29CE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E72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8604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3,322.00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B677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A31C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8F90D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2E3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AC7D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CE5A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8085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15660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FE0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9114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33A9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D70E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7EACF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4536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890D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2,083.00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21E3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BBE9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19,060.97</w:t>
            </w:r>
            <w:r>
              <w:rPr>
                <w:rFonts w:hint="default" w:ascii="Times New Roman" w:hAnsi="Times New Roman" w:cs="Times New Roman"/>
                <w:color w:val="000000"/>
                <w:sz w:val="20"/>
              </w:rPr>
              <w:t xml:space="preserve"> </w:t>
            </w:r>
          </w:p>
        </w:tc>
      </w:tr>
      <w:tr w14:paraId="6FE9B6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918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EB8E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A5E4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379F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r>
      <w:tr w14:paraId="2CE60D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626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B772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E7D9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EC4E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805A1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C70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38F09E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7914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9E11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1,689.93</w:t>
            </w:r>
            <w:r>
              <w:rPr>
                <w:rFonts w:hint="default" w:ascii="Times New Roman" w:hAnsi="Times New Roman" w:cs="Times New Roman"/>
                <w:color w:val="000000"/>
                <w:sz w:val="20"/>
              </w:rPr>
              <w:t xml:space="preserve"> </w:t>
            </w:r>
          </w:p>
        </w:tc>
      </w:tr>
      <w:tr w14:paraId="448D71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AAEA">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CD0F8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A023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0EA0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608.37</w:t>
            </w:r>
            <w:r>
              <w:rPr>
                <w:rFonts w:hint="default" w:ascii="Times New Roman" w:hAnsi="Times New Roman" w:cs="Times New Roman"/>
                <w:color w:val="000000"/>
                <w:sz w:val="20"/>
              </w:rPr>
              <w:t xml:space="preserve"> </w:t>
            </w:r>
          </w:p>
        </w:tc>
      </w:tr>
      <w:tr w14:paraId="0C0B79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DF8A2">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B8805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3B6F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F3C0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D9CE4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D821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290A0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27D8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C5DA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3,322.00</w:t>
            </w:r>
            <w:r>
              <w:rPr>
                <w:rFonts w:hint="default" w:ascii="Times New Roman" w:hAnsi="Times New Roman" w:cs="Times New Roman"/>
                <w:color w:val="000000"/>
                <w:sz w:val="20"/>
              </w:rPr>
              <w:t xml:space="preserve"> </w:t>
            </w:r>
          </w:p>
        </w:tc>
      </w:tr>
      <w:tr w14:paraId="61ED62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4F76">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30273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5549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6600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E0373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6886">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812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F623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14D2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39199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FA01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FEB3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D26B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7EA6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A8C0A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1FE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4E32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47C0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B1BC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F1BAB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95F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33FE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7899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1164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93144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154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80CD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F4AF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49D7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7F87A3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62B4">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7FCD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4E75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35A5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92052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840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B35E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4F84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1B87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1,034.15</w:t>
            </w:r>
            <w:r>
              <w:rPr>
                <w:rFonts w:hint="default" w:ascii="Times New Roman" w:hAnsi="Times New Roman" w:cs="Times New Roman"/>
                <w:color w:val="000000"/>
                <w:sz w:val="20"/>
              </w:rPr>
              <w:t xml:space="preserve"> </w:t>
            </w:r>
          </w:p>
        </w:tc>
      </w:tr>
      <w:tr w14:paraId="670800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1FE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5805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24FD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808B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50772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1F1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0A92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069B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BCAA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B3C1F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D45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7D05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3DBE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9A73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03466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12F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74E1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CC95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4397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F3992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EB9A">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A4F4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0941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EC8A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184E9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1A1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002B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6F79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5D80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3DA1D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5D7F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B660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C1A7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4CB3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0D5AF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E40B">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E1DA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25,722.00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84B4C">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CD42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25,722.00</w:t>
            </w:r>
            <w:r>
              <w:rPr>
                <w:rFonts w:hint="default" w:ascii="Times New Roman" w:hAnsi="Times New Roman" w:cs="Times New Roman"/>
                <w:color w:val="000000"/>
                <w:sz w:val="20"/>
              </w:rPr>
              <w:t xml:space="preserve"> </w:t>
            </w:r>
          </w:p>
        </w:tc>
      </w:tr>
      <w:tr w14:paraId="1531DC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879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52B0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E76B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F229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AE472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D8C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8BBE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910C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E53DA9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131611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BD9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FE3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25,722.00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397C96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DD78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25,722.00</w:t>
            </w:r>
            <w:r>
              <w:rPr>
                <w:rFonts w:hint="default" w:ascii="Times New Roman" w:hAnsi="Times New Roman" w:cs="Times New Roman"/>
                <w:color w:val="000000"/>
                <w:sz w:val="20"/>
              </w:rPr>
              <w:t xml:space="preserve"> </w:t>
            </w:r>
          </w:p>
        </w:tc>
      </w:tr>
    </w:tbl>
    <w:p w14:paraId="767AFE86">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3E92782">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附件</w:t>
      </w:r>
      <w:r>
        <w:rPr>
          <w:rFonts w:hint="default" w:ascii="Times New Roman" w:hAnsi="Times New Roman" w:cs="Times New Roman"/>
          <w:sz w:val="21"/>
          <w:szCs w:val="21"/>
          <w:lang w:val="en-US" w:eastAsia="zh-CN"/>
        </w:rPr>
        <w:t>2</w:t>
      </w:r>
    </w:p>
    <w:tbl>
      <w:tblPr>
        <w:tblStyle w:val="9"/>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5A497A3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2B1CC3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01EC2D55">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A483CBE">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重庆市杨家坪中学</w:t>
            </w:r>
          </w:p>
        </w:tc>
        <w:tc>
          <w:tcPr>
            <w:tcW w:w="467" w:type="pct"/>
            <w:tcBorders>
              <w:top w:val="nil"/>
              <w:left w:val="nil"/>
              <w:bottom w:val="nil"/>
              <w:right w:val="nil"/>
            </w:tcBorders>
            <w:shd w:val="clear" w:color="auto" w:fill="auto"/>
            <w:noWrap/>
            <w:tcMar>
              <w:top w:w="15" w:type="dxa"/>
              <w:left w:w="15" w:type="dxa"/>
              <w:right w:w="15" w:type="dxa"/>
            </w:tcMar>
            <w:vAlign w:val="bottom"/>
          </w:tcPr>
          <w:p w14:paraId="755366E1">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AF22B4A">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E9D9282">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E89D085">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A690387">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68C3859">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0295CDE">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01B3AD39">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A598F7A">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38B8A25">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F06F280">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334A04E">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F4F5640">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450AF2E">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BA3B08F">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AE3382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DA8BA1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C411FA0">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2076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86C7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3513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1C3B11">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7EF0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C418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1DBE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6BC9F21B">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E003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1F480B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41DAD">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CCC45">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4B630">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D95C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78BF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665F9">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D7D27">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552C6">
            <w:pPr>
              <w:jc w:val="center"/>
              <w:rPr>
                <w:rFonts w:hint="default" w:ascii="Times New Roman" w:hAnsi="Times New Roman" w:cs="Times New Roman"/>
                <w:b/>
                <w:color w:val="000000"/>
                <w:sz w:val="20"/>
                <w:szCs w:val="20"/>
              </w:rPr>
            </w:pPr>
          </w:p>
        </w:tc>
      </w:tr>
      <w:tr w14:paraId="36D6B63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CE87">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03FE75">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8CDBA">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FAC2B">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214DA">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960AD">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87629">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12C1A">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4A6E3">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AC8A3">
            <w:pPr>
              <w:jc w:val="center"/>
              <w:rPr>
                <w:rFonts w:hint="default" w:ascii="Times New Roman" w:hAnsi="Times New Roman" w:cs="Times New Roman"/>
                <w:b/>
                <w:color w:val="000000"/>
                <w:sz w:val="20"/>
                <w:szCs w:val="20"/>
              </w:rPr>
            </w:pPr>
          </w:p>
        </w:tc>
      </w:tr>
      <w:tr w14:paraId="282B95C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967F">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2F9F44">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10EB9">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16F44">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55D02">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B928C">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29C90">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C0DAA">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B262B">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E84E0">
            <w:pPr>
              <w:jc w:val="center"/>
              <w:rPr>
                <w:rFonts w:hint="default" w:ascii="Times New Roman" w:hAnsi="Times New Roman" w:cs="Times New Roman"/>
                <w:b/>
                <w:color w:val="000000"/>
                <w:sz w:val="20"/>
                <w:szCs w:val="20"/>
              </w:rPr>
            </w:pPr>
          </w:p>
        </w:tc>
      </w:tr>
      <w:tr w14:paraId="60B0DBC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A4FC">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1E9672">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5CFA1">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35CDC">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72E1F">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92F31">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E69BF">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2E99B">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CA657">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17076">
            <w:pPr>
              <w:jc w:val="center"/>
              <w:rPr>
                <w:rFonts w:hint="default" w:ascii="Times New Roman" w:hAnsi="Times New Roman" w:cs="Times New Roman"/>
                <w:b/>
                <w:color w:val="000000"/>
                <w:sz w:val="20"/>
                <w:szCs w:val="20"/>
              </w:rPr>
            </w:pPr>
          </w:p>
        </w:tc>
      </w:tr>
      <w:tr w14:paraId="61C4BC7E">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CB9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C9E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25,722.00</w:t>
            </w:r>
            <w:r>
              <w:rPr>
                <w:rFonts w:hint="default" w:ascii="Times New Roman" w:hAnsi="Times New Roman" w:cs="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5ED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23,639.00</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25C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709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2,083.00</w:t>
            </w:r>
            <w:r>
              <w:rPr>
                <w:rFonts w:hint="default" w:ascii="Times New Roman" w:hAnsi="Times New Roman" w:cs="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668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2,083.00</w:t>
            </w:r>
            <w:r>
              <w:rPr>
                <w:rFonts w:hint="default" w:ascii="Times New Roman" w:hAnsi="Times New Roman" w:cs="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025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7D2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CD1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5091E4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4A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00C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80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5.58</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5F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5.58</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0C7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D4F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5E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EF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9C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B4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45A17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82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784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68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5.58</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8A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5.58</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A7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C77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B8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EF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61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88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1F834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AD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8FC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7A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5.58</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E1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5.58</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2F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32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D6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450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5D4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DB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524F2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09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082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68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19,060.97</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192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16,977.97</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D5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6A9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2,083.00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05A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2,083.00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5C9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028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94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416D1A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3F1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CDB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CF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15,800.76</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36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13,717.76</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924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17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2,083.00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AE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2,083.00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E5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D3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EF3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673EE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ED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6AB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57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1,800.81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69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910.81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2F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CD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D7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13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DC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0E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5DFA5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CC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44A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D2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13,999.96</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860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12,806.96</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FB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31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1,193.00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480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1,193.00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04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CF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30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557B3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8A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9F5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82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3,260.21</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92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3,260.21</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22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6A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38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60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4F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9B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05FFD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0B1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17E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城市中小学教学设施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15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3,238.21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2E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3,238.21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09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CB8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52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A8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8D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E90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E9BDF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FD2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D0E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E57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3C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632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80E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6BA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F7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B0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1D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273529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9C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8C4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A2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40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04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2F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9A6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70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FC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F5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06D79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69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676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科学技术普及</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DD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C3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B5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F2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38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311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DE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3B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4A1C8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92D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2060702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5099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科普活动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47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DD9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2B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21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B5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BD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BE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1E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ABEAF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AF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E673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C1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1,689.93</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BB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1,689.93</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3E8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7D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45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E8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9C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3A9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9572F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C9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D68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48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1,676.08</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5F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1,676.08</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73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90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4C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9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A9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B11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38179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06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B81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7F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16.02</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5E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16.02</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32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17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BE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6A5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DE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19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04362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32C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954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07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1,106.48</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06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1,106.48</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F6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EEB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DF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63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212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A7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73460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332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BB3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991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553.58</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F3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553.58</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226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DD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C2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8CB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85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74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8C356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9452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371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B6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20B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2F5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06B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55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5AD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D1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43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A6698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49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D5D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89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D44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A34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2E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FC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653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43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9C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603332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DEB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595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4D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608.37</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A88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608.37</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AB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FC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66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0A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2B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AAA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2EF1E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48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B10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A7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608.37</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2E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608.37</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7FC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F6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85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88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8A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6F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27EF6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CCD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B50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C3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478.50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FDA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478.50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B4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A81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FD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5D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905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C8E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0DDFA7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E6B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C02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AD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129.87</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9C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129.87</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08B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AA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D3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7C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77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8B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B2909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1E6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620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00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3,322.00</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33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3,322.00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43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5C5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04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E5E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0B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DC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7FB3F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D0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B46A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73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3,322.00</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55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3,322.00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18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AC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4F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77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08E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7B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868AD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F86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2FD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CA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3,150.00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16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3,150.00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10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FB0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962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85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97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56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8CA97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6E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4BB8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AB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172.00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B5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172.00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25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B0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C28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0F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27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F0B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4A5B11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89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B9B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E13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1,034.15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B4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1,034.15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46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E97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86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16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9D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B2F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ABC3A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86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024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8E9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1,034.15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53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1,034.15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A8E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BE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BB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E1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743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9DB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33B048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AF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04D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8A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902.05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A63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902.05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E1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07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A0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733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75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AE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31527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E40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8F9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B9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132.10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94A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132.10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A1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E7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E7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9B7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07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1F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57201D00">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BD2862E">
      <w:pPr>
        <w:rPr>
          <w:rFonts w:hint="default" w:ascii="Times New Roman" w:hAnsi="Times New Roman" w:cs="Times New Roman"/>
          <w:sz w:val="20"/>
          <w:szCs w:val="20"/>
        </w:rPr>
      </w:pPr>
      <w:r>
        <w:rPr>
          <w:rFonts w:hint="default" w:ascii="Times New Roman" w:hAnsi="Times New Roman" w:cs="Times New Roman"/>
          <w:sz w:val="20"/>
          <w:szCs w:val="20"/>
        </w:rPr>
        <w:br w:type="page"/>
      </w:r>
    </w:p>
    <w:p w14:paraId="3C6A3CA1">
      <w:pP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rPr>
        <w:t>附件</w:t>
      </w:r>
      <w:r>
        <w:rPr>
          <w:rFonts w:hint="default" w:ascii="Times New Roman" w:hAnsi="Times New Roman" w:cs="Times New Roman"/>
          <w:sz w:val="20"/>
          <w:szCs w:val="20"/>
          <w:lang w:val="en-US" w:eastAsia="zh-CN"/>
        </w:rPr>
        <w:t>3</w:t>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23FDBA09">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762B51F">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4484BCF6">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C43F829">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重庆市杨家坪中学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B8CFDF0">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90A7E7A">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5196597">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20AFC4F">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9C6940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05B80F84">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671DF6F">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6C768F6">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A02E894">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00C3759">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B41C339">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7DE84D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1CBF26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B571E4">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98BF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D0DA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A443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E79C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817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A6DC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35D73889">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EF6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37E8FF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87903">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8B520">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E4CC8">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FBBF2">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004C9">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40B53">
            <w:pPr>
              <w:jc w:val="center"/>
              <w:rPr>
                <w:rFonts w:hint="default" w:ascii="Times New Roman" w:hAnsi="Times New Roman" w:cs="Times New Roman"/>
                <w:b/>
                <w:color w:val="000000"/>
                <w:sz w:val="20"/>
                <w:szCs w:val="20"/>
              </w:rPr>
            </w:pPr>
          </w:p>
        </w:tc>
      </w:tr>
      <w:tr w14:paraId="1DD8CB3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18CF4">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16E1AB">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95843">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65066">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94382">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12CE6">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68BA1">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40A04">
            <w:pPr>
              <w:jc w:val="center"/>
              <w:rPr>
                <w:rFonts w:hint="default" w:ascii="Times New Roman" w:hAnsi="Times New Roman" w:cs="Times New Roman"/>
                <w:b/>
                <w:color w:val="000000"/>
                <w:sz w:val="20"/>
                <w:szCs w:val="20"/>
              </w:rPr>
            </w:pPr>
          </w:p>
        </w:tc>
      </w:tr>
      <w:tr w14:paraId="0BA204F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CFAB">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7BED80">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8CCD3">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B726A">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D3E27">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7B018">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595A4">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E6092">
            <w:pPr>
              <w:jc w:val="center"/>
              <w:rPr>
                <w:rFonts w:hint="default" w:ascii="Times New Roman" w:hAnsi="Times New Roman" w:cs="Times New Roman"/>
                <w:b/>
                <w:color w:val="000000"/>
                <w:sz w:val="20"/>
                <w:szCs w:val="20"/>
              </w:rPr>
            </w:pPr>
          </w:p>
        </w:tc>
      </w:tr>
      <w:tr w14:paraId="3458076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BE29">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54F50F">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2E6E7">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ED2A">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2FAEA">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9D20">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3F423">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B0B82">
            <w:pPr>
              <w:jc w:val="center"/>
              <w:rPr>
                <w:rFonts w:hint="default" w:ascii="Times New Roman" w:hAnsi="Times New Roman" w:cs="Times New Roman"/>
                <w:b/>
                <w:color w:val="000000"/>
                <w:sz w:val="20"/>
                <w:szCs w:val="20"/>
              </w:rPr>
            </w:pPr>
          </w:p>
        </w:tc>
      </w:tr>
      <w:tr w14:paraId="5554D32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906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B5D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25,722.00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787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13,500.88</w:t>
            </w:r>
            <w:r>
              <w:rPr>
                <w:rFonts w:hint="default" w:ascii="Times New Roman" w:hAnsi="Times New Roman" w:cs="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1F2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12,221.12</w:t>
            </w:r>
            <w:r>
              <w:rPr>
                <w:rFonts w:hint="default" w:ascii="Times New Roman" w:hAnsi="Times New Roman" w:cs="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870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3B8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4FB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456887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61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971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2F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BF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76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5.58</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78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CA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83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3952A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D7DB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9F07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B88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47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22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5.58</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09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F3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68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4E523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B7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491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C2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5.58</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72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72F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5.58</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F9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A0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CF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9A412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6743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3CF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FA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19,060.97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C7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10,168.43</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5BA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8,892.54</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F9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DD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41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07F16F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90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967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A7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15,800.76</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546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10,168.43</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C5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5,632.33</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E91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31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4A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ACE3A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87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B89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CB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1,800.81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47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362.83</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0F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1,437.98</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A9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712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504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F4A61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69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A5A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E8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13,999.96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9C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9,805.60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D4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4,194.36</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DF4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1B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5E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58A9AC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3EC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5BD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6B2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3,260.21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D8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13A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3,260.21</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7A9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BA9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8B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7B015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0C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9E8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城市中小学教学设施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7E9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3,238.21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E2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1F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3,238.21</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D8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E9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E1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CDA40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78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302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551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6E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89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B40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CE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88A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A71ED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EE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760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79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42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35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D5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3A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7B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F49D1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85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72B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科学技术普及</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52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59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A9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4F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57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97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1E302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1C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2060702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A89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科普活动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3AE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58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CD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A2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39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7B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5EBF0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62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65B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C9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1,689.93</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BC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1,689.93</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35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E7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E8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B3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4C543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73D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082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57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1,676.08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EC2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1,676.08</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BB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2B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E6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5F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76ED1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62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FCB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35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16.02</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2B5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16.02</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E53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43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D0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FB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C298A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0A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6ED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FC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1,106.48</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53E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1,106.48</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20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6E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B4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160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D09E6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B4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9D2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7E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553.58</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48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553.58</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75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D08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B8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19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25BC1F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50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3EB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E6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764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13.85</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98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D5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BA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85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2018E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FD7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D4D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98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16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13.85</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6C1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3C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1C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04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659DE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8F3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925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2F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608.37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46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608.37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4D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F0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11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DB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7A066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EC9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0D1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A7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608.37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B7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608.37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D1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FD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9A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65E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0771D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14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5E8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0AD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478.50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FDF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478.50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A4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94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4F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13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ED540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D35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E2C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33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129.87</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BA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129.87</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6C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D7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E1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FD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7585A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E71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C724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EA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3,322.00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E0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87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3,322.00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A5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C19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B3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E44F91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77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E02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E1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3,322.00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1BC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9D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3,322.00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6C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D6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C1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D2AE7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E4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081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27A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3,150.00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CD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CA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3,150.00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79B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87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CE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88608F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E5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8F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37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172.00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1A7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B0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172.00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2B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18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14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DC98E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0F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DE0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33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1,034.15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DA9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1,034.15</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CE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042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31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5B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4B98D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AE1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F87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BE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1,034.15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2C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1,034.15</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47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7B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096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392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1EC25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54F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E44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E4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902.05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459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902.05</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3C8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FB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7C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F5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579247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FA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3E2F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2F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132.10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97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132.10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E8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15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DF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D3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248FA7B8">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ADF8CCE">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348E89AE">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附件</w:t>
      </w:r>
      <w:r>
        <w:rPr>
          <w:rFonts w:hint="default" w:ascii="Times New Roman" w:hAnsi="Times New Roman" w:cs="Times New Roman"/>
          <w:sz w:val="21"/>
          <w:szCs w:val="21"/>
          <w:lang w:val="en-US" w:eastAsia="zh-CN"/>
        </w:rPr>
        <w:t>4</w:t>
      </w: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6175560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5159255">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B099B7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32F5CD6">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重庆市杨家坪中学</w:t>
            </w:r>
          </w:p>
        </w:tc>
        <w:tc>
          <w:tcPr>
            <w:tcW w:w="577" w:type="pct"/>
            <w:tcBorders>
              <w:top w:val="nil"/>
              <w:left w:val="nil"/>
              <w:bottom w:val="nil"/>
              <w:right w:val="nil"/>
            </w:tcBorders>
            <w:shd w:val="clear" w:color="auto" w:fill="auto"/>
            <w:noWrap/>
            <w:tcMar>
              <w:top w:w="15" w:type="dxa"/>
              <w:left w:w="15" w:type="dxa"/>
              <w:right w:w="15" w:type="dxa"/>
            </w:tcMar>
            <w:vAlign w:val="bottom"/>
          </w:tcPr>
          <w:p w14:paraId="6F04F78E">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CD709A">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EDC352A">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D9F9F0F">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4781F47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FC79577">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F1FB8F8">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65F89E7">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EEC2CB8">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95479B2">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A4E9C0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7B9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D31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3C86015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8D08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7A5D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BCE3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530A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0D46990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35687">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3D174">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C091B">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434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7415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07DD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7769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23C338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28A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C72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20,317.00</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A9B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E4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D1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8E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F50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82E19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B08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2F4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3,322.00</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C0F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EC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97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E3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4FD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84AA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14D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25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59B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B2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69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E67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DB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2A3F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648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F8B9D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157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30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09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304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FB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ED93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D70B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F88C82">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ED5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17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16,977.97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EDF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16,977.97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9A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AB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FFB7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990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D60154">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2E49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05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CB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6D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91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25AB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06E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C88840">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EB18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A5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644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9C5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DB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0F268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4C74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73A920">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71E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27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1,689.93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B7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1,689.93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CF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EBE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00A8B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01D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E762E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C283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3B4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608.37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999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608.37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A2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70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7D87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FB2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E19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588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0CC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0E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B6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08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6BED1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D73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184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D41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77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3,322.00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30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C3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3,322.00</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31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84122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E01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2D9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10C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A6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EF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02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CD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F6F8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7A7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770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771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22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E0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22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15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C691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C22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4F4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2FA7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29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30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A9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31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B1B4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6784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A89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6AB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58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D3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62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26B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5AFC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6E8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E16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D609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04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15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0EC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6D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92B3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0E38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DD5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DE2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51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3D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6B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E3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2241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4D6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A01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618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21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88E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37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C2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5B49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6C67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19E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0D3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5F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1,034.15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1F4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1,034.15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3C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1E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99EA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D81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870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0DC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A8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DA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B8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18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ED5A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FD6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1BC2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7E4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7F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7C6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30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C1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44F1D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7273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1C8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6FF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1CF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9D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04B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59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D116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8E4B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3B46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3BE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C1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C67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E1D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F9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3487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4186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0EC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1893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45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70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9D9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88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871A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3C098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77A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346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3D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B3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1F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31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1540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939BF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56D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3C68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8C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1E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86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BF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DE75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60BD">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9E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23,639.00</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71D4">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7F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23,639.00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DAF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20,317.00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A3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3,322.00</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87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2EA6F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1701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87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790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80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F5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3D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F9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2237E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183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F6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3160BD">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FC5CAF">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CA4B0B">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0632FD">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80C651">
            <w:pPr>
              <w:spacing w:line="200" w:lineRule="exact"/>
              <w:rPr>
                <w:rFonts w:hint="default" w:ascii="Times New Roman" w:hAnsi="Times New Roman" w:cs="Times New Roman"/>
                <w:color w:val="000000"/>
                <w:sz w:val="18"/>
                <w:szCs w:val="18"/>
              </w:rPr>
            </w:pPr>
          </w:p>
        </w:tc>
      </w:tr>
      <w:tr w14:paraId="19AAED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47D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5A2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A932">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467C">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711CD">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D2C3">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359B">
            <w:pPr>
              <w:spacing w:line="200" w:lineRule="exact"/>
              <w:jc w:val="right"/>
              <w:rPr>
                <w:rFonts w:hint="default" w:ascii="Times New Roman" w:hAnsi="Times New Roman" w:cs="Times New Roman"/>
                <w:color w:val="000000"/>
                <w:sz w:val="18"/>
                <w:szCs w:val="18"/>
              </w:rPr>
            </w:pPr>
          </w:p>
        </w:tc>
      </w:tr>
      <w:tr w14:paraId="251853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03CA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50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7DDA">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C4A3">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1C23">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4004">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265BE">
            <w:pPr>
              <w:spacing w:line="200" w:lineRule="exact"/>
              <w:jc w:val="right"/>
              <w:rPr>
                <w:rFonts w:hint="default" w:ascii="Times New Roman" w:hAnsi="Times New Roman" w:cs="Times New Roman"/>
                <w:color w:val="000000"/>
                <w:sz w:val="18"/>
                <w:szCs w:val="18"/>
              </w:rPr>
            </w:pPr>
          </w:p>
        </w:tc>
      </w:tr>
      <w:tr w14:paraId="3BF58B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F24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14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23,639.00</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BA8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B4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23,639.00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5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20,317.00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5C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3,322.00</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4E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5A116FEE">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5B7B2EE6">
      <w:pPr>
        <w:spacing w:line="240" w:lineRule="exact"/>
        <w:rPr>
          <w:rFonts w:hint="default" w:ascii="Times New Roman" w:hAnsi="Times New Roman" w:cs="Times New Roman"/>
          <w:sz w:val="20"/>
          <w:szCs w:val="20"/>
        </w:rPr>
      </w:pPr>
    </w:p>
    <w:p w14:paraId="536CD4A9">
      <w:pPr>
        <w:spacing w:line="240" w:lineRule="exact"/>
        <w:rPr>
          <w:rFonts w:hint="default" w:ascii="Times New Roman" w:hAnsi="Times New Roman" w:cs="Times New Roman"/>
          <w:sz w:val="20"/>
          <w:szCs w:val="20"/>
        </w:rPr>
      </w:pPr>
    </w:p>
    <w:p w14:paraId="3AB57509">
      <w:pPr>
        <w:spacing w:line="240" w:lineRule="exact"/>
        <w:rPr>
          <w:rFonts w:hint="default" w:ascii="Times New Roman" w:hAnsi="Times New Roman" w:eastAsia="宋体" w:cs="Times New Roman"/>
          <w:sz w:val="20"/>
          <w:szCs w:val="20"/>
          <w:lang w:val="en-US" w:eastAsia="zh-CN"/>
        </w:rPr>
      </w:pPr>
      <w:r>
        <w:rPr>
          <w:rFonts w:hint="default" w:ascii="Times New Roman" w:hAnsi="Times New Roman" w:cs="Times New Roman"/>
          <w:sz w:val="21"/>
          <w:szCs w:val="21"/>
        </w:rPr>
        <w:br w:type="page"/>
      </w:r>
      <w:r>
        <w:rPr>
          <w:rFonts w:hint="default" w:ascii="Times New Roman" w:hAnsi="Times New Roman" w:cs="Times New Roman"/>
          <w:sz w:val="21"/>
          <w:szCs w:val="21"/>
        </w:rPr>
        <w:t>附件</w:t>
      </w:r>
      <w:r>
        <w:rPr>
          <w:rFonts w:hint="default" w:ascii="Times New Roman" w:hAnsi="Times New Roman" w:cs="Times New Roman"/>
          <w:sz w:val="21"/>
          <w:szCs w:val="21"/>
          <w:lang w:val="en-US" w:eastAsia="zh-CN"/>
        </w:rPr>
        <w:t>5</w:t>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6617C4F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9FDA62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4FC4B9B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C63147D">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重庆市杨家坪中学</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3EDD8B8">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3117B8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61128F0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74605C7">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6CC9B0C">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7DC257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F181EBF">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E920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82B65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F8002E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8CB2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6F33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70DE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4A81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F429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ACFA92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FEC80">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3014D">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84F3B">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A0AD9">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6C69C">
            <w:pPr>
              <w:jc w:val="center"/>
              <w:rPr>
                <w:rFonts w:hint="default" w:ascii="Times New Roman" w:hAnsi="Times New Roman" w:cs="Times New Roman"/>
                <w:b/>
                <w:color w:val="000000"/>
                <w:sz w:val="20"/>
                <w:szCs w:val="20"/>
              </w:rPr>
            </w:pPr>
          </w:p>
        </w:tc>
      </w:tr>
      <w:tr w14:paraId="1019356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70883">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EA523">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CD9FA">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FF903">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CEAB3">
            <w:pPr>
              <w:jc w:val="center"/>
              <w:rPr>
                <w:rFonts w:hint="default" w:ascii="Times New Roman" w:hAnsi="Times New Roman" w:cs="Times New Roman"/>
                <w:b/>
                <w:color w:val="000000"/>
                <w:sz w:val="20"/>
                <w:szCs w:val="20"/>
              </w:rPr>
            </w:pPr>
          </w:p>
        </w:tc>
      </w:tr>
      <w:tr w14:paraId="66B1EF2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5C94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DF4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20,317.00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077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13,500.88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7B1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6,816.12</w:t>
            </w:r>
            <w:r>
              <w:rPr>
                <w:rFonts w:hint="default" w:ascii="Times New Roman" w:hAnsi="Times New Roman" w:cs="Times New Roman"/>
                <w:b/>
                <w:color w:val="000000"/>
                <w:sz w:val="20"/>
              </w:rPr>
              <w:t xml:space="preserve"> </w:t>
            </w:r>
          </w:p>
        </w:tc>
      </w:tr>
      <w:tr w14:paraId="7575A9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22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6D0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829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C1D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E47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5.58</w:t>
            </w:r>
            <w:r>
              <w:rPr>
                <w:rFonts w:hint="default" w:ascii="Times New Roman" w:hAnsi="Times New Roman" w:cs="Times New Roman"/>
                <w:b/>
                <w:color w:val="000000"/>
                <w:sz w:val="20"/>
              </w:rPr>
              <w:t xml:space="preserve"> </w:t>
            </w:r>
          </w:p>
        </w:tc>
      </w:tr>
      <w:tr w14:paraId="04AF47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8F4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341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3B6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613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D2E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5.58</w:t>
            </w:r>
            <w:r>
              <w:rPr>
                <w:rFonts w:hint="default" w:ascii="Times New Roman" w:hAnsi="Times New Roman" w:cs="Times New Roman"/>
                <w:b/>
                <w:color w:val="000000"/>
                <w:sz w:val="20"/>
              </w:rPr>
              <w:t xml:space="preserve"> </w:t>
            </w:r>
          </w:p>
        </w:tc>
      </w:tr>
      <w:tr w14:paraId="253D2C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D7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237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83A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D64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417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5.58</w:t>
            </w:r>
            <w:r>
              <w:rPr>
                <w:rFonts w:hint="default" w:ascii="Times New Roman" w:hAnsi="Times New Roman" w:cs="Times New Roman"/>
                <w:color w:val="000000"/>
                <w:sz w:val="20"/>
              </w:rPr>
              <w:t xml:space="preserve"> </w:t>
            </w:r>
          </w:p>
        </w:tc>
      </w:tr>
      <w:tr w14:paraId="12CE4C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5101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CB6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34C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16,977.97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026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10,168.43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CBE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6,809.54</w:t>
            </w:r>
            <w:r>
              <w:rPr>
                <w:rFonts w:hint="default" w:ascii="Times New Roman" w:hAnsi="Times New Roman" w:cs="Times New Roman"/>
                <w:b/>
                <w:color w:val="000000"/>
                <w:sz w:val="20"/>
              </w:rPr>
              <w:t xml:space="preserve"> </w:t>
            </w:r>
          </w:p>
        </w:tc>
      </w:tr>
      <w:tr w14:paraId="4727D0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72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922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0DF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13,717.76</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E3B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10,168.43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FA5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3,549.33</w:t>
            </w:r>
            <w:r>
              <w:rPr>
                <w:rFonts w:hint="default" w:ascii="Times New Roman" w:hAnsi="Times New Roman" w:cs="Times New Roman"/>
                <w:b/>
                <w:color w:val="000000"/>
                <w:sz w:val="20"/>
              </w:rPr>
              <w:t xml:space="preserve"> </w:t>
            </w:r>
          </w:p>
        </w:tc>
      </w:tr>
      <w:tr w14:paraId="56B7D2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15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B29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95E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910.81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75F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362.83</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288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547.98</w:t>
            </w:r>
            <w:r>
              <w:rPr>
                <w:rFonts w:hint="default" w:ascii="Times New Roman" w:hAnsi="Times New Roman" w:cs="Times New Roman"/>
                <w:color w:val="000000"/>
                <w:sz w:val="20"/>
              </w:rPr>
              <w:t xml:space="preserve"> </w:t>
            </w:r>
          </w:p>
        </w:tc>
      </w:tr>
      <w:tr w14:paraId="1F8E68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18B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769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59C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12,806.96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FA4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9,805.60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8F8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3,001.36</w:t>
            </w:r>
            <w:r>
              <w:rPr>
                <w:rFonts w:hint="default" w:ascii="Times New Roman" w:hAnsi="Times New Roman" w:cs="Times New Roman"/>
                <w:color w:val="000000"/>
                <w:sz w:val="20"/>
              </w:rPr>
              <w:t xml:space="preserve"> </w:t>
            </w:r>
          </w:p>
        </w:tc>
      </w:tr>
      <w:tr w14:paraId="39ED22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12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FB4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9C6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3,260.21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A41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5CB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3,260.21</w:t>
            </w:r>
            <w:r>
              <w:rPr>
                <w:rFonts w:hint="default" w:ascii="Times New Roman" w:hAnsi="Times New Roman" w:cs="Times New Roman"/>
                <w:b/>
                <w:color w:val="000000"/>
                <w:sz w:val="20"/>
              </w:rPr>
              <w:t xml:space="preserve"> </w:t>
            </w:r>
          </w:p>
        </w:tc>
      </w:tr>
      <w:tr w14:paraId="6D05DC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CCB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53A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城市中小学教学设施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150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3,238.21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CBE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045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3,238.21</w:t>
            </w:r>
            <w:r>
              <w:rPr>
                <w:rFonts w:hint="default" w:ascii="Times New Roman" w:hAnsi="Times New Roman" w:cs="Times New Roman"/>
                <w:color w:val="000000"/>
                <w:sz w:val="20"/>
              </w:rPr>
              <w:t xml:space="preserve"> </w:t>
            </w:r>
          </w:p>
        </w:tc>
      </w:tr>
      <w:tr w14:paraId="7BBA9F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86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DBF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749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022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003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22.00</w:t>
            </w:r>
            <w:r>
              <w:rPr>
                <w:rFonts w:hint="default" w:ascii="Times New Roman" w:hAnsi="Times New Roman" w:cs="Times New Roman"/>
                <w:color w:val="000000"/>
                <w:sz w:val="20"/>
              </w:rPr>
              <w:t xml:space="preserve"> </w:t>
            </w:r>
          </w:p>
        </w:tc>
      </w:tr>
      <w:tr w14:paraId="76BEB6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6A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9BEE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BFC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4C2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EB3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r>
      <w:tr w14:paraId="4CBEAC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DC6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C3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科学技术普及</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24E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76E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2A3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rPr>
              <w:t xml:space="preserve"> </w:t>
            </w:r>
          </w:p>
        </w:tc>
      </w:tr>
      <w:tr w14:paraId="2846A0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224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7D1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科普活动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13E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6AC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4D2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rPr>
              <w:t xml:space="preserve"> </w:t>
            </w:r>
          </w:p>
        </w:tc>
      </w:tr>
      <w:tr w14:paraId="6EEDC7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61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FD7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8F4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1,689.93</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658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1,689.93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9E3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9AFF5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E0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FF14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3FF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1,676.08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02E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1,676.08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809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C4EF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24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B72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FF3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16.02</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907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16.02</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16B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EFED1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6C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691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E6A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1,106.48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67C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1,106.48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AEF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F23AD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75B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0A7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946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553.58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00D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553.58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7D3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9ABC9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20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682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27F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13.85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CA9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13.85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6A6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D077B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C2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432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709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13.85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F96A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13.85</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5CA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94BFF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D5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18B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DE7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608.37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C02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608.37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A5B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458F5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CB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A19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F66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608.37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F52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608.37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11D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8BDC3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6A4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389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F76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478.50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CBF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478.50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481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6B5A5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58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DE7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A81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129.87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638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129.87</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715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93E99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A7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36C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0DD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1,034.15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992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1,034.15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9E6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6D0F9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091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569D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D38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1,034.15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E1B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1,034.15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1E1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96D22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62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DFA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1F2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902.05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6BE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902.05</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53D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01C72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D1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4E3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609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132.10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45A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132.10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531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59EF06AD">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D723068">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br w:type="page"/>
      </w:r>
      <w:r>
        <w:rPr>
          <w:rFonts w:hint="default" w:ascii="Times New Roman" w:hAnsi="Times New Roman" w:cs="Times New Roman"/>
          <w:sz w:val="21"/>
          <w:szCs w:val="21"/>
        </w:rPr>
        <w:t>附件</w:t>
      </w:r>
      <w:r>
        <w:rPr>
          <w:rFonts w:hint="default" w:ascii="Times New Roman" w:hAnsi="Times New Roman" w:cs="Times New Roman"/>
          <w:sz w:val="21"/>
          <w:szCs w:val="21"/>
          <w:lang w:val="en-US" w:eastAsia="zh-CN"/>
        </w:rPr>
        <w:t>6</w:t>
      </w:r>
    </w:p>
    <w:tbl>
      <w:tblPr>
        <w:tblStyle w:val="9"/>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528B3330">
        <w:tblPrEx>
          <w:tblCellMar>
            <w:top w:w="0" w:type="dxa"/>
            <w:left w:w="0" w:type="dxa"/>
            <w:bottom w:w="0" w:type="dxa"/>
            <w:right w:w="0" w:type="dxa"/>
          </w:tblCellMar>
        </w:tblPrEx>
        <w:trPr>
          <w:trHeight w:val="388"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B20E50D">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76987226">
        <w:tblPrEx>
          <w:tblCellMar>
            <w:top w:w="0" w:type="dxa"/>
            <w:left w:w="0" w:type="dxa"/>
            <w:bottom w:w="0" w:type="dxa"/>
            <w:right w:w="0" w:type="dxa"/>
          </w:tblCellMar>
        </w:tblPrEx>
        <w:trPr>
          <w:trHeight w:val="378"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E9ECB89">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重庆市杨家坪中学</w:t>
            </w:r>
          </w:p>
        </w:tc>
        <w:tc>
          <w:tcPr>
            <w:tcW w:w="463" w:type="pct"/>
            <w:tcBorders>
              <w:top w:val="nil"/>
              <w:left w:val="nil"/>
              <w:bottom w:val="nil"/>
              <w:right w:val="nil"/>
            </w:tcBorders>
            <w:shd w:val="clear" w:color="auto" w:fill="auto"/>
            <w:noWrap/>
            <w:tcMar>
              <w:top w:w="15" w:type="dxa"/>
              <w:left w:w="15" w:type="dxa"/>
              <w:right w:w="15" w:type="dxa"/>
            </w:tcMar>
            <w:vAlign w:val="bottom"/>
          </w:tcPr>
          <w:p w14:paraId="2E0EE0E1">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77B8EB3">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0D3F1F1">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4DAA79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162E329C">
        <w:tblPrEx>
          <w:tblCellMar>
            <w:top w:w="0" w:type="dxa"/>
            <w:left w:w="0" w:type="dxa"/>
            <w:bottom w:w="0" w:type="dxa"/>
            <w:right w:w="0" w:type="dxa"/>
          </w:tblCellMar>
        </w:tblPrEx>
        <w:trPr>
          <w:trHeight w:val="335"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F83B067">
            <w:pPr>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563FC2B">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FA6B629">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6A76291">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B4994E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F4B623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186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82198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53C0C7D1">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3C5A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E7A9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65FE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2113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7B1D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9FC5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D495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4CED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948DB">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1548CCD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9B43B">
            <w:pPr>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02739">
            <w:pPr>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BE196">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86739">
            <w:pPr>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24578">
            <w:pPr>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74A58">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A745E">
            <w:pPr>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B3D1B">
            <w:pPr>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DD921">
            <w:pPr>
              <w:spacing w:line="192" w:lineRule="exact"/>
              <w:jc w:val="center"/>
              <w:rPr>
                <w:rFonts w:hint="default" w:ascii="Times New Roman" w:hAnsi="Times New Roman" w:cs="Times New Roman"/>
                <w:b/>
                <w:color w:val="000000"/>
                <w:sz w:val="18"/>
                <w:szCs w:val="18"/>
              </w:rPr>
            </w:pPr>
          </w:p>
        </w:tc>
      </w:tr>
      <w:tr w14:paraId="7A89EF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6D1A">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D08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D4B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10,739.52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C57C">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2C6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BF8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1,651.31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667A">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B1C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0845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96.13</w:t>
            </w:r>
            <w:r>
              <w:rPr>
                <w:rFonts w:hint="default" w:ascii="Times New Roman" w:hAnsi="Times New Roman" w:cs="Times New Roman"/>
                <w:color w:val="000000"/>
                <w:sz w:val="18"/>
              </w:rPr>
              <w:t xml:space="preserve"> </w:t>
            </w:r>
          </w:p>
        </w:tc>
      </w:tr>
      <w:tr w14:paraId="4037B1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758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7A2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7FD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2,831.92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565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AD5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CA6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152.36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A14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9B9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C8C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A2B78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B84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6A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E4C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205.52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0FA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730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CCD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49.71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8D49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235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4B2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96.13</w:t>
            </w:r>
            <w:r>
              <w:rPr>
                <w:rFonts w:hint="default" w:ascii="Times New Roman" w:hAnsi="Times New Roman" w:cs="Times New Roman"/>
                <w:color w:val="000000"/>
                <w:sz w:val="18"/>
              </w:rPr>
              <w:t xml:space="preserve"> </w:t>
            </w:r>
          </w:p>
        </w:tc>
      </w:tr>
      <w:tr w14:paraId="570029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2E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B93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738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7C8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B7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C323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385E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014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2699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86E5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F2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093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52C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152.70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614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A92E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2F4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3A3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A3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5ADB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4597B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E0F3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5ADA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C10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4,384.55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32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5DE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AE0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14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BED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CF70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416A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DC1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46E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407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1,106.48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4D6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419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8CAC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1F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157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9ED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02D9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859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474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CB04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553.58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0DF4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21C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26C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0ED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273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3E9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3B56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9B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E71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271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467.13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61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927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E80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94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42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38D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2B2D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861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C1C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718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AFA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FC5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88B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198B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115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1AB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A622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866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BA2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AD1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456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A6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035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BA8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C8E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CC8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24C9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187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FF4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3737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902.05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96A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05B9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903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346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2BC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85B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2707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56D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518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163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4E0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724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D6A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188.67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948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AD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0D5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8BCD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CE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42A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84D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645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409E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162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B227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52B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086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448F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85BB">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A91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D38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1,013.92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1FF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97F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98B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E0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2AC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C4D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7D21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808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B90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231B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15.11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148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B2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BE3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94.51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57F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CAE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3EA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07D1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0AA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CD4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D35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958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057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BA7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D26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0D7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0E7A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EDAD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E491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892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83C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358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293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639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17.88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F83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265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FEF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7C5C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9F1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306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A8A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13.85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4AB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601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1C4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742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861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325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3AC9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68B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2C9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8B77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901.08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D8A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3BEE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BD1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368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365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6EB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2C6C5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0C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F15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568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C4C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ED8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9C4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579.07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7F6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61E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01A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2A6D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C83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54F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54A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83.88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DD3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458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50F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A01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E6B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2A9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8F5B7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2B1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AF9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ADDD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4049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689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85A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186.56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910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1AA6">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77AD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EB0FF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51E1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83C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409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D6C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6CE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DAE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148.50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C91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18A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117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5ACB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69D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7F55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5927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8F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0E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A61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34A0D">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030B">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7BA8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D650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5CB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38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0F7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D7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996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DD7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3CE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2A81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8A8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AE54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751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F84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44A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DF6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F024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3C3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940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A73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234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A5CA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F836B">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473C">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8DDB25">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7E6B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73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508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173.79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0AC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68D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729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262D9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618B8">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8770">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E9828F">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7D1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4E4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F400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735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D9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8738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44066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84BF">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B6DA">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AB3821">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513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3AD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005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B61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F291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AC9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807F5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4E56">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A87D">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9C3D65">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0C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D3E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698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32ED5">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8871">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2542">
            <w:pPr>
              <w:spacing w:line="192" w:lineRule="exact"/>
              <w:jc w:val="right"/>
              <w:rPr>
                <w:rFonts w:hint="default" w:ascii="Times New Roman" w:hAnsi="Times New Roman" w:cs="Times New Roman"/>
                <w:color w:val="000000"/>
                <w:sz w:val="18"/>
                <w:szCs w:val="18"/>
              </w:rPr>
            </w:pPr>
          </w:p>
        </w:tc>
      </w:tr>
      <w:tr w14:paraId="6B1F50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622E">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FDE9E">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366DBC">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B8D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C0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275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E02C2">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FACB">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FEC1">
            <w:pPr>
              <w:spacing w:line="192" w:lineRule="exact"/>
              <w:jc w:val="right"/>
              <w:rPr>
                <w:rFonts w:hint="default" w:ascii="Times New Roman" w:hAnsi="Times New Roman" w:cs="Times New Roman"/>
                <w:color w:val="000000"/>
                <w:sz w:val="18"/>
                <w:szCs w:val="18"/>
              </w:rPr>
            </w:pPr>
          </w:p>
        </w:tc>
      </w:tr>
      <w:tr w14:paraId="4A15125A">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270E5">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9D33">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1990F0">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DD4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FF3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332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C49A">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E538A">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CE5A">
            <w:pPr>
              <w:spacing w:line="192" w:lineRule="exact"/>
              <w:jc w:val="right"/>
              <w:rPr>
                <w:rFonts w:hint="default" w:ascii="Times New Roman" w:hAnsi="Times New Roman" w:cs="Times New Roman"/>
                <w:color w:val="000000"/>
                <w:sz w:val="18"/>
                <w:szCs w:val="18"/>
              </w:rPr>
            </w:pPr>
          </w:p>
        </w:tc>
      </w:tr>
      <w:tr w14:paraId="17EFD4F9">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0B10">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872BC3">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11,753.44</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543C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44DA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1,747.44</w:t>
            </w:r>
            <w:r>
              <w:rPr>
                <w:rFonts w:hint="default" w:ascii="Times New Roman" w:hAnsi="Times New Roman" w:cs="Times New Roman"/>
                <w:color w:val="000000"/>
                <w:sz w:val="18"/>
              </w:rPr>
              <w:t xml:space="preserve"> </w:t>
            </w:r>
          </w:p>
        </w:tc>
      </w:tr>
    </w:tbl>
    <w:p w14:paraId="02F33A20">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217F9DE1">
      <w:pPr>
        <w:spacing w:line="280" w:lineRule="exact"/>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rPr>
        <w:t>附件</w:t>
      </w:r>
      <w:r>
        <w:rPr>
          <w:rFonts w:hint="default" w:ascii="Times New Roman" w:hAnsi="Times New Roman" w:cs="Times New Roman"/>
          <w:sz w:val="20"/>
          <w:szCs w:val="20"/>
          <w:lang w:val="en-US" w:eastAsia="zh-CN"/>
        </w:rPr>
        <w:t>7</w:t>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F187DC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23AEBB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486821C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E308F1E">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重庆市杨家坪中学</w:t>
            </w:r>
          </w:p>
        </w:tc>
        <w:tc>
          <w:tcPr>
            <w:tcW w:w="555" w:type="pct"/>
            <w:tcBorders>
              <w:top w:val="nil"/>
              <w:left w:val="nil"/>
              <w:bottom w:val="nil"/>
              <w:right w:val="nil"/>
            </w:tcBorders>
            <w:shd w:val="clear" w:color="auto" w:fill="auto"/>
            <w:noWrap/>
            <w:tcMar>
              <w:top w:w="15" w:type="dxa"/>
              <w:left w:w="15" w:type="dxa"/>
              <w:right w:w="15" w:type="dxa"/>
            </w:tcMar>
            <w:vAlign w:val="bottom"/>
          </w:tcPr>
          <w:p w14:paraId="62BF49AB">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B7CB582">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6319599">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12B91D2">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35F198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212A31E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CB791B9">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074509F">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4EB051">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16AA875">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538BDC5">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5547C0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559FDC8">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CFA7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E9DED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64FC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6DA8C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DC45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69436A1D">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804F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B6E0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737DA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5D16">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4698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F353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CBE6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38B08">
            <w:pPr>
              <w:jc w:val="center"/>
              <w:rPr>
                <w:rFonts w:hint="default" w:ascii="Times New Roman" w:hAnsi="Times New Roman" w:cs="Times New Roman"/>
                <w:b/>
                <w:color w:val="000000"/>
                <w:sz w:val="20"/>
                <w:szCs w:val="20"/>
              </w:rPr>
            </w:pPr>
          </w:p>
        </w:tc>
      </w:tr>
      <w:tr w14:paraId="599626B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EEF2F">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BDBF7">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09381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9E733">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97BFF">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FD706">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9CA7B">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1BFB4">
            <w:pPr>
              <w:jc w:val="center"/>
              <w:rPr>
                <w:rFonts w:hint="default" w:ascii="Times New Roman" w:hAnsi="Times New Roman" w:cs="Times New Roman"/>
                <w:b/>
                <w:color w:val="000000"/>
                <w:sz w:val="20"/>
                <w:szCs w:val="20"/>
              </w:rPr>
            </w:pPr>
          </w:p>
        </w:tc>
      </w:tr>
      <w:tr w14:paraId="2619DB50">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BD5F1">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0075C">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B7826F">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21751">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B349D">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160F6">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0020F">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81056">
            <w:pPr>
              <w:jc w:val="center"/>
              <w:rPr>
                <w:rFonts w:hint="default" w:ascii="Times New Roman" w:hAnsi="Times New Roman" w:cs="Times New Roman"/>
                <w:b/>
                <w:color w:val="000000"/>
                <w:sz w:val="20"/>
                <w:szCs w:val="20"/>
              </w:rPr>
            </w:pPr>
          </w:p>
        </w:tc>
      </w:tr>
      <w:tr w14:paraId="0B4B98C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5F9E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B65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5F6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3,322.00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E8D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3,322.00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104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574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3,322.00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0BF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37EDAD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0BC3">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27B05">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CE3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F5D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3,322.00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97C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3,322.00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F37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112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3,322.00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AD8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0D80E5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A35E">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D8867">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9D3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0A1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3,322.00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F86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3,322.00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797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131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3,322.00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763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8CEBF0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3926E">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F4A53">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335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EAE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3,150.00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BE6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3,150.00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DAA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CF1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3,150.00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03C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9825F8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5E28">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5AC5E">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AE2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A1C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172.00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83D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172.00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AFC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28D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172.00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C80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2B4D456">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B506D1A">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br w:type="page"/>
      </w:r>
      <w:r>
        <w:rPr>
          <w:rFonts w:hint="default" w:ascii="Times New Roman" w:hAnsi="Times New Roman" w:cs="Times New Roman"/>
          <w:sz w:val="21"/>
          <w:szCs w:val="21"/>
        </w:rPr>
        <w:t>附件</w:t>
      </w:r>
      <w:r>
        <w:rPr>
          <w:rFonts w:hint="default" w:ascii="Times New Roman" w:hAnsi="Times New Roman" w:cs="Times New Roman"/>
          <w:sz w:val="21"/>
          <w:szCs w:val="21"/>
          <w:lang w:val="en-US" w:eastAsia="zh-CN"/>
        </w:rPr>
        <w:t>8</w:t>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66FAD0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19D823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44037111">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F49481A">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重庆市杨家坪中学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801FDC0">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8419DB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1CB1E99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FED819C">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00F5BD4">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4C0336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A0FAFE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56E51C">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75D1C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6A342CA">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E61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0158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9920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77F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40F3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B9D889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875E9">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C6203">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C5362">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5CC06">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D1BAB">
            <w:pPr>
              <w:jc w:val="center"/>
              <w:rPr>
                <w:rFonts w:hint="default" w:ascii="Times New Roman" w:hAnsi="Times New Roman" w:cs="Times New Roman"/>
                <w:b/>
                <w:color w:val="000000"/>
                <w:sz w:val="20"/>
                <w:szCs w:val="20"/>
              </w:rPr>
            </w:pPr>
          </w:p>
        </w:tc>
      </w:tr>
      <w:tr w14:paraId="73FCC92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F3FE9">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39452">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625D2">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69C3E">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014D1">
            <w:pPr>
              <w:jc w:val="center"/>
              <w:rPr>
                <w:rFonts w:hint="default" w:ascii="Times New Roman" w:hAnsi="Times New Roman" w:cs="Times New Roman"/>
                <w:b/>
                <w:color w:val="000000"/>
                <w:sz w:val="20"/>
                <w:szCs w:val="20"/>
              </w:rPr>
            </w:pPr>
          </w:p>
        </w:tc>
      </w:tr>
      <w:tr w14:paraId="77E5B9D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BB093">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CD581">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4E944">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07EAC">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CFC8D">
            <w:pPr>
              <w:jc w:val="center"/>
              <w:rPr>
                <w:rFonts w:hint="default" w:ascii="Times New Roman" w:hAnsi="Times New Roman" w:cs="Times New Roman"/>
                <w:b/>
                <w:color w:val="000000"/>
                <w:sz w:val="20"/>
                <w:szCs w:val="20"/>
              </w:rPr>
            </w:pPr>
          </w:p>
        </w:tc>
      </w:tr>
      <w:tr w14:paraId="438BF20E">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58AA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AC0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466BF">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7F7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3C72286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545A">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6515C">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9C6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31563">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E68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2BA62E39">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541B776">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br w:type="page"/>
      </w:r>
      <w:r>
        <w:rPr>
          <w:rFonts w:hint="default" w:ascii="Times New Roman" w:hAnsi="Times New Roman" w:cs="Times New Roman"/>
          <w:sz w:val="21"/>
          <w:szCs w:val="21"/>
        </w:rPr>
        <w:t>附件</w:t>
      </w:r>
      <w:r>
        <w:rPr>
          <w:rFonts w:hint="default" w:ascii="Times New Roman" w:hAnsi="Times New Roman" w:cs="Times New Roman"/>
          <w:sz w:val="21"/>
          <w:szCs w:val="21"/>
          <w:lang w:val="en-US" w:eastAsia="zh-CN"/>
        </w:rPr>
        <w:t>9</w:t>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6482532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FB95D4B">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295CBC4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BE080E4">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588F4803">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4826A091">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09B5412A">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709C1749">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69DE342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3793E08">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重庆市杨家坪中学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E6E1B11">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7E94040">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56A1484">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D00A8B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DB9AA">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86F75">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67976">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B92A5">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C7A44">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6AE31AA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6FFA8">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E6FA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49A6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25864">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9C1A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619C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043D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78787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4.20</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FD07D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4.20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23CA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77EA5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FDAC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CBBC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52240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98B90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17F2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E5866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6D8B3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1F5B4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4DD0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4.20</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CB403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4.20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7D80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FAA290">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35EB34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1493E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39DB4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D899E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BA41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382E4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rPr>
              <w:t xml:space="preserve"> </w:t>
            </w:r>
          </w:p>
        </w:tc>
      </w:tr>
      <w:tr w14:paraId="177659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13EB6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E9119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4.20</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8A1CB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4.20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0473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02C83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C8F09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102D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0D5F0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A4C35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8B4E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B79F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143C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3AB6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4E0F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53C33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8CC0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45B6B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88A1A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2ABE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03BF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6851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485A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07565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rPr>
              <w:t xml:space="preserve"> </w:t>
            </w:r>
          </w:p>
        </w:tc>
      </w:tr>
      <w:tr w14:paraId="56A3788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BFD8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3E6F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7BFC4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1E01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FC7E1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11B7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33C8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2BDD2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62BBB">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BA92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79C5B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875C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85D8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F1C2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9E103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B2C99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945FE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F2A5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303DB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45EE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2FC12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CCC9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B9A1F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BF02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3A15A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80E1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8BC77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2242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1C1AC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5B5B3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C0A5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E3B8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2B487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5291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65985">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D4FDC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6C60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72736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17713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E513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AFCE9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2,118.14</w:t>
            </w:r>
            <w:r>
              <w:rPr>
                <w:rFonts w:hint="default" w:ascii="Times New Roman" w:hAnsi="Times New Roman" w:cs="Times New Roman"/>
                <w:color w:val="000000"/>
                <w:sz w:val="18"/>
              </w:rPr>
              <w:t xml:space="preserve"> </w:t>
            </w:r>
          </w:p>
        </w:tc>
      </w:tr>
      <w:tr w14:paraId="61C476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3699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887A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C41AB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81593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0B847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1,764.02</w:t>
            </w:r>
            <w:r>
              <w:rPr>
                <w:rFonts w:hint="default" w:ascii="Times New Roman" w:hAnsi="Times New Roman" w:cs="Times New Roman"/>
                <w:color w:val="000000"/>
                <w:sz w:val="18"/>
              </w:rPr>
              <w:t xml:space="preserve"> </w:t>
            </w:r>
          </w:p>
        </w:tc>
      </w:tr>
      <w:tr w14:paraId="69FD08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4657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D74F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6CB99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EB97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06C80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252.93</w:t>
            </w:r>
            <w:r>
              <w:rPr>
                <w:rFonts w:hint="default" w:ascii="Times New Roman" w:hAnsi="Times New Roman" w:cs="Times New Roman"/>
                <w:color w:val="000000"/>
                <w:sz w:val="18"/>
              </w:rPr>
              <w:t xml:space="preserve"> </w:t>
            </w:r>
          </w:p>
        </w:tc>
      </w:tr>
      <w:tr w14:paraId="7288D6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7422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FF4A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B4E68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1A75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895FF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101.20</w:t>
            </w:r>
            <w:r>
              <w:rPr>
                <w:rFonts w:hint="default" w:ascii="Times New Roman" w:hAnsi="Times New Roman" w:cs="Times New Roman"/>
                <w:color w:val="000000"/>
                <w:sz w:val="18"/>
              </w:rPr>
              <w:t xml:space="preserve"> </w:t>
            </w:r>
          </w:p>
        </w:tc>
      </w:tr>
      <w:tr w14:paraId="316C8CD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DCBA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0F4C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AEEBAD">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3748F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51A61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2,113.23</w:t>
            </w:r>
            <w:r>
              <w:rPr>
                <w:rFonts w:hint="default" w:ascii="Times New Roman" w:hAnsi="Times New Roman" w:cs="Times New Roman"/>
                <w:color w:val="000000"/>
                <w:sz w:val="18"/>
              </w:rPr>
              <w:t xml:space="preserve"> </w:t>
            </w:r>
          </w:p>
        </w:tc>
      </w:tr>
      <w:tr w14:paraId="33EB50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13B7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2AD9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DA8D8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F30C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B0472">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2,113.23</w:t>
            </w:r>
            <w:r>
              <w:rPr>
                <w:rFonts w:hint="default" w:ascii="Times New Roman" w:hAnsi="Times New Roman" w:cs="Times New Roman"/>
                <w:color w:val="000000"/>
                <w:sz w:val="18"/>
              </w:rPr>
              <w:t xml:space="preserve"> </w:t>
            </w:r>
          </w:p>
        </w:tc>
      </w:tr>
      <w:tr w14:paraId="71B7352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72D37">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435DD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C7A11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5.66</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6FD8E2">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22AB32">
            <w:pPr>
              <w:spacing w:line="280" w:lineRule="exact"/>
              <w:jc w:val="right"/>
              <w:rPr>
                <w:rFonts w:hint="default" w:ascii="Times New Roman" w:hAnsi="Times New Roman" w:cs="Times New Roman"/>
                <w:color w:val="000000"/>
                <w:kern w:val="2"/>
                <w:sz w:val="16"/>
                <w:szCs w:val="16"/>
              </w:rPr>
            </w:pPr>
          </w:p>
        </w:tc>
      </w:tr>
      <w:tr w14:paraId="77CD3EF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04637">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2A26B">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5671D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105.60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0A58E3">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A90149">
            <w:pPr>
              <w:spacing w:line="280" w:lineRule="exact"/>
              <w:jc w:val="right"/>
              <w:rPr>
                <w:rFonts w:hint="default" w:ascii="Times New Roman" w:hAnsi="Times New Roman" w:cs="Times New Roman"/>
                <w:color w:val="000000"/>
                <w:kern w:val="2"/>
                <w:sz w:val="16"/>
                <w:szCs w:val="16"/>
              </w:rPr>
            </w:pPr>
          </w:p>
        </w:tc>
      </w:tr>
      <w:tr w14:paraId="6FFED8F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D2957">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058FD">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6408F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28.23</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7E622">
            <w:pP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7EBE7">
            <w:pPr>
              <w:spacing w:line="280" w:lineRule="exact"/>
              <w:jc w:val="right"/>
              <w:rPr>
                <w:rFonts w:hint="default" w:ascii="Times New Roman" w:hAnsi="Times New Roman" w:cs="Times New Roman"/>
                <w:color w:val="000000"/>
                <w:sz w:val="16"/>
                <w:szCs w:val="16"/>
              </w:rPr>
            </w:pPr>
          </w:p>
        </w:tc>
      </w:tr>
    </w:tbl>
    <w:p w14:paraId="469C953A">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48B31">
    <w:pPr>
      <w:pStyle w:val="4"/>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0E0BE">
                          <w:pPr>
                            <w:pStyle w:val="4"/>
                            <w:rPr>
                              <w:rFonts w:hint="eastAsia" w:ascii="方正仿宋_GBK" w:hAnsi="方正仿宋_GBK" w:eastAsia="方正仿宋_GBK" w:cs="方正仿宋_GBK"/>
                              <w:sz w:val="28"/>
                              <w:szCs w:val="28"/>
                            </w:rPr>
                          </w:pPr>
                        </w:p>
                        <w:p w14:paraId="71995F6E">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10E0BE">
                    <w:pPr>
                      <w:pStyle w:val="4"/>
                      <w:rPr>
                        <w:rFonts w:hint="eastAsia" w:ascii="方正仿宋_GBK" w:hAnsi="方正仿宋_GBK" w:eastAsia="方正仿宋_GBK" w:cs="方正仿宋_GBK"/>
                        <w:sz w:val="28"/>
                        <w:szCs w:val="28"/>
                      </w:rPr>
                    </w:pPr>
                  </w:p>
                  <w:p w14:paraId="71995F6E">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A1818">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AAF85C">
                          <w:pPr>
                            <w:pStyle w:val="4"/>
                            <w:rPr>
                              <w:rFonts w:hint="default"/>
                            </w:rPr>
                          </w:pPr>
                          <w: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PAGE   \* MERGEFORMAT</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21 -</w:t>
                          </w:r>
                          <w:r>
                            <w:rPr>
                              <w:rFonts w:hint="eastAsia" w:ascii="方正仿宋_GBK" w:hAnsi="方正仿宋_GBK" w:eastAsia="方正仿宋_GBK" w:cs="方正仿宋_GBK"/>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FAAF85C">
                    <w:pPr>
                      <w:pStyle w:val="4"/>
                      <w:rPr>
                        <w:rFonts w:hint="default"/>
                      </w:rPr>
                    </w:pPr>
                    <w: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PAGE   \* MERGEFORMAT</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21 -</w:t>
                    </w:r>
                    <w:r>
                      <w:rPr>
                        <w:rFonts w:hint="eastAsia" w:ascii="方正仿宋_GBK" w:hAnsi="方正仿宋_GBK" w:eastAsia="方正仿宋_GBK" w:cs="方正仿宋_GBK"/>
                        <w:sz w:val="28"/>
                        <w:szCs w:val="28"/>
                      </w:rP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89617F2">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89617F2">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DD85A">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844B0">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63"/>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336173"/>
    <w:rsid w:val="00550ABE"/>
    <w:rsid w:val="007B419D"/>
    <w:rsid w:val="009B67B8"/>
    <w:rsid w:val="00B03CCD"/>
    <w:rsid w:val="00BE25AF"/>
    <w:rsid w:val="00CF5516"/>
    <w:rsid w:val="01474EBF"/>
    <w:rsid w:val="019020B1"/>
    <w:rsid w:val="01F3521E"/>
    <w:rsid w:val="02056D00"/>
    <w:rsid w:val="02B213E4"/>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4D6442"/>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7A71CF9"/>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072CE"/>
    <w:rsid w:val="1CE157EE"/>
    <w:rsid w:val="1D014A01"/>
    <w:rsid w:val="1D022362"/>
    <w:rsid w:val="1D091B60"/>
    <w:rsid w:val="1D6D1692"/>
    <w:rsid w:val="1D794AE5"/>
    <w:rsid w:val="1DD26311"/>
    <w:rsid w:val="1DE57DAF"/>
    <w:rsid w:val="1EF67CA4"/>
    <w:rsid w:val="1F213FD9"/>
    <w:rsid w:val="1FCD26AF"/>
    <w:rsid w:val="20642787"/>
    <w:rsid w:val="20C4108A"/>
    <w:rsid w:val="20C83310"/>
    <w:rsid w:val="20EC77A3"/>
    <w:rsid w:val="21556F04"/>
    <w:rsid w:val="216838F8"/>
    <w:rsid w:val="21A12149"/>
    <w:rsid w:val="22403BD3"/>
    <w:rsid w:val="24AF1021"/>
    <w:rsid w:val="24B92327"/>
    <w:rsid w:val="24D3717D"/>
    <w:rsid w:val="2533755C"/>
    <w:rsid w:val="26396DF4"/>
    <w:rsid w:val="266B763B"/>
    <w:rsid w:val="27167136"/>
    <w:rsid w:val="27B23302"/>
    <w:rsid w:val="27D424D7"/>
    <w:rsid w:val="285722C3"/>
    <w:rsid w:val="28C53D80"/>
    <w:rsid w:val="28DC1FF8"/>
    <w:rsid w:val="29310A5F"/>
    <w:rsid w:val="29C37A35"/>
    <w:rsid w:val="2A076083"/>
    <w:rsid w:val="2A306CA5"/>
    <w:rsid w:val="2A73162E"/>
    <w:rsid w:val="2AFA2E94"/>
    <w:rsid w:val="2B167953"/>
    <w:rsid w:val="2B200583"/>
    <w:rsid w:val="2B4104F9"/>
    <w:rsid w:val="2B8209DE"/>
    <w:rsid w:val="2C6762A3"/>
    <w:rsid w:val="2D4E7C69"/>
    <w:rsid w:val="2D5F4C37"/>
    <w:rsid w:val="2D8D7A26"/>
    <w:rsid w:val="2F064D1A"/>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BA42B0A"/>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4351DA"/>
    <w:rsid w:val="465B470D"/>
    <w:rsid w:val="469D6AD4"/>
    <w:rsid w:val="47674801"/>
    <w:rsid w:val="47BE6D02"/>
    <w:rsid w:val="48225EF7"/>
    <w:rsid w:val="489B6391"/>
    <w:rsid w:val="48A36D47"/>
    <w:rsid w:val="495C4A24"/>
    <w:rsid w:val="497E1BF7"/>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4FED4628"/>
    <w:rsid w:val="502618E8"/>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1F031C"/>
    <w:rsid w:val="56530F5D"/>
    <w:rsid w:val="56EE372E"/>
    <w:rsid w:val="570D735E"/>
    <w:rsid w:val="5842572D"/>
    <w:rsid w:val="598A28E2"/>
    <w:rsid w:val="5A6279C1"/>
    <w:rsid w:val="5AD563E4"/>
    <w:rsid w:val="5AFA5E4B"/>
    <w:rsid w:val="5C1336B7"/>
    <w:rsid w:val="5C263CE4"/>
    <w:rsid w:val="5C5D2777"/>
    <w:rsid w:val="5C722D7F"/>
    <w:rsid w:val="5C8A1451"/>
    <w:rsid w:val="5D290C69"/>
    <w:rsid w:val="5DC17CC6"/>
    <w:rsid w:val="5EFA176D"/>
    <w:rsid w:val="5F0247F9"/>
    <w:rsid w:val="5F2D4A41"/>
    <w:rsid w:val="5F4A5EA1"/>
    <w:rsid w:val="601C34ED"/>
    <w:rsid w:val="60A511FB"/>
    <w:rsid w:val="61025A59"/>
    <w:rsid w:val="613D5BBC"/>
    <w:rsid w:val="61536C39"/>
    <w:rsid w:val="616D60F9"/>
    <w:rsid w:val="62791D4B"/>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0F273E"/>
    <w:rsid w:val="6D903FF5"/>
    <w:rsid w:val="6DA955B8"/>
    <w:rsid w:val="6DE346AB"/>
    <w:rsid w:val="6FFB2E76"/>
    <w:rsid w:val="70AB70D6"/>
    <w:rsid w:val="70DE5507"/>
    <w:rsid w:val="71C34D91"/>
    <w:rsid w:val="71ED38AA"/>
    <w:rsid w:val="723F3B65"/>
    <w:rsid w:val="72DB435C"/>
    <w:rsid w:val="738549F4"/>
    <w:rsid w:val="749D6353"/>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5807</Words>
  <Characters>6562</Characters>
  <Lines>73</Lines>
  <Paragraphs>41</Paragraphs>
  <TotalTime>0</TotalTime>
  <ScaleCrop>false</ScaleCrop>
  <LinksUpToDate>false</LinksUpToDate>
  <CharactersWithSpaces>6624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2025-10-21T10:20:00Z</dcterms:created>
  <dc:creator>Administrator</dc:creator>
  <cp:lastModifiedBy>Yan</cp:lastModifiedBy>
  <dcterms:modified xsi:type="dcterms:W3CDTF">2025-10-23T03:45:27Z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