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E6FC62">
      <w:pPr>
        <w:pStyle w:val="12"/>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0" w:firstLineChars="0"/>
        <w:jc w:val="center"/>
        <w:textAlignment w:val="auto"/>
        <w:rPr>
          <w:rFonts w:ascii="Times New Roman" w:hAnsi="Times New Roman" w:eastAsia="方正小标宋_GBK"/>
          <w:sz w:val="44"/>
          <w:szCs w:val="44"/>
          <w:shd w:val="clear" w:color="auto" w:fill="FFFFFF"/>
        </w:rPr>
      </w:pPr>
      <w:r>
        <w:rPr>
          <w:rFonts w:ascii="Times New Roman" w:hAnsi="方正小标宋_GBK" w:eastAsia="方正小标宋_GBK"/>
          <w:sz w:val="44"/>
          <w:szCs w:val="44"/>
          <w:shd w:val="clear" w:color="auto" w:fill="FFFFFF"/>
        </w:rPr>
        <w:t>重庆市四十七中学</w:t>
      </w:r>
    </w:p>
    <w:p w14:paraId="354F01C9">
      <w:pPr>
        <w:pStyle w:val="12"/>
        <w:keepNext w:val="0"/>
        <w:keepLines w:val="0"/>
        <w:pageBreakBefore w:val="0"/>
        <w:widowControl/>
        <w:shd w:val="clear" w:color="auto" w:fill="FFFFFF"/>
        <w:kinsoku/>
        <w:wordWrap/>
        <w:overflowPunct/>
        <w:topLinePunct w:val="0"/>
        <w:autoSpaceDE/>
        <w:autoSpaceDN/>
        <w:bidi w:val="0"/>
        <w:adjustRightInd/>
        <w:snapToGrid w:val="0"/>
        <w:spacing w:before="0" w:beforeAutospacing="0" w:after="0" w:afterAutospacing="0" w:line="600" w:lineRule="exact"/>
        <w:ind w:firstLine="0" w:firstLineChars="0"/>
        <w:jc w:val="center"/>
        <w:textAlignment w:val="auto"/>
        <w:rPr>
          <w:rFonts w:ascii="Times New Roman" w:hAnsi="Times New Roman" w:eastAsia="方正小标宋_GBK"/>
          <w:sz w:val="44"/>
          <w:szCs w:val="44"/>
          <w:shd w:val="clear" w:color="auto" w:fill="FFFFFF"/>
        </w:rPr>
      </w:pPr>
      <w:r>
        <w:rPr>
          <w:rFonts w:ascii="Times New Roman" w:hAnsi="Times New Roman" w:eastAsia="方正小标宋_GBK"/>
          <w:sz w:val="44"/>
          <w:szCs w:val="44"/>
          <w:shd w:val="clear" w:color="auto" w:fill="FFFFFF"/>
        </w:rPr>
        <w:t>202</w:t>
      </w:r>
      <w:r>
        <w:rPr>
          <w:rFonts w:hint="eastAsia" w:ascii="Times New Roman" w:hAnsi="Times New Roman" w:eastAsia="方正小标宋_GBK"/>
          <w:sz w:val="44"/>
          <w:szCs w:val="44"/>
          <w:shd w:val="clear" w:color="auto" w:fill="FFFFFF"/>
          <w:lang w:val="en-US" w:eastAsia="zh-CN"/>
        </w:rPr>
        <w:t>4</w:t>
      </w:r>
      <w:r>
        <w:rPr>
          <w:rFonts w:ascii="Times New Roman" w:hAnsi="方正小标宋_GBK" w:eastAsia="方正小标宋_GBK"/>
          <w:sz w:val="44"/>
          <w:szCs w:val="44"/>
          <w:shd w:val="clear" w:color="auto" w:fill="FFFFFF"/>
        </w:rPr>
        <w:t>年度单位决算情况说明</w:t>
      </w:r>
    </w:p>
    <w:p w14:paraId="6B54260E">
      <w:pPr>
        <w:keepNext w:val="0"/>
        <w:keepLines w:val="0"/>
        <w:pageBreakBefore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sz w:val="32"/>
          <w:szCs w:val="32"/>
        </w:rPr>
      </w:pPr>
    </w:p>
    <w:p w14:paraId="54F782E8">
      <w:pPr>
        <w:keepNext w:val="0"/>
        <w:keepLines w:val="0"/>
        <w:pageBreakBefore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一、单位基本情况</w:t>
      </w:r>
    </w:p>
    <w:p w14:paraId="19E7102B">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（一）职能职责</w:t>
      </w:r>
    </w:p>
    <w:p w14:paraId="2F59A1B0">
      <w:pPr>
        <w:widowControl w:val="0"/>
        <w:spacing w:line="600" w:lineRule="exact"/>
        <w:ind w:firstLine="627" w:firstLineChars="196"/>
        <w:jc w:val="both"/>
        <w:rPr>
          <w:rFonts w:hint="default" w:ascii="Times New Roman" w:hAnsi="Times New Roman" w:eastAsia="方正仿宋_GBK" w:cs="Times New Roman"/>
          <w:sz w:val="32"/>
          <w:szCs w:val="32"/>
        </w:rPr>
      </w:pPr>
      <w:r>
        <w:rPr>
          <w:rFonts w:hint="default" w:ascii="Times New Roman" w:hAnsi="Times New Roman" w:eastAsia="方正仿宋_GBK" w:cs="宋体"/>
          <w:kern w:val="0"/>
          <w:sz w:val="32"/>
          <w:szCs w:val="32"/>
        </w:rPr>
        <w:t>重庆市四十七中学是九龙坡区教委主管的完全中学，是全额拨款</w:t>
      </w:r>
      <w:r>
        <w:rPr>
          <w:rFonts w:hint="eastAsia" w:ascii="Times New Roman" w:hAnsi="Times New Roman" w:eastAsia="方正仿宋_GBK" w:cs="宋体"/>
          <w:kern w:val="0"/>
          <w:sz w:val="32"/>
          <w:szCs w:val="32"/>
          <w:lang w:eastAsia="zh-CN"/>
        </w:rPr>
        <w:t>、</w:t>
      </w:r>
      <w:r>
        <w:rPr>
          <w:rFonts w:hint="default" w:ascii="Times New Roman" w:hAnsi="Times New Roman" w:eastAsia="方正仿宋_GBK" w:cs="宋体"/>
          <w:kern w:val="0"/>
          <w:sz w:val="32"/>
          <w:szCs w:val="32"/>
        </w:rPr>
        <w:t>独立核算的二级预算单位。实施普通初中义务教育和普通高中教育，促进学生全面发展。开展教育教学工作；开展学校德育工作；开展体育、卫生、艺术工作；</w:t>
      </w:r>
      <w:r>
        <w:rPr>
          <w:rFonts w:hint="eastAsia" w:ascii="Times New Roman" w:hAnsi="Times New Roman" w:eastAsia="方正仿宋_GBK" w:cs="宋体"/>
          <w:kern w:val="0"/>
          <w:sz w:val="32"/>
          <w:szCs w:val="32"/>
          <w:lang w:eastAsia="zh-CN"/>
        </w:rPr>
        <w:t>负责</w:t>
      </w:r>
      <w:r>
        <w:rPr>
          <w:rFonts w:hint="default" w:ascii="Times New Roman" w:hAnsi="Times New Roman" w:eastAsia="方正仿宋_GBK" w:cs="宋体"/>
          <w:kern w:val="0"/>
          <w:sz w:val="32"/>
          <w:szCs w:val="32"/>
        </w:rPr>
        <w:t>学校行政管理工作；开展对外交流工作；维护校园安全，提供后勤保障服务。</w:t>
      </w:r>
    </w:p>
    <w:p w14:paraId="39EB6404">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（二）机构设置</w:t>
      </w:r>
    </w:p>
    <w:p w14:paraId="6B2149A7">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default" w:ascii="Times New Roman" w:hAnsi="Times New Roman" w:eastAsia="方正仿宋_GBK" w:cs="宋体"/>
          <w:kern w:val="0"/>
          <w:sz w:val="32"/>
          <w:szCs w:val="32"/>
        </w:rPr>
        <w:t>学校设置党政办公室、教导处（含技装中心、教科室）、学发处（含团委、安稳办）、总务处（含食堂）、家校共育中心五个处室。</w:t>
      </w:r>
    </w:p>
    <w:p w14:paraId="460EC125">
      <w:pPr>
        <w:keepNext w:val="0"/>
        <w:keepLines w:val="0"/>
        <w:pageBreakBefore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二、单位决算情况说明</w:t>
      </w:r>
    </w:p>
    <w:p w14:paraId="532C9191">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（一）收入支出决算总体情况说明</w:t>
      </w:r>
    </w:p>
    <w:p w14:paraId="3E9DA5F1">
      <w:pPr>
        <w:pStyle w:val="6"/>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20"/>
          <w:lang w:val="en-US" w:eastAsia="zh-CN" w:bidi="ar-SA"/>
        </w:rPr>
        <w:t>1.总体情况。</w:t>
      </w:r>
      <w:r>
        <w:rPr>
          <w:rFonts w:hint="eastAsia" w:ascii="Times New Roman" w:hAnsi="Times New Roman" w:eastAsia="方正仿宋_GBK" w:cs="宋体"/>
          <w:kern w:val="0"/>
          <w:sz w:val="32"/>
          <w:szCs w:val="32"/>
          <w:lang w:val="en-US" w:eastAsia="zh-CN" w:bidi="ar-SA"/>
        </w:rPr>
        <w:t>2024年</w:t>
      </w:r>
      <w:r>
        <w:rPr>
          <w:rFonts w:hint="default" w:ascii="Times New Roman" w:hAnsi="Times New Roman" w:eastAsia="方正仿宋_GBK" w:cs="宋体"/>
          <w:kern w:val="0"/>
          <w:sz w:val="32"/>
          <w:szCs w:val="32"/>
          <w:lang w:val="en-US" w:eastAsia="zh-CN" w:bidi="ar-SA"/>
        </w:rPr>
        <w:t>度</w:t>
      </w:r>
      <w:r>
        <w:rPr>
          <w:rFonts w:hint="eastAsia" w:ascii="Times New Roman" w:hAnsi="Times New Roman" w:eastAsia="方正仿宋_GBK" w:cs="宋体"/>
          <w:kern w:val="0"/>
          <w:sz w:val="32"/>
          <w:szCs w:val="32"/>
          <w:lang w:val="en-US" w:eastAsia="zh-CN" w:bidi="ar-SA"/>
        </w:rPr>
        <w:t>收入总计2612.69万元，支出总计2612.69万元。收、支与2023年度相比，减少432.22万元，下降14.2%，</w:t>
      </w:r>
      <w:r>
        <w:rPr>
          <w:rFonts w:hint="default" w:ascii="Times New Roman" w:hAnsi="Times New Roman" w:eastAsia="方正仿宋_GBK" w:cs="宋体"/>
          <w:kern w:val="0"/>
          <w:sz w:val="32"/>
          <w:szCs w:val="32"/>
          <w:lang w:val="en-US" w:eastAsia="zh-CN" w:bidi="ar-SA"/>
        </w:rPr>
        <w:t>主要原因</w:t>
      </w:r>
      <w:r>
        <w:rPr>
          <w:rFonts w:hint="eastAsia" w:ascii="Times New Roman" w:hAnsi="Times New Roman" w:eastAsia="方正仿宋_GBK" w:cs="宋体"/>
          <w:kern w:val="0"/>
          <w:sz w:val="32"/>
          <w:szCs w:val="32"/>
          <w:lang w:val="en-US" w:eastAsia="zh-CN" w:bidi="ar-SA"/>
        </w:rPr>
        <w:t>学校发展逐步完善，建设项目减少，拨款减少</w:t>
      </w:r>
      <w:r>
        <w:rPr>
          <w:rFonts w:hint="default" w:ascii="Times New Roman" w:hAnsi="Times New Roman" w:eastAsia="方正仿宋_GBK" w:cs="宋体"/>
          <w:kern w:val="0"/>
          <w:sz w:val="32"/>
          <w:szCs w:val="32"/>
          <w:lang w:val="en-US" w:eastAsia="zh-CN" w:bidi="ar-SA"/>
        </w:rPr>
        <w:t>。</w:t>
      </w:r>
    </w:p>
    <w:p w14:paraId="136009FD">
      <w:pPr>
        <w:pStyle w:val="6"/>
        <w:keepNext w:val="0"/>
        <w:keepLines w:val="0"/>
        <w:pageBreakBefore w:val="0"/>
        <w:widowControl w:val="0"/>
        <w:shd w:val="clear" w:color="auto" w:fill="FFFFFF"/>
        <w:kinsoku/>
        <w:wordWrap/>
        <w:overflowPunct/>
        <w:topLinePunct w:val="0"/>
        <w:autoSpaceDN/>
        <w:bidi w:val="0"/>
        <w:adjustRightInd/>
        <w:snapToGrid w:val="0"/>
        <w:spacing w:before="0" w:beforeAutospacing="0" w:after="0" w:afterAutospacing="0" w:line="600" w:lineRule="exact"/>
        <w:ind w:firstLine="643"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宋体"/>
          <w:b/>
          <w:bCs/>
          <w:kern w:val="0"/>
          <w:sz w:val="32"/>
          <w:szCs w:val="20"/>
          <w:lang w:val="en-US" w:eastAsia="zh-CN" w:bidi="ar-SA"/>
        </w:rPr>
        <w:t>2.收入情况。</w:t>
      </w:r>
      <w:r>
        <w:rPr>
          <w:rFonts w:hint="eastAsia" w:ascii="Times New Roman" w:hAnsi="Times New Roman" w:eastAsia="方正仿宋_GBK" w:cs="宋体"/>
          <w:kern w:val="0"/>
          <w:sz w:val="32"/>
          <w:szCs w:val="32"/>
          <w:lang w:val="en-US" w:eastAsia="zh-CN" w:bidi="ar-SA"/>
        </w:rPr>
        <w:t>2024年度收入合计2612.69万元，与2023年度相比，减少432.22万元，下降14.2%</w:t>
      </w:r>
      <w:r>
        <w:rPr>
          <w:rFonts w:hint="default" w:ascii="Times New Roman" w:hAnsi="Times New Roman" w:eastAsia="方正仿宋_GBK" w:cs="宋体"/>
          <w:kern w:val="0"/>
          <w:sz w:val="32"/>
          <w:szCs w:val="32"/>
          <w:lang w:val="en-US" w:eastAsia="zh-CN" w:bidi="ar-SA"/>
        </w:rPr>
        <w:t>，主要原因是</w:t>
      </w:r>
      <w:r>
        <w:rPr>
          <w:rFonts w:hint="eastAsia" w:ascii="Times New Roman" w:hAnsi="Times New Roman" w:eastAsia="方正仿宋_GBK" w:cs="宋体"/>
          <w:kern w:val="0"/>
          <w:sz w:val="32"/>
          <w:szCs w:val="32"/>
          <w:lang w:val="en-US" w:eastAsia="zh-CN" w:bidi="ar-SA"/>
        </w:rPr>
        <w:t>学校发展逐步完善，建设项目减少，拨款减少</w:t>
      </w:r>
      <w:r>
        <w:rPr>
          <w:rFonts w:hint="default" w:ascii="Times New Roman" w:hAnsi="Times New Roman" w:eastAsia="方正仿宋_GBK" w:cs="宋体"/>
          <w:kern w:val="0"/>
          <w:sz w:val="32"/>
          <w:szCs w:val="32"/>
          <w:lang w:val="en-US" w:eastAsia="zh-CN" w:bidi="ar-SA"/>
        </w:rPr>
        <w:t>。其中：</w:t>
      </w:r>
      <w:r>
        <w:rPr>
          <w:rFonts w:hint="eastAsia" w:ascii="Times New Roman" w:hAnsi="Times New Roman" w:eastAsia="方正仿宋_GBK" w:cs="宋体"/>
          <w:kern w:val="0"/>
          <w:sz w:val="32"/>
          <w:szCs w:val="32"/>
          <w:lang w:val="en-US" w:eastAsia="zh-CN" w:bidi="ar-SA"/>
        </w:rPr>
        <w:t>财政拨款收入2541.69万元，占97.28%；事业收入71.00万元，占2.72%</w:t>
      </w:r>
      <w:r>
        <w:rPr>
          <w:rFonts w:hint="default" w:ascii="Times New Roman" w:hAnsi="Times New Roman" w:eastAsia="方正仿宋_GBK" w:cs="宋体"/>
          <w:kern w:val="0"/>
          <w:sz w:val="32"/>
          <w:szCs w:val="32"/>
          <w:lang w:val="en-US" w:eastAsia="zh-CN" w:bidi="ar-SA"/>
        </w:rPr>
        <w:t>。</w:t>
      </w:r>
    </w:p>
    <w:p w14:paraId="06DD5203">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20"/>
          <w:lang w:val="en-US" w:eastAsia="zh-CN" w:bidi="ar-SA"/>
        </w:rPr>
        <w:t>3.支出情况。</w:t>
      </w:r>
      <w:r>
        <w:rPr>
          <w:rFonts w:hint="eastAsia" w:ascii="Times New Roman" w:hAnsi="Times New Roman" w:eastAsia="方正仿宋_GBK" w:cs="宋体"/>
          <w:kern w:val="0"/>
          <w:sz w:val="32"/>
          <w:szCs w:val="32"/>
          <w:lang w:val="en-US" w:eastAsia="zh-CN" w:bidi="ar-SA"/>
        </w:rPr>
        <w:t>2024年度支出合计2612.69万元，与2023年度相比，减少432.22万元，下降14.2%</w:t>
      </w:r>
      <w:r>
        <w:rPr>
          <w:rFonts w:hint="default" w:ascii="Times New Roman" w:hAnsi="Times New Roman" w:eastAsia="方正仿宋_GBK" w:cs="宋体"/>
          <w:kern w:val="0"/>
          <w:sz w:val="32"/>
          <w:szCs w:val="32"/>
          <w:lang w:val="en-US" w:eastAsia="zh-CN" w:bidi="ar-SA"/>
        </w:rPr>
        <w:t>，主要原因是</w:t>
      </w:r>
      <w:r>
        <w:rPr>
          <w:rFonts w:hint="eastAsia" w:ascii="Times New Roman" w:hAnsi="Times New Roman" w:eastAsia="方正仿宋_GBK" w:cs="宋体"/>
          <w:kern w:val="0"/>
          <w:sz w:val="32"/>
          <w:szCs w:val="32"/>
          <w:lang w:val="en-US" w:eastAsia="zh-CN" w:bidi="ar-SA"/>
        </w:rPr>
        <w:t>学校发展逐步完善，建设项目减少，拨款减少</w:t>
      </w:r>
      <w:r>
        <w:rPr>
          <w:rFonts w:hint="default" w:ascii="Times New Roman" w:hAnsi="Times New Roman" w:eastAsia="方正仿宋_GBK" w:cs="宋体"/>
          <w:kern w:val="0"/>
          <w:sz w:val="32"/>
          <w:szCs w:val="32"/>
          <w:lang w:val="en-US" w:eastAsia="zh-CN" w:bidi="ar-SA"/>
        </w:rPr>
        <w:t>。</w:t>
      </w:r>
      <w:r>
        <w:rPr>
          <w:rFonts w:hint="eastAsia" w:ascii="Times New Roman" w:hAnsi="Times New Roman" w:eastAsia="方正仿宋_GBK" w:cs="宋体"/>
          <w:kern w:val="0"/>
          <w:sz w:val="32"/>
          <w:szCs w:val="32"/>
          <w:lang w:val="en-US" w:eastAsia="zh-CN" w:bidi="ar-SA"/>
        </w:rPr>
        <w:t>其中：基本支出2056.27万元，占78.70%；项目支出556.41万元，占21.30%</w:t>
      </w:r>
      <w:r>
        <w:rPr>
          <w:rFonts w:hint="default" w:ascii="Times New Roman" w:hAnsi="Times New Roman" w:eastAsia="方正仿宋_GBK" w:cs="宋体"/>
          <w:kern w:val="0"/>
          <w:sz w:val="32"/>
          <w:szCs w:val="32"/>
          <w:lang w:val="en-US" w:eastAsia="zh-CN" w:bidi="ar-SA"/>
        </w:rPr>
        <w:t>。</w:t>
      </w:r>
    </w:p>
    <w:p w14:paraId="7E25E92B">
      <w:pPr>
        <w:keepNext w:val="0"/>
        <w:keepLines w:val="0"/>
        <w:pageBreakBefore w:val="0"/>
        <w:widowControl w:val="0"/>
        <w:kinsoku/>
        <w:wordWrap/>
        <w:overflowPunct/>
        <w:topLinePunct w:val="0"/>
        <w:autoSpaceDE w:val="0"/>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default" w:ascii="Times New Roman" w:hAnsi="Times New Roman" w:eastAsia="方正仿宋_GBK" w:cs="宋体"/>
          <w:b/>
          <w:bCs/>
          <w:kern w:val="0"/>
          <w:sz w:val="32"/>
          <w:szCs w:val="20"/>
        </w:rPr>
        <w:t>4.结转结余情况。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度年末结转和结余0.00万元，与2023年度相比，无增减</w:t>
      </w:r>
      <w:r>
        <w:rPr>
          <w:rFonts w:hint="default" w:ascii="Times New Roman" w:hAnsi="Times New Roman" w:eastAsia="方正仿宋_GBK" w:cs="宋体"/>
          <w:kern w:val="0"/>
          <w:sz w:val="32"/>
          <w:szCs w:val="32"/>
        </w:rPr>
        <w:t>。主要原因是我单位合理安排收支，提高资金使用效率和执行进度，无结余。</w:t>
      </w:r>
    </w:p>
    <w:p w14:paraId="1FCC8277">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（二）财政拨款收入支出决算总体情况说明</w:t>
      </w:r>
    </w:p>
    <w:p w14:paraId="3FF02687">
      <w:pPr>
        <w:pStyle w:val="11"/>
        <w:keepNext w:val="0"/>
        <w:keepLines w:val="0"/>
        <w:pageBreakBefore w:val="0"/>
        <w:widowControl w:val="0"/>
        <w:kinsoku/>
        <w:wordWrap/>
        <w:overflowPunct/>
        <w:topLinePunct w:val="0"/>
        <w:autoSpaceDE w:val="0"/>
        <w:autoSpaceDN/>
        <w:bidi w:val="0"/>
        <w:adjustRightInd/>
        <w:snapToGrid w:val="0"/>
        <w:spacing w:line="600" w:lineRule="exact"/>
        <w:ind w:firstLine="640"/>
        <w:textAlignment w:val="auto"/>
        <w:rPr>
          <w:rFonts w:hint="default" w:ascii="Times New Roman" w:hAnsi="Times New Roman" w:eastAsia="方正仿宋_GBK" w:cs="Times New Roman"/>
          <w:sz w:val="32"/>
          <w:szCs w:val="32"/>
        </w:rPr>
      </w:pPr>
      <w:r>
        <w:rPr>
          <w:rFonts w:hint="eastAsia" w:ascii="Times New Roman" w:hAnsi="Times New Roman" w:eastAsia="方正仿宋_GBK" w:cs="宋体"/>
          <w:kern w:val="0"/>
          <w:sz w:val="32"/>
          <w:szCs w:val="32"/>
          <w:lang w:val="en-US" w:eastAsia="zh-CN" w:bidi="ar-SA"/>
        </w:rPr>
        <w:t>2024年度财政拨款收、支总计2541.69万元。与2023年相比，财政拨款收、支总计各减少500.12万元，下降16.4%。主要原因</w:t>
      </w:r>
      <w:r>
        <w:rPr>
          <w:rFonts w:hint="default" w:ascii="Times New Roman" w:hAnsi="Times New Roman" w:eastAsia="方正仿宋_GBK" w:cs="宋体"/>
          <w:kern w:val="0"/>
          <w:sz w:val="32"/>
          <w:szCs w:val="32"/>
          <w:lang w:val="en-US" w:eastAsia="zh-CN" w:bidi="ar-SA"/>
        </w:rPr>
        <w:t>是</w:t>
      </w:r>
      <w:r>
        <w:rPr>
          <w:rFonts w:hint="eastAsia" w:ascii="Times New Roman" w:hAnsi="Times New Roman" w:eastAsia="方正仿宋_GBK" w:cs="宋体"/>
          <w:kern w:val="0"/>
          <w:sz w:val="32"/>
          <w:szCs w:val="32"/>
          <w:lang w:val="en-US" w:eastAsia="zh-CN" w:bidi="ar-SA"/>
        </w:rPr>
        <w:t>学校发展逐步完善，建设项目减少，拨款减少</w:t>
      </w:r>
      <w:r>
        <w:rPr>
          <w:rFonts w:hint="default" w:ascii="Times New Roman" w:hAnsi="Times New Roman" w:eastAsia="方正仿宋_GBK" w:cs="宋体"/>
          <w:kern w:val="0"/>
          <w:sz w:val="32"/>
          <w:szCs w:val="32"/>
          <w:lang w:val="en-US" w:eastAsia="zh-CN" w:bidi="ar-SA"/>
        </w:rPr>
        <w:t>。</w:t>
      </w:r>
    </w:p>
    <w:p w14:paraId="688A11B7">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（三）一般公共预算财政拨款收入支出决算情况说明</w:t>
      </w:r>
    </w:p>
    <w:p w14:paraId="440547A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20"/>
          <w:lang w:val="en-US" w:eastAsia="zh-CN" w:bidi="ar-SA"/>
        </w:rPr>
        <w:t>1.收入情况。</w:t>
      </w:r>
      <w:r>
        <w:rPr>
          <w:rFonts w:hint="eastAsia" w:ascii="Times New Roman" w:hAnsi="Times New Roman" w:eastAsia="方正仿宋_GBK" w:cs="宋体"/>
          <w:kern w:val="0"/>
          <w:sz w:val="32"/>
          <w:szCs w:val="32"/>
          <w:lang w:val="en-US" w:eastAsia="zh-CN" w:bidi="ar-SA"/>
        </w:rPr>
        <w:t>2024年度一般公共预算财政拨款收入2541.69万元，与2023年度相比，减少500.12万元，下降16.4%。</w:t>
      </w:r>
      <w:r>
        <w:rPr>
          <w:rFonts w:hint="default" w:ascii="Times New Roman" w:hAnsi="Times New Roman" w:eastAsia="方正仿宋_GBK" w:cs="宋体"/>
          <w:kern w:val="0"/>
          <w:sz w:val="32"/>
          <w:szCs w:val="32"/>
          <w:lang w:val="en-US" w:eastAsia="zh-CN" w:bidi="ar-SA"/>
        </w:rPr>
        <w:t>主要原因是</w:t>
      </w:r>
      <w:r>
        <w:rPr>
          <w:rFonts w:hint="eastAsia" w:ascii="Times New Roman" w:hAnsi="Times New Roman" w:eastAsia="方正仿宋_GBK" w:cs="宋体"/>
          <w:kern w:val="0"/>
          <w:sz w:val="32"/>
          <w:szCs w:val="32"/>
          <w:lang w:val="en-US" w:eastAsia="zh-CN" w:bidi="ar-SA"/>
        </w:rPr>
        <w:t>学校发展逐步完善，建设项目减少，拨款减少</w:t>
      </w:r>
      <w:r>
        <w:rPr>
          <w:rFonts w:hint="default" w:ascii="Times New Roman" w:hAnsi="Times New Roman" w:eastAsia="方正仿宋_GBK" w:cs="宋体"/>
          <w:kern w:val="0"/>
          <w:sz w:val="32"/>
          <w:szCs w:val="32"/>
          <w:lang w:val="en-US" w:eastAsia="zh-CN" w:bidi="ar-SA"/>
        </w:rPr>
        <w:t>。</w:t>
      </w:r>
      <w:r>
        <w:rPr>
          <w:rFonts w:hint="eastAsia" w:ascii="Times New Roman" w:hAnsi="Times New Roman" w:eastAsia="方正仿宋_GBK" w:cs="宋体"/>
          <w:kern w:val="0"/>
          <w:sz w:val="32"/>
          <w:szCs w:val="32"/>
          <w:lang w:val="en-US" w:eastAsia="zh-CN" w:bidi="ar-SA"/>
        </w:rPr>
        <w:t>较年初预算数增加543.78万元，增长27.2%。差异主要原因，一是人员经费调整，养老保险、职业年金政策性补缴；二是年中项目资金增加。</w:t>
      </w:r>
      <w:r>
        <w:rPr>
          <w:rFonts w:hint="default" w:ascii="Times New Roman" w:hAnsi="Times New Roman" w:eastAsia="方正仿宋_GBK" w:cs="宋体"/>
          <w:kern w:val="0"/>
          <w:sz w:val="32"/>
          <w:szCs w:val="32"/>
          <w:lang w:val="en-US" w:eastAsia="zh-CN" w:bidi="ar-SA"/>
        </w:rPr>
        <w:t>此外，年初财政拨款结转和结余0.00万元。</w:t>
      </w:r>
    </w:p>
    <w:p w14:paraId="0A0A49FA">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20"/>
          <w:lang w:val="en-US" w:eastAsia="zh-CN" w:bidi="ar-SA"/>
        </w:rPr>
        <w:t>2.支出情况。</w:t>
      </w:r>
      <w:r>
        <w:rPr>
          <w:rFonts w:hint="eastAsia" w:ascii="Times New Roman" w:hAnsi="Times New Roman" w:eastAsia="方正仿宋_GBK" w:cs="宋体"/>
          <w:kern w:val="0"/>
          <w:sz w:val="32"/>
          <w:szCs w:val="32"/>
          <w:lang w:val="en-US" w:eastAsia="zh-CN" w:bidi="ar-SA"/>
        </w:rPr>
        <w:t>2024年度一般公共预算财政拨款支出2541.69万元，与2023年度相比，减少500.12万元，下降16.4%。</w:t>
      </w:r>
      <w:r>
        <w:rPr>
          <w:rFonts w:hint="default" w:ascii="Times New Roman" w:hAnsi="Times New Roman" w:eastAsia="方正仿宋_GBK" w:cs="宋体"/>
          <w:kern w:val="0"/>
          <w:sz w:val="32"/>
          <w:szCs w:val="32"/>
          <w:lang w:val="en-US" w:eastAsia="zh-CN" w:bidi="ar-SA"/>
        </w:rPr>
        <w:t>主要原因是</w:t>
      </w:r>
      <w:r>
        <w:rPr>
          <w:rFonts w:hint="eastAsia" w:ascii="Times New Roman" w:hAnsi="Times New Roman" w:eastAsia="方正仿宋_GBK" w:cs="宋体"/>
          <w:kern w:val="0"/>
          <w:sz w:val="32"/>
          <w:szCs w:val="32"/>
          <w:lang w:val="en-US" w:eastAsia="zh-CN" w:bidi="ar-SA"/>
        </w:rPr>
        <w:t>学校发展逐步完善，建设项目减少，拨款减少</w:t>
      </w:r>
      <w:r>
        <w:rPr>
          <w:rFonts w:hint="default" w:ascii="Times New Roman" w:hAnsi="Times New Roman" w:eastAsia="方正仿宋_GBK" w:cs="宋体"/>
          <w:kern w:val="0"/>
          <w:sz w:val="32"/>
          <w:szCs w:val="32"/>
          <w:lang w:val="en-US" w:eastAsia="zh-CN" w:bidi="ar-SA"/>
        </w:rPr>
        <w:t>。</w:t>
      </w:r>
      <w:r>
        <w:rPr>
          <w:rFonts w:hint="eastAsia" w:ascii="Times New Roman" w:hAnsi="Times New Roman" w:eastAsia="方正仿宋_GBK" w:cs="宋体"/>
          <w:kern w:val="0"/>
          <w:sz w:val="32"/>
          <w:szCs w:val="32"/>
          <w:lang w:val="en-US" w:eastAsia="zh-CN" w:bidi="ar-SA"/>
        </w:rPr>
        <w:t>较年初预算数增加543.78万元，增长27.2%。差异主要原因，一是人员经费调整，养老保险、职业年金政策性补缴；二是年中项目资金增加。</w:t>
      </w:r>
    </w:p>
    <w:p w14:paraId="1905D73E">
      <w:pPr>
        <w:keepNext w:val="0"/>
        <w:keepLines w:val="0"/>
        <w:pageBreakBefore w:val="0"/>
        <w:kinsoku/>
        <w:wordWrap/>
        <w:overflowPunct/>
        <w:topLinePunct w:val="0"/>
        <w:autoSpaceDE w:val="0"/>
        <w:autoSpaceDN/>
        <w:bidi w:val="0"/>
        <w:adjustRightInd/>
        <w:snapToGrid w:val="0"/>
        <w:spacing w:line="600" w:lineRule="exact"/>
        <w:ind w:firstLine="643" w:firstLineChars="200"/>
        <w:jc w:val="both"/>
        <w:textAlignment w:val="auto"/>
        <w:rPr>
          <w:rFonts w:hint="default" w:ascii="Times New Roman" w:hAnsi="Times New Roman" w:eastAsia="方正仿宋_GBK" w:cs="宋体"/>
          <w:kern w:val="0"/>
          <w:sz w:val="32"/>
          <w:szCs w:val="32"/>
        </w:rPr>
      </w:pPr>
      <w:r>
        <w:rPr>
          <w:rFonts w:hint="default" w:ascii="Times New Roman" w:hAnsi="Times New Roman" w:eastAsia="方正仿宋_GBK" w:cs="宋体"/>
          <w:b/>
          <w:bCs/>
          <w:kern w:val="0"/>
          <w:sz w:val="32"/>
          <w:szCs w:val="20"/>
        </w:rPr>
        <w:t>3.结转结余情况。</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度年末一般公共预算财政拨款结转和结余0.00万元，与2023年度相比，无增减，</w:t>
      </w:r>
      <w:r>
        <w:rPr>
          <w:rFonts w:hint="default" w:ascii="Times New Roman" w:hAnsi="Times New Roman" w:eastAsia="方正仿宋_GBK" w:cs="宋体"/>
          <w:kern w:val="0"/>
          <w:sz w:val="32"/>
          <w:szCs w:val="32"/>
        </w:rPr>
        <w:t>主要原因是我单位合理安排收支，提高资金使用效率和执行进度，无结余。</w:t>
      </w:r>
    </w:p>
    <w:p w14:paraId="31DEDBCB">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b/>
          <w:bCs/>
          <w:kern w:val="0"/>
          <w:sz w:val="32"/>
          <w:szCs w:val="20"/>
          <w:lang w:val="en-US" w:eastAsia="zh-CN" w:bidi="ar-SA"/>
        </w:rPr>
        <w:t>4.比较情况。</w:t>
      </w:r>
      <w:r>
        <w:rPr>
          <w:rFonts w:hint="default" w:ascii="Times New Roman" w:hAnsi="Times New Roman" w:eastAsia="方正仿宋_GBK" w:cs="宋体"/>
          <w:kern w:val="0"/>
          <w:sz w:val="32"/>
          <w:szCs w:val="32"/>
          <w:lang w:val="en-US" w:eastAsia="zh-CN" w:bidi="ar-SA"/>
        </w:rPr>
        <w:t>本单位202</w:t>
      </w:r>
      <w:r>
        <w:rPr>
          <w:rFonts w:hint="eastAsia" w:ascii="Times New Roman" w:hAnsi="Times New Roman" w:eastAsia="方正仿宋_GBK" w:cs="宋体"/>
          <w:kern w:val="0"/>
          <w:sz w:val="32"/>
          <w:szCs w:val="32"/>
          <w:lang w:val="en-US" w:eastAsia="zh-CN" w:bidi="ar-SA"/>
        </w:rPr>
        <w:t>4</w:t>
      </w:r>
      <w:r>
        <w:rPr>
          <w:rFonts w:hint="default" w:ascii="Times New Roman" w:hAnsi="Times New Roman" w:eastAsia="方正仿宋_GBK" w:cs="宋体"/>
          <w:kern w:val="0"/>
          <w:sz w:val="32"/>
          <w:szCs w:val="32"/>
          <w:lang w:val="en-US" w:eastAsia="zh-CN" w:bidi="ar-SA"/>
        </w:rPr>
        <w:t>年度一般公共预算财政拨款支出主要用于以下几个方面：</w:t>
      </w:r>
    </w:p>
    <w:p w14:paraId="358B1A5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（1）</w:t>
      </w:r>
      <w:r>
        <w:rPr>
          <w:rFonts w:hint="eastAsia" w:ascii="Times New Roman" w:hAnsi="Times New Roman" w:eastAsia="方正仿宋_GBK" w:cs="宋体"/>
          <w:kern w:val="0"/>
          <w:sz w:val="32"/>
          <w:szCs w:val="32"/>
          <w:lang w:val="en-US" w:eastAsia="zh-CN" w:bidi="ar-SA"/>
        </w:rPr>
        <w:t>教育支出2045.48万元，占80.48%，较年初预算数增加669.42万元，增长48.7%，差异主要原因，一是人员经费调整，养老保险、职业年金政策性补缴；二是年中项目资金增加，即</w:t>
      </w:r>
      <w:r>
        <w:rPr>
          <w:rFonts w:hint="default" w:ascii="Times New Roman" w:hAnsi="Times New Roman" w:eastAsia="方正仿宋_GBK" w:cs="宋体"/>
          <w:kern w:val="0"/>
          <w:sz w:val="32"/>
          <w:szCs w:val="32"/>
          <w:lang w:val="en-US" w:eastAsia="zh-CN" w:bidi="ar-SA"/>
        </w:rPr>
        <w:t>暑期工程项目、设备库设备采购项目及其他专项项目，拨款增加。</w:t>
      </w:r>
    </w:p>
    <w:p w14:paraId="7C53C32C">
      <w:pPr>
        <w:pStyle w:val="5"/>
        <w:keepNext w:val="0"/>
        <w:keepLines w:val="0"/>
        <w:pageBreakBefore w:val="0"/>
        <w:shd w:val="clear" w:color="auto" w:fill="FFFFFF"/>
        <w:kinsoku/>
        <w:wordWrap/>
        <w:overflowPunct/>
        <w:topLinePunct w:val="0"/>
        <w:autoSpaceDE/>
        <w:autoSpaceDN/>
        <w:bidi w:val="0"/>
        <w:adjustRightInd/>
        <w:spacing w:line="600" w:lineRule="exact"/>
        <w:ind w:firstLine="640" w:firstLineChars="200"/>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（2）</w:t>
      </w:r>
      <w:r>
        <w:rPr>
          <w:rFonts w:hint="eastAsia" w:ascii="Times New Roman" w:hAnsi="Times New Roman" w:eastAsia="方正仿宋_GBK" w:cs="宋体"/>
          <w:kern w:val="0"/>
          <w:sz w:val="32"/>
          <w:szCs w:val="32"/>
          <w:lang w:val="en-US" w:eastAsia="zh-CN" w:bidi="ar-SA"/>
        </w:rPr>
        <w:t>社会保障与就业支出255.29万元，占10.04%，较年初预算数减少129.19万元，下降33.6%。主要原因是政策性调整。</w:t>
      </w:r>
    </w:p>
    <w:p w14:paraId="372E8BB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（3）</w:t>
      </w:r>
      <w:r>
        <w:rPr>
          <w:rFonts w:hint="eastAsia" w:ascii="Times New Roman" w:hAnsi="Times New Roman" w:eastAsia="方正仿宋_GBK" w:cs="宋体"/>
          <w:kern w:val="0"/>
          <w:sz w:val="32"/>
          <w:szCs w:val="32"/>
          <w:lang w:val="en-US" w:eastAsia="zh-CN" w:bidi="ar-SA"/>
        </w:rPr>
        <w:t>卫生健康支出96.78万元，占3.81%，较年初预算数增加1.45万元，增长1.5%，</w:t>
      </w:r>
      <w:r>
        <w:rPr>
          <w:rFonts w:hint="default" w:ascii="Times New Roman" w:hAnsi="Times New Roman" w:eastAsia="方正仿宋_GBK" w:cs="宋体"/>
          <w:kern w:val="0"/>
          <w:sz w:val="32"/>
          <w:szCs w:val="32"/>
          <w:lang w:val="en-US" w:eastAsia="zh-CN" w:bidi="ar-SA"/>
        </w:rPr>
        <w:t>主要原因是</w:t>
      </w:r>
      <w:r>
        <w:rPr>
          <w:rFonts w:hint="eastAsia" w:ascii="Times New Roman" w:hAnsi="Times New Roman" w:eastAsia="方正仿宋_GBK" w:cs="宋体"/>
          <w:kern w:val="0"/>
          <w:sz w:val="32"/>
          <w:szCs w:val="32"/>
          <w:lang w:val="en-US" w:eastAsia="zh-CN" w:bidi="ar-SA"/>
        </w:rPr>
        <w:t>社保经费调整，支出增多</w:t>
      </w:r>
      <w:r>
        <w:rPr>
          <w:rFonts w:hint="default" w:ascii="Times New Roman" w:hAnsi="Times New Roman" w:eastAsia="方正仿宋_GBK" w:cs="宋体"/>
          <w:kern w:val="0"/>
          <w:sz w:val="32"/>
          <w:szCs w:val="32"/>
          <w:lang w:val="en-US" w:eastAsia="zh-CN" w:bidi="ar-SA"/>
        </w:rPr>
        <w:t>。</w:t>
      </w:r>
    </w:p>
    <w:p w14:paraId="3BC9D167">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宋体"/>
          <w:kern w:val="0"/>
          <w:sz w:val="32"/>
          <w:szCs w:val="32"/>
          <w:lang w:val="en-US" w:eastAsia="zh-CN" w:bidi="ar-SA"/>
        </w:rPr>
        <w:t>（4）</w:t>
      </w:r>
      <w:r>
        <w:rPr>
          <w:rFonts w:hint="eastAsia" w:ascii="Times New Roman" w:hAnsi="Times New Roman" w:eastAsia="方正仿宋_GBK" w:cs="宋体"/>
          <w:kern w:val="0"/>
          <w:sz w:val="32"/>
          <w:szCs w:val="32"/>
          <w:lang w:val="en-US" w:eastAsia="zh-CN" w:bidi="ar-SA"/>
        </w:rPr>
        <w:t>住房保障支出144.13万元，占5.67%，较年初预算数增加2.08万元，增长1.5%，</w:t>
      </w:r>
      <w:r>
        <w:rPr>
          <w:rFonts w:hint="default" w:ascii="Times New Roman" w:hAnsi="Times New Roman" w:eastAsia="方正仿宋_GBK" w:cs="宋体"/>
          <w:kern w:val="0"/>
          <w:sz w:val="32"/>
          <w:szCs w:val="32"/>
          <w:lang w:val="en-US" w:eastAsia="zh-CN" w:bidi="ar-SA"/>
        </w:rPr>
        <w:t>主要原因是人员</w:t>
      </w:r>
      <w:r>
        <w:rPr>
          <w:rFonts w:hint="eastAsia" w:ascii="Times New Roman" w:hAnsi="Times New Roman" w:eastAsia="方正仿宋_GBK" w:cs="宋体"/>
          <w:kern w:val="0"/>
          <w:sz w:val="32"/>
          <w:szCs w:val="32"/>
          <w:lang w:val="en-US" w:eastAsia="zh-CN" w:bidi="ar-SA"/>
        </w:rPr>
        <w:t>经费调整，支出增加</w:t>
      </w:r>
      <w:r>
        <w:rPr>
          <w:rFonts w:hint="default" w:ascii="Times New Roman" w:hAnsi="Times New Roman" w:eastAsia="方正仿宋_GBK" w:cs="宋体"/>
          <w:kern w:val="0"/>
          <w:sz w:val="32"/>
          <w:szCs w:val="32"/>
          <w:lang w:val="en-US" w:eastAsia="zh-CN" w:bidi="ar-SA"/>
        </w:rPr>
        <w:t>。</w:t>
      </w:r>
    </w:p>
    <w:p w14:paraId="3AF037E7">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（四）一般公共预算财政拨款基本支出决算情况说明</w:t>
      </w:r>
    </w:p>
    <w:p w14:paraId="6DECB614">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eastAsia" w:ascii="Times New Roman" w:hAnsi="Times New Roman" w:eastAsia="方正仿宋_GBK" w:cs="宋体"/>
          <w:kern w:val="0"/>
          <w:sz w:val="32"/>
          <w:szCs w:val="32"/>
        </w:rPr>
        <w:t> </w:t>
      </w:r>
      <w:r>
        <w:rPr>
          <w:rFonts w:hint="eastAsia" w:ascii="Times New Roman" w:hAnsi="Times New Roman" w:eastAsia="方正仿宋_GBK" w:cs="宋体"/>
          <w:kern w:val="0"/>
          <w:sz w:val="32"/>
          <w:szCs w:val="32"/>
          <w:lang w:eastAsia="zh-CN"/>
        </w:rPr>
        <w:t>2024年</w:t>
      </w:r>
      <w:r>
        <w:rPr>
          <w:rFonts w:hint="eastAsia" w:ascii="Times New Roman" w:hAnsi="Times New Roman" w:eastAsia="方正仿宋_GBK" w:cs="宋体"/>
          <w:kern w:val="0"/>
          <w:sz w:val="32"/>
          <w:szCs w:val="32"/>
        </w:rPr>
        <w:t>度一般公共财政拨款基本支出2056.27万元。其中：人员经费1871.27万元，与2023年度相比，减少158.54万元，下降7.8%</w:t>
      </w:r>
      <w:r>
        <w:rPr>
          <w:rFonts w:hint="default" w:ascii="Times New Roman" w:hAnsi="Times New Roman" w:eastAsia="方正仿宋_GBK" w:cs="宋体"/>
          <w:kern w:val="0"/>
          <w:sz w:val="32"/>
          <w:szCs w:val="32"/>
        </w:rPr>
        <w:t>，主要原因是人员</w:t>
      </w:r>
      <w:r>
        <w:rPr>
          <w:rFonts w:hint="eastAsia" w:ascii="Times New Roman" w:hAnsi="Times New Roman" w:eastAsia="方正仿宋_GBK" w:cs="宋体"/>
          <w:kern w:val="0"/>
          <w:sz w:val="32"/>
          <w:szCs w:val="32"/>
          <w:lang w:eastAsia="zh-CN"/>
        </w:rPr>
        <w:t>减少，支出减少</w:t>
      </w:r>
      <w:r>
        <w:rPr>
          <w:rFonts w:hint="default" w:ascii="Times New Roman" w:hAnsi="Times New Roman" w:eastAsia="方正仿宋_GBK" w:cs="宋体"/>
          <w:kern w:val="0"/>
          <w:sz w:val="32"/>
          <w:szCs w:val="32"/>
        </w:rPr>
        <w:t>。人员经费用途主要包括基本工资、绩效工资、津贴补贴、社会保障缴费、其他工资福利支出等。</w:t>
      </w:r>
      <w:r>
        <w:rPr>
          <w:rFonts w:hint="eastAsia" w:ascii="Times New Roman" w:hAnsi="Times New Roman" w:eastAsia="方正仿宋_GBK" w:cs="宋体"/>
          <w:kern w:val="0"/>
          <w:sz w:val="32"/>
          <w:szCs w:val="32"/>
        </w:rPr>
        <w:t>公用经费185.01万元，与2023年度相比，减少26.54万元，下降12.6%</w:t>
      </w:r>
      <w:r>
        <w:rPr>
          <w:rFonts w:hint="default" w:ascii="Times New Roman" w:hAnsi="Times New Roman" w:eastAsia="方正仿宋_GBK" w:cs="宋体"/>
          <w:kern w:val="0"/>
          <w:sz w:val="32"/>
          <w:szCs w:val="32"/>
        </w:rPr>
        <w:t>，主要原因是学生人数减少，公用经费减少。公用经费用途主要包括办公费、印刷费、水电费、邮电费、物业管理费、差旅费、劳务费、培训费、专用材料费、工会经费、福利费、其他商品服务支出等。</w:t>
      </w:r>
    </w:p>
    <w:p w14:paraId="64E41978">
      <w:pPr>
        <w:widowControl w:val="0"/>
        <w:adjustRightInd w:val="0"/>
        <w:snapToGrid w:val="0"/>
        <w:spacing w:line="600" w:lineRule="exact"/>
        <w:ind w:firstLine="640" w:firstLine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（五）政府性基金预算收支决算情况说明</w:t>
      </w:r>
    </w:p>
    <w:p w14:paraId="63D42F69">
      <w:pPr>
        <w:keepNext w:val="0"/>
        <w:keepLines w:val="0"/>
        <w:pageBreakBefore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default" w:ascii="Times New Roman" w:hAnsi="Times New Roman" w:eastAsia="方正仿宋_GBK" w:cs="宋体"/>
          <w:kern w:val="0"/>
          <w:sz w:val="32"/>
          <w:szCs w:val="32"/>
        </w:rPr>
        <w:t>年度无政府性基金预算财政拨款收支。</w:t>
      </w:r>
    </w:p>
    <w:p w14:paraId="6B162911">
      <w:pPr>
        <w:widowControl w:val="0"/>
        <w:adjustRightInd w:val="0"/>
        <w:snapToGrid w:val="0"/>
        <w:spacing w:line="600" w:lineRule="exact"/>
        <w:ind w:firstLine="640" w:firstLine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（六）国有资本经营预算财政拨款支出决算情况说明</w:t>
      </w:r>
    </w:p>
    <w:p w14:paraId="1CE0BD54">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default"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default" w:ascii="Times New Roman" w:hAnsi="Times New Roman" w:eastAsia="方正仿宋_GBK" w:cs="宋体"/>
          <w:kern w:val="0"/>
          <w:sz w:val="32"/>
          <w:szCs w:val="32"/>
        </w:rPr>
        <w:t>年度无国有资本经营预算财政拨款支出。</w:t>
      </w:r>
    </w:p>
    <w:p w14:paraId="1B90BCDE">
      <w:pPr>
        <w:keepNext w:val="0"/>
        <w:keepLines w:val="0"/>
        <w:pageBreakBefore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三、</w:t>
      </w:r>
      <w:r>
        <w:rPr>
          <w:rFonts w:hint="eastAsia" w:ascii="方正黑体_GBK" w:hAnsi="方正黑体_GBK" w:eastAsia="方正黑体_GBK" w:cs="方正黑体_GBK"/>
          <w:sz w:val="32"/>
          <w:szCs w:val="32"/>
        </w:rPr>
        <w:t>“三公”经费情</w:t>
      </w:r>
      <w:r>
        <w:rPr>
          <w:rFonts w:hint="default" w:ascii="Times New Roman" w:hAnsi="Times New Roman" w:eastAsia="方正黑体_GBK" w:cs="Times New Roman"/>
          <w:sz w:val="32"/>
          <w:szCs w:val="32"/>
        </w:rPr>
        <w:t>况说明</w:t>
      </w:r>
    </w:p>
    <w:p w14:paraId="6012549A">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（一）</w:t>
      </w:r>
      <w:r>
        <w:rPr>
          <w:rFonts w:hint="eastAsia" w:ascii="Times New Roman" w:hAnsi="Times New Roman" w:eastAsia="方正楷体_GBK" w:cs="宋体"/>
          <w:bCs/>
          <w:kern w:val="0"/>
          <w:sz w:val="32"/>
          <w:szCs w:val="20"/>
        </w:rPr>
        <w:t>“三公”经费支出</w:t>
      </w:r>
      <w:r>
        <w:rPr>
          <w:rFonts w:hint="default" w:ascii="Times New Roman" w:hAnsi="Times New Roman" w:eastAsia="方正楷体_GBK" w:cs="宋体"/>
          <w:bCs/>
          <w:kern w:val="0"/>
          <w:sz w:val="32"/>
          <w:szCs w:val="20"/>
        </w:rPr>
        <w:t>总体情况说明</w:t>
      </w:r>
    </w:p>
    <w:p w14:paraId="6745A47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2024年度“三公”经费支出共计0.00万元，较年初预算数减少0.02万元，下降100.0%</w:t>
      </w:r>
      <w:r>
        <w:rPr>
          <w:rFonts w:hint="default" w:ascii="Times New Roman" w:hAnsi="Times New Roman" w:eastAsia="方正仿宋_GBK" w:cs="宋体"/>
          <w:kern w:val="0"/>
          <w:sz w:val="32"/>
          <w:szCs w:val="32"/>
          <w:lang w:val="en-US" w:eastAsia="zh-CN" w:bidi="ar-SA"/>
        </w:rPr>
        <w:t>，</w:t>
      </w:r>
      <w:r>
        <w:rPr>
          <w:rFonts w:hint="default" w:ascii="Times New Roman" w:hAnsi="Times New Roman" w:eastAsia="方正仿宋_GBK" w:cs="Times New Roman"/>
          <w:color w:val="auto"/>
          <w:sz w:val="32"/>
          <w:szCs w:val="32"/>
          <w:shd w:val="clear" w:color="auto" w:fill="FFFFFF"/>
        </w:rPr>
        <w:t>主要原因是</w:t>
      </w:r>
      <w:r>
        <w:rPr>
          <w:rFonts w:hint="default" w:ascii="Times New Roman" w:hAnsi="Times New Roman" w:eastAsia="方正仿宋_GBK" w:cs="Times New Roman"/>
          <w:color w:val="auto"/>
          <w:sz w:val="32"/>
          <w:szCs w:val="32"/>
          <w:shd w:val="clear" w:color="auto" w:fill="FFFFFF"/>
          <w:lang w:eastAsia="zh-CN"/>
        </w:rPr>
        <w:t>严格控制</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经费</w:t>
      </w:r>
      <w:r>
        <w:rPr>
          <w:rFonts w:hint="eastAsia" w:ascii="Times New Roman" w:hAnsi="Times New Roman" w:eastAsia="方正仿宋_GBK" w:cs="宋体"/>
          <w:kern w:val="0"/>
          <w:sz w:val="32"/>
          <w:szCs w:val="32"/>
          <w:lang w:val="en-US" w:eastAsia="zh-CN" w:bidi="ar-SA"/>
        </w:rPr>
        <w:t>，本年度无“三公”经费支出</w:t>
      </w:r>
      <w:r>
        <w:rPr>
          <w:rFonts w:hint="default" w:ascii="Times New Roman" w:hAnsi="Times New Roman" w:eastAsia="方正仿宋_GBK" w:cs="宋体"/>
          <w:kern w:val="0"/>
          <w:sz w:val="32"/>
          <w:szCs w:val="32"/>
          <w:lang w:val="en-US" w:eastAsia="zh-CN" w:bidi="ar-SA"/>
        </w:rPr>
        <w:t>。</w:t>
      </w:r>
      <w:r>
        <w:rPr>
          <w:rFonts w:hint="eastAsia" w:ascii="Times New Roman" w:hAnsi="Times New Roman" w:eastAsia="方正仿宋_GBK" w:cs="宋体"/>
          <w:kern w:val="0"/>
          <w:sz w:val="32"/>
          <w:szCs w:val="32"/>
          <w:lang w:val="en-US" w:eastAsia="zh-CN" w:bidi="ar-SA"/>
        </w:rPr>
        <w:t>较上年支出数无增减，主要原因是本单位2024年度无发生“三公”经费支出，与上年决算数持平</w:t>
      </w:r>
      <w:r>
        <w:rPr>
          <w:rFonts w:hint="default" w:ascii="Times New Roman" w:hAnsi="Times New Roman" w:eastAsia="方正仿宋_GBK" w:cs="宋体"/>
          <w:kern w:val="0"/>
          <w:sz w:val="32"/>
          <w:szCs w:val="32"/>
          <w:lang w:val="en-US" w:eastAsia="zh-CN" w:bidi="ar-SA"/>
        </w:rPr>
        <w:t>。</w:t>
      </w:r>
    </w:p>
    <w:p w14:paraId="3290804E">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（二）</w:t>
      </w:r>
      <w:r>
        <w:rPr>
          <w:rFonts w:hint="eastAsia" w:ascii="Times New Roman" w:hAnsi="Times New Roman" w:eastAsia="方正楷体_GBK" w:cs="宋体"/>
          <w:bCs/>
          <w:kern w:val="0"/>
          <w:sz w:val="32"/>
          <w:szCs w:val="20"/>
        </w:rPr>
        <w:t>“三公”经费分</w:t>
      </w:r>
      <w:r>
        <w:rPr>
          <w:rFonts w:hint="default" w:ascii="Times New Roman" w:hAnsi="Times New Roman" w:eastAsia="方正楷体_GBK" w:cs="宋体"/>
          <w:bCs/>
          <w:kern w:val="0"/>
          <w:sz w:val="32"/>
          <w:szCs w:val="20"/>
        </w:rPr>
        <w:t>项支出情况</w:t>
      </w:r>
    </w:p>
    <w:p w14:paraId="466F6C6E">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default" w:ascii="Times New Roman" w:hAnsi="Times New Roman" w:eastAsia="方正仿宋_GBK" w:cs="宋体"/>
          <w:kern w:val="0"/>
          <w:sz w:val="32"/>
          <w:szCs w:val="32"/>
        </w:rPr>
        <w:t>202</w:t>
      </w:r>
      <w:r>
        <w:rPr>
          <w:rFonts w:hint="eastAsia" w:ascii="Times New Roman" w:hAnsi="Times New Roman" w:eastAsia="方正仿宋_GBK" w:cs="宋体"/>
          <w:kern w:val="0"/>
          <w:sz w:val="32"/>
          <w:szCs w:val="32"/>
          <w:lang w:val="en-US" w:eastAsia="zh-CN"/>
        </w:rPr>
        <w:t>4</w:t>
      </w:r>
      <w:r>
        <w:rPr>
          <w:rFonts w:hint="default" w:ascii="Times New Roman" w:hAnsi="Times New Roman" w:eastAsia="方正仿宋_GBK" w:cs="宋体"/>
          <w:kern w:val="0"/>
          <w:sz w:val="32"/>
          <w:szCs w:val="32"/>
        </w:rPr>
        <w:t>年度我校因公出国（境）费用0.00万元，费用支出较年初预算数</w:t>
      </w:r>
      <w:r>
        <w:rPr>
          <w:rFonts w:hint="eastAsia" w:ascii="Times New Roman" w:hAnsi="Times New Roman" w:eastAsia="方正仿宋_GBK" w:cs="宋体"/>
          <w:kern w:val="0"/>
          <w:sz w:val="32"/>
          <w:szCs w:val="32"/>
        </w:rPr>
        <w:t>无增减</w:t>
      </w:r>
      <w:r>
        <w:rPr>
          <w:rFonts w:hint="eastAsia" w:ascii="Times New Roman" w:hAnsi="Times New Roman" w:eastAsia="方正仿宋_GBK" w:cs="宋体"/>
          <w:kern w:val="0"/>
          <w:sz w:val="32"/>
          <w:szCs w:val="32"/>
          <w:lang w:eastAsia="zh-CN"/>
        </w:rPr>
        <w:t>，</w:t>
      </w:r>
      <w:r>
        <w:rPr>
          <w:rFonts w:hint="default" w:ascii="Times New Roman" w:hAnsi="Times New Roman" w:eastAsia="方正仿宋_GBK" w:cs="宋体"/>
          <w:kern w:val="0"/>
          <w:sz w:val="32"/>
          <w:szCs w:val="32"/>
        </w:rPr>
        <w:t>较上年支出数</w:t>
      </w:r>
      <w:r>
        <w:rPr>
          <w:rFonts w:hint="eastAsia" w:ascii="Times New Roman" w:hAnsi="Times New Roman" w:eastAsia="方正仿宋_GBK" w:cs="宋体"/>
          <w:kern w:val="0"/>
          <w:sz w:val="32"/>
          <w:szCs w:val="32"/>
        </w:rPr>
        <w:t>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主要原因是</w:t>
      </w:r>
      <w:r>
        <w:rPr>
          <w:rFonts w:hint="default"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default" w:ascii="Times New Roman" w:hAnsi="Times New Roman" w:eastAsia="方正仿宋_GBK" w:cs="宋体"/>
          <w:kern w:val="0"/>
          <w:sz w:val="32"/>
          <w:szCs w:val="32"/>
        </w:rPr>
        <w:t>年度未发生因公出国（境）费用支出</w:t>
      </w:r>
      <w:r>
        <w:rPr>
          <w:rFonts w:hint="eastAsia" w:ascii="Times New Roman" w:hAnsi="Times New Roman" w:eastAsia="方正仿宋_GBK" w:cs="宋体"/>
          <w:kern w:val="0"/>
          <w:sz w:val="32"/>
          <w:szCs w:val="32"/>
          <w:lang w:val="en-US" w:eastAsia="zh-CN" w:bidi="ar-SA"/>
        </w:rPr>
        <w:t>，与上年决算数持平</w:t>
      </w:r>
      <w:r>
        <w:rPr>
          <w:rFonts w:hint="default" w:ascii="Times New Roman" w:hAnsi="Times New Roman" w:eastAsia="方正仿宋_GBK" w:cs="宋体"/>
          <w:kern w:val="0"/>
          <w:sz w:val="32"/>
          <w:szCs w:val="32"/>
        </w:rPr>
        <w:t>。</w:t>
      </w:r>
    </w:p>
    <w:p w14:paraId="0EAA21D1">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default" w:ascii="Times New Roman" w:hAnsi="Times New Roman" w:eastAsia="方正仿宋_GBK" w:cs="宋体"/>
          <w:kern w:val="0"/>
          <w:sz w:val="32"/>
          <w:szCs w:val="32"/>
        </w:rPr>
        <w:t>公务车购置费0.00万元，费用支出较年初预算数</w:t>
      </w:r>
      <w:r>
        <w:rPr>
          <w:rFonts w:hint="eastAsia" w:ascii="Times New Roman" w:hAnsi="Times New Roman" w:eastAsia="方正仿宋_GBK" w:cs="宋体"/>
          <w:kern w:val="0"/>
          <w:sz w:val="32"/>
          <w:szCs w:val="32"/>
        </w:rPr>
        <w:t>无增减</w:t>
      </w:r>
      <w:r>
        <w:rPr>
          <w:rFonts w:hint="eastAsia" w:ascii="Times New Roman" w:hAnsi="Times New Roman" w:eastAsia="方正仿宋_GBK" w:cs="宋体"/>
          <w:kern w:val="0"/>
          <w:sz w:val="32"/>
          <w:szCs w:val="32"/>
          <w:lang w:eastAsia="zh-CN"/>
        </w:rPr>
        <w:t>，</w:t>
      </w:r>
      <w:r>
        <w:rPr>
          <w:rFonts w:hint="default" w:ascii="Times New Roman" w:hAnsi="Times New Roman" w:eastAsia="方正仿宋_GBK" w:cs="宋体"/>
          <w:kern w:val="0"/>
          <w:sz w:val="32"/>
          <w:szCs w:val="32"/>
        </w:rPr>
        <w:t>较上年支出数</w:t>
      </w:r>
      <w:r>
        <w:rPr>
          <w:rFonts w:hint="eastAsia" w:ascii="Times New Roman" w:hAnsi="Times New Roman" w:eastAsia="方正仿宋_GBK" w:cs="宋体"/>
          <w:kern w:val="0"/>
          <w:sz w:val="32"/>
          <w:szCs w:val="32"/>
        </w:rPr>
        <w:t>无增减</w:t>
      </w:r>
      <w:r>
        <w:rPr>
          <w:rFonts w:hint="default"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val="en-US" w:eastAsia="zh-CN"/>
        </w:rPr>
        <w:t>主要原因是</w:t>
      </w:r>
      <w:r>
        <w:rPr>
          <w:rFonts w:hint="default"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default" w:ascii="Times New Roman" w:hAnsi="Times New Roman" w:eastAsia="方正仿宋_GBK" w:cs="宋体"/>
          <w:kern w:val="0"/>
          <w:sz w:val="32"/>
          <w:szCs w:val="32"/>
        </w:rPr>
        <w:t>年度未发生公务车购置费支出</w:t>
      </w:r>
      <w:r>
        <w:rPr>
          <w:rFonts w:hint="eastAsia" w:ascii="Times New Roman" w:hAnsi="Times New Roman" w:eastAsia="方正仿宋_GBK" w:cs="宋体"/>
          <w:kern w:val="0"/>
          <w:sz w:val="32"/>
          <w:szCs w:val="32"/>
          <w:lang w:val="en-US" w:eastAsia="zh-CN" w:bidi="ar-SA"/>
        </w:rPr>
        <w:t>，与上年决算数持平</w:t>
      </w:r>
      <w:r>
        <w:rPr>
          <w:rFonts w:hint="default" w:ascii="Times New Roman" w:hAnsi="Times New Roman" w:eastAsia="方正仿宋_GBK" w:cs="宋体"/>
          <w:kern w:val="0"/>
          <w:sz w:val="32"/>
          <w:szCs w:val="32"/>
        </w:rPr>
        <w:t>。</w:t>
      </w:r>
    </w:p>
    <w:p w14:paraId="00698F23">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default" w:ascii="Times New Roman" w:hAnsi="Times New Roman" w:eastAsia="方正仿宋_GBK" w:cs="宋体"/>
          <w:kern w:val="0"/>
          <w:sz w:val="32"/>
          <w:szCs w:val="32"/>
        </w:rPr>
        <w:t>公务车运行维护费0.00万元，</w:t>
      </w:r>
      <w:r>
        <w:rPr>
          <w:rFonts w:hint="eastAsia" w:ascii="Times New Roman" w:hAnsi="Times New Roman" w:eastAsia="方正仿宋_GBK" w:cs="宋体"/>
          <w:kern w:val="0"/>
          <w:sz w:val="32"/>
          <w:szCs w:val="32"/>
        </w:rPr>
        <w:t>费用支出较年初预算数减少0.02万元，下降100.0%</w:t>
      </w:r>
      <w:r>
        <w:rPr>
          <w:rFonts w:hint="eastAsia" w:ascii="Times New Roman" w:hAnsi="Times New Roman" w:eastAsia="方正仿宋_GBK" w:cs="宋体"/>
          <w:kern w:val="0"/>
          <w:sz w:val="32"/>
          <w:szCs w:val="32"/>
          <w:lang w:eastAsia="zh-CN"/>
        </w:rPr>
        <w:t>，</w:t>
      </w:r>
      <w:r>
        <w:rPr>
          <w:rFonts w:hint="default" w:ascii="Times New Roman" w:hAnsi="Times New Roman" w:eastAsia="方正仿宋_GBK" w:cs="宋体"/>
          <w:kern w:val="0"/>
          <w:sz w:val="32"/>
          <w:szCs w:val="32"/>
        </w:rPr>
        <w:t>主要原因是</w:t>
      </w:r>
      <w:r>
        <w:rPr>
          <w:rFonts w:hint="default" w:ascii="Times New Roman" w:hAnsi="Times New Roman" w:eastAsia="方正仿宋_GBK" w:cs="Times New Roman"/>
          <w:color w:val="auto"/>
          <w:sz w:val="32"/>
          <w:szCs w:val="32"/>
          <w:shd w:val="clear" w:color="auto" w:fill="FFFFFF"/>
          <w:lang w:eastAsia="zh-CN"/>
        </w:rPr>
        <w:t>严格控制</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三公</w:t>
      </w:r>
      <w:r>
        <w:rPr>
          <w:rFonts w:hint="eastAsia" w:ascii="Times New Roman" w:hAnsi="Times New Roman" w:eastAsia="方正仿宋_GBK" w:cs="Times New Roman"/>
          <w:color w:val="auto"/>
          <w:sz w:val="32"/>
          <w:szCs w:val="32"/>
          <w:shd w:val="clear" w:color="auto" w:fill="FFFFFF"/>
          <w:lang w:eastAsia="zh-CN"/>
        </w:rPr>
        <w:t>”</w:t>
      </w:r>
      <w:r>
        <w:rPr>
          <w:rFonts w:hint="default" w:ascii="Times New Roman" w:hAnsi="Times New Roman" w:eastAsia="方正仿宋_GBK" w:cs="Times New Roman"/>
          <w:color w:val="auto"/>
          <w:sz w:val="32"/>
          <w:szCs w:val="32"/>
          <w:shd w:val="clear" w:color="auto" w:fill="FFFFFF"/>
          <w:lang w:eastAsia="zh-CN"/>
        </w:rPr>
        <w:t>经费</w:t>
      </w:r>
      <w:r>
        <w:rPr>
          <w:rFonts w:hint="eastAsia" w:ascii="Times New Roman" w:hAnsi="Times New Roman" w:eastAsia="方正仿宋_GBK" w:cs="宋体"/>
          <w:kern w:val="0"/>
          <w:sz w:val="32"/>
          <w:szCs w:val="32"/>
          <w:lang w:eastAsia="zh-CN"/>
        </w:rPr>
        <w:t>，本年度</w:t>
      </w:r>
      <w:r>
        <w:rPr>
          <w:rFonts w:hint="eastAsia" w:ascii="Times New Roman" w:hAnsi="Times New Roman" w:eastAsia="方正仿宋_GBK" w:cs="宋体"/>
          <w:kern w:val="0"/>
          <w:sz w:val="32"/>
          <w:szCs w:val="32"/>
          <w:lang w:val="en-US" w:eastAsia="zh-CN"/>
        </w:rPr>
        <w:t>无</w:t>
      </w:r>
      <w:r>
        <w:rPr>
          <w:rFonts w:hint="eastAsia" w:ascii="Times New Roman" w:hAnsi="Times New Roman" w:eastAsia="方正仿宋_GBK" w:cs="宋体"/>
          <w:kern w:val="0"/>
          <w:sz w:val="32"/>
          <w:szCs w:val="32"/>
        </w:rPr>
        <w:t>“三公”经费支出</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rPr>
        <w:t>较上年支出数无增减</w:t>
      </w:r>
      <w:r>
        <w:rPr>
          <w:rFonts w:hint="default" w:ascii="Times New Roman" w:hAnsi="Times New Roman" w:eastAsia="方正仿宋_GBK" w:cs="宋体"/>
          <w:kern w:val="0"/>
          <w:sz w:val="32"/>
          <w:szCs w:val="32"/>
        </w:rPr>
        <w:t>，</w:t>
      </w:r>
      <w:r>
        <w:rPr>
          <w:rFonts w:hint="eastAsia" w:ascii="Times New Roman" w:hAnsi="Times New Roman" w:eastAsia="方正仿宋_GBK" w:cs="宋体"/>
          <w:kern w:val="0"/>
          <w:sz w:val="32"/>
          <w:szCs w:val="32"/>
          <w:lang w:eastAsia="zh-CN"/>
        </w:rPr>
        <w:t>主要原因是</w:t>
      </w:r>
      <w:r>
        <w:rPr>
          <w:rFonts w:hint="eastAsia" w:ascii="Times New Roman" w:hAnsi="Times New Roman" w:eastAsia="方正仿宋_GBK" w:cs="宋体"/>
          <w:kern w:val="0"/>
          <w:sz w:val="32"/>
          <w:szCs w:val="32"/>
          <w:lang w:val="en-US" w:eastAsia="zh-CN"/>
        </w:rPr>
        <w:t>本单位2024年度未发生公务车运行维护</w:t>
      </w:r>
      <w:r>
        <w:rPr>
          <w:rFonts w:hint="eastAsia" w:ascii="Times New Roman" w:hAnsi="Times New Roman" w:eastAsia="方正仿宋_GBK" w:cs="宋体"/>
          <w:kern w:val="0"/>
          <w:sz w:val="32"/>
          <w:szCs w:val="32"/>
        </w:rPr>
        <w:t>支出</w:t>
      </w:r>
      <w:r>
        <w:rPr>
          <w:rFonts w:hint="eastAsia" w:ascii="Times New Roman" w:hAnsi="Times New Roman" w:eastAsia="方正仿宋_GBK" w:cs="宋体"/>
          <w:kern w:val="0"/>
          <w:sz w:val="32"/>
          <w:szCs w:val="32"/>
          <w:lang w:val="en-US" w:eastAsia="zh-CN" w:bidi="ar-SA"/>
        </w:rPr>
        <w:t>，与上年决算数持平</w:t>
      </w:r>
      <w:r>
        <w:rPr>
          <w:rFonts w:hint="default" w:ascii="Times New Roman" w:hAnsi="Times New Roman" w:eastAsia="方正仿宋_GBK" w:cs="宋体"/>
          <w:kern w:val="0"/>
          <w:sz w:val="32"/>
          <w:szCs w:val="32"/>
        </w:rPr>
        <w:t>。</w:t>
      </w:r>
    </w:p>
    <w:p w14:paraId="5E20FACC">
      <w:pPr>
        <w:widowControl w:val="0"/>
        <w:spacing w:line="600" w:lineRule="exact"/>
        <w:ind w:firstLine="627" w:firstLineChars="196"/>
        <w:jc w:val="both"/>
        <w:rPr>
          <w:rFonts w:hint="default" w:ascii="Times New Roman" w:hAnsi="Times New Roman" w:eastAsia="方正仿宋_GBK" w:cs="宋体"/>
          <w:kern w:val="0"/>
          <w:sz w:val="32"/>
          <w:szCs w:val="32"/>
        </w:rPr>
      </w:pPr>
      <w:r>
        <w:rPr>
          <w:rFonts w:hint="default" w:ascii="Times New Roman" w:hAnsi="Times New Roman" w:eastAsia="方正仿宋_GBK" w:cs="宋体"/>
          <w:kern w:val="0"/>
          <w:sz w:val="32"/>
          <w:szCs w:val="32"/>
        </w:rPr>
        <w:t>公务接待费0.00万元，费用支出较年初预算数</w:t>
      </w:r>
      <w:r>
        <w:rPr>
          <w:rFonts w:hint="eastAsia" w:ascii="Times New Roman" w:hAnsi="Times New Roman" w:eastAsia="方正仿宋_GBK" w:cs="宋体"/>
          <w:kern w:val="0"/>
          <w:sz w:val="32"/>
          <w:szCs w:val="32"/>
        </w:rPr>
        <w:t>无增减</w:t>
      </w:r>
      <w:r>
        <w:rPr>
          <w:rFonts w:hint="eastAsia" w:ascii="Times New Roman" w:hAnsi="Times New Roman" w:eastAsia="方正仿宋_GBK" w:cs="宋体"/>
          <w:kern w:val="0"/>
          <w:sz w:val="32"/>
          <w:szCs w:val="32"/>
          <w:lang w:eastAsia="zh-CN"/>
        </w:rPr>
        <w:t>，</w:t>
      </w:r>
      <w:r>
        <w:rPr>
          <w:rFonts w:hint="default" w:ascii="Times New Roman" w:hAnsi="Times New Roman" w:eastAsia="方正仿宋_GBK" w:cs="宋体"/>
          <w:kern w:val="0"/>
          <w:sz w:val="32"/>
          <w:szCs w:val="32"/>
        </w:rPr>
        <w:t>较上年支出数</w:t>
      </w:r>
      <w:r>
        <w:rPr>
          <w:rFonts w:hint="eastAsia" w:ascii="Times New Roman" w:hAnsi="Times New Roman" w:eastAsia="方正仿宋_GBK" w:cs="宋体"/>
          <w:kern w:val="0"/>
          <w:sz w:val="32"/>
          <w:szCs w:val="32"/>
        </w:rPr>
        <w:t>无增减</w:t>
      </w:r>
      <w:r>
        <w:rPr>
          <w:rFonts w:hint="eastAsia" w:ascii="Times New Roman" w:hAnsi="Times New Roman" w:eastAsia="方正仿宋_GBK" w:cs="宋体"/>
          <w:kern w:val="0"/>
          <w:sz w:val="32"/>
          <w:szCs w:val="32"/>
          <w:lang w:eastAsia="zh-CN"/>
        </w:rPr>
        <w:t>，</w:t>
      </w:r>
      <w:r>
        <w:rPr>
          <w:rFonts w:hint="eastAsia" w:ascii="Times New Roman" w:hAnsi="Times New Roman" w:eastAsia="方正仿宋_GBK" w:cs="宋体"/>
          <w:kern w:val="0"/>
          <w:sz w:val="32"/>
          <w:szCs w:val="32"/>
          <w:lang w:val="en-US" w:eastAsia="zh-CN"/>
        </w:rPr>
        <w:t>主要原因是</w:t>
      </w:r>
      <w:r>
        <w:rPr>
          <w:rFonts w:hint="default" w:ascii="Times New Roman" w:hAnsi="Times New Roman" w:eastAsia="方正仿宋_GBK" w:cs="宋体"/>
          <w:kern w:val="0"/>
          <w:sz w:val="32"/>
          <w:szCs w:val="32"/>
        </w:rPr>
        <w:t>本单位202</w:t>
      </w:r>
      <w:r>
        <w:rPr>
          <w:rFonts w:hint="eastAsia" w:ascii="Times New Roman" w:hAnsi="Times New Roman" w:eastAsia="方正仿宋_GBK" w:cs="宋体"/>
          <w:kern w:val="0"/>
          <w:sz w:val="32"/>
          <w:szCs w:val="32"/>
          <w:lang w:val="en-US" w:eastAsia="zh-CN"/>
        </w:rPr>
        <w:t>4</w:t>
      </w:r>
      <w:r>
        <w:rPr>
          <w:rFonts w:hint="default" w:ascii="Times New Roman" w:hAnsi="Times New Roman" w:eastAsia="方正仿宋_GBK" w:cs="宋体"/>
          <w:kern w:val="0"/>
          <w:sz w:val="32"/>
          <w:szCs w:val="32"/>
        </w:rPr>
        <w:t>年度未发生公务接待费支出</w:t>
      </w:r>
      <w:r>
        <w:rPr>
          <w:rFonts w:hint="eastAsia" w:ascii="Times New Roman" w:hAnsi="Times New Roman" w:eastAsia="方正仿宋_GBK" w:cs="宋体"/>
          <w:kern w:val="0"/>
          <w:sz w:val="32"/>
          <w:szCs w:val="32"/>
          <w:lang w:val="en-US" w:eastAsia="zh-CN" w:bidi="ar-SA"/>
        </w:rPr>
        <w:t>，与上年决算数持平</w:t>
      </w:r>
      <w:r>
        <w:rPr>
          <w:rFonts w:hint="default" w:ascii="Times New Roman" w:hAnsi="Times New Roman" w:eastAsia="方正仿宋_GBK" w:cs="宋体"/>
          <w:kern w:val="0"/>
          <w:sz w:val="32"/>
          <w:szCs w:val="32"/>
        </w:rPr>
        <w:t>。</w:t>
      </w:r>
    </w:p>
    <w:p w14:paraId="18A3920E">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（三</w:t>
      </w:r>
      <w:r>
        <w:rPr>
          <w:rFonts w:hint="eastAsia" w:ascii="Times New Roman" w:hAnsi="Times New Roman" w:eastAsia="方正楷体_GBK" w:cs="宋体"/>
          <w:bCs/>
          <w:kern w:val="0"/>
          <w:sz w:val="32"/>
          <w:szCs w:val="20"/>
        </w:rPr>
        <w:t>）“三公”经</w:t>
      </w:r>
      <w:r>
        <w:rPr>
          <w:rFonts w:hint="default" w:ascii="Times New Roman" w:hAnsi="Times New Roman" w:eastAsia="方正楷体_GBK" w:cs="宋体"/>
          <w:bCs/>
          <w:kern w:val="0"/>
          <w:sz w:val="32"/>
          <w:szCs w:val="20"/>
        </w:rPr>
        <w:t>费实物量情况</w:t>
      </w:r>
    </w:p>
    <w:p w14:paraId="7195C0FE">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宋体"/>
          <w:kern w:val="0"/>
          <w:sz w:val="32"/>
          <w:szCs w:val="32"/>
          <w:lang w:val="en-US" w:eastAsia="zh-CN" w:bidi="ar-SA"/>
        </w:rPr>
        <w:t>202</w:t>
      </w:r>
      <w:r>
        <w:rPr>
          <w:rFonts w:hint="eastAsia" w:ascii="Times New Roman" w:hAnsi="Times New Roman" w:eastAsia="方正仿宋_GBK" w:cs="宋体"/>
          <w:kern w:val="0"/>
          <w:sz w:val="32"/>
          <w:szCs w:val="32"/>
          <w:lang w:val="en-US" w:eastAsia="zh-CN" w:bidi="ar-SA"/>
        </w:rPr>
        <w:t>4</w:t>
      </w:r>
      <w:r>
        <w:rPr>
          <w:rFonts w:hint="default" w:ascii="Times New Roman" w:hAnsi="Times New Roman" w:eastAsia="方正仿宋_GBK" w:cs="宋体"/>
          <w:kern w:val="0"/>
          <w:sz w:val="32"/>
          <w:szCs w:val="32"/>
          <w:lang w:val="en-US" w:eastAsia="zh-CN" w:bidi="ar-SA"/>
        </w:rPr>
        <w:t>年度本单位因公出国（境）共计0个团组，0人；公务用车购置0辆，公务车保有量为0辆；国内公务接待0批次0人，其中：国内外事接待0批次，0人；国（境）外公务接待0批次，0人。202</w:t>
      </w:r>
      <w:r>
        <w:rPr>
          <w:rFonts w:hint="eastAsia" w:ascii="Times New Roman" w:hAnsi="Times New Roman" w:eastAsia="方正仿宋_GBK" w:cs="宋体"/>
          <w:kern w:val="0"/>
          <w:sz w:val="32"/>
          <w:szCs w:val="32"/>
          <w:lang w:val="en-US" w:eastAsia="zh-CN" w:bidi="ar-SA"/>
        </w:rPr>
        <w:t>4</w:t>
      </w:r>
      <w:r>
        <w:rPr>
          <w:rFonts w:hint="default" w:ascii="Times New Roman" w:hAnsi="Times New Roman" w:eastAsia="方正仿宋_GBK" w:cs="宋体"/>
          <w:kern w:val="0"/>
          <w:sz w:val="32"/>
          <w:szCs w:val="32"/>
          <w:lang w:val="en-US" w:eastAsia="zh-CN" w:bidi="ar-SA"/>
        </w:rPr>
        <w:t>年本单位人均接待费0元，车均购置费0万元，车均维护费0万元。</w:t>
      </w:r>
    </w:p>
    <w:p w14:paraId="623FC3FC">
      <w:pPr>
        <w:widowControl w:val="0"/>
        <w:spacing w:line="600" w:lineRule="exact"/>
        <w:ind w:firstLine="640" w:firstLineChars="200"/>
        <w:jc w:val="both"/>
        <w:rPr>
          <w:rFonts w:hint="default" w:ascii="Times New Roman" w:hAnsi="Times New Roman" w:eastAsia="方正黑体_GBK" w:cs="宋体"/>
          <w:bCs/>
          <w:kern w:val="0"/>
          <w:sz w:val="32"/>
          <w:szCs w:val="20"/>
        </w:rPr>
      </w:pPr>
      <w:r>
        <w:rPr>
          <w:rFonts w:hint="eastAsia" w:ascii="Times New Roman" w:hAnsi="Times New Roman" w:eastAsia="方正黑体_GBK" w:cs="宋体"/>
          <w:bCs/>
          <w:kern w:val="0"/>
          <w:sz w:val="32"/>
          <w:szCs w:val="20"/>
        </w:rPr>
        <w:t>四、</w:t>
      </w:r>
      <w:r>
        <w:rPr>
          <w:rFonts w:hint="default" w:ascii="Times New Roman" w:hAnsi="Times New Roman" w:eastAsia="方正黑体_GBK" w:cs="宋体"/>
          <w:bCs/>
          <w:kern w:val="0"/>
          <w:sz w:val="32"/>
          <w:szCs w:val="20"/>
        </w:rPr>
        <w:t>其他需要说明的事项</w:t>
      </w:r>
    </w:p>
    <w:p w14:paraId="5AA2905E">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（一）财政拨款会议费和培训费情况说明</w:t>
      </w:r>
    </w:p>
    <w:p w14:paraId="15E64C09">
      <w:pPr>
        <w:pStyle w:val="11"/>
        <w:keepNext w:val="0"/>
        <w:keepLines w:val="0"/>
        <w:pageBreakBefore w:val="0"/>
        <w:kinsoku/>
        <w:wordWrap/>
        <w:overflowPunct/>
        <w:topLinePunct w:val="0"/>
        <w:autoSpaceDE w:val="0"/>
        <w:autoSpaceDN/>
        <w:bidi w:val="0"/>
        <w:adjustRightInd/>
        <w:snapToGrid w:val="0"/>
        <w:spacing w:line="600" w:lineRule="exact"/>
        <w:ind w:firstLine="640"/>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本年度会议费支出0.00万元，与2023年度相比，无增减</w:t>
      </w:r>
      <w:r>
        <w:rPr>
          <w:rFonts w:hint="default" w:ascii="Times New Roman" w:hAnsi="Times New Roman" w:eastAsia="方正仿宋_GBK" w:cs="宋体"/>
          <w:kern w:val="0"/>
          <w:sz w:val="32"/>
          <w:szCs w:val="32"/>
          <w:lang w:val="en-US" w:eastAsia="zh-CN" w:bidi="ar-SA"/>
        </w:rPr>
        <w:t>，主要原因是本单位未产生会议费</w:t>
      </w:r>
      <w:r>
        <w:rPr>
          <w:rFonts w:hint="eastAsia" w:ascii="Times New Roman" w:hAnsi="Times New Roman" w:eastAsia="方正仿宋_GBK" w:cs="宋体"/>
          <w:kern w:val="0"/>
          <w:sz w:val="32"/>
          <w:szCs w:val="32"/>
          <w:lang w:val="en-US" w:eastAsia="zh-CN" w:bidi="ar-SA"/>
        </w:rPr>
        <w:t>支出</w:t>
      </w:r>
      <w:r>
        <w:rPr>
          <w:rFonts w:hint="default" w:ascii="Times New Roman" w:hAnsi="Times New Roman" w:eastAsia="方正仿宋_GBK" w:cs="宋体"/>
          <w:kern w:val="0"/>
          <w:sz w:val="32"/>
          <w:szCs w:val="32"/>
          <w:lang w:val="en-US" w:eastAsia="zh-CN" w:bidi="ar-SA"/>
        </w:rPr>
        <w:t>。</w:t>
      </w:r>
      <w:r>
        <w:rPr>
          <w:rFonts w:hint="eastAsia" w:ascii="Times New Roman" w:hAnsi="Times New Roman" w:eastAsia="方正仿宋_GBK" w:cs="宋体"/>
          <w:kern w:val="0"/>
          <w:sz w:val="32"/>
          <w:szCs w:val="32"/>
          <w:lang w:val="en-US" w:eastAsia="zh-CN" w:bidi="ar-SA"/>
        </w:rPr>
        <w:t>本年度培训费支出7.43万元，与2023年度相比，减少0.41万元，下降5.2%</w:t>
      </w:r>
      <w:r>
        <w:rPr>
          <w:rFonts w:hint="default" w:ascii="Times New Roman" w:hAnsi="Times New Roman" w:eastAsia="方正仿宋_GBK" w:cs="宋体"/>
          <w:kern w:val="0"/>
          <w:sz w:val="32"/>
          <w:szCs w:val="32"/>
          <w:lang w:val="en-US" w:eastAsia="zh-CN" w:bidi="ar-SA"/>
        </w:rPr>
        <w:t>，主要原因是</w:t>
      </w:r>
      <w:r>
        <w:rPr>
          <w:rFonts w:hint="eastAsia" w:ascii="Times New Roman" w:hAnsi="Times New Roman" w:eastAsia="方正仿宋_GBK" w:cs="宋体"/>
          <w:kern w:val="0"/>
          <w:sz w:val="32"/>
          <w:szCs w:val="32"/>
          <w:lang w:val="en-US" w:eastAsia="zh-CN" w:bidi="ar-SA"/>
        </w:rPr>
        <w:t>根据</w:t>
      </w:r>
      <w:r>
        <w:rPr>
          <w:rFonts w:hint="default" w:ascii="Times New Roman" w:hAnsi="Times New Roman" w:eastAsia="方正仿宋_GBK" w:cs="宋体"/>
          <w:kern w:val="0"/>
          <w:sz w:val="32"/>
          <w:szCs w:val="32"/>
          <w:lang w:val="en-US" w:eastAsia="zh-CN" w:bidi="ar-SA"/>
        </w:rPr>
        <w:t>教育教学需要，</w:t>
      </w:r>
      <w:r>
        <w:rPr>
          <w:rFonts w:hint="eastAsia" w:ascii="Times New Roman" w:hAnsi="Times New Roman" w:eastAsia="方正仿宋_GBK" w:cs="宋体"/>
          <w:kern w:val="0"/>
          <w:sz w:val="32"/>
          <w:szCs w:val="32"/>
          <w:lang w:val="en-US" w:eastAsia="zh-CN" w:bidi="ar-SA"/>
        </w:rPr>
        <w:t>调整培训计划</w:t>
      </w:r>
      <w:r>
        <w:rPr>
          <w:rFonts w:hint="default" w:ascii="Times New Roman" w:hAnsi="Times New Roman" w:eastAsia="方正仿宋_GBK" w:cs="宋体"/>
          <w:kern w:val="0"/>
          <w:sz w:val="32"/>
          <w:szCs w:val="32"/>
          <w:lang w:val="en-US" w:eastAsia="zh-CN" w:bidi="ar-SA"/>
        </w:rPr>
        <w:t>。</w:t>
      </w:r>
    </w:p>
    <w:p w14:paraId="23B5F225">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（二）机关运行经费情况说明</w:t>
      </w:r>
    </w:p>
    <w:p w14:paraId="7A4F7114">
      <w:pPr>
        <w:keepNext w:val="0"/>
        <w:keepLines w:val="0"/>
        <w:pageBreakBefore w:val="0"/>
        <w:widowControl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宋体"/>
          <w:kern w:val="0"/>
          <w:sz w:val="32"/>
          <w:szCs w:val="32"/>
        </w:rPr>
        <w:t>按照部门决算列报口径，我单位不在机关运行经费统计范围之内。</w:t>
      </w:r>
    </w:p>
    <w:p w14:paraId="08C6B38E">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default" w:ascii="Times New Roman" w:hAnsi="Times New Roman" w:eastAsia="方正楷体_GBK" w:cs="宋体"/>
          <w:bCs/>
          <w:kern w:val="0"/>
          <w:sz w:val="32"/>
          <w:szCs w:val="20"/>
        </w:rPr>
        <w:t>（三）国有资产占用情况说明</w:t>
      </w:r>
    </w:p>
    <w:p w14:paraId="2320E84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截至202</w:t>
      </w:r>
      <w:r>
        <w:rPr>
          <w:rFonts w:hint="eastAsia" w:ascii="Times New Roman" w:hAnsi="Times New Roman" w:eastAsia="方正仿宋_GBK" w:cs="宋体"/>
          <w:kern w:val="0"/>
          <w:sz w:val="32"/>
          <w:szCs w:val="32"/>
          <w:lang w:val="en-US" w:eastAsia="zh-CN" w:bidi="ar-SA"/>
        </w:rPr>
        <w:t>4</w:t>
      </w:r>
      <w:r>
        <w:rPr>
          <w:rFonts w:hint="default" w:ascii="Times New Roman" w:hAnsi="Times New Roman" w:eastAsia="方正仿宋_GBK" w:cs="宋体"/>
          <w:kern w:val="0"/>
          <w:sz w:val="32"/>
          <w:szCs w:val="32"/>
          <w:lang w:val="en-US" w:eastAsia="zh-CN" w:bidi="ar-SA"/>
        </w:rPr>
        <w:t>年12月31日，本单位共有车辆1辆，其中，副部（省）级及以上领导用车0辆、主要负责人用车0辆、机要通信用车0辆、应急保障用车1辆、执法执勤用车0辆，特种专业技术用车0辆，离退休干部用车0辆</w:t>
      </w:r>
      <w:r>
        <w:rPr>
          <w:rFonts w:hint="eastAsia" w:ascii="Times New Roman" w:hAnsi="Times New Roman" w:eastAsia="方正仿宋_GBK" w:cs="宋体"/>
          <w:kern w:val="0"/>
          <w:sz w:val="32"/>
          <w:szCs w:val="32"/>
          <w:lang w:val="en-US" w:eastAsia="zh-CN" w:bidi="ar-SA"/>
        </w:rPr>
        <w:t>，</w:t>
      </w:r>
      <w:r>
        <w:rPr>
          <w:rFonts w:hint="default" w:ascii="Times New Roman" w:hAnsi="Times New Roman" w:eastAsia="方正仿宋_GBK" w:cs="宋体"/>
          <w:kern w:val="0"/>
          <w:sz w:val="32"/>
          <w:szCs w:val="32"/>
          <w:lang w:val="en-US" w:eastAsia="zh-CN" w:bidi="ar-SA"/>
        </w:rPr>
        <w:t>其他用车0辆。单价50万元（含）以上通用设备0台（套），单价100万元（含）以上专用设备0台（套）。</w:t>
      </w:r>
    </w:p>
    <w:p w14:paraId="266333A1">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lang w:eastAsia="zh-CN"/>
        </w:rPr>
        <w:t>（</w:t>
      </w:r>
      <w:r>
        <w:rPr>
          <w:rFonts w:hint="eastAsia" w:ascii="Times New Roman" w:hAnsi="Times New Roman" w:eastAsia="方正楷体_GBK" w:cs="宋体"/>
          <w:bCs/>
          <w:kern w:val="0"/>
          <w:sz w:val="32"/>
          <w:szCs w:val="20"/>
          <w:lang w:val="en-US" w:eastAsia="zh-CN"/>
        </w:rPr>
        <w:t>四</w:t>
      </w:r>
      <w:r>
        <w:rPr>
          <w:rFonts w:hint="eastAsia" w:ascii="Times New Roman" w:hAnsi="Times New Roman" w:eastAsia="方正楷体_GBK" w:cs="宋体"/>
          <w:bCs/>
          <w:kern w:val="0"/>
          <w:sz w:val="32"/>
          <w:szCs w:val="20"/>
          <w:lang w:eastAsia="zh-CN"/>
        </w:rPr>
        <w:t>）</w:t>
      </w:r>
      <w:r>
        <w:rPr>
          <w:rFonts w:hint="default" w:ascii="Times New Roman" w:hAnsi="Times New Roman" w:eastAsia="方正楷体_GBK" w:cs="宋体"/>
          <w:bCs/>
          <w:kern w:val="0"/>
          <w:sz w:val="32"/>
          <w:szCs w:val="20"/>
        </w:rPr>
        <w:t>政府采购支出情况说明</w:t>
      </w:r>
    </w:p>
    <w:p w14:paraId="7451BAC3">
      <w:pPr>
        <w:pStyle w:val="11"/>
        <w:keepNext w:val="0"/>
        <w:keepLines w:val="0"/>
        <w:pageBreakBefore w:val="0"/>
        <w:widowControl w:val="0"/>
        <w:kinsoku/>
        <w:wordWrap/>
        <w:overflowPunct/>
        <w:topLinePunct w:val="0"/>
        <w:autoSpaceDE w:val="0"/>
        <w:autoSpaceDN/>
        <w:bidi w:val="0"/>
        <w:adjustRightInd/>
        <w:snapToGrid w:val="0"/>
        <w:spacing w:line="600" w:lineRule="exact"/>
        <w:ind w:firstLine="640"/>
        <w:textAlignment w:val="auto"/>
        <w:rPr>
          <w:rFonts w:hint="default" w:ascii="Times New Roman" w:hAnsi="Times New Roman" w:eastAsia="方正仿宋_GBK" w:cs="宋体"/>
          <w:kern w:val="0"/>
          <w:sz w:val="32"/>
          <w:szCs w:val="32"/>
          <w:lang w:val="en-US" w:eastAsia="zh-CN" w:bidi="ar-SA"/>
        </w:rPr>
      </w:pPr>
      <w:r>
        <w:rPr>
          <w:rFonts w:hint="eastAsia" w:ascii="Times New Roman" w:hAnsi="Times New Roman" w:eastAsia="方正仿宋_GBK" w:cs="宋体"/>
          <w:kern w:val="0"/>
          <w:sz w:val="32"/>
          <w:szCs w:val="32"/>
          <w:lang w:val="en-US" w:eastAsia="zh-CN" w:bidi="ar-SA"/>
        </w:rPr>
        <w:t>2024年度本单位政府采购支出总额37.15万元，其中：政府采购货物支出37.15万元、政府采购工程支出0.00万元、政府采购服务支出0.00万元。授予中小企业合同金额37.15万元，占政府采购支出总额的100.00%，其中：授予小微企业合同金额37.15万元，占政府采购支出总额的100.00 %。</w:t>
      </w:r>
      <w:r>
        <w:rPr>
          <w:rFonts w:hint="default" w:ascii="Times New Roman" w:hAnsi="Times New Roman" w:eastAsia="方正仿宋_GBK" w:cs="宋体"/>
          <w:kern w:val="0"/>
          <w:sz w:val="32"/>
          <w:szCs w:val="32"/>
          <w:lang w:val="en-US" w:eastAsia="zh-CN" w:bidi="ar-SA"/>
        </w:rPr>
        <w:t>主要用于</w:t>
      </w:r>
      <w:bookmarkStart w:id="0" w:name="_GoBack"/>
      <w:bookmarkEnd w:id="0"/>
      <w:r>
        <w:rPr>
          <w:rFonts w:hint="eastAsia" w:ascii="Times New Roman" w:hAnsi="Times New Roman" w:eastAsia="方正仿宋_GBK" w:cs="宋体"/>
          <w:kern w:val="0"/>
          <w:sz w:val="32"/>
          <w:szCs w:val="32"/>
          <w:lang w:val="en-US" w:eastAsia="zh-CN" w:bidi="ar-SA"/>
        </w:rPr>
        <w:t>暑期室内装饰工程尾款</w:t>
      </w:r>
      <w:r>
        <w:rPr>
          <w:rFonts w:hint="default" w:ascii="Times New Roman" w:hAnsi="Times New Roman" w:eastAsia="方正仿宋_GBK" w:cs="宋体"/>
          <w:kern w:val="0"/>
          <w:sz w:val="32"/>
          <w:szCs w:val="32"/>
          <w:lang w:val="en-US" w:eastAsia="zh-CN" w:bidi="ar-SA"/>
        </w:rPr>
        <w:t>。</w:t>
      </w:r>
    </w:p>
    <w:p w14:paraId="58F49E85">
      <w:pPr>
        <w:keepNext w:val="0"/>
        <w:keepLines w:val="0"/>
        <w:pageBreakBefore w:val="0"/>
        <w:kinsoku/>
        <w:wordWrap/>
        <w:overflowPunct/>
        <w:topLinePunct w:val="0"/>
        <w:autoSpaceDE w:val="0"/>
        <w:autoSpaceDN/>
        <w:bidi w:val="0"/>
        <w:adjustRightInd/>
        <w:snapToGrid w:val="0"/>
        <w:spacing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五、预算绩效管理情况说明</w:t>
      </w:r>
    </w:p>
    <w:p w14:paraId="50866B88">
      <w:pPr>
        <w:widowControl w:val="0"/>
        <w:adjustRightInd w:val="0"/>
        <w:snapToGrid w:val="0"/>
        <w:spacing w:line="600" w:lineRule="exact"/>
        <w:ind w:left="1120" w:leftChars="200" w:hanging="640" w:hangingChars="200"/>
        <w:jc w:val="both"/>
        <w:rPr>
          <w:rFonts w:hint="default" w:ascii="Times New Roman" w:hAnsi="Times New Roman" w:eastAsia="方正楷体_GBK" w:cs="宋体"/>
          <w:bCs/>
          <w:kern w:val="0"/>
          <w:sz w:val="32"/>
          <w:szCs w:val="20"/>
        </w:rPr>
      </w:pPr>
      <w:r>
        <w:rPr>
          <w:rFonts w:hint="eastAsia" w:ascii="Times New Roman" w:hAnsi="Times New Roman" w:eastAsia="方正楷体_GBK" w:cs="宋体"/>
          <w:bCs/>
          <w:kern w:val="0"/>
          <w:sz w:val="32"/>
          <w:szCs w:val="20"/>
        </w:rPr>
        <w:t>（一）单位自评情况</w:t>
      </w:r>
    </w:p>
    <w:p w14:paraId="67CAE2CC">
      <w:pPr>
        <w:pStyle w:val="11"/>
        <w:keepNext w:val="0"/>
        <w:keepLines w:val="0"/>
        <w:pageBreakBefore w:val="0"/>
        <w:kinsoku/>
        <w:wordWrap/>
        <w:overflowPunct/>
        <w:topLinePunct w:val="0"/>
        <w:autoSpaceDE w:val="0"/>
        <w:autoSpaceDN/>
        <w:bidi w:val="0"/>
        <w:adjustRightInd/>
        <w:snapToGrid w:val="0"/>
        <w:spacing w:line="600" w:lineRule="exact"/>
        <w:ind w:firstLine="640"/>
        <w:textAlignment w:val="auto"/>
        <w:rPr>
          <w:rFonts w:hint="eastAsia"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根据预算绩效管理要求，</w:t>
      </w:r>
      <w:r>
        <w:rPr>
          <w:rFonts w:hint="eastAsia" w:ascii="Times New Roman" w:hAnsi="Times New Roman" w:eastAsia="方正仿宋_GBK" w:cs="宋体"/>
          <w:kern w:val="0"/>
          <w:sz w:val="32"/>
          <w:szCs w:val="32"/>
          <w:lang w:val="en-US" w:eastAsia="zh-CN" w:bidi="ar-SA"/>
        </w:rPr>
        <w:t>我单位对17个项目开展了绩效自评，涉及财政拨款项目支出485.41万元。</w:t>
      </w:r>
    </w:p>
    <w:p w14:paraId="24A0A93C">
      <w:pPr>
        <w:tabs>
          <w:tab w:val="center" w:pos="4153"/>
          <w:tab w:val="left" w:pos="7275"/>
        </w:tabs>
        <w:spacing w:line="596" w:lineRule="exact"/>
        <w:jc w:val="center"/>
        <w:rPr>
          <w:rFonts w:cs="宋体"/>
          <w:kern w:val="0"/>
          <w:szCs w:val="32"/>
        </w:rPr>
      </w:pPr>
      <w:r>
        <w:rPr>
          <w:rFonts w:hint="eastAsia" w:ascii="方正黑体_GBK" w:hAnsi="方正黑体_GBK" w:eastAsia="方正黑体_GBK" w:cs="方正黑体_GBK"/>
          <w:color w:val="000000"/>
          <w:kern w:val="0"/>
          <w:sz w:val="28"/>
          <w:szCs w:val="28"/>
          <w:lang w:eastAsia="zh-CN" w:bidi="ar"/>
        </w:rPr>
        <w:t>重庆市四十七中学</w:t>
      </w:r>
      <w:r>
        <w:rPr>
          <w:rFonts w:hint="eastAsia" w:ascii="方正黑体_GBK" w:hAnsi="方正黑体_GBK" w:eastAsia="方正黑体_GBK" w:cs="方正黑体_GBK"/>
          <w:color w:val="000000"/>
          <w:kern w:val="0"/>
          <w:sz w:val="28"/>
          <w:szCs w:val="28"/>
          <w:lang w:bidi="ar"/>
        </w:rPr>
        <w:t>2024年度项目支出绩效自评表</w:t>
      </w:r>
    </w:p>
    <w:tbl>
      <w:tblPr>
        <w:tblStyle w:val="7"/>
        <w:tblW w:w="8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84"/>
        <w:gridCol w:w="1224"/>
        <w:gridCol w:w="840"/>
        <w:gridCol w:w="708"/>
        <w:gridCol w:w="744"/>
        <w:gridCol w:w="708"/>
        <w:gridCol w:w="988"/>
        <w:gridCol w:w="795"/>
        <w:gridCol w:w="615"/>
        <w:gridCol w:w="735"/>
      </w:tblGrid>
      <w:tr w14:paraId="65513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blHeader/>
          <w:jc w:val="center"/>
        </w:trPr>
        <w:tc>
          <w:tcPr>
            <w:tcW w:w="704" w:type="dxa"/>
            <w:tcBorders>
              <w:top w:val="single" w:color="auto" w:sz="4" w:space="0"/>
            </w:tcBorders>
            <w:noWrap w:val="0"/>
            <w:vAlign w:val="center"/>
          </w:tcPr>
          <w:p w14:paraId="4F952AA1">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序号</w:t>
            </w:r>
          </w:p>
        </w:tc>
        <w:tc>
          <w:tcPr>
            <w:tcW w:w="684" w:type="dxa"/>
            <w:tcBorders>
              <w:top w:val="single" w:color="auto" w:sz="4" w:space="0"/>
            </w:tcBorders>
            <w:noWrap w:val="0"/>
            <w:vAlign w:val="center"/>
          </w:tcPr>
          <w:p w14:paraId="4423E9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项目名称</w:t>
            </w:r>
          </w:p>
        </w:tc>
        <w:tc>
          <w:tcPr>
            <w:tcW w:w="1224" w:type="dxa"/>
            <w:tcBorders>
              <w:top w:val="single" w:color="auto" w:sz="4" w:space="0"/>
            </w:tcBorders>
            <w:noWrap w:val="0"/>
            <w:vAlign w:val="center"/>
          </w:tcPr>
          <w:p w14:paraId="17F1D27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指标名称</w:t>
            </w:r>
          </w:p>
        </w:tc>
        <w:tc>
          <w:tcPr>
            <w:tcW w:w="840" w:type="dxa"/>
            <w:tcBorders>
              <w:top w:val="single" w:color="auto" w:sz="4" w:space="0"/>
            </w:tcBorders>
            <w:noWrap w:val="0"/>
            <w:vAlign w:val="center"/>
          </w:tcPr>
          <w:p w14:paraId="73C9170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指标性质</w:t>
            </w:r>
          </w:p>
        </w:tc>
        <w:tc>
          <w:tcPr>
            <w:tcW w:w="708" w:type="dxa"/>
            <w:tcBorders>
              <w:top w:val="single" w:color="auto" w:sz="4" w:space="0"/>
            </w:tcBorders>
            <w:noWrap w:val="0"/>
            <w:vAlign w:val="center"/>
          </w:tcPr>
          <w:p w14:paraId="67F94E8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指标值</w:t>
            </w:r>
          </w:p>
        </w:tc>
        <w:tc>
          <w:tcPr>
            <w:tcW w:w="744" w:type="dxa"/>
            <w:tcBorders>
              <w:top w:val="single" w:color="auto" w:sz="4" w:space="0"/>
            </w:tcBorders>
            <w:noWrap w:val="0"/>
            <w:vAlign w:val="center"/>
          </w:tcPr>
          <w:p w14:paraId="34EE474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计量单位</w:t>
            </w:r>
          </w:p>
        </w:tc>
        <w:tc>
          <w:tcPr>
            <w:tcW w:w="708" w:type="dxa"/>
            <w:tcBorders>
              <w:top w:val="single" w:color="auto" w:sz="4" w:space="0"/>
            </w:tcBorders>
            <w:noWrap w:val="0"/>
            <w:vAlign w:val="center"/>
          </w:tcPr>
          <w:p w14:paraId="20AB4B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指标权重</w:t>
            </w:r>
          </w:p>
        </w:tc>
        <w:tc>
          <w:tcPr>
            <w:tcW w:w="988" w:type="dxa"/>
            <w:tcBorders>
              <w:top w:val="single" w:color="auto" w:sz="4" w:space="0"/>
            </w:tcBorders>
            <w:noWrap w:val="0"/>
            <w:vAlign w:val="center"/>
          </w:tcPr>
          <w:p w14:paraId="7AC42CA7">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全年完成值</w:t>
            </w:r>
          </w:p>
        </w:tc>
        <w:tc>
          <w:tcPr>
            <w:tcW w:w="795" w:type="dxa"/>
            <w:tcBorders>
              <w:top w:val="single" w:color="auto" w:sz="4" w:space="0"/>
            </w:tcBorders>
            <w:noWrap w:val="0"/>
            <w:vAlign w:val="center"/>
          </w:tcPr>
          <w:p w14:paraId="37091B8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指标得分</w:t>
            </w:r>
          </w:p>
        </w:tc>
        <w:tc>
          <w:tcPr>
            <w:tcW w:w="615" w:type="dxa"/>
            <w:tcBorders>
              <w:top w:val="single" w:color="auto" w:sz="4" w:space="0"/>
            </w:tcBorders>
            <w:noWrap w:val="0"/>
            <w:vAlign w:val="center"/>
          </w:tcPr>
          <w:p w14:paraId="155790C2">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说明</w:t>
            </w:r>
          </w:p>
        </w:tc>
        <w:tc>
          <w:tcPr>
            <w:tcW w:w="735" w:type="dxa"/>
            <w:tcBorders>
              <w:top w:val="single" w:color="auto" w:sz="4" w:space="0"/>
            </w:tcBorders>
            <w:noWrap w:val="0"/>
            <w:vAlign w:val="center"/>
          </w:tcPr>
          <w:p w14:paraId="37F7BAF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eastAsia="方正黑体_GBK" w:cs="方正黑体_GBK"/>
                <w:color w:val="000000"/>
                <w:sz w:val="20"/>
                <w:szCs w:val="20"/>
              </w:rPr>
            </w:pPr>
            <w:r>
              <w:rPr>
                <w:rFonts w:hint="eastAsia" w:eastAsia="方正黑体_GBK" w:cs="方正黑体_GBK"/>
                <w:color w:val="000000"/>
                <w:kern w:val="0"/>
                <w:sz w:val="20"/>
                <w:szCs w:val="20"/>
                <w:lang w:bidi="ar"/>
              </w:rPr>
              <w:t>自评得分</w:t>
            </w:r>
          </w:p>
        </w:tc>
      </w:tr>
      <w:tr w14:paraId="4421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restart"/>
            <w:noWrap/>
            <w:vAlign w:val="center"/>
          </w:tcPr>
          <w:p w14:paraId="0EC95C0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kern w:val="0"/>
                <w:sz w:val="20"/>
                <w:szCs w:val="20"/>
                <w:lang w:bidi="ar"/>
              </w:rPr>
              <w:t>1</w:t>
            </w:r>
          </w:p>
        </w:tc>
        <w:tc>
          <w:tcPr>
            <w:tcW w:w="684" w:type="dxa"/>
            <w:vMerge w:val="restart"/>
            <w:noWrap/>
            <w:vAlign w:val="center"/>
          </w:tcPr>
          <w:p w14:paraId="32156BEA">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优质均衡区创建标准化建设专项经费</w:t>
            </w:r>
          </w:p>
        </w:tc>
        <w:tc>
          <w:tcPr>
            <w:tcW w:w="1224" w:type="dxa"/>
            <w:noWrap/>
            <w:vAlign w:val="center"/>
          </w:tcPr>
          <w:p w14:paraId="665F7D6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改善办学条件学校数量</w:t>
            </w:r>
          </w:p>
        </w:tc>
        <w:tc>
          <w:tcPr>
            <w:tcW w:w="840" w:type="dxa"/>
            <w:noWrap/>
            <w:vAlign w:val="center"/>
          </w:tcPr>
          <w:p w14:paraId="74F59DA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2FF58996">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744" w:type="dxa"/>
            <w:noWrap/>
            <w:vAlign w:val="center"/>
          </w:tcPr>
          <w:p w14:paraId="2697946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所</w:t>
            </w:r>
          </w:p>
        </w:tc>
        <w:tc>
          <w:tcPr>
            <w:tcW w:w="708" w:type="dxa"/>
            <w:noWrap/>
            <w:vAlign w:val="center"/>
          </w:tcPr>
          <w:p w14:paraId="6978B6A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88" w:type="dxa"/>
            <w:noWrap/>
            <w:vAlign w:val="center"/>
          </w:tcPr>
          <w:p w14:paraId="37D450E6">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w:t>
            </w:r>
          </w:p>
        </w:tc>
        <w:tc>
          <w:tcPr>
            <w:tcW w:w="795" w:type="dxa"/>
            <w:noWrap/>
            <w:vAlign w:val="center"/>
          </w:tcPr>
          <w:p w14:paraId="7D65909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615" w:type="dxa"/>
            <w:noWrap/>
            <w:vAlign w:val="center"/>
          </w:tcPr>
          <w:p w14:paraId="2F6015C6">
            <w:pPr>
              <w:keepNext w:val="0"/>
              <w:keepLines w:val="0"/>
              <w:pageBreakBefore w:val="0"/>
              <w:widowControl/>
              <w:kinsoku/>
              <w:wordWrap/>
              <w:overflowPunct/>
              <w:topLinePunct w:val="0"/>
              <w:autoSpaceDE/>
              <w:autoSpaceDN/>
              <w:bidi w:val="0"/>
              <w:adjustRightInd/>
              <w:snapToGrid/>
              <w:spacing w:line="320" w:lineRule="exact"/>
              <w:rPr>
                <w:rFonts w:hint="eastAsia" w:ascii="方正仿宋_GBK" w:hAnsi="方正仿宋_GBK" w:eastAsia="方正仿宋_GBK" w:cs="方正仿宋_GBK"/>
                <w:color w:val="000000"/>
                <w:sz w:val="20"/>
                <w:szCs w:val="20"/>
              </w:rPr>
            </w:pPr>
          </w:p>
        </w:tc>
        <w:tc>
          <w:tcPr>
            <w:tcW w:w="735" w:type="dxa"/>
            <w:vMerge w:val="restart"/>
            <w:noWrap/>
            <w:vAlign w:val="center"/>
          </w:tcPr>
          <w:p w14:paraId="791DA96F">
            <w:pPr>
              <w:keepNext w:val="0"/>
              <w:keepLines w:val="0"/>
              <w:pageBreakBefore w:val="0"/>
              <w:widowControl/>
              <w:kinsoku/>
              <w:wordWrap/>
              <w:overflowPunct/>
              <w:topLinePunct w:val="0"/>
              <w:autoSpaceDE/>
              <w:autoSpaceDN/>
              <w:bidi w:val="0"/>
              <w:adjustRightInd/>
              <w:snapToGrid/>
              <w:spacing w:line="320" w:lineRule="exact"/>
              <w:jc w:val="center"/>
              <w:rPr>
                <w:rFonts w:hint="default" w:eastAsia="宋体" w:cs="宋体"/>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r>
      <w:tr w14:paraId="3F608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noWrap/>
            <w:vAlign w:val="center"/>
          </w:tcPr>
          <w:p w14:paraId="52D5965D">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0"/>
                <w:szCs w:val="20"/>
              </w:rPr>
            </w:pPr>
          </w:p>
        </w:tc>
        <w:tc>
          <w:tcPr>
            <w:tcW w:w="684" w:type="dxa"/>
            <w:vMerge w:val="continue"/>
            <w:noWrap/>
            <w:vAlign w:val="center"/>
          </w:tcPr>
          <w:p w14:paraId="3C8925A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p>
        </w:tc>
        <w:tc>
          <w:tcPr>
            <w:tcW w:w="1224" w:type="dxa"/>
            <w:noWrap/>
            <w:vAlign w:val="center"/>
          </w:tcPr>
          <w:p w14:paraId="4064E06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完成时间</w:t>
            </w:r>
          </w:p>
        </w:tc>
        <w:tc>
          <w:tcPr>
            <w:tcW w:w="840" w:type="dxa"/>
            <w:noWrap/>
            <w:vAlign w:val="center"/>
          </w:tcPr>
          <w:p w14:paraId="2B65B74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7B1771B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204</w:t>
            </w:r>
          </w:p>
        </w:tc>
        <w:tc>
          <w:tcPr>
            <w:tcW w:w="744" w:type="dxa"/>
            <w:noWrap/>
            <w:vAlign w:val="center"/>
          </w:tcPr>
          <w:p w14:paraId="27DC507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年</w:t>
            </w:r>
          </w:p>
        </w:tc>
        <w:tc>
          <w:tcPr>
            <w:tcW w:w="708" w:type="dxa"/>
            <w:noWrap/>
            <w:vAlign w:val="center"/>
          </w:tcPr>
          <w:p w14:paraId="24A11FD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88" w:type="dxa"/>
            <w:noWrap/>
            <w:vAlign w:val="center"/>
          </w:tcPr>
          <w:p w14:paraId="56E3F125">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2024</w:t>
            </w:r>
          </w:p>
        </w:tc>
        <w:tc>
          <w:tcPr>
            <w:tcW w:w="795" w:type="dxa"/>
            <w:noWrap/>
            <w:vAlign w:val="center"/>
          </w:tcPr>
          <w:p w14:paraId="6B2CD49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615" w:type="dxa"/>
            <w:noWrap/>
            <w:vAlign w:val="center"/>
          </w:tcPr>
          <w:p w14:paraId="41353F8F">
            <w:pPr>
              <w:keepNext w:val="0"/>
              <w:keepLines w:val="0"/>
              <w:pageBreakBefore w:val="0"/>
              <w:widowControl/>
              <w:kinsoku/>
              <w:wordWrap/>
              <w:overflowPunct/>
              <w:topLinePunct w:val="0"/>
              <w:autoSpaceDE/>
              <w:autoSpaceDN/>
              <w:bidi w:val="0"/>
              <w:adjustRightInd/>
              <w:snapToGrid/>
              <w:spacing w:line="320" w:lineRule="exact"/>
              <w:rPr>
                <w:rFonts w:hint="eastAsia" w:ascii="方正仿宋_GBK" w:hAnsi="方正仿宋_GBK" w:eastAsia="方正仿宋_GBK" w:cs="方正仿宋_GBK"/>
                <w:color w:val="000000"/>
                <w:sz w:val="20"/>
                <w:szCs w:val="20"/>
              </w:rPr>
            </w:pPr>
          </w:p>
        </w:tc>
        <w:tc>
          <w:tcPr>
            <w:tcW w:w="735" w:type="dxa"/>
            <w:vMerge w:val="continue"/>
            <w:noWrap/>
            <w:vAlign w:val="center"/>
          </w:tcPr>
          <w:p w14:paraId="718D66CD">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sz w:val="20"/>
                <w:szCs w:val="20"/>
              </w:rPr>
            </w:pPr>
          </w:p>
        </w:tc>
      </w:tr>
      <w:tr w14:paraId="39E46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noWrap/>
            <w:vAlign w:val="center"/>
          </w:tcPr>
          <w:p w14:paraId="46D42826">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0"/>
                <w:szCs w:val="20"/>
              </w:rPr>
            </w:pPr>
          </w:p>
        </w:tc>
        <w:tc>
          <w:tcPr>
            <w:tcW w:w="684" w:type="dxa"/>
            <w:vMerge w:val="continue"/>
            <w:noWrap/>
            <w:vAlign w:val="center"/>
          </w:tcPr>
          <w:p w14:paraId="2B52C64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p>
        </w:tc>
        <w:tc>
          <w:tcPr>
            <w:tcW w:w="1224" w:type="dxa"/>
            <w:noWrap/>
            <w:vAlign w:val="center"/>
          </w:tcPr>
          <w:p w14:paraId="27DE9C9A">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购置金额</w:t>
            </w:r>
          </w:p>
        </w:tc>
        <w:tc>
          <w:tcPr>
            <w:tcW w:w="840" w:type="dxa"/>
            <w:noWrap/>
            <w:vAlign w:val="center"/>
          </w:tcPr>
          <w:p w14:paraId="6E83993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3917B5C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160200</w:t>
            </w:r>
          </w:p>
        </w:tc>
        <w:tc>
          <w:tcPr>
            <w:tcW w:w="744" w:type="dxa"/>
            <w:noWrap/>
            <w:vAlign w:val="center"/>
          </w:tcPr>
          <w:p w14:paraId="29FF3D4B">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元</w:t>
            </w:r>
          </w:p>
        </w:tc>
        <w:tc>
          <w:tcPr>
            <w:tcW w:w="708" w:type="dxa"/>
            <w:noWrap/>
            <w:vAlign w:val="center"/>
          </w:tcPr>
          <w:p w14:paraId="618EC947">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988" w:type="dxa"/>
            <w:noWrap/>
            <w:vAlign w:val="center"/>
          </w:tcPr>
          <w:p w14:paraId="3D52A14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160200</w:t>
            </w:r>
          </w:p>
        </w:tc>
        <w:tc>
          <w:tcPr>
            <w:tcW w:w="795" w:type="dxa"/>
            <w:noWrap/>
            <w:vAlign w:val="center"/>
          </w:tcPr>
          <w:p w14:paraId="44E95E1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20</w:t>
            </w:r>
          </w:p>
        </w:tc>
        <w:tc>
          <w:tcPr>
            <w:tcW w:w="615" w:type="dxa"/>
            <w:noWrap/>
            <w:vAlign w:val="center"/>
          </w:tcPr>
          <w:p w14:paraId="2639F07B">
            <w:pPr>
              <w:keepNext w:val="0"/>
              <w:keepLines w:val="0"/>
              <w:pageBreakBefore w:val="0"/>
              <w:widowControl/>
              <w:kinsoku/>
              <w:wordWrap/>
              <w:overflowPunct/>
              <w:topLinePunct w:val="0"/>
              <w:autoSpaceDE/>
              <w:autoSpaceDN/>
              <w:bidi w:val="0"/>
              <w:adjustRightInd/>
              <w:snapToGrid/>
              <w:spacing w:line="320" w:lineRule="exact"/>
              <w:rPr>
                <w:rFonts w:hint="eastAsia" w:ascii="方正仿宋_GBK" w:hAnsi="方正仿宋_GBK" w:eastAsia="方正仿宋_GBK" w:cs="方正仿宋_GBK"/>
                <w:color w:val="000000"/>
                <w:sz w:val="20"/>
                <w:szCs w:val="20"/>
              </w:rPr>
            </w:pPr>
          </w:p>
        </w:tc>
        <w:tc>
          <w:tcPr>
            <w:tcW w:w="735" w:type="dxa"/>
            <w:vMerge w:val="continue"/>
            <w:noWrap/>
            <w:vAlign w:val="center"/>
          </w:tcPr>
          <w:p w14:paraId="1A6632C5">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sz w:val="20"/>
                <w:szCs w:val="20"/>
              </w:rPr>
            </w:pPr>
          </w:p>
        </w:tc>
      </w:tr>
      <w:tr w14:paraId="0C2DF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noWrap/>
            <w:vAlign w:val="center"/>
          </w:tcPr>
          <w:p w14:paraId="3969606B">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0"/>
                <w:szCs w:val="20"/>
              </w:rPr>
            </w:pPr>
          </w:p>
        </w:tc>
        <w:tc>
          <w:tcPr>
            <w:tcW w:w="684" w:type="dxa"/>
            <w:vMerge w:val="continue"/>
            <w:noWrap/>
            <w:vAlign w:val="center"/>
          </w:tcPr>
          <w:p w14:paraId="24C40B07">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p>
        </w:tc>
        <w:tc>
          <w:tcPr>
            <w:tcW w:w="1224" w:type="dxa"/>
            <w:noWrap/>
            <w:vAlign w:val="center"/>
          </w:tcPr>
          <w:p w14:paraId="1ADE7BA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达成效果</w:t>
            </w:r>
          </w:p>
        </w:tc>
        <w:tc>
          <w:tcPr>
            <w:tcW w:w="840" w:type="dxa"/>
            <w:noWrap/>
            <w:vAlign w:val="center"/>
          </w:tcPr>
          <w:p w14:paraId="64C52537">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定性</w:t>
            </w:r>
          </w:p>
        </w:tc>
        <w:tc>
          <w:tcPr>
            <w:tcW w:w="708" w:type="dxa"/>
            <w:noWrap/>
            <w:vAlign w:val="center"/>
          </w:tcPr>
          <w:p w14:paraId="23CA06BA">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改善办学条件</w:t>
            </w:r>
          </w:p>
        </w:tc>
        <w:tc>
          <w:tcPr>
            <w:tcW w:w="744" w:type="dxa"/>
            <w:noWrap/>
            <w:vAlign w:val="center"/>
          </w:tcPr>
          <w:p w14:paraId="0E417DB1">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0B509F16">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988" w:type="dxa"/>
            <w:noWrap/>
            <w:vAlign w:val="center"/>
          </w:tcPr>
          <w:p w14:paraId="6CA4E0D3">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全部完成</w:t>
            </w:r>
          </w:p>
        </w:tc>
        <w:tc>
          <w:tcPr>
            <w:tcW w:w="795" w:type="dxa"/>
            <w:noWrap/>
            <w:vAlign w:val="center"/>
          </w:tcPr>
          <w:p w14:paraId="2FD2A7E7">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615" w:type="dxa"/>
            <w:noWrap/>
            <w:vAlign w:val="center"/>
          </w:tcPr>
          <w:p w14:paraId="1C856A12">
            <w:pPr>
              <w:keepNext w:val="0"/>
              <w:keepLines w:val="0"/>
              <w:pageBreakBefore w:val="0"/>
              <w:widowControl/>
              <w:kinsoku/>
              <w:wordWrap/>
              <w:overflowPunct/>
              <w:topLinePunct w:val="0"/>
              <w:autoSpaceDE/>
              <w:autoSpaceDN/>
              <w:bidi w:val="0"/>
              <w:adjustRightInd/>
              <w:snapToGrid/>
              <w:spacing w:line="320" w:lineRule="exact"/>
              <w:rPr>
                <w:rFonts w:hint="eastAsia" w:ascii="方正仿宋_GBK" w:hAnsi="方正仿宋_GBK" w:eastAsia="方正仿宋_GBK" w:cs="方正仿宋_GBK"/>
                <w:color w:val="000000"/>
                <w:sz w:val="20"/>
                <w:szCs w:val="20"/>
              </w:rPr>
            </w:pPr>
          </w:p>
        </w:tc>
        <w:tc>
          <w:tcPr>
            <w:tcW w:w="735" w:type="dxa"/>
            <w:vMerge w:val="continue"/>
            <w:noWrap/>
            <w:vAlign w:val="center"/>
          </w:tcPr>
          <w:p w14:paraId="1B9C1364">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sz w:val="20"/>
                <w:szCs w:val="20"/>
              </w:rPr>
            </w:pPr>
          </w:p>
        </w:tc>
      </w:tr>
      <w:tr w14:paraId="5C179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noWrap/>
            <w:vAlign w:val="center"/>
          </w:tcPr>
          <w:p w14:paraId="745CA2B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0"/>
                <w:szCs w:val="20"/>
              </w:rPr>
            </w:pPr>
          </w:p>
        </w:tc>
        <w:tc>
          <w:tcPr>
            <w:tcW w:w="684" w:type="dxa"/>
            <w:vMerge w:val="continue"/>
            <w:noWrap/>
            <w:vAlign w:val="center"/>
          </w:tcPr>
          <w:p w14:paraId="3D52583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p>
        </w:tc>
        <w:tc>
          <w:tcPr>
            <w:tcW w:w="1224" w:type="dxa"/>
            <w:noWrap/>
            <w:vAlign w:val="center"/>
          </w:tcPr>
          <w:p w14:paraId="6739F270">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达成效果</w:t>
            </w:r>
          </w:p>
        </w:tc>
        <w:tc>
          <w:tcPr>
            <w:tcW w:w="840" w:type="dxa"/>
            <w:noWrap/>
            <w:vAlign w:val="center"/>
          </w:tcPr>
          <w:p w14:paraId="58267B0E">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eastAsia="zh-CN"/>
              </w:rPr>
            </w:pPr>
            <w:r>
              <w:rPr>
                <w:rFonts w:hint="eastAsia" w:ascii="方正仿宋_GBK" w:hAnsi="方正仿宋_GBK" w:eastAsia="方正仿宋_GBK" w:cs="方正仿宋_GBK"/>
                <w:color w:val="000000"/>
                <w:sz w:val="20"/>
                <w:szCs w:val="20"/>
                <w:lang w:eastAsia="zh-CN"/>
              </w:rPr>
              <w:t>定性</w:t>
            </w:r>
          </w:p>
        </w:tc>
        <w:tc>
          <w:tcPr>
            <w:tcW w:w="708" w:type="dxa"/>
            <w:noWrap/>
            <w:vAlign w:val="center"/>
          </w:tcPr>
          <w:p w14:paraId="6B01E26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改善办学条件</w:t>
            </w:r>
          </w:p>
        </w:tc>
        <w:tc>
          <w:tcPr>
            <w:tcW w:w="744" w:type="dxa"/>
            <w:noWrap/>
            <w:vAlign w:val="center"/>
          </w:tcPr>
          <w:p w14:paraId="7BA8EEA6">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3717240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988" w:type="dxa"/>
            <w:noWrap/>
            <w:vAlign w:val="center"/>
          </w:tcPr>
          <w:p w14:paraId="1445E9C1">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eastAsia="zh-CN"/>
              </w:rPr>
              <w:t>全部完成</w:t>
            </w:r>
          </w:p>
        </w:tc>
        <w:tc>
          <w:tcPr>
            <w:tcW w:w="795" w:type="dxa"/>
            <w:noWrap/>
            <w:vAlign w:val="center"/>
          </w:tcPr>
          <w:p w14:paraId="3888A1D2">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15</w:t>
            </w:r>
          </w:p>
        </w:tc>
        <w:tc>
          <w:tcPr>
            <w:tcW w:w="615" w:type="dxa"/>
            <w:noWrap/>
            <w:vAlign w:val="center"/>
          </w:tcPr>
          <w:p w14:paraId="306E07EE">
            <w:pPr>
              <w:keepNext w:val="0"/>
              <w:keepLines w:val="0"/>
              <w:pageBreakBefore w:val="0"/>
              <w:widowControl/>
              <w:kinsoku/>
              <w:wordWrap/>
              <w:overflowPunct/>
              <w:topLinePunct w:val="0"/>
              <w:autoSpaceDE/>
              <w:autoSpaceDN/>
              <w:bidi w:val="0"/>
              <w:adjustRightInd/>
              <w:snapToGrid/>
              <w:spacing w:line="320" w:lineRule="exact"/>
              <w:rPr>
                <w:rFonts w:hint="eastAsia" w:ascii="方正仿宋_GBK" w:hAnsi="方正仿宋_GBK" w:eastAsia="方正仿宋_GBK" w:cs="方正仿宋_GBK"/>
                <w:color w:val="000000"/>
                <w:sz w:val="20"/>
                <w:szCs w:val="20"/>
              </w:rPr>
            </w:pPr>
          </w:p>
        </w:tc>
        <w:tc>
          <w:tcPr>
            <w:tcW w:w="735" w:type="dxa"/>
            <w:vMerge w:val="continue"/>
            <w:noWrap/>
            <w:vAlign w:val="center"/>
          </w:tcPr>
          <w:p w14:paraId="4B101DFA">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sz w:val="20"/>
                <w:szCs w:val="20"/>
              </w:rPr>
            </w:pPr>
          </w:p>
        </w:tc>
      </w:tr>
      <w:tr w14:paraId="1A039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noWrap/>
            <w:vAlign w:val="center"/>
          </w:tcPr>
          <w:p w14:paraId="7978F46A">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0"/>
                <w:szCs w:val="20"/>
              </w:rPr>
            </w:pPr>
          </w:p>
        </w:tc>
        <w:tc>
          <w:tcPr>
            <w:tcW w:w="684" w:type="dxa"/>
            <w:vMerge w:val="continue"/>
            <w:noWrap/>
            <w:vAlign w:val="center"/>
          </w:tcPr>
          <w:p w14:paraId="7F6C701D">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p>
        </w:tc>
        <w:tc>
          <w:tcPr>
            <w:tcW w:w="1224" w:type="dxa"/>
            <w:noWrap/>
            <w:vAlign w:val="center"/>
          </w:tcPr>
          <w:p w14:paraId="15AE56F6">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eastAsia="zh-CN"/>
              </w:rPr>
              <w:t>义务教育社会认可度</w:t>
            </w:r>
          </w:p>
        </w:tc>
        <w:tc>
          <w:tcPr>
            <w:tcW w:w="840" w:type="dxa"/>
            <w:noWrap/>
            <w:vAlign w:val="center"/>
          </w:tcPr>
          <w:p w14:paraId="7A68001B">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3823A5F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744" w:type="dxa"/>
            <w:noWrap/>
            <w:vAlign w:val="center"/>
          </w:tcPr>
          <w:p w14:paraId="74CD3C95">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034B765C">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88" w:type="dxa"/>
            <w:noWrap/>
            <w:vAlign w:val="center"/>
          </w:tcPr>
          <w:p w14:paraId="00A9B0D9">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95</w:t>
            </w:r>
          </w:p>
        </w:tc>
        <w:tc>
          <w:tcPr>
            <w:tcW w:w="795" w:type="dxa"/>
            <w:noWrap/>
            <w:vAlign w:val="center"/>
          </w:tcPr>
          <w:p w14:paraId="20E668E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15" w:type="dxa"/>
            <w:noWrap/>
            <w:vAlign w:val="center"/>
          </w:tcPr>
          <w:p w14:paraId="22040E79">
            <w:pPr>
              <w:keepNext w:val="0"/>
              <w:keepLines w:val="0"/>
              <w:pageBreakBefore w:val="0"/>
              <w:widowControl/>
              <w:kinsoku/>
              <w:wordWrap/>
              <w:overflowPunct/>
              <w:topLinePunct w:val="0"/>
              <w:autoSpaceDE/>
              <w:autoSpaceDN/>
              <w:bidi w:val="0"/>
              <w:adjustRightInd/>
              <w:snapToGrid/>
              <w:spacing w:line="320" w:lineRule="exact"/>
              <w:rPr>
                <w:rFonts w:hint="eastAsia" w:ascii="方正仿宋_GBK" w:hAnsi="方正仿宋_GBK" w:eastAsia="方正仿宋_GBK" w:cs="方正仿宋_GBK"/>
                <w:color w:val="000000"/>
                <w:sz w:val="20"/>
                <w:szCs w:val="20"/>
              </w:rPr>
            </w:pPr>
          </w:p>
        </w:tc>
        <w:tc>
          <w:tcPr>
            <w:tcW w:w="735" w:type="dxa"/>
            <w:vMerge w:val="continue"/>
            <w:noWrap/>
            <w:vAlign w:val="center"/>
          </w:tcPr>
          <w:p w14:paraId="3AEAEE90">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sz w:val="20"/>
                <w:szCs w:val="20"/>
              </w:rPr>
            </w:pPr>
          </w:p>
        </w:tc>
      </w:tr>
      <w:tr w14:paraId="56A3B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04" w:type="dxa"/>
            <w:vMerge w:val="continue"/>
            <w:noWrap/>
            <w:vAlign w:val="center"/>
          </w:tcPr>
          <w:p w14:paraId="0D11D383">
            <w:pPr>
              <w:keepNext w:val="0"/>
              <w:keepLines w:val="0"/>
              <w:pageBreakBefore w:val="0"/>
              <w:widowControl/>
              <w:kinsoku/>
              <w:wordWrap/>
              <w:overflowPunct/>
              <w:topLinePunct w:val="0"/>
              <w:autoSpaceDE/>
              <w:autoSpaceDN/>
              <w:bidi w:val="0"/>
              <w:adjustRightInd/>
              <w:snapToGrid/>
              <w:spacing w:line="320" w:lineRule="exact"/>
              <w:jc w:val="center"/>
              <w:textAlignment w:val="center"/>
              <w:rPr>
                <w:rFonts w:hint="eastAsia" w:ascii="方正仿宋_GBK" w:hAnsi="方正仿宋_GBK" w:eastAsia="方正仿宋_GBK" w:cs="方正仿宋_GBK"/>
                <w:color w:val="000000"/>
                <w:sz w:val="20"/>
                <w:szCs w:val="20"/>
              </w:rPr>
            </w:pPr>
          </w:p>
        </w:tc>
        <w:tc>
          <w:tcPr>
            <w:tcW w:w="684" w:type="dxa"/>
            <w:vMerge w:val="continue"/>
            <w:noWrap/>
            <w:vAlign w:val="center"/>
          </w:tcPr>
          <w:p w14:paraId="556D980B">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rPr>
            </w:pPr>
          </w:p>
        </w:tc>
        <w:tc>
          <w:tcPr>
            <w:tcW w:w="1224" w:type="dxa"/>
            <w:noWrap/>
            <w:vAlign w:val="center"/>
          </w:tcPr>
          <w:p w14:paraId="6BF96B56">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执行率</w:t>
            </w:r>
          </w:p>
        </w:tc>
        <w:tc>
          <w:tcPr>
            <w:tcW w:w="840" w:type="dxa"/>
            <w:noWrap/>
            <w:vAlign w:val="center"/>
          </w:tcPr>
          <w:p w14:paraId="6C71E2FF">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21EF6ED9">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44" w:type="dxa"/>
            <w:noWrap/>
            <w:vAlign w:val="center"/>
          </w:tcPr>
          <w:p w14:paraId="175DCC38">
            <w:pPr>
              <w:keepNext w:val="0"/>
              <w:keepLines w:val="0"/>
              <w:pageBreakBefore w:val="0"/>
              <w:widowControl/>
              <w:kinsoku/>
              <w:wordWrap/>
              <w:overflowPunct/>
              <w:topLinePunct w:val="0"/>
              <w:autoSpaceDE/>
              <w:autoSpaceDN/>
              <w:bidi w:val="0"/>
              <w:adjustRightInd/>
              <w:snapToGrid/>
              <w:spacing w:line="320" w:lineRule="exact"/>
              <w:jc w:val="center"/>
              <w:rPr>
                <w:rFonts w:hint="eastAsia"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w:t>
            </w:r>
          </w:p>
        </w:tc>
        <w:tc>
          <w:tcPr>
            <w:tcW w:w="708" w:type="dxa"/>
            <w:noWrap/>
            <w:vAlign w:val="center"/>
          </w:tcPr>
          <w:p w14:paraId="0DF3A546">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988" w:type="dxa"/>
            <w:noWrap/>
            <w:vAlign w:val="center"/>
          </w:tcPr>
          <w:p w14:paraId="785C0E98">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100</w:t>
            </w:r>
          </w:p>
        </w:tc>
        <w:tc>
          <w:tcPr>
            <w:tcW w:w="795" w:type="dxa"/>
            <w:noWrap/>
            <w:vAlign w:val="center"/>
          </w:tcPr>
          <w:p w14:paraId="35B39FCE">
            <w:pPr>
              <w:keepNext w:val="0"/>
              <w:keepLines w:val="0"/>
              <w:pageBreakBefore w:val="0"/>
              <w:widowControl/>
              <w:kinsoku/>
              <w:wordWrap/>
              <w:overflowPunct/>
              <w:topLinePunct w:val="0"/>
              <w:autoSpaceDE/>
              <w:autoSpaceDN/>
              <w:bidi w:val="0"/>
              <w:adjustRightInd/>
              <w:snapToGrid/>
              <w:spacing w:line="320" w:lineRule="exact"/>
              <w:jc w:val="center"/>
              <w:rPr>
                <w:rFonts w:hint="default" w:ascii="方正仿宋_GBK" w:hAnsi="方正仿宋_GBK" w:eastAsia="方正仿宋_GBK" w:cs="方正仿宋_GBK"/>
                <w:color w:val="000000"/>
                <w:sz w:val="20"/>
                <w:szCs w:val="20"/>
                <w:lang w:val="en-US" w:eastAsia="zh-CN"/>
              </w:rPr>
            </w:pPr>
            <w:r>
              <w:rPr>
                <w:rFonts w:hint="eastAsia" w:ascii="方正仿宋_GBK" w:hAnsi="方正仿宋_GBK" w:eastAsia="方正仿宋_GBK" w:cs="方正仿宋_GBK"/>
                <w:color w:val="000000"/>
                <w:sz w:val="20"/>
                <w:szCs w:val="20"/>
                <w:lang w:val="en-US" w:eastAsia="zh-CN"/>
              </w:rPr>
              <w:t>10</w:t>
            </w:r>
          </w:p>
        </w:tc>
        <w:tc>
          <w:tcPr>
            <w:tcW w:w="615" w:type="dxa"/>
            <w:noWrap/>
            <w:vAlign w:val="center"/>
          </w:tcPr>
          <w:p w14:paraId="01C66D85">
            <w:pPr>
              <w:keepNext w:val="0"/>
              <w:keepLines w:val="0"/>
              <w:pageBreakBefore w:val="0"/>
              <w:widowControl/>
              <w:kinsoku/>
              <w:wordWrap/>
              <w:overflowPunct/>
              <w:topLinePunct w:val="0"/>
              <w:autoSpaceDE/>
              <w:autoSpaceDN/>
              <w:bidi w:val="0"/>
              <w:adjustRightInd/>
              <w:snapToGrid/>
              <w:spacing w:line="320" w:lineRule="exact"/>
              <w:rPr>
                <w:rFonts w:hint="eastAsia" w:ascii="方正仿宋_GBK" w:hAnsi="方正仿宋_GBK" w:eastAsia="方正仿宋_GBK" w:cs="方正仿宋_GBK"/>
                <w:color w:val="000000"/>
                <w:sz w:val="20"/>
                <w:szCs w:val="20"/>
              </w:rPr>
            </w:pPr>
          </w:p>
        </w:tc>
        <w:tc>
          <w:tcPr>
            <w:tcW w:w="735" w:type="dxa"/>
            <w:vMerge w:val="continue"/>
            <w:noWrap/>
            <w:vAlign w:val="center"/>
          </w:tcPr>
          <w:p w14:paraId="39FA338E">
            <w:pPr>
              <w:keepNext w:val="0"/>
              <w:keepLines w:val="0"/>
              <w:pageBreakBefore w:val="0"/>
              <w:widowControl/>
              <w:kinsoku/>
              <w:wordWrap/>
              <w:overflowPunct/>
              <w:topLinePunct w:val="0"/>
              <w:autoSpaceDE/>
              <w:autoSpaceDN/>
              <w:bidi w:val="0"/>
              <w:adjustRightInd/>
              <w:snapToGrid/>
              <w:spacing w:line="320" w:lineRule="exact"/>
              <w:jc w:val="center"/>
              <w:rPr>
                <w:rFonts w:cs="宋体"/>
                <w:color w:val="000000"/>
                <w:sz w:val="20"/>
                <w:szCs w:val="20"/>
              </w:rPr>
            </w:pPr>
          </w:p>
        </w:tc>
      </w:tr>
    </w:tbl>
    <w:p w14:paraId="1169F380">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（二）单位重点绩效评价情况</w:t>
      </w:r>
    </w:p>
    <w:p w14:paraId="7C8CD028">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我单位2024年无重点绩效评价。</w:t>
      </w:r>
    </w:p>
    <w:p w14:paraId="76313F04">
      <w:pPr>
        <w:widowControl w:val="0"/>
        <w:adjustRightInd w:val="0"/>
        <w:snapToGrid w:val="0"/>
        <w:spacing w:line="600" w:lineRule="exact"/>
        <w:ind w:left="1120" w:leftChars="200" w:hanging="640" w:hangingChars="200"/>
        <w:jc w:val="both"/>
        <w:rPr>
          <w:rFonts w:hint="eastAsia" w:ascii="Times New Roman" w:hAnsi="Times New Roman" w:eastAsia="方正楷体_GBK" w:cs="宋体"/>
          <w:bCs/>
          <w:kern w:val="0"/>
          <w:sz w:val="32"/>
          <w:szCs w:val="20"/>
          <w:lang w:val="en-US" w:eastAsia="zh-CN"/>
        </w:rPr>
      </w:pPr>
      <w:r>
        <w:rPr>
          <w:rFonts w:hint="eastAsia" w:ascii="Times New Roman" w:hAnsi="Times New Roman" w:eastAsia="方正楷体_GBK" w:cs="宋体"/>
          <w:bCs/>
          <w:kern w:val="0"/>
          <w:sz w:val="32"/>
          <w:szCs w:val="20"/>
          <w:lang w:val="en-US" w:eastAsia="zh-CN"/>
        </w:rPr>
        <w:t>（三）财政绩效评价情况</w:t>
      </w:r>
    </w:p>
    <w:p w14:paraId="6CBAD639">
      <w:pPr>
        <w:keepNext w:val="0"/>
        <w:keepLines w:val="0"/>
        <w:pageBreakBefore w:val="0"/>
        <w:tabs>
          <w:tab w:val="center" w:pos="4153"/>
          <w:tab w:val="left" w:pos="7275"/>
        </w:tabs>
        <w:kinsoku/>
        <w:wordWrap/>
        <w:overflowPunct/>
        <w:topLinePunct w:val="0"/>
        <w:autoSpaceDN/>
        <w:bidi w:val="0"/>
        <w:spacing w:line="600" w:lineRule="exact"/>
        <w:ind w:firstLine="640" w:firstLineChars="200"/>
        <w:textAlignment w:val="auto"/>
        <w:rPr>
          <w:rFonts w:hint="eastAsia" w:ascii="方正仿宋_GBK" w:hAnsi="方正仿宋_GBK" w:eastAsia="方正仿宋_GBK" w:cs="方正仿宋_GBK"/>
          <w:kern w:val="0"/>
          <w:sz w:val="32"/>
          <w:szCs w:val="32"/>
          <w:shd w:val="clear" w:fill="FFFFFF"/>
          <w:lang w:val="en-US" w:eastAsia="zh-CN" w:bidi="ar-SA"/>
        </w:rPr>
      </w:pPr>
      <w:r>
        <w:rPr>
          <w:rFonts w:hint="eastAsia" w:ascii="Times New Roman" w:hAnsi="Times New Roman" w:eastAsia="方正仿宋_GBK" w:cs="宋体"/>
          <w:kern w:val="0"/>
          <w:sz w:val="32"/>
          <w:szCs w:val="32"/>
          <w:lang w:val="en-US" w:eastAsia="zh-CN"/>
        </w:rPr>
        <w:t>财政重点绩效评价由区财政局统一公开。</w:t>
      </w:r>
    </w:p>
    <w:p w14:paraId="6EEFFA8A">
      <w:pPr>
        <w:pStyle w:val="11"/>
        <w:keepNext w:val="0"/>
        <w:keepLines w:val="0"/>
        <w:pageBreakBefore w:val="0"/>
        <w:widowControl w:val="0"/>
        <w:kinsoku/>
        <w:wordWrap/>
        <w:overflowPunct/>
        <w:topLinePunct w:val="0"/>
        <w:autoSpaceDE w:val="0"/>
        <w:autoSpaceDN/>
        <w:bidi w:val="0"/>
        <w:adjustRightInd/>
        <w:snapToGrid w:val="0"/>
        <w:spacing w:line="600" w:lineRule="exact"/>
        <w:ind w:firstLine="640"/>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六、专业名词解释</w:t>
      </w:r>
    </w:p>
    <w:p w14:paraId="47ABFA4A">
      <w:pPr>
        <w:pStyle w:val="6"/>
        <w:keepNext w:val="0"/>
        <w:keepLines w:val="0"/>
        <w:pageBreakBefore w:val="0"/>
        <w:widowControl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Times New Roman" w:hAnsi="Times New Roman" w:eastAsia="方正楷体_GBK" w:cs="宋体"/>
          <w:bCs/>
          <w:kern w:val="0"/>
          <w:sz w:val="32"/>
          <w:szCs w:val="20"/>
          <w:lang w:val="en-US" w:eastAsia="zh-CN" w:bidi="ar-SA"/>
        </w:rPr>
        <w:t>（一）财政拨款收入：</w:t>
      </w:r>
      <w:r>
        <w:rPr>
          <w:rFonts w:hint="eastAsia" w:ascii="方正仿宋_GBK" w:hAnsi="方正仿宋_GBK" w:eastAsia="方正仿宋_GBK" w:cs="方正仿宋_GBK"/>
          <w:sz w:val="32"/>
          <w:szCs w:val="32"/>
          <w:shd w:val="clear" w:color="auto" w:fill="FFFFFF"/>
        </w:rPr>
        <w:t>指本</w:t>
      </w:r>
      <w:r>
        <w:rPr>
          <w:rFonts w:hint="eastAsia" w:ascii="Times New Roman" w:hAnsi="Times New Roman" w:eastAsia="方正仿宋_GBK" w:cs="宋体"/>
          <w:kern w:val="0"/>
          <w:sz w:val="32"/>
          <w:szCs w:val="32"/>
          <w:lang w:val="en-US" w:eastAsia="zh-CN" w:bidi="ar-SA"/>
        </w:rPr>
        <w:t>年度从本级财政部门取得的财政拨款，包括一般公共预算财政拨款和政府性基</w:t>
      </w:r>
      <w:r>
        <w:rPr>
          <w:rFonts w:hint="eastAsia" w:ascii="方正仿宋_GBK" w:hAnsi="方正仿宋_GBK" w:eastAsia="方正仿宋_GBK" w:cs="方正仿宋_GBK"/>
          <w:sz w:val="32"/>
          <w:szCs w:val="32"/>
          <w:shd w:val="clear" w:color="auto" w:fill="FFFFFF"/>
        </w:rPr>
        <w:t>金</w:t>
      </w:r>
      <w:r>
        <w:rPr>
          <w:rFonts w:hint="eastAsia" w:ascii="Times New Roman" w:hAnsi="Times New Roman" w:eastAsia="方正仿宋_GBK" w:cs="宋体"/>
          <w:kern w:val="0"/>
          <w:sz w:val="32"/>
          <w:szCs w:val="32"/>
          <w:lang w:val="en-US" w:eastAsia="zh-CN" w:bidi="ar-SA"/>
        </w:rPr>
        <w:t>预算财政拨</w:t>
      </w:r>
      <w:r>
        <w:rPr>
          <w:rFonts w:hint="eastAsia" w:ascii="方正仿宋_GBK" w:hAnsi="方正仿宋_GBK" w:eastAsia="方正仿宋_GBK" w:cs="方正仿宋_GBK"/>
          <w:sz w:val="32"/>
          <w:szCs w:val="32"/>
          <w:shd w:val="clear" w:color="auto" w:fill="FFFFFF"/>
        </w:rPr>
        <w:t>款。</w:t>
      </w:r>
    </w:p>
    <w:p w14:paraId="74F0A1C2">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（二）事业收入：</w:t>
      </w:r>
      <w:r>
        <w:rPr>
          <w:rFonts w:hint="eastAsia" w:ascii="Times New Roman" w:hAnsi="Times New Roman" w:eastAsia="方正仿宋_GBK" w:cs="宋体"/>
          <w:kern w:val="0"/>
          <w:sz w:val="32"/>
          <w:szCs w:val="32"/>
          <w:lang w:val="en-US" w:eastAsia="zh-CN" w:bidi="ar-SA"/>
        </w:rPr>
        <w:t>指事业单位开展专业业务活动及其辅助活动取得的现金流入；事业单位收到的财政专户实际核拨的教育收费等资金在此反映。</w:t>
      </w:r>
    </w:p>
    <w:p w14:paraId="374D202E">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（三）经营收入：</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7D4F2E64">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（四）其他收入：</w:t>
      </w:r>
      <w:r>
        <w:rPr>
          <w:rFonts w:hint="eastAsia" w:ascii="方正仿宋_GBK" w:hAnsi="方正仿宋_GBK" w:eastAsia="方正仿宋_GBK" w:cs="方正仿宋_GBK"/>
          <w:sz w:val="32"/>
          <w:szCs w:val="32"/>
          <w:shd w:val="clear" w:color="auto" w:fill="FFFFFF"/>
        </w:rPr>
        <w:t>指</w:t>
      </w:r>
      <w:r>
        <w:rPr>
          <w:rFonts w:hint="eastAsia" w:ascii="Times New Roman" w:hAnsi="Times New Roman" w:eastAsia="方正仿宋_GBK" w:cs="宋体"/>
          <w:kern w:val="0"/>
          <w:sz w:val="32"/>
          <w:szCs w:val="32"/>
          <w:lang w:val="en-US" w:eastAsia="zh-CN" w:bidi="ar-SA"/>
        </w:rPr>
        <w:t>单位取得的除“财政拨款收入”、“事业收入”、“经营收入”等以外的收入，包括未纳入财政预算或财政专户管理的投资收益、银行存款利息收入、租金收入、捐赠收入，现金盘盈收入、存货盘盈收入</w:t>
      </w:r>
      <w:r>
        <w:rPr>
          <w:rFonts w:hint="eastAsia" w:ascii="方正仿宋_GBK" w:hAnsi="方正仿宋_GBK" w:eastAsia="方正仿宋_GBK" w:cs="方正仿宋_GBK"/>
          <w:sz w:val="32"/>
          <w:szCs w:val="32"/>
          <w:shd w:val="clear" w:color="auto" w:fill="FFFFFF"/>
        </w:rPr>
        <w:t>、收回已核销的应收及预付款项、无法偿付的应付</w:t>
      </w:r>
      <w:r>
        <w:rPr>
          <w:rFonts w:hint="eastAsia" w:ascii="Times New Roman" w:hAnsi="Times New Roman" w:eastAsia="方正仿宋_GBK" w:cs="宋体"/>
          <w:kern w:val="0"/>
          <w:sz w:val="32"/>
          <w:szCs w:val="32"/>
          <w:lang w:val="en-US" w:eastAsia="zh-CN" w:bidi="ar-SA"/>
        </w:rPr>
        <w:t>及预收款项等。各单位从本级财政部门以外的同级单位取得的经费、从非本级财政部门取得的经费</w:t>
      </w:r>
      <w:r>
        <w:rPr>
          <w:rFonts w:hint="eastAsia" w:ascii="方正仿宋_GBK" w:hAnsi="方正仿宋_GBK" w:eastAsia="方正仿宋_GBK" w:cs="方正仿宋_GBK"/>
          <w:sz w:val="32"/>
          <w:szCs w:val="32"/>
          <w:shd w:val="clear" w:color="auto" w:fill="FFFFFF"/>
        </w:rPr>
        <w:t>，以及行政单位收到的财政专户管理资金反映在本项内。</w:t>
      </w:r>
    </w:p>
    <w:p w14:paraId="56D23EE1">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（五）使用非财政拨款结余：</w:t>
      </w:r>
      <w:r>
        <w:rPr>
          <w:rFonts w:hint="eastAsia"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43FF1F25">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（六）年初结转和结余：</w:t>
      </w:r>
      <w:r>
        <w:rPr>
          <w:rFonts w:hint="eastAsia" w:ascii="方正仿宋_GBK" w:hAnsi="方正仿宋_GBK" w:eastAsia="方正仿宋_GBK" w:cs="方正仿宋_GBK"/>
          <w:sz w:val="32"/>
          <w:szCs w:val="32"/>
          <w:shd w:val="clear" w:color="auto" w:fill="FFFFFF"/>
        </w:rPr>
        <w:t>指单位上年结转本年使用的基本支出结转、项目支出结转和结余、经营结余。</w:t>
      </w:r>
    </w:p>
    <w:p w14:paraId="14698705">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（七）结余分配：</w:t>
      </w:r>
      <w:r>
        <w:rPr>
          <w:rFonts w:hint="eastAsia"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6F32B43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（八）年末结转和结余：</w:t>
      </w:r>
      <w:r>
        <w:rPr>
          <w:rFonts w:hint="eastAsia" w:ascii="方正仿宋_GBK" w:hAnsi="方正仿宋_GBK" w:eastAsia="方正仿宋_GBK" w:cs="方正仿宋_GBK"/>
          <w:sz w:val="32"/>
          <w:szCs w:val="32"/>
          <w:shd w:val="clear" w:color="auto" w:fill="FFFFFF"/>
        </w:rPr>
        <w:t>指单位结转下年的基本支出结转、项目支出结转和结余、经营结余。</w:t>
      </w:r>
    </w:p>
    <w:p w14:paraId="7BE9EE3A">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（九）基本支出：</w:t>
      </w:r>
      <w:r>
        <w:rPr>
          <w:rFonts w:hint="eastAsia"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12AE1D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（十）项目支出：</w:t>
      </w:r>
      <w:r>
        <w:rPr>
          <w:rFonts w:hint="eastAsia" w:ascii="方正仿宋_GBK" w:hAnsi="方正仿宋_GBK" w:eastAsia="方正仿宋_GBK" w:cs="方正仿宋_GBK"/>
          <w:sz w:val="32"/>
          <w:szCs w:val="32"/>
          <w:shd w:val="clear" w:color="auto" w:fill="FFFFFF"/>
        </w:rPr>
        <w:t>指在基本支出之外为完成特定行政任务和事业发展目标所发生的支出。</w:t>
      </w:r>
    </w:p>
    <w:p w14:paraId="6934A11B">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（十一）经营支出：</w:t>
      </w:r>
      <w:r>
        <w:rPr>
          <w:rFonts w:hint="eastAsia"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04A76D88">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（十二）“三公”经费：</w:t>
      </w:r>
      <w:r>
        <w:rPr>
          <w:rFonts w:hint="eastAsia"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5594C3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（十三）机关运行经费：</w:t>
      </w:r>
      <w:r>
        <w:rPr>
          <w:rFonts w:hint="eastAsia"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2FF95873">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（十四）工资福利支出（支出经济分类科目类级）：</w:t>
      </w:r>
      <w:r>
        <w:rPr>
          <w:rFonts w:hint="eastAsia"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3D456F02">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（十五）商品和服务支出（支出经济分类科目类级）：</w:t>
      </w:r>
      <w:r>
        <w:rPr>
          <w:rFonts w:hint="eastAsia"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094A5FC0">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b w:val="0"/>
          <w:bCs w:val="0"/>
          <w:sz w:val="32"/>
          <w:szCs w:val="32"/>
          <w:shd w:val="clear" w:color="auto" w:fill="FFFFFF"/>
        </w:rPr>
        <w:t>（十六）对个人和家庭的补助（支出经济分类科目类级）：</w:t>
      </w:r>
      <w:r>
        <w:rPr>
          <w:rFonts w:hint="eastAsia" w:ascii="方正仿宋_GBK" w:hAnsi="方正仿宋_GBK" w:eastAsia="方正仿宋_GBK" w:cs="方正仿宋_GBK"/>
          <w:sz w:val="32"/>
          <w:szCs w:val="32"/>
          <w:shd w:val="clear" w:color="auto" w:fill="FFFFFF"/>
        </w:rPr>
        <w:t>反映用于对个人和家庭的补助支出。</w:t>
      </w:r>
    </w:p>
    <w:p w14:paraId="31B75086">
      <w:pPr>
        <w:pStyle w:val="6"/>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eastAsia" w:ascii="方正仿宋_GBK" w:hAnsi="方正仿宋_GBK" w:eastAsia="方正仿宋_GBK" w:cs="方正仿宋_GBK"/>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（十七）其他资本性支出（支出经济分类科目类级）：</w:t>
      </w:r>
      <w:r>
        <w:rPr>
          <w:rFonts w:hint="eastAsia"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5795EEB1">
      <w:pPr>
        <w:pStyle w:val="12"/>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七、决算公开联系方式及信息反馈渠道</w:t>
      </w:r>
    </w:p>
    <w:p w14:paraId="1659E639">
      <w:pPr>
        <w:pStyle w:val="12"/>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r>
        <w:rPr>
          <w:rFonts w:hint="default" w:ascii="Times New Roman" w:hAnsi="Times New Roman" w:eastAsia="方正仿宋_GBK" w:cs="宋体"/>
          <w:kern w:val="0"/>
          <w:sz w:val="32"/>
          <w:szCs w:val="32"/>
          <w:lang w:val="en-US" w:eastAsia="zh-CN" w:bidi="ar-SA"/>
        </w:rPr>
        <w:t>本单位决算公开信息反馈和联系方式：023-65269254。</w:t>
      </w:r>
    </w:p>
    <w:p w14:paraId="6B2C56AF">
      <w:pPr>
        <w:pStyle w:val="12"/>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0" w:firstLineChars="200"/>
        <w:jc w:val="both"/>
        <w:textAlignment w:val="auto"/>
        <w:rPr>
          <w:rFonts w:hint="default" w:ascii="Times New Roman" w:hAnsi="Times New Roman" w:eastAsia="方正仿宋_GBK" w:cs="宋体"/>
          <w:kern w:val="0"/>
          <w:sz w:val="32"/>
          <w:szCs w:val="32"/>
          <w:lang w:val="en-US" w:eastAsia="zh-CN" w:bidi="ar-SA"/>
        </w:rPr>
      </w:pPr>
    </w:p>
    <w:p w14:paraId="44FF861A">
      <w:pPr>
        <w:keepNext w:val="0"/>
        <w:keepLines w:val="0"/>
        <w:pageBreakBefore w:val="0"/>
        <w:widowControl w:val="0"/>
        <w:kinsoku/>
        <w:wordWrap/>
        <w:overflowPunct/>
        <w:topLinePunct w:val="0"/>
        <w:autoSpaceDE w:val="0"/>
        <w:autoSpaceDN/>
        <w:bidi w:val="0"/>
        <w:adjustRightInd w:val="0"/>
        <w:snapToGrid w:val="0"/>
        <w:spacing w:line="600" w:lineRule="exact"/>
        <w:ind w:firstLine="640" w:firstLineChars="200"/>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rPr>
        <w:t>附件：</w:t>
      </w:r>
      <w:r>
        <w:rPr>
          <w:rFonts w:hint="default" w:ascii="Times New Roman" w:hAnsi="Times New Roman" w:eastAsia="方正仿宋_GBK" w:cs="宋体"/>
          <w:kern w:val="0"/>
          <w:sz w:val="32"/>
          <w:szCs w:val="32"/>
          <w:lang w:val="en-US" w:eastAsia="zh-CN" w:bidi="ar-SA"/>
        </w:rPr>
        <w:t>1.</w:t>
      </w:r>
      <w:r>
        <w:rPr>
          <w:rFonts w:ascii="方正仿宋_GBK" w:hAnsi="方正仿宋_GBK" w:eastAsia="方正仿宋_GBK" w:cs="方正仿宋_GBK"/>
          <w:sz w:val="32"/>
          <w:szCs w:val="32"/>
        </w:rPr>
        <w:t>收入支出决算总表</w:t>
      </w:r>
    </w:p>
    <w:p w14:paraId="3AA8FB44">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2.</w:t>
      </w:r>
      <w:r>
        <w:rPr>
          <w:rFonts w:ascii="方正仿宋_GBK" w:hAnsi="方正仿宋_GBK" w:eastAsia="方正仿宋_GBK" w:cs="方正仿宋_GBK"/>
          <w:sz w:val="32"/>
          <w:szCs w:val="32"/>
        </w:rPr>
        <w:t>收入决算表</w:t>
      </w:r>
    </w:p>
    <w:p w14:paraId="22799019">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3.</w:t>
      </w:r>
      <w:r>
        <w:rPr>
          <w:rFonts w:ascii="方正仿宋_GBK" w:hAnsi="方正仿宋_GBK" w:eastAsia="方正仿宋_GBK" w:cs="方正仿宋_GBK"/>
          <w:sz w:val="32"/>
          <w:szCs w:val="32"/>
        </w:rPr>
        <w:t>支出决算表</w:t>
      </w:r>
    </w:p>
    <w:p w14:paraId="4A9C2E98">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4.</w:t>
      </w:r>
      <w:r>
        <w:rPr>
          <w:rFonts w:ascii="方正仿宋_GBK" w:hAnsi="方正仿宋_GBK" w:eastAsia="方正仿宋_GBK" w:cs="方正仿宋_GBK"/>
          <w:sz w:val="32"/>
          <w:szCs w:val="32"/>
        </w:rPr>
        <w:t>财政拨款收入支出决算总表</w:t>
      </w:r>
    </w:p>
    <w:p w14:paraId="4A6841ED">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5.</w:t>
      </w:r>
      <w:r>
        <w:rPr>
          <w:rFonts w:ascii="方正仿宋_GBK" w:hAnsi="方正仿宋_GBK" w:eastAsia="方正仿宋_GBK" w:cs="方正仿宋_GBK"/>
          <w:sz w:val="32"/>
          <w:szCs w:val="32"/>
        </w:rPr>
        <w:t>一般公共预算财政拨款支出决算表</w:t>
      </w:r>
    </w:p>
    <w:p w14:paraId="7DF65AE5">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6.</w:t>
      </w:r>
      <w:r>
        <w:rPr>
          <w:rFonts w:ascii="方正仿宋_GBK" w:hAnsi="方正仿宋_GBK" w:eastAsia="方正仿宋_GBK" w:cs="方正仿宋_GBK"/>
          <w:sz w:val="32"/>
          <w:szCs w:val="32"/>
        </w:rPr>
        <w:t>一般公共预算财政拨款基本支出决算表</w:t>
      </w:r>
    </w:p>
    <w:p w14:paraId="52E67F3D">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7.</w:t>
      </w:r>
      <w:r>
        <w:rPr>
          <w:rFonts w:ascii="方正仿宋_GBK" w:hAnsi="方正仿宋_GBK" w:eastAsia="方正仿宋_GBK" w:cs="方正仿宋_GBK"/>
          <w:sz w:val="32"/>
          <w:szCs w:val="32"/>
        </w:rPr>
        <w:t>政府性基金预算财政拨款收入支出决算表</w:t>
      </w:r>
    </w:p>
    <w:p w14:paraId="706C3F09">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8.</w:t>
      </w:r>
      <w:r>
        <w:rPr>
          <w:rFonts w:ascii="方正仿宋_GBK" w:hAnsi="方正仿宋_GBK" w:eastAsia="方正仿宋_GBK" w:cs="方正仿宋_GBK"/>
          <w:sz w:val="32"/>
          <w:szCs w:val="32"/>
        </w:rPr>
        <w:t>国有资本经营预算财政支出决算表</w:t>
      </w:r>
    </w:p>
    <w:p w14:paraId="40F8F0F0">
      <w:pPr>
        <w:keepNext w:val="0"/>
        <w:keepLines w:val="0"/>
        <w:pageBreakBefore w:val="0"/>
        <w:kinsoku/>
        <w:wordWrap/>
        <w:overflowPunct/>
        <w:topLinePunct w:val="0"/>
        <w:autoSpaceDE w:val="0"/>
        <w:autoSpaceDN/>
        <w:bidi w:val="0"/>
        <w:adjustRightInd w:val="0"/>
        <w:snapToGrid w:val="0"/>
        <w:spacing w:line="600" w:lineRule="exact"/>
        <w:ind w:firstLine="1600" w:firstLineChars="500"/>
        <w:textAlignment w:val="auto"/>
        <w:rPr>
          <w:rFonts w:hint="default" w:ascii="方正仿宋_GBK" w:hAnsi="方正仿宋_GBK" w:eastAsia="方正仿宋_GBK" w:cs="方正仿宋_GBK"/>
          <w:sz w:val="32"/>
          <w:szCs w:val="32"/>
        </w:rPr>
      </w:pPr>
      <w:r>
        <w:rPr>
          <w:rFonts w:hint="default" w:ascii="Times New Roman" w:hAnsi="Times New Roman" w:eastAsia="方正仿宋_GBK" w:cs="宋体"/>
          <w:kern w:val="0"/>
          <w:sz w:val="32"/>
          <w:szCs w:val="32"/>
          <w:lang w:val="en-US" w:eastAsia="zh-CN" w:bidi="ar-SA"/>
        </w:rPr>
        <w:t>9.</w:t>
      </w:r>
      <w:r>
        <w:rPr>
          <w:rFonts w:ascii="方正仿宋_GBK" w:hAnsi="方正仿宋_GBK" w:eastAsia="方正仿宋_GBK" w:cs="方正仿宋_GBK"/>
          <w:sz w:val="32"/>
          <w:szCs w:val="32"/>
        </w:rPr>
        <w:t>机构运行信息表</w:t>
      </w:r>
    </w:p>
    <w:p w14:paraId="4576EEEC">
      <w:pPr>
        <w:pStyle w:val="12"/>
        <w:keepNext w:val="0"/>
        <w:keepLines w:val="0"/>
        <w:pageBreakBefore w:val="0"/>
        <w:shd w:val="clear" w:color="auto" w:fill="FFFFFF"/>
        <w:kinsoku/>
        <w:wordWrap/>
        <w:overflowPunct/>
        <w:topLinePunct w:val="0"/>
        <w:autoSpaceDE w:val="0"/>
        <w:autoSpaceDN/>
        <w:bidi w:val="0"/>
        <w:adjustRightInd/>
        <w:snapToGrid w:val="0"/>
        <w:spacing w:before="0" w:beforeAutospacing="0" w:after="0" w:afterAutospacing="0" w:line="600" w:lineRule="exact"/>
        <w:ind w:firstLine="643" w:firstLineChars="200"/>
        <w:jc w:val="both"/>
        <w:textAlignment w:val="auto"/>
        <w:rPr>
          <w:rStyle w:val="10"/>
          <w:rFonts w:hint="default" w:ascii="Times New Roman" w:hAnsi="Times New Roman" w:eastAsia="方正仿宋_GBK" w:cs="Times New Roman"/>
          <w:sz w:val="32"/>
          <w:szCs w:val="32"/>
          <w:shd w:val="clear" w:color="auto" w:fill="FFFF00"/>
        </w:rPr>
        <w:sectPr>
          <w:footerReference r:id="rId3" w:type="default"/>
          <w:footerReference r:id="rId4" w:type="even"/>
          <w:pgSz w:w="11915" w:h="16840"/>
          <w:pgMar w:top="2098" w:right="1531" w:bottom="1984" w:left="1531" w:header="851" w:footer="992" w:gutter="0"/>
          <w:pgNumType w:fmt="decimal"/>
          <w:cols w:space="720" w:num="1"/>
          <w:docGrid w:type="lines" w:linePitch="312" w:charSpace="0"/>
        </w:sectPr>
      </w:pPr>
    </w:p>
    <w:tbl>
      <w:tblPr>
        <w:tblStyle w:val="7"/>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309"/>
        <w:gridCol w:w="3571"/>
        <w:gridCol w:w="4059"/>
        <w:gridCol w:w="2852"/>
      </w:tblGrid>
      <w:tr w14:paraId="3D8D903A">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14:paraId="10C35DF1">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8203AFE">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14:paraId="5D953846">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14:paraId="41585B87">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14:paraId="1AE944BC">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D732601">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14:paraId="32FEE05D">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14:paraId="3B459C4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重庆市四十七中学</w:t>
            </w:r>
          </w:p>
        </w:tc>
        <w:tc>
          <w:tcPr>
            <w:tcW w:w="1372" w:type="pct"/>
            <w:tcBorders>
              <w:top w:val="nil"/>
              <w:left w:val="nil"/>
              <w:bottom w:val="nil"/>
              <w:right w:val="nil"/>
            </w:tcBorders>
            <w:shd w:val="clear" w:color="auto" w:fill="auto"/>
            <w:noWrap/>
            <w:tcMar>
              <w:top w:w="15" w:type="dxa"/>
              <w:left w:w="15" w:type="dxa"/>
              <w:right w:w="15" w:type="dxa"/>
            </w:tcMar>
            <w:vAlign w:val="bottom"/>
          </w:tcPr>
          <w:p w14:paraId="23CFC02F">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14:paraId="5D29238B">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8492DBD">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D818A">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198A991">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585CDC67">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6716C">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5EB4BF">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0E467B6">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0EE5F">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43A2A4C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4198B">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A186A6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2,541.69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0B339">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11C5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3D05FF2">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B8730">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B4A9D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6854D4">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8501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D35269">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1E049">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70F6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FDB8C">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D178D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E9FFE5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BD57C">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D01B4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9A4F0B">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C0751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576541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1CB1A">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DC9AC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71.00</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7649A8">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1BDE67">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2,116.48</w:t>
            </w:r>
            <w:r>
              <w:rPr>
                <w:rFonts w:ascii="Times New Roman" w:hAnsi="Times New Roman"/>
                <w:color w:val="000000"/>
                <w:sz w:val="20"/>
                <w:u w:color="auto"/>
              </w:rPr>
              <w:t xml:space="preserve"> </w:t>
            </w:r>
          </w:p>
        </w:tc>
      </w:tr>
      <w:tr w14:paraId="0A56A1B4">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1A9B1">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476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752A68">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52BD6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ED6AAC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D62EA">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DCCD5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072DAA">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C22C7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EBE2DEE">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C2215">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14:paraId="40E4784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C97B79">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02E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255.29</w:t>
            </w:r>
            <w:r>
              <w:rPr>
                <w:rFonts w:ascii="Times New Roman" w:hAnsi="Times New Roman"/>
                <w:color w:val="000000"/>
                <w:sz w:val="20"/>
                <w:u w:color="auto"/>
              </w:rPr>
              <w:t xml:space="preserve"> </w:t>
            </w:r>
          </w:p>
        </w:tc>
      </w:tr>
      <w:tr w14:paraId="5FA69468">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9D04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3EE1E9">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977F0B">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F1C9B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96.78</w:t>
            </w:r>
            <w:r>
              <w:rPr>
                <w:rFonts w:ascii="Times New Roman" w:hAnsi="Times New Roman"/>
                <w:color w:val="000000"/>
                <w:sz w:val="20"/>
                <w:u w:color="auto"/>
              </w:rPr>
              <w:t xml:space="preserve"> </w:t>
            </w:r>
          </w:p>
        </w:tc>
      </w:tr>
      <w:tr w14:paraId="1D177B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3B8C0">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E23831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F4D3A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C3124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53FC9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B4AA1">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19AAB">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6CBF1D">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0D5D6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A8DFEE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8480A">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6188A88">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9DDA6">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071B7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12E2365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AA67">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CB01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3A6F39">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63D38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0BF7AD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CA22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954B2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03070">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25EA0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F9A3133">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B9D30">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57FD0">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FA929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465D1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14B47A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061C">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946265">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3FFE89">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3F70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4F5A35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210DA">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547DF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043353">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8D27F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D9365BC">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9141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9B19F">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4949C6">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BC741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2968F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0597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24B847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375801">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E0010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144.13</w:t>
            </w:r>
            <w:r>
              <w:rPr>
                <w:rFonts w:ascii="Times New Roman" w:hAnsi="Times New Roman"/>
                <w:color w:val="000000"/>
                <w:sz w:val="20"/>
                <w:u w:color="auto"/>
              </w:rPr>
              <w:t xml:space="preserve"> </w:t>
            </w:r>
          </w:p>
        </w:tc>
      </w:tr>
      <w:tr w14:paraId="27B977E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A7A534">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E93227">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02A2CD">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4BBDB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F5545E1">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18956">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EFD3FC">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CFD2B3">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53CCF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058FC0A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F4567">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179B16">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A6EE28">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D9238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D9758F5">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308EE">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899602">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0CC40A">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20EE3F">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7148C73C">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3C610">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82FDE1">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413811">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60AF6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6EA4AEA">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D28E9">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CB2FEA">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B4B8E3">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C951A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31B3EE00">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B16D">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40BFD">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D754">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E6BE0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5851050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294854">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9B94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89E83">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740A6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2,612.69</w:t>
            </w:r>
            <w:r>
              <w:rPr>
                <w:rFonts w:ascii="Times New Roman" w:hAnsi="Times New Roman"/>
                <w:color w:val="000000"/>
                <w:sz w:val="20"/>
                <w:u w:color="auto"/>
              </w:rPr>
              <w:t xml:space="preserve"> </w:t>
            </w:r>
          </w:p>
        </w:tc>
      </w:tr>
      <w:tr w14:paraId="28D6EBDB">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0528D">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8E428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49CCF8">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193C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6A1E46AD">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90C18">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EE446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4DAFF7">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24F2294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14:paraId="4869A029">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8737E">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73A28">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2,612.69</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44608D8D">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7D861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2,612.69</w:t>
            </w:r>
            <w:r>
              <w:rPr>
                <w:rFonts w:ascii="Times New Roman" w:hAnsi="Times New Roman"/>
                <w:color w:val="000000"/>
                <w:sz w:val="20"/>
                <w:u w:color="auto"/>
              </w:rPr>
              <w:t xml:space="preserve"> </w:t>
            </w:r>
          </w:p>
        </w:tc>
      </w:tr>
    </w:tbl>
    <w:p w14:paraId="3A9887A6">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5059" w:type="pct"/>
        <w:tblInd w:w="0" w:type="dxa"/>
        <w:tblLayout w:type="fixed"/>
        <w:tblCellMar>
          <w:top w:w="0" w:type="dxa"/>
          <w:left w:w="0" w:type="dxa"/>
          <w:bottom w:w="0" w:type="dxa"/>
          <w:right w:w="0" w:type="dxa"/>
        </w:tblCellMar>
      </w:tblPr>
      <w:tblGrid>
        <w:gridCol w:w="1435"/>
        <w:gridCol w:w="3257"/>
        <w:gridCol w:w="1500"/>
        <w:gridCol w:w="1452"/>
        <w:gridCol w:w="1380"/>
        <w:gridCol w:w="1188"/>
        <w:gridCol w:w="1364"/>
        <w:gridCol w:w="1301"/>
        <w:gridCol w:w="1356"/>
        <w:gridCol w:w="1327"/>
      </w:tblGrid>
      <w:tr w14:paraId="5346AB7D">
        <w:tblPrEx>
          <w:tblCellMar>
            <w:top w:w="0" w:type="dxa"/>
            <w:left w:w="0" w:type="dxa"/>
            <w:bottom w:w="0" w:type="dxa"/>
            <w:right w:w="0" w:type="dxa"/>
          </w:tblCellMar>
        </w:tblPrEx>
        <w:trPr>
          <w:trHeight w:val="57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14:paraId="0103BF65">
            <w:pPr>
              <w:jc w:val="center"/>
              <w:textAlignment w:val="bottom"/>
              <w:rPr>
                <w:rFonts w:hint="default" w:cs="宋体"/>
                <w:b/>
                <w:color w:val="000000"/>
                <w:sz w:val="32"/>
                <w:szCs w:val="32"/>
              </w:rPr>
            </w:pPr>
            <w:r>
              <w:rPr>
                <w:rFonts w:cs="宋体"/>
                <w:b/>
                <w:color w:val="000000"/>
                <w:sz w:val="32"/>
                <w:szCs w:val="32"/>
              </w:rPr>
              <w:t>收入决算表</w:t>
            </w:r>
          </w:p>
        </w:tc>
      </w:tr>
      <w:tr w14:paraId="1BAF5743">
        <w:tblPrEx>
          <w:tblCellMar>
            <w:top w:w="0" w:type="dxa"/>
            <w:left w:w="0" w:type="dxa"/>
            <w:bottom w:w="0" w:type="dxa"/>
            <w:right w:w="0" w:type="dxa"/>
          </w:tblCellMar>
        </w:tblPrEx>
        <w:trPr>
          <w:trHeight w:val="233" w:hRule="atLeast"/>
        </w:trPr>
        <w:tc>
          <w:tcPr>
            <w:tcW w:w="1989" w:type="pct"/>
            <w:gridSpan w:val="3"/>
            <w:vMerge w:val="restart"/>
            <w:tcBorders>
              <w:top w:val="nil"/>
              <w:left w:val="nil"/>
              <w:right w:val="nil"/>
            </w:tcBorders>
            <w:shd w:val="clear" w:color="auto" w:fill="auto"/>
            <w:noWrap/>
            <w:tcMar>
              <w:top w:w="15" w:type="dxa"/>
              <w:left w:w="15" w:type="dxa"/>
              <w:right w:w="15" w:type="dxa"/>
            </w:tcMar>
            <w:vAlign w:val="bottom"/>
          </w:tcPr>
          <w:p w14:paraId="0F5D4322">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重庆市四十七中学</w:t>
            </w:r>
          </w:p>
        </w:tc>
        <w:tc>
          <w:tcPr>
            <w:tcW w:w="466" w:type="pct"/>
            <w:tcBorders>
              <w:top w:val="nil"/>
              <w:left w:val="nil"/>
              <w:bottom w:val="nil"/>
              <w:right w:val="nil"/>
            </w:tcBorders>
            <w:shd w:val="clear" w:color="auto" w:fill="auto"/>
            <w:noWrap/>
            <w:tcMar>
              <w:top w:w="15" w:type="dxa"/>
              <w:left w:w="15" w:type="dxa"/>
              <w:right w:w="15" w:type="dxa"/>
            </w:tcMar>
            <w:vAlign w:val="bottom"/>
          </w:tcPr>
          <w:p w14:paraId="226D2804">
            <w:pPr>
              <w:rPr>
                <w:rFonts w:hint="default" w:cs="宋体"/>
                <w:color w:val="000000"/>
                <w:sz w:val="20"/>
                <w:szCs w:val="20"/>
              </w:rPr>
            </w:pPr>
          </w:p>
        </w:tc>
        <w:tc>
          <w:tcPr>
            <w:tcW w:w="443" w:type="pct"/>
            <w:tcBorders>
              <w:top w:val="nil"/>
              <w:left w:val="nil"/>
              <w:bottom w:val="nil"/>
              <w:right w:val="nil"/>
            </w:tcBorders>
            <w:shd w:val="clear" w:color="auto" w:fill="auto"/>
            <w:noWrap/>
            <w:tcMar>
              <w:top w:w="15" w:type="dxa"/>
              <w:left w:w="15" w:type="dxa"/>
              <w:right w:w="15" w:type="dxa"/>
            </w:tcMar>
            <w:vAlign w:val="bottom"/>
          </w:tcPr>
          <w:p w14:paraId="5BFC6ED6">
            <w:pPr>
              <w:rPr>
                <w:rFonts w:hint="default" w:cs="宋体"/>
                <w:color w:val="000000"/>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1144A987">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46700111">
            <w:pPr>
              <w:rPr>
                <w:rFonts w:hint="default" w:cs="宋体"/>
                <w:color w:val="000000"/>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14:paraId="6A58946C">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3D24FC69">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2311E17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14:paraId="0A263F4B">
        <w:tblPrEx>
          <w:tblCellMar>
            <w:top w:w="0" w:type="dxa"/>
            <w:left w:w="0" w:type="dxa"/>
            <w:bottom w:w="0" w:type="dxa"/>
            <w:right w:w="0" w:type="dxa"/>
          </w:tblCellMar>
        </w:tblPrEx>
        <w:trPr>
          <w:trHeight w:val="233" w:hRule="atLeast"/>
        </w:trPr>
        <w:tc>
          <w:tcPr>
            <w:tcW w:w="1989" w:type="pct"/>
            <w:gridSpan w:val="3"/>
            <w:vMerge w:val="continue"/>
            <w:tcBorders>
              <w:left w:val="nil"/>
              <w:bottom w:val="nil"/>
              <w:right w:val="nil"/>
            </w:tcBorders>
            <w:shd w:val="clear" w:color="auto" w:fill="auto"/>
            <w:noWrap/>
            <w:tcMar>
              <w:top w:w="15" w:type="dxa"/>
              <w:left w:w="15" w:type="dxa"/>
              <w:right w:w="15" w:type="dxa"/>
            </w:tcMar>
            <w:vAlign w:val="bottom"/>
          </w:tcPr>
          <w:p w14:paraId="3D5D7E45">
            <w:pPr>
              <w:rPr>
                <w:rFonts w:hint="default" w:cs="宋体"/>
                <w:color w:val="000000"/>
                <w:sz w:val="20"/>
                <w:szCs w:val="20"/>
              </w:rPr>
            </w:pPr>
          </w:p>
        </w:tc>
        <w:tc>
          <w:tcPr>
            <w:tcW w:w="466" w:type="pct"/>
            <w:tcBorders>
              <w:top w:val="nil"/>
              <w:left w:val="nil"/>
              <w:bottom w:val="nil"/>
              <w:right w:val="nil"/>
            </w:tcBorders>
            <w:shd w:val="clear" w:color="auto" w:fill="auto"/>
            <w:noWrap/>
            <w:tcMar>
              <w:top w:w="15" w:type="dxa"/>
              <w:left w:w="15" w:type="dxa"/>
              <w:right w:w="15" w:type="dxa"/>
            </w:tcMar>
            <w:vAlign w:val="bottom"/>
          </w:tcPr>
          <w:p w14:paraId="65E16A6A">
            <w:pPr>
              <w:rPr>
                <w:rFonts w:hint="default" w:cs="宋体"/>
                <w:color w:val="000000"/>
                <w:sz w:val="20"/>
                <w:szCs w:val="20"/>
              </w:rPr>
            </w:pPr>
          </w:p>
        </w:tc>
        <w:tc>
          <w:tcPr>
            <w:tcW w:w="443" w:type="pct"/>
            <w:tcBorders>
              <w:top w:val="nil"/>
              <w:left w:val="nil"/>
              <w:bottom w:val="nil"/>
              <w:right w:val="nil"/>
            </w:tcBorders>
            <w:shd w:val="clear" w:color="auto" w:fill="auto"/>
            <w:noWrap/>
            <w:tcMar>
              <w:top w:w="15" w:type="dxa"/>
              <w:left w:w="15" w:type="dxa"/>
              <w:right w:w="15" w:type="dxa"/>
            </w:tcMar>
            <w:vAlign w:val="bottom"/>
          </w:tcPr>
          <w:p w14:paraId="01593581">
            <w:pPr>
              <w:rPr>
                <w:rFonts w:hint="default" w:cs="宋体"/>
                <w:color w:val="000000"/>
                <w:sz w:val="20"/>
                <w:szCs w:val="20"/>
              </w:rPr>
            </w:pPr>
          </w:p>
        </w:tc>
        <w:tc>
          <w:tcPr>
            <w:tcW w:w="381" w:type="pct"/>
            <w:tcBorders>
              <w:top w:val="nil"/>
              <w:left w:val="nil"/>
              <w:bottom w:val="nil"/>
              <w:right w:val="nil"/>
            </w:tcBorders>
            <w:shd w:val="clear" w:color="auto" w:fill="auto"/>
            <w:noWrap/>
            <w:tcMar>
              <w:top w:w="15" w:type="dxa"/>
              <w:left w:w="15" w:type="dxa"/>
              <w:right w:w="15" w:type="dxa"/>
            </w:tcMar>
            <w:vAlign w:val="bottom"/>
          </w:tcPr>
          <w:p w14:paraId="0D9D8323">
            <w:pPr>
              <w:rPr>
                <w:rFonts w:hint="default" w:cs="宋体"/>
                <w:color w:val="000000"/>
                <w:sz w:val="20"/>
                <w:szCs w:val="20"/>
              </w:rPr>
            </w:pPr>
          </w:p>
        </w:tc>
        <w:tc>
          <w:tcPr>
            <w:tcW w:w="438" w:type="pct"/>
            <w:tcBorders>
              <w:top w:val="nil"/>
              <w:left w:val="nil"/>
              <w:bottom w:val="nil"/>
              <w:right w:val="nil"/>
            </w:tcBorders>
            <w:shd w:val="clear" w:color="auto" w:fill="auto"/>
            <w:noWrap/>
            <w:tcMar>
              <w:top w:w="15" w:type="dxa"/>
              <w:left w:w="15" w:type="dxa"/>
              <w:right w:w="15" w:type="dxa"/>
            </w:tcMar>
            <w:vAlign w:val="bottom"/>
          </w:tcPr>
          <w:p w14:paraId="6D68BA27">
            <w:pPr>
              <w:rPr>
                <w:rFonts w:hint="default" w:cs="宋体"/>
                <w:color w:val="000000"/>
                <w:sz w:val="20"/>
                <w:szCs w:val="20"/>
              </w:rPr>
            </w:pPr>
          </w:p>
        </w:tc>
        <w:tc>
          <w:tcPr>
            <w:tcW w:w="418" w:type="pct"/>
            <w:tcBorders>
              <w:top w:val="nil"/>
              <w:left w:val="nil"/>
              <w:bottom w:val="nil"/>
              <w:right w:val="nil"/>
            </w:tcBorders>
            <w:shd w:val="clear" w:color="auto" w:fill="auto"/>
            <w:noWrap/>
            <w:tcMar>
              <w:top w:w="15" w:type="dxa"/>
              <w:left w:w="15" w:type="dxa"/>
              <w:right w:w="15" w:type="dxa"/>
            </w:tcMar>
            <w:vAlign w:val="bottom"/>
          </w:tcPr>
          <w:p w14:paraId="25DE4655">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14:paraId="6AB599C2">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14:paraId="5CA7458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4AF94AE">
        <w:tblPrEx>
          <w:tblCellMar>
            <w:top w:w="0" w:type="dxa"/>
            <w:left w:w="0" w:type="dxa"/>
            <w:bottom w:w="0" w:type="dxa"/>
            <w:right w:w="0" w:type="dxa"/>
          </w:tblCellMar>
        </w:tblPrEx>
        <w:trPr>
          <w:trHeight w:val="384" w:hRule="atLeast"/>
        </w:trPr>
        <w:tc>
          <w:tcPr>
            <w:tcW w:w="1507"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3F4893EF">
            <w:pPr>
              <w:jc w:val="center"/>
              <w:textAlignment w:val="bottom"/>
              <w:rPr>
                <w:rFonts w:hint="default" w:cs="宋体"/>
                <w:b/>
                <w:color w:val="000000"/>
                <w:sz w:val="20"/>
                <w:szCs w:val="20"/>
              </w:rPr>
            </w:pPr>
            <w:r>
              <w:rPr>
                <w:rFonts w:cs="宋体"/>
                <w:b/>
                <w:color w:val="000000"/>
                <w:sz w:val="20"/>
                <w:szCs w:val="20"/>
              </w:rPr>
              <w:t>项目</w:t>
            </w:r>
          </w:p>
        </w:tc>
        <w:tc>
          <w:tcPr>
            <w:tcW w:w="48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F99A1">
            <w:pPr>
              <w:jc w:val="center"/>
              <w:textAlignment w:val="center"/>
              <w:rPr>
                <w:rFonts w:hint="default" w:cs="宋体"/>
                <w:b/>
                <w:color w:val="000000"/>
                <w:sz w:val="20"/>
                <w:szCs w:val="20"/>
              </w:rPr>
            </w:pPr>
            <w:r>
              <w:rPr>
                <w:rFonts w:cs="宋体"/>
                <w:b/>
                <w:color w:val="000000"/>
                <w:sz w:val="20"/>
                <w:szCs w:val="20"/>
              </w:rPr>
              <w:t>本年收入合计</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DF6EA">
            <w:pPr>
              <w:jc w:val="center"/>
              <w:textAlignment w:val="center"/>
              <w:rPr>
                <w:rFonts w:hint="default" w:cs="宋体"/>
                <w:b/>
                <w:color w:val="000000"/>
                <w:sz w:val="20"/>
                <w:szCs w:val="20"/>
              </w:rPr>
            </w:pPr>
            <w:r>
              <w:rPr>
                <w:rFonts w:cs="宋体"/>
                <w:b/>
                <w:color w:val="000000"/>
                <w:sz w:val="20"/>
                <w:szCs w:val="20"/>
              </w:rPr>
              <w:t>财政拨款收入</w:t>
            </w:r>
          </w:p>
        </w:tc>
        <w:tc>
          <w:tcPr>
            <w:tcW w:w="44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E55C3">
            <w:pPr>
              <w:jc w:val="center"/>
              <w:textAlignment w:val="center"/>
              <w:rPr>
                <w:rFonts w:hint="default" w:cs="宋体"/>
                <w:b/>
                <w:color w:val="000000"/>
                <w:sz w:val="20"/>
                <w:szCs w:val="20"/>
              </w:rPr>
            </w:pPr>
            <w:r>
              <w:rPr>
                <w:rFonts w:cs="宋体"/>
                <w:b/>
                <w:color w:val="000000"/>
                <w:sz w:val="20"/>
                <w:szCs w:val="20"/>
              </w:rPr>
              <w:t>上级补助收入</w:t>
            </w:r>
          </w:p>
        </w:tc>
        <w:tc>
          <w:tcPr>
            <w:tcW w:w="820"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289AD8">
            <w:pPr>
              <w:jc w:val="center"/>
              <w:textAlignment w:val="bottom"/>
              <w:rPr>
                <w:rFonts w:hint="default" w:cs="宋体"/>
                <w:b/>
                <w:color w:val="000000"/>
                <w:sz w:val="20"/>
                <w:szCs w:val="20"/>
              </w:rPr>
            </w:pPr>
            <w:r>
              <w:rPr>
                <w:rFonts w:cs="宋体"/>
                <w:b/>
                <w:color w:val="000000"/>
                <w:sz w:val="20"/>
                <w:szCs w:val="20"/>
              </w:rPr>
              <w:t>事业收入</w:t>
            </w:r>
          </w:p>
        </w:tc>
        <w:tc>
          <w:tcPr>
            <w:tcW w:w="4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058E">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F4965">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05167">
            <w:pPr>
              <w:jc w:val="center"/>
              <w:textAlignment w:val="center"/>
              <w:rPr>
                <w:rFonts w:hint="default" w:cs="宋体"/>
                <w:b/>
                <w:color w:val="000000"/>
                <w:sz w:val="20"/>
                <w:szCs w:val="20"/>
              </w:rPr>
            </w:pPr>
            <w:r>
              <w:rPr>
                <w:rFonts w:cs="宋体"/>
                <w:b/>
                <w:color w:val="000000"/>
                <w:sz w:val="20"/>
                <w:szCs w:val="20"/>
              </w:rPr>
              <w:t>其他收入</w:t>
            </w:r>
          </w:p>
        </w:tc>
      </w:tr>
      <w:tr w14:paraId="77585AF3">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A385C">
            <w:pPr>
              <w:jc w:val="center"/>
              <w:textAlignment w:val="center"/>
              <w:rPr>
                <w:rFonts w:hint="default" w:cs="宋体"/>
                <w:b/>
                <w:color w:val="000000"/>
                <w:sz w:val="20"/>
                <w:szCs w:val="20"/>
              </w:rPr>
            </w:pPr>
            <w:r>
              <w:rPr>
                <w:rFonts w:cs="宋体"/>
                <w:b/>
                <w:color w:val="000000"/>
                <w:sz w:val="20"/>
                <w:szCs w:val="20"/>
              </w:rPr>
              <w:t>功能分类科目编码</w:t>
            </w:r>
          </w:p>
        </w:tc>
        <w:tc>
          <w:tcPr>
            <w:tcW w:w="1046"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075E8D17">
            <w:pPr>
              <w:jc w:val="center"/>
              <w:textAlignment w:val="center"/>
              <w:rPr>
                <w:rFonts w:hint="default" w:cs="宋体"/>
                <w:b/>
                <w:color w:val="000000"/>
                <w:sz w:val="20"/>
                <w:szCs w:val="20"/>
              </w:rPr>
            </w:pPr>
            <w:r>
              <w:rPr>
                <w:rFonts w:cs="宋体"/>
                <w:b/>
                <w:color w:val="000000"/>
                <w:sz w:val="20"/>
                <w:szCs w:val="20"/>
              </w:rPr>
              <w:t>项目（按“项”级功能分类科目）</w:t>
            </w: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7D2B">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1F0DF">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D772E">
            <w:pPr>
              <w:jc w:val="center"/>
              <w:rPr>
                <w:rFonts w:hint="default" w:cs="宋体"/>
                <w:b/>
                <w:color w:val="000000"/>
                <w:sz w:val="20"/>
                <w:szCs w:val="20"/>
              </w:rPr>
            </w:pPr>
          </w:p>
        </w:tc>
        <w:tc>
          <w:tcPr>
            <w:tcW w:w="38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8E038">
            <w:pPr>
              <w:jc w:val="center"/>
              <w:textAlignment w:val="center"/>
              <w:rPr>
                <w:rFonts w:hint="default" w:cs="宋体"/>
                <w:b/>
                <w:color w:val="000000"/>
                <w:sz w:val="20"/>
                <w:szCs w:val="20"/>
              </w:rPr>
            </w:pPr>
            <w:r>
              <w:rPr>
                <w:rFonts w:cs="宋体"/>
                <w:b/>
                <w:color w:val="000000"/>
                <w:sz w:val="20"/>
                <w:szCs w:val="20"/>
              </w:rPr>
              <w:t>小计</w:t>
            </w:r>
          </w:p>
        </w:tc>
        <w:tc>
          <w:tcPr>
            <w:tcW w:w="43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52A27">
            <w:pPr>
              <w:jc w:val="center"/>
              <w:textAlignment w:val="center"/>
              <w:rPr>
                <w:rFonts w:hint="default" w:cs="宋体"/>
                <w:b/>
                <w:color w:val="000000"/>
                <w:sz w:val="20"/>
                <w:szCs w:val="20"/>
              </w:rPr>
            </w:pPr>
            <w:r>
              <w:rPr>
                <w:rFonts w:cs="宋体"/>
                <w:b/>
                <w:color w:val="000000"/>
                <w:sz w:val="20"/>
                <w:szCs w:val="20"/>
              </w:rPr>
              <w:t>其中：教育收费</w:t>
            </w: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F7394">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B8F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156F4">
            <w:pPr>
              <w:jc w:val="center"/>
              <w:rPr>
                <w:rFonts w:hint="default" w:cs="宋体"/>
                <w:b/>
                <w:color w:val="000000"/>
                <w:sz w:val="20"/>
                <w:szCs w:val="20"/>
              </w:rPr>
            </w:pPr>
          </w:p>
        </w:tc>
      </w:tr>
      <w:tr w14:paraId="3E38716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A39CC">
            <w:pPr>
              <w:jc w:val="center"/>
              <w:rPr>
                <w:rFonts w:hint="default" w:cs="宋体"/>
                <w:b/>
                <w:color w:val="000000"/>
                <w:sz w:val="20"/>
                <w:szCs w:val="20"/>
              </w:rPr>
            </w:pPr>
          </w:p>
        </w:tc>
        <w:tc>
          <w:tcPr>
            <w:tcW w:w="104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677515C8">
            <w:pPr>
              <w:jc w:val="center"/>
              <w:rPr>
                <w:rFonts w:hint="default"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E2873">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31596">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C3C26">
            <w:pPr>
              <w:jc w:val="center"/>
              <w:rPr>
                <w:rFonts w:hint="default" w:cs="宋体"/>
                <w:b/>
                <w:color w:val="000000"/>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3D36D3">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EB347">
            <w:pPr>
              <w:jc w:val="center"/>
              <w:rPr>
                <w:rFonts w:hint="default" w:cs="宋体"/>
                <w:b/>
                <w:color w:val="000000"/>
                <w:sz w:val="20"/>
                <w:szCs w:val="20"/>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FF5FD">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A80E3">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C7625">
            <w:pPr>
              <w:jc w:val="center"/>
              <w:rPr>
                <w:rFonts w:hint="default" w:cs="宋体"/>
                <w:b/>
                <w:color w:val="000000"/>
                <w:sz w:val="20"/>
                <w:szCs w:val="20"/>
              </w:rPr>
            </w:pPr>
          </w:p>
        </w:tc>
      </w:tr>
      <w:tr w14:paraId="13771484">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9AB0C">
            <w:pPr>
              <w:jc w:val="center"/>
              <w:rPr>
                <w:rFonts w:hint="default" w:cs="宋体"/>
                <w:b/>
                <w:color w:val="000000"/>
                <w:sz w:val="20"/>
                <w:szCs w:val="20"/>
              </w:rPr>
            </w:pPr>
          </w:p>
        </w:tc>
        <w:tc>
          <w:tcPr>
            <w:tcW w:w="104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606A2D0">
            <w:pPr>
              <w:jc w:val="center"/>
              <w:rPr>
                <w:rFonts w:hint="default"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45513">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8FA26">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85EB2">
            <w:pPr>
              <w:jc w:val="center"/>
              <w:rPr>
                <w:rFonts w:hint="default" w:cs="宋体"/>
                <w:b/>
                <w:color w:val="000000"/>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5FD5A">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5F9DA">
            <w:pPr>
              <w:jc w:val="center"/>
              <w:rPr>
                <w:rFonts w:hint="default" w:cs="宋体"/>
                <w:b/>
                <w:color w:val="000000"/>
                <w:sz w:val="20"/>
                <w:szCs w:val="20"/>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6AF27">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D54BF">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4D83C">
            <w:pPr>
              <w:jc w:val="center"/>
              <w:rPr>
                <w:rFonts w:hint="default" w:cs="宋体"/>
                <w:b/>
                <w:color w:val="000000"/>
                <w:sz w:val="20"/>
                <w:szCs w:val="20"/>
              </w:rPr>
            </w:pPr>
          </w:p>
        </w:tc>
      </w:tr>
      <w:tr w14:paraId="3A367958">
        <w:tblPrEx>
          <w:tblCellMar>
            <w:top w:w="0" w:type="dxa"/>
            <w:left w:w="0" w:type="dxa"/>
            <w:bottom w:w="0" w:type="dxa"/>
            <w:right w:w="0" w:type="dxa"/>
          </w:tblCellMar>
        </w:tblPrEx>
        <w:trPr>
          <w:trHeight w:val="312"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30A9">
            <w:pPr>
              <w:jc w:val="center"/>
              <w:rPr>
                <w:rFonts w:hint="default" w:cs="宋体"/>
                <w:b/>
                <w:color w:val="000000"/>
                <w:sz w:val="20"/>
                <w:szCs w:val="20"/>
              </w:rPr>
            </w:pPr>
          </w:p>
        </w:tc>
        <w:tc>
          <w:tcPr>
            <w:tcW w:w="1046"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A9589A4">
            <w:pPr>
              <w:jc w:val="center"/>
              <w:rPr>
                <w:rFonts w:hint="default" w:cs="宋体"/>
                <w:b/>
                <w:color w:val="000000"/>
                <w:sz w:val="20"/>
                <w:szCs w:val="20"/>
              </w:rPr>
            </w:pPr>
          </w:p>
        </w:tc>
        <w:tc>
          <w:tcPr>
            <w:tcW w:w="48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2533F">
            <w:pPr>
              <w:jc w:val="center"/>
              <w:rPr>
                <w:rFonts w:hint="default" w:cs="宋体"/>
                <w:b/>
                <w:color w:val="000000"/>
                <w:sz w:val="20"/>
                <w:szCs w:val="20"/>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B2EE1">
            <w:pPr>
              <w:jc w:val="center"/>
              <w:rPr>
                <w:rFonts w:hint="default" w:cs="宋体"/>
                <w:b/>
                <w:color w:val="000000"/>
                <w:sz w:val="20"/>
                <w:szCs w:val="20"/>
              </w:rPr>
            </w:pPr>
          </w:p>
        </w:tc>
        <w:tc>
          <w:tcPr>
            <w:tcW w:w="44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B3B81">
            <w:pPr>
              <w:jc w:val="center"/>
              <w:rPr>
                <w:rFonts w:hint="default" w:cs="宋体"/>
                <w:b/>
                <w:color w:val="000000"/>
                <w:sz w:val="20"/>
                <w:szCs w:val="20"/>
              </w:rPr>
            </w:pPr>
          </w:p>
        </w:tc>
        <w:tc>
          <w:tcPr>
            <w:tcW w:w="38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A8C22">
            <w:pPr>
              <w:jc w:val="center"/>
              <w:rPr>
                <w:rFonts w:hint="default" w:cs="宋体"/>
                <w:b/>
                <w:color w:val="000000"/>
                <w:sz w:val="20"/>
                <w:szCs w:val="20"/>
              </w:rPr>
            </w:pPr>
          </w:p>
        </w:tc>
        <w:tc>
          <w:tcPr>
            <w:tcW w:w="43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A366B">
            <w:pPr>
              <w:jc w:val="center"/>
              <w:rPr>
                <w:rFonts w:hint="default" w:cs="宋体"/>
                <w:b/>
                <w:color w:val="000000"/>
                <w:sz w:val="20"/>
                <w:szCs w:val="20"/>
              </w:rPr>
            </w:pPr>
          </w:p>
        </w:tc>
        <w:tc>
          <w:tcPr>
            <w:tcW w:w="4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E40C">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56B82">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968FF">
            <w:pPr>
              <w:jc w:val="center"/>
              <w:rPr>
                <w:rFonts w:hint="default" w:cs="宋体"/>
                <w:b/>
                <w:color w:val="000000"/>
                <w:sz w:val="20"/>
                <w:szCs w:val="20"/>
              </w:rPr>
            </w:pPr>
          </w:p>
        </w:tc>
      </w:tr>
      <w:tr w14:paraId="06E63909">
        <w:tblPrEx>
          <w:tblCellMar>
            <w:top w:w="0" w:type="dxa"/>
            <w:left w:w="0" w:type="dxa"/>
            <w:bottom w:w="0" w:type="dxa"/>
            <w:right w:w="0" w:type="dxa"/>
          </w:tblCellMar>
        </w:tblPrEx>
        <w:trPr>
          <w:trHeight w:val="312" w:hRule="exact"/>
        </w:trPr>
        <w:tc>
          <w:tcPr>
            <w:tcW w:w="150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0477">
            <w:pPr>
              <w:jc w:val="center"/>
              <w:textAlignment w:val="center"/>
              <w:rPr>
                <w:rFonts w:hint="default" w:cs="宋体"/>
                <w:b/>
                <w:color w:val="000000"/>
                <w:sz w:val="20"/>
                <w:szCs w:val="20"/>
              </w:rPr>
            </w:pPr>
            <w:r>
              <w:rPr>
                <w:rFonts w:cs="宋体"/>
                <w:b/>
                <w:color w:val="000000"/>
                <w:sz w:val="20"/>
                <w:szCs w:val="20"/>
              </w:rPr>
              <w:t>合计</w:t>
            </w:r>
          </w:p>
        </w:tc>
        <w:tc>
          <w:tcPr>
            <w:tcW w:w="48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147A5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2,612.69</w:t>
            </w:r>
            <w:r>
              <w:rPr>
                <w:rFonts w:ascii="Times New Roman" w:hAnsi="Times New Roman"/>
                <w:b/>
                <w:color w:val="000000"/>
                <w:sz w:val="20"/>
                <w:u w:color="auto"/>
              </w:rPr>
              <w:t xml:space="preserve"> </w:t>
            </w:r>
          </w:p>
        </w:tc>
        <w:tc>
          <w:tcPr>
            <w:tcW w:w="46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EE5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2,541.69</w:t>
            </w:r>
            <w:r>
              <w:rPr>
                <w:rFonts w:ascii="Times New Roman" w:hAnsi="Times New Roman"/>
                <w:b/>
                <w:color w:val="000000"/>
                <w:sz w:val="20"/>
                <w:u w:color="auto"/>
              </w:rPr>
              <w:t xml:space="preserve"> </w:t>
            </w:r>
          </w:p>
        </w:tc>
        <w:tc>
          <w:tcPr>
            <w:tcW w:w="44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BBE6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8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69DE3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71.00</w:t>
            </w:r>
            <w:r>
              <w:rPr>
                <w:rFonts w:ascii="Times New Roman" w:hAnsi="Times New Roman"/>
                <w:b/>
                <w:color w:val="000000"/>
                <w:sz w:val="20"/>
                <w:u w:color="auto"/>
              </w:rPr>
              <w:t xml:space="preserve"> </w:t>
            </w:r>
          </w:p>
        </w:tc>
        <w:tc>
          <w:tcPr>
            <w:tcW w:w="43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0E7D0D">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71.00</w:t>
            </w:r>
            <w:r>
              <w:rPr>
                <w:rFonts w:ascii="Times New Roman" w:hAnsi="Times New Roman"/>
                <w:b/>
                <w:color w:val="000000"/>
                <w:sz w:val="20"/>
                <w:u w:color="auto"/>
              </w:rPr>
              <w:t xml:space="preserve"> </w:t>
            </w:r>
          </w:p>
        </w:tc>
        <w:tc>
          <w:tcPr>
            <w:tcW w:w="41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2DA76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926D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6D13D8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21DCF348">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A5879">
            <w:pPr>
              <w:textAlignment w:val="center"/>
              <w:rPr>
                <w:rFonts w:hint="default" w:cs="宋体"/>
                <w:color w:val="000000"/>
                <w:sz w:val="20"/>
                <w:szCs w:val="20"/>
              </w:rPr>
            </w:pPr>
            <w:r>
              <w:rPr>
                <w:rFonts w:cs="宋体"/>
                <w:b/>
                <w:color w:val="000000"/>
                <w:sz w:val="20"/>
                <w:szCs w:val="20"/>
              </w:rPr>
              <w:t>205</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DFC434">
            <w:pPr>
              <w:textAlignment w:val="center"/>
              <w:rPr>
                <w:rFonts w:hint="default" w:cs="宋体"/>
                <w:color w:val="000000"/>
                <w:sz w:val="20"/>
                <w:szCs w:val="20"/>
              </w:rPr>
            </w:pPr>
            <w:r>
              <w:rPr>
                <w:rFonts w:cs="宋体"/>
                <w:b/>
                <w:color w:val="000000"/>
                <w:sz w:val="20"/>
                <w:szCs w:val="20"/>
              </w:rPr>
              <w:t>教育支出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BDE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2,116.48</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215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2,045.48</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7A4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9F3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7B83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E153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BB23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35FC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9D680C">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0DC38">
            <w:pPr>
              <w:textAlignment w:val="center"/>
              <w:rPr>
                <w:rFonts w:hint="default" w:cs="宋体"/>
                <w:color w:val="000000"/>
                <w:sz w:val="20"/>
                <w:szCs w:val="20"/>
              </w:rPr>
            </w:pPr>
            <w:r>
              <w:rPr>
                <w:rFonts w:cs="宋体"/>
                <w:b/>
                <w:color w:val="000000"/>
                <w:sz w:val="20"/>
                <w:szCs w:val="20"/>
              </w:rPr>
              <w:t>20502</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C9AB30">
            <w:pPr>
              <w:textAlignment w:val="center"/>
              <w:rPr>
                <w:rFonts w:hint="default" w:cs="宋体"/>
                <w:color w:val="000000"/>
                <w:sz w:val="20"/>
                <w:szCs w:val="20"/>
              </w:rPr>
            </w:pPr>
            <w:r>
              <w:rPr>
                <w:rFonts w:cs="宋体"/>
                <w:b/>
                <w:color w:val="000000"/>
                <w:sz w:val="20"/>
                <w:szCs w:val="20"/>
              </w:rPr>
              <w:t>普通教育</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9376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2,107.53</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684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2,036.53</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E042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6AD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4F5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AAC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26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30E9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6E2F17">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9A63B">
            <w:pPr>
              <w:textAlignment w:val="center"/>
              <w:rPr>
                <w:rFonts w:hint="default" w:cs="宋体"/>
                <w:color w:val="000000"/>
                <w:sz w:val="20"/>
                <w:szCs w:val="20"/>
              </w:rPr>
            </w:pPr>
            <w:r>
              <w:rPr>
                <w:rFonts w:cs="宋体"/>
                <w:color w:val="000000"/>
                <w:sz w:val="20"/>
                <w:szCs w:val="20"/>
              </w:rPr>
              <w:t>2050203</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25FE85">
            <w:pPr>
              <w:textAlignment w:val="center"/>
              <w:rPr>
                <w:rFonts w:hint="default" w:cs="宋体"/>
                <w:color w:val="000000"/>
                <w:sz w:val="20"/>
                <w:szCs w:val="20"/>
              </w:rPr>
            </w:pPr>
            <w:r>
              <w:rPr>
                <w:rFonts w:cs="宋体"/>
                <w:color w:val="000000"/>
                <w:sz w:val="20"/>
                <w:szCs w:val="20"/>
              </w:rPr>
              <w:t>初中教育</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6033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2,107.53</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BC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2,036.53</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0D61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B4D6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7F9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499C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AC7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588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0185A49">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1628B">
            <w:pPr>
              <w:textAlignment w:val="center"/>
              <w:rPr>
                <w:rFonts w:hint="default" w:cs="宋体"/>
                <w:color w:val="000000"/>
                <w:sz w:val="20"/>
                <w:szCs w:val="20"/>
              </w:rPr>
            </w:pPr>
            <w:r>
              <w:rPr>
                <w:rFonts w:cs="宋体"/>
                <w:b/>
                <w:color w:val="000000"/>
                <w:sz w:val="20"/>
                <w:szCs w:val="20"/>
              </w:rPr>
              <w:t>20509</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04677E">
            <w:pPr>
              <w:textAlignment w:val="center"/>
              <w:rPr>
                <w:rFonts w:hint="default" w:cs="宋体"/>
                <w:color w:val="000000"/>
                <w:sz w:val="20"/>
                <w:szCs w:val="20"/>
              </w:rPr>
            </w:pPr>
            <w:r>
              <w:rPr>
                <w:rFonts w:cs="宋体"/>
                <w:b/>
                <w:color w:val="000000"/>
                <w:sz w:val="20"/>
                <w:szCs w:val="20"/>
              </w:rPr>
              <w:t>教育费附加安排的支出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E8E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B43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6F3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AA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A1C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E5F1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44C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D06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98A424A">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13E6C">
            <w:pPr>
              <w:textAlignment w:val="center"/>
              <w:rPr>
                <w:rFonts w:hint="default" w:cs="宋体"/>
                <w:color w:val="000000"/>
                <w:sz w:val="20"/>
                <w:szCs w:val="20"/>
              </w:rPr>
            </w:pPr>
            <w:r>
              <w:rPr>
                <w:rFonts w:cs="宋体"/>
                <w:color w:val="000000"/>
                <w:sz w:val="20"/>
                <w:szCs w:val="20"/>
              </w:rPr>
              <w:t>2050904</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73B9">
            <w:pPr>
              <w:textAlignment w:val="center"/>
              <w:rPr>
                <w:rFonts w:hint="default" w:cs="宋体"/>
                <w:color w:val="000000"/>
                <w:sz w:val="20"/>
                <w:szCs w:val="20"/>
              </w:rPr>
            </w:pPr>
            <w:r>
              <w:rPr>
                <w:rFonts w:cs="宋体"/>
                <w:color w:val="000000"/>
                <w:sz w:val="20"/>
                <w:szCs w:val="20"/>
              </w:rPr>
              <w:t>城市中小学教学设施</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BC5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154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7B7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55C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AF2B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D2D2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088E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23C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919BFD6">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952A2">
            <w:pPr>
              <w:textAlignment w:val="center"/>
              <w:rPr>
                <w:rFonts w:hint="default" w:cs="宋体"/>
                <w:color w:val="000000"/>
                <w:sz w:val="20"/>
                <w:szCs w:val="20"/>
              </w:rPr>
            </w:pPr>
            <w:r>
              <w:rPr>
                <w:rFonts w:cs="宋体"/>
                <w:b/>
                <w:color w:val="000000"/>
                <w:sz w:val="20"/>
                <w:szCs w:val="20"/>
              </w:rPr>
              <w:t>208</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B44E23">
            <w:pPr>
              <w:textAlignment w:val="center"/>
              <w:rPr>
                <w:rFonts w:hint="default" w:cs="宋体"/>
                <w:color w:val="000000"/>
                <w:sz w:val="20"/>
                <w:szCs w:val="20"/>
              </w:rPr>
            </w:pPr>
            <w:r>
              <w:rPr>
                <w:rFonts w:cs="宋体"/>
                <w:b/>
                <w:color w:val="000000"/>
                <w:sz w:val="20"/>
                <w:szCs w:val="20"/>
              </w:rPr>
              <w:t>社会保障和就业支出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EFE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255.29</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B3D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255.29</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1D9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714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F5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A2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93ED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6FCF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36D524F">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3AD64">
            <w:pPr>
              <w:textAlignment w:val="center"/>
              <w:rPr>
                <w:rFonts w:hint="default" w:cs="宋体"/>
                <w:color w:val="000000"/>
                <w:sz w:val="20"/>
                <w:szCs w:val="20"/>
              </w:rPr>
            </w:pPr>
            <w:r>
              <w:rPr>
                <w:rFonts w:cs="宋体"/>
                <w:b/>
                <w:color w:val="000000"/>
                <w:sz w:val="20"/>
                <w:szCs w:val="20"/>
              </w:rPr>
              <w:t>20805</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943FE">
            <w:pPr>
              <w:textAlignment w:val="center"/>
              <w:rPr>
                <w:rFonts w:hint="default" w:cs="宋体"/>
                <w:color w:val="000000"/>
                <w:sz w:val="20"/>
                <w:szCs w:val="20"/>
              </w:rPr>
            </w:pPr>
            <w:r>
              <w:rPr>
                <w:rFonts w:cs="宋体"/>
                <w:b/>
                <w:color w:val="000000"/>
                <w:sz w:val="20"/>
                <w:szCs w:val="20"/>
              </w:rPr>
              <w:t>行政事业单位养老支出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617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247.55</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CD9D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247.55</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2A94C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FEF38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566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87C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E1B5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2D06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DFBAA8F">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339B7">
            <w:pPr>
              <w:textAlignment w:val="center"/>
              <w:rPr>
                <w:rFonts w:hint="default" w:cs="宋体"/>
                <w:color w:val="000000"/>
                <w:sz w:val="20"/>
                <w:szCs w:val="20"/>
              </w:rPr>
            </w:pPr>
            <w:r>
              <w:rPr>
                <w:rFonts w:cs="宋体"/>
                <w:color w:val="000000"/>
                <w:sz w:val="20"/>
                <w:szCs w:val="20"/>
              </w:rPr>
              <w:t>2080505</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21D7DC">
            <w:pPr>
              <w:textAlignment w:val="center"/>
              <w:rPr>
                <w:rFonts w:hint="default" w:cs="宋体"/>
                <w:color w:val="000000"/>
                <w:sz w:val="20"/>
                <w:szCs w:val="20"/>
              </w:rPr>
            </w:pPr>
            <w:r>
              <w:rPr>
                <w:rFonts w:cs="宋体"/>
                <w:color w:val="000000"/>
                <w:sz w:val="20"/>
                <w:szCs w:val="20"/>
              </w:rPr>
              <w:t>机关事业单位基本养老保险缴费支出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A05B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156.96</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B1A4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156.96</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9C1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36E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3A8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F94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476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10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D58DEE8">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1F5F">
            <w:pPr>
              <w:textAlignment w:val="center"/>
              <w:rPr>
                <w:rFonts w:hint="default" w:cs="宋体"/>
                <w:color w:val="000000"/>
                <w:sz w:val="20"/>
                <w:szCs w:val="20"/>
              </w:rPr>
            </w:pPr>
            <w:r>
              <w:rPr>
                <w:rFonts w:cs="宋体"/>
                <w:color w:val="000000"/>
                <w:sz w:val="20"/>
                <w:szCs w:val="20"/>
              </w:rPr>
              <w:t>2080506</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1031C5">
            <w:pPr>
              <w:textAlignment w:val="center"/>
              <w:rPr>
                <w:rFonts w:hint="default" w:cs="宋体"/>
                <w:color w:val="000000"/>
                <w:sz w:val="20"/>
                <w:szCs w:val="20"/>
              </w:rPr>
            </w:pPr>
            <w:r>
              <w:rPr>
                <w:rFonts w:cs="宋体"/>
                <w:color w:val="000000"/>
                <w:sz w:val="20"/>
                <w:szCs w:val="20"/>
              </w:rPr>
              <w:t>机关事业单位职业年金缴费支出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71B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82.59</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A53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82.59</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135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37C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C5F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44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16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089E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6CA798">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D6113">
            <w:pPr>
              <w:textAlignment w:val="center"/>
              <w:rPr>
                <w:rFonts w:hint="default" w:cs="宋体"/>
                <w:color w:val="000000"/>
                <w:sz w:val="20"/>
                <w:szCs w:val="20"/>
              </w:rPr>
            </w:pPr>
            <w:r>
              <w:rPr>
                <w:rFonts w:cs="宋体"/>
                <w:color w:val="000000"/>
                <w:sz w:val="20"/>
                <w:szCs w:val="20"/>
              </w:rPr>
              <w:t>2080599</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A7EC75">
            <w:pPr>
              <w:textAlignment w:val="center"/>
              <w:rPr>
                <w:rFonts w:hint="default" w:cs="宋体"/>
                <w:color w:val="000000"/>
                <w:sz w:val="20"/>
                <w:szCs w:val="20"/>
              </w:rPr>
            </w:pPr>
            <w:r>
              <w:rPr>
                <w:rFonts w:cs="宋体"/>
                <w:color w:val="000000"/>
                <w:sz w:val="20"/>
                <w:szCs w:val="20"/>
              </w:rPr>
              <w:t>其他行政事业单位养老支出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DC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E8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BA8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EF8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AB63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EA74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3F77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B0C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A54B9FA">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46072">
            <w:pPr>
              <w:textAlignment w:val="center"/>
              <w:rPr>
                <w:rFonts w:hint="default" w:cs="宋体"/>
                <w:color w:val="000000"/>
                <w:sz w:val="20"/>
                <w:szCs w:val="20"/>
              </w:rPr>
            </w:pPr>
            <w:r>
              <w:rPr>
                <w:rFonts w:cs="宋体"/>
                <w:b/>
                <w:color w:val="000000"/>
                <w:sz w:val="20"/>
                <w:szCs w:val="20"/>
              </w:rPr>
              <w:t>20808</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C5F4DB">
            <w:pPr>
              <w:textAlignment w:val="center"/>
              <w:rPr>
                <w:rFonts w:hint="default" w:cs="宋体"/>
                <w:color w:val="000000"/>
                <w:sz w:val="20"/>
                <w:szCs w:val="20"/>
              </w:rPr>
            </w:pPr>
            <w:r>
              <w:rPr>
                <w:rFonts w:cs="宋体"/>
                <w:b/>
                <w:color w:val="000000"/>
                <w:sz w:val="20"/>
                <w:szCs w:val="20"/>
              </w:rPr>
              <w:t>抚恤</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658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4B1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B04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6D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80E8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98E8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D99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9CA5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7C94C1A7">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8BCF9">
            <w:pPr>
              <w:textAlignment w:val="center"/>
              <w:rPr>
                <w:rFonts w:hint="default" w:cs="宋体"/>
                <w:color w:val="000000"/>
                <w:sz w:val="20"/>
                <w:szCs w:val="20"/>
              </w:rPr>
            </w:pPr>
            <w:r>
              <w:rPr>
                <w:rFonts w:cs="宋体"/>
                <w:color w:val="000000"/>
                <w:sz w:val="20"/>
                <w:szCs w:val="20"/>
              </w:rPr>
              <w:t>2080801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8104BC">
            <w:pPr>
              <w:textAlignment w:val="center"/>
              <w:rPr>
                <w:rFonts w:hint="default" w:cs="宋体"/>
                <w:color w:val="000000"/>
                <w:sz w:val="20"/>
                <w:szCs w:val="20"/>
              </w:rPr>
            </w:pPr>
            <w:r>
              <w:rPr>
                <w:rFonts w:cs="宋体"/>
                <w:color w:val="000000"/>
                <w:sz w:val="20"/>
                <w:szCs w:val="20"/>
              </w:rPr>
              <w:t>死亡抚恤</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FC6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F3CD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A37A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63B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833E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B7CE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A3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8F8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F9D72E">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842C">
            <w:pPr>
              <w:textAlignment w:val="center"/>
              <w:rPr>
                <w:rFonts w:hint="default" w:cs="宋体"/>
                <w:color w:val="000000"/>
                <w:sz w:val="20"/>
                <w:szCs w:val="20"/>
              </w:rPr>
            </w:pPr>
            <w:r>
              <w:rPr>
                <w:rFonts w:cs="宋体"/>
                <w:b/>
                <w:color w:val="000000"/>
                <w:sz w:val="20"/>
                <w:szCs w:val="20"/>
              </w:rPr>
              <w:t>210</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7C02A4">
            <w:pPr>
              <w:textAlignment w:val="center"/>
              <w:rPr>
                <w:rFonts w:hint="default" w:cs="宋体"/>
                <w:color w:val="000000"/>
                <w:sz w:val="20"/>
                <w:szCs w:val="20"/>
              </w:rPr>
            </w:pPr>
            <w:r>
              <w:rPr>
                <w:rFonts w:cs="宋体"/>
                <w:b/>
                <w:color w:val="000000"/>
                <w:sz w:val="20"/>
                <w:szCs w:val="20"/>
              </w:rPr>
              <w:t>卫生健康支出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953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3E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63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C4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584A7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495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1B0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C35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5DA0231">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FB9BF">
            <w:pPr>
              <w:textAlignment w:val="center"/>
              <w:rPr>
                <w:rFonts w:hint="default" w:cs="宋体"/>
                <w:color w:val="000000"/>
                <w:sz w:val="20"/>
                <w:szCs w:val="20"/>
              </w:rPr>
            </w:pPr>
            <w:r>
              <w:rPr>
                <w:rFonts w:cs="宋体"/>
                <w:b/>
                <w:color w:val="000000"/>
                <w:sz w:val="20"/>
                <w:szCs w:val="20"/>
              </w:rPr>
              <w:t>21011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011B0D">
            <w:pPr>
              <w:textAlignment w:val="center"/>
              <w:rPr>
                <w:rFonts w:hint="default" w:cs="宋体"/>
                <w:color w:val="000000"/>
                <w:sz w:val="20"/>
                <w:szCs w:val="20"/>
              </w:rPr>
            </w:pPr>
            <w:r>
              <w:rPr>
                <w:rFonts w:cs="宋体"/>
                <w:b/>
                <w:color w:val="000000"/>
                <w:sz w:val="20"/>
                <w:szCs w:val="20"/>
              </w:rPr>
              <w:t>行政事业单位医疗</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6D8A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0E5B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0C2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FC36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09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6FD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481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95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CFD2028">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A676F">
            <w:pPr>
              <w:textAlignment w:val="center"/>
              <w:rPr>
                <w:rFonts w:hint="default" w:cs="宋体"/>
                <w:color w:val="000000"/>
                <w:sz w:val="20"/>
                <w:szCs w:val="20"/>
              </w:rPr>
            </w:pPr>
            <w:r>
              <w:rPr>
                <w:rFonts w:cs="宋体"/>
                <w:color w:val="000000"/>
                <w:sz w:val="20"/>
                <w:szCs w:val="20"/>
              </w:rPr>
              <w:t>2101102</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67C646">
            <w:pPr>
              <w:textAlignment w:val="center"/>
              <w:rPr>
                <w:rFonts w:hint="default" w:cs="宋体"/>
                <w:color w:val="000000"/>
                <w:sz w:val="20"/>
                <w:szCs w:val="20"/>
              </w:rPr>
            </w:pPr>
            <w:r>
              <w:rPr>
                <w:rFonts w:cs="宋体"/>
                <w:color w:val="000000"/>
                <w:sz w:val="20"/>
                <w:szCs w:val="20"/>
              </w:rPr>
              <w:t>事业单位医疗</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B2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428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1019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A53C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CC1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999A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92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3971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66AEB43">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72B18">
            <w:pPr>
              <w:textAlignment w:val="center"/>
              <w:rPr>
                <w:rFonts w:hint="default" w:cs="宋体"/>
                <w:color w:val="000000"/>
                <w:sz w:val="20"/>
                <w:szCs w:val="20"/>
              </w:rPr>
            </w:pPr>
            <w:r>
              <w:rPr>
                <w:rFonts w:cs="宋体"/>
                <w:color w:val="000000"/>
                <w:sz w:val="20"/>
                <w:szCs w:val="20"/>
              </w:rPr>
              <w:t>2101199</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66200C">
            <w:pPr>
              <w:textAlignment w:val="center"/>
              <w:rPr>
                <w:rFonts w:hint="default" w:cs="宋体"/>
                <w:color w:val="000000"/>
                <w:sz w:val="20"/>
                <w:szCs w:val="20"/>
              </w:rPr>
            </w:pPr>
            <w:r>
              <w:rPr>
                <w:rFonts w:cs="宋体"/>
                <w:color w:val="000000"/>
                <w:sz w:val="20"/>
                <w:szCs w:val="20"/>
              </w:rPr>
              <w:t>其他行政事业单位医疗支出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92A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99A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5ED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764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527D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D49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209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A5D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BB5167D">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9BD99">
            <w:pPr>
              <w:textAlignment w:val="center"/>
              <w:rPr>
                <w:rFonts w:hint="default" w:cs="宋体"/>
                <w:color w:val="000000"/>
                <w:sz w:val="20"/>
                <w:szCs w:val="20"/>
              </w:rPr>
            </w:pPr>
            <w:r>
              <w:rPr>
                <w:rFonts w:cs="宋体"/>
                <w:b/>
                <w:color w:val="000000"/>
                <w:sz w:val="20"/>
                <w:szCs w:val="20"/>
              </w:rPr>
              <w:t>221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6FD312">
            <w:pPr>
              <w:textAlignment w:val="center"/>
              <w:rPr>
                <w:rFonts w:hint="default" w:cs="宋体"/>
                <w:color w:val="000000"/>
                <w:sz w:val="20"/>
                <w:szCs w:val="20"/>
              </w:rPr>
            </w:pPr>
            <w:r>
              <w:rPr>
                <w:rFonts w:cs="宋体"/>
                <w:b/>
                <w:color w:val="000000"/>
                <w:sz w:val="20"/>
                <w:szCs w:val="20"/>
              </w:rPr>
              <w:t>住房保障支出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B837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EBC8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90F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A6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5A45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42DA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193D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FA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EFC2770">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E1D39">
            <w:pPr>
              <w:textAlignment w:val="center"/>
              <w:rPr>
                <w:rFonts w:hint="default" w:cs="宋体"/>
                <w:color w:val="000000"/>
                <w:sz w:val="20"/>
                <w:szCs w:val="20"/>
              </w:rPr>
            </w:pPr>
            <w:r>
              <w:rPr>
                <w:rFonts w:cs="宋体"/>
                <w:b/>
                <w:color w:val="000000"/>
                <w:sz w:val="20"/>
                <w:szCs w:val="20"/>
              </w:rPr>
              <w:t>22102</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ED347">
            <w:pPr>
              <w:textAlignment w:val="center"/>
              <w:rPr>
                <w:rFonts w:hint="default" w:cs="宋体"/>
                <w:color w:val="000000"/>
                <w:sz w:val="20"/>
                <w:szCs w:val="20"/>
              </w:rPr>
            </w:pPr>
            <w:r>
              <w:rPr>
                <w:rFonts w:cs="宋体"/>
                <w:b/>
                <w:color w:val="000000"/>
                <w:sz w:val="20"/>
                <w:szCs w:val="20"/>
              </w:rPr>
              <w:t>住房改革支出</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898A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EDFAD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ED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95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B26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ABF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CED3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165C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6C763A">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B05A3">
            <w:pPr>
              <w:textAlignment w:val="center"/>
              <w:rPr>
                <w:rFonts w:hint="default" w:cs="宋体"/>
                <w:color w:val="000000"/>
                <w:sz w:val="20"/>
                <w:szCs w:val="20"/>
              </w:rPr>
            </w:pPr>
            <w:r>
              <w:rPr>
                <w:rFonts w:cs="宋体"/>
                <w:color w:val="000000"/>
                <w:sz w:val="20"/>
                <w:szCs w:val="20"/>
              </w:rPr>
              <w:t>2210201</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4551BA">
            <w:pPr>
              <w:textAlignment w:val="center"/>
              <w:rPr>
                <w:rFonts w:hint="default" w:cs="宋体"/>
                <w:color w:val="000000"/>
                <w:sz w:val="20"/>
                <w:szCs w:val="20"/>
              </w:rPr>
            </w:pPr>
            <w:r>
              <w:rPr>
                <w:rFonts w:cs="宋体"/>
                <w:color w:val="000000"/>
                <w:sz w:val="20"/>
                <w:szCs w:val="20"/>
              </w:rPr>
              <w:t>住房公积金</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EB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5B9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9600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C5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40A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ABD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0F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5B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657277">
        <w:tblPrEx>
          <w:tblCellMar>
            <w:top w:w="0" w:type="dxa"/>
            <w:left w:w="0" w:type="dxa"/>
            <w:bottom w:w="0" w:type="dxa"/>
            <w:right w:w="0" w:type="dxa"/>
          </w:tblCellMar>
        </w:tblPrEx>
        <w:trPr>
          <w:trHeight w:val="312" w:hRule="exac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A006D">
            <w:pPr>
              <w:textAlignment w:val="center"/>
              <w:rPr>
                <w:rFonts w:hint="default" w:cs="宋体"/>
                <w:color w:val="000000"/>
                <w:sz w:val="20"/>
                <w:szCs w:val="20"/>
              </w:rPr>
            </w:pPr>
            <w:r>
              <w:rPr>
                <w:rFonts w:cs="宋体"/>
                <w:color w:val="000000"/>
                <w:sz w:val="20"/>
                <w:szCs w:val="20"/>
              </w:rPr>
              <w:t>2210203</w:t>
            </w:r>
          </w:p>
        </w:tc>
        <w:tc>
          <w:tcPr>
            <w:tcW w:w="104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9BF365">
            <w:pPr>
              <w:textAlignment w:val="center"/>
              <w:rPr>
                <w:rFonts w:hint="default" w:cs="宋体"/>
                <w:color w:val="000000"/>
                <w:sz w:val="20"/>
                <w:szCs w:val="20"/>
              </w:rPr>
            </w:pPr>
            <w:r>
              <w:rPr>
                <w:rFonts w:cs="宋体"/>
                <w:color w:val="000000"/>
                <w:sz w:val="20"/>
                <w:szCs w:val="20"/>
              </w:rPr>
              <w:t>购房补贴</w:t>
            </w:r>
          </w:p>
        </w:tc>
        <w:tc>
          <w:tcPr>
            <w:tcW w:w="48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29F9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7AA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44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01FE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8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DD73B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7BE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811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405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56DF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39EF67CA">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hint="eastAsia" w:cs="宋体"/>
          <w:sz w:val="20"/>
          <w:szCs w:val="20"/>
          <w:lang w:eastAsia="zh-CN"/>
        </w:rPr>
        <w:t>。</w:t>
      </w:r>
      <w:r>
        <w:rPr>
          <w:rFonts w:cs="宋体"/>
          <w:sz w:val="20"/>
          <w:szCs w:val="20"/>
        </w:rPr>
        <w:br w:type="textWrapping"/>
      </w:r>
    </w:p>
    <w:p w14:paraId="54B289E3">
      <w:pPr>
        <w:rPr>
          <w:rFonts w:hint="default" w:cs="宋体"/>
          <w:sz w:val="20"/>
          <w:szCs w:val="20"/>
        </w:rPr>
      </w:pPr>
      <w:r>
        <w:rPr>
          <w:rFonts w:cs="宋体"/>
          <w:sz w:val="20"/>
          <w:szCs w:val="20"/>
        </w:rPr>
        <w:br w:type="page"/>
      </w:r>
    </w:p>
    <w:tbl>
      <w:tblPr>
        <w:tblStyle w:val="7"/>
        <w:tblW w:w="5000" w:type="pct"/>
        <w:tblInd w:w="0" w:type="dxa"/>
        <w:tblLayout w:type="fixed"/>
        <w:tblCellMar>
          <w:top w:w="0" w:type="dxa"/>
          <w:left w:w="0" w:type="dxa"/>
          <w:bottom w:w="0" w:type="dxa"/>
          <w:right w:w="0" w:type="dxa"/>
        </w:tblCellMar>
      </w:tblPr>
      <w:tblGrid>
        <w:gridCol w:w="1297"/>
        <w:gridCol w:w="3615"/>
        <w:gridCol w:w="1847"/>
        <w:gridCol w:w="1773"/>
        <w:gridCol w:w="1631"/>
        <w:gridCol w:w="1563"/>
        <w:gridCol w:w="1699"/>
        <w:gridCol w:w="1954"/>
      </w:tblGrid>
      <w:tr w14:paraId="7BDE6E85">
        <w:tblPrEx>
          <w:tblCellMar>
            <w:top w:w="0" w:type="dxa"/>
            <w:left w:w="0" w:type="dxa"/>
            <w:bottom w:w="0" w:type="dxa"/>
            <w:right w:w="0" w:type="dxa"/>
          </w:tblCellMar>
        </w:tblPrEx>
        <w:trPr>
          <w:trHeight w:val="727"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6EA28171">
            <w:pPr>
              <w:jc w:val="center"/>
              <w:textAlignment w:val="bottom"/>
              <w:rPr>
                <w:rFonts w:hint="default" w:cs="宋体"/>
                <w:b/>
                <w:color w:val="000000"/>
                <w:sz w:val="32"/>
                <w:szCs w:val="32"/>
              </w:rPr>
            </w:pPr>
            <w:r>
              <w:rPr>
                <w:rFonts w:cs="宋体"/>
                <w:b/>
                <w:color w:val="000000"/>
                <w:sz w:val="32"/>
                <w:szCs w:val="32"/>
              </w:rPr>
              <w:t>支出决算表</w:t>
            </w:r>
          </w:p>
        </w:tc>
      </w:tr>
      <w:tr w14:paraId="3AD97D33">
        <w:tblPrEx>
          <w:tblCellMar>
            <w:top w:w="0" w:type="dxa"/>
            <w:left w:w="0" w:type="dxa"/>
            <w:bottom w:w="0" w:type="dxa"/>
            <w:right w:w="0" w:type="dxa"/>
          </w:tblCellMar>
        </w:tblPrEx>
        <w:trPr>
          <w:trHeight w:val="461"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14:paraId="0F2C79D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重庆市四十七中学 </w:t>
            </w:r>
          </w:p>
        </w:tc>
        <w:tc>
          <w:tcPr>
            <w:tcW w:w="575" w:type="pct"/>
            <w:tcBorders>
              <w:top w:val="nil"/>
              <w:left w:val="nil"/>
              <w:bottom w:val="nil"/>
              <w:right w:val="nil"/>
            </w:tcBorders>
            <w:shd w:val="clear" w:color="auto" w:fill="auto"/>
            <w:noWrap/>
            <w:tcMar>
              <w:top w:w="15" w:type="dxa"/>
              <w:left w:w="15" w:type="dxa"/>
              <w:right w:w="15" w:type="dxa"/>
            </w:tcMar>
            <w:vAlign w:val="bottom"/>
          </w:tcPr>
          <w:p w14:paraId="574B2887">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2A68B6C1">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632AFF08">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1552D4D6">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666C78D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14:paraId="2AD9AFB7">
        <w:tblPrEx>
          <w:tblCellMar>
            <w:top w:w="0" w:type="dxa"/>
            <w:left w:w="0" w:type="dxa"/>
            <w:bottom w:w="0" w:type="dxa"/>
            <w:right w:w="0" w:type="dxa"/>
          </w:tblCellMar>
        </w:tblPrEx>
        <w:trPr>
          <w:trHeight w:val="401"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14:paraId="12799748">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2C4F339E">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14:paraId="7525D72A">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14:paraId="02C5CCA9">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14:paraId="54D61853">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14:paraId="3CBF6A9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EF55641">
        <w:tblPrEx>
          <w:tblCellMar>
            <w:top w:w="0" w:type="dxa"/>
            <w:left w:w="0" w:type="dxa"/>
            <w:bottom w:w="0" w:type="dxa"/>
            <w:right w:w="0" w:type="dxa"/>
          </w:tblCellMar>
        </w:tblPrEx>
        <w:trPr>
          <w:trHeight w:val="235"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D436246">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C1B85">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CD8DC">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7E23">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338E6">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8DF9D2">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D80315">
            <w:pPr>
              <w:jc w:val="center"/>
              <w:textAlignment w:val="center"/>
              <w:rPr>
                <w:rFonts w:hint="default" w:cs="宋体"/>
                <w:b/>
                <w:color w:val="000000"/>
                <w:sz w:val="20"/>
                <w:szCs w:val="20"/>
              </w:rPr>
            </w:pPr>
            <w:r>
              <w:rPr>
                <w:rFonts w:cs="宋体"/>
                <w:b/>
                <w:color w:val="000000"/>
                <w:sz w:val="20"/>
                <w:szCs w:val="20"/>
              </w:rPr>
              <w:t>对附属单位补助支出</w:t>
            </w:r>
          </w:p>
        </w:tc>
      </w:tr>
      <w:tr w14:paraId="1A5AD182">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ED326">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3B5E568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BDB8E">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5C99F">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17D47">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C8B95">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45430">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D547E">
            <w:pPr>
              <w:jc w:val="center"/>
              <w:rPr>
                <w:rFonts w:hint="default" w:cs="宋体"/>
                <w:b/>
                <w:color w:val="000000"/>
                <w:sz w:val="20"/>
                <w:szCs w:val="20"/>
              </w:rPr>
            </w:pPr>
          </w:p>
        </w:tc>
      </w:tr>
      <w:tr w14:paraId="068FEC55">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90B4C">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A64A670">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952C7">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0A4C0">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2A23BD">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290FD">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9C82C">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D28B">
            <w:pPr>
              <w:jc w:val="center"/>
              <w:rPr>
                <w:rFonts w:hint="default" w:cs="宋体"/>
                <w:b/>
                <w:color w:val="000000"/>
                <w:sz w:val="20"/>
                <w:szCs w:val="20"/>
              </w:rPr>
            </w:pPr>
          </w:p>
        </w:tc>
      </w:tr>
      <w:tr w14:paraId="506CEF17">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7ED41">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3B11026D">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D0920">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07E1B">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E861">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6A4F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19019">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31484">
            <w:pPr>
              <w:jc w:val="center"/>
              <w:rPr>
                <w:rFonts w:hint="default" w:cs="宋体"/>
                <w:b/>
                <w:color w:val="000000"/>
                <w:sz w:val="20"/>
                <w:szCs w:val="20"/>
              </w:rPr>
            </w:pPr>
          </w:p>
        </w:tc>
      </w:tr>
      <w:tr w14:paraId="7EFC22DF">
        <w:tblPrEx>
          <w:tblCellMar>
            <w:top w:w="0" w:type="dxa"/>
            <w:left w:w="0" w:type="dxa"/>
            <w:bottom w:w="0" w:type="dxa"/>
            <w:right w:w="0" w:type="dxa"/>
          </w:tblCellMar>
        </w:tblPrEx>
        <w:trPr>
          <w:trHeight w:val="312"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2774E">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BFF7A2A">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C7B36">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F20BA">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91BD5">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37F09">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7153">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D80C0">
            <w:pPr>
              <w:jc w:val="center"/>
              <w:rPr>
                <w:rFonts w:hint="default" w:cs="宋体"/>
                <w:b/>
                <w:color w:val="000000"/>
                <w:sz w:val="20"/>
                <w:szCs w:val="20"/>
              </w:rPr>
            </w:pPr>
          </w:p>
        </w:tc>
      </w:tr>
      <w:tr w14:paraId="290ACD65">
        <w:tblPrEx>
          <w:tblCellMar>
            <w:top w:w="0" w:type="dxa"/>
            <w:left w:w="0" w:type="dxa"/>
            <w:bottom w:w="0" w:type="dxa"/>
            <w:right w:w="0" w:type="dxa"/>
          </w:tblCellMar>
        </w:tblPrEx>
        <w:trPr>
          <w:trHeight w:val="312" w:hRule="exac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7C9CC">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BA3DB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2,612.69</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E3800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2,056.27</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0C55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556.41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9369D8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A5775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79F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7668D172">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7811B">
            <w:pPr>
              <w:textAlignment w:val="center"/>
              <w:rPr>
                <w:rFonts w:hint="default" w:cs="宋体"/>
                <w:color w:val="000000"/>
                <w:sz w:val="20"/>
                <w:szCs w:val="20"/>
              </w:rPr>
            </w:pPr>
            <w:r>
              <w:rPr>
                <w:rFonts w:cs="宋体"/>
                <w:b/>
                <w:color w:val="000000"/>
                <w:sz w:val="20"/>
                <w:szCs w:val="20"/>
              </w:rPr>
              <w:t>205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B8259">
            <w:pPr>
              <w:textAlignment w:val="center"/>
              <w:rPr>
                <w:rFonts w:hint="default" w:cs="宋体"/>
                <w:color w:val="000000"/>
                <w:sz w:val="20"/>
                <w:szCs w:val="20"/>
              </w:rPr>
            </w:pPr>
            <w:r>
              <w:rPr>
                <w:rFonts w:cs="宋体"/>
                <w:b/>
                <w:color w:val="000000"/>
                <w:sz w:val="20"/>
                <w:szCs w:val="20"/>
              </w:rPr>
              <w:t>教育支出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6D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2,116.48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B65B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2D0AD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556.41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BAB2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7D9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82E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A6F32EE">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5B7D">
            <w:pPr>
              <w:textAlignment w:val="center"/>
              <w:rPr>
                <w:rFonts w:hint="default" w:cs="宋体"/>
                <w:color w:val="000000"/>
                <w:sz w:val="20"/>
                <w:szCs w:val="20"/>
              </w:rPr>
            </w:pPr>
            <w:r>
              <w:rPr>
                <w:rFonts w:cs="宋体"/>
                <w:b/>
                <w:color w:val="000000"/>
                <w:sz w:val="20"/>
                <w:szCs w:val="20"/>
              </w:rPr>
              <w:t>20502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3FD78A7">
            <w:pPr>
              <w:textAlignment w:val="center"/>
              <w:rPr>
                <w:rFonts w:hint="default" w:cs="宋体"/>
                <w:color w:val="000000"/>
                <w:sz w:val="20"/>
                <w:szCs w:val="20"/>
              </w:rPr>
            </w:pPr>
            <w:r>
              <w:rPr>
                <w:rFonts w:cs="宋体"/>
                <w:b/>
                <w:color w:val="000000"/>
                <w:sz w:val="20"/>
                <w:szCs w:val="20"/>
              </w:rPr>
              <w:t>普通教育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19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2,107.53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301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1,560.06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9C75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547.46</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4F9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E6A3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86C2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8D80C14">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2349">
            <w:pPr>
              <w:textAlignment w:val="center"/>
              <w:rPr>
                <w:rFonts w:hint="default" w:cs="宋体"/>
                <w:color w:val="000000"/>
                <w:sz w:val="20"/>
                <w:szCs w:val="20"/>
              </w:rPr>
            </w:pPr>
            <w:r>
              <w:rPr>
                <w:rFonts w:cs="宋体"/>
                <w:color w:val="000000"/>
                <w:sz w:val="20"/>
                <w:szCs w:val="20"/>
              </w:rPr>
              <w:t>2050203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CC579A">
            <w:pPr>
              <w:textAlignment w:val="center"/>
              <w:rPr>
                <w:rFonts w:hint="default" w:cs="宋体"/>
                <w:color w:val="000000"/>
                <w:sz w:val="20"/>
                <w:szCs w:val="20"/>
              </w:rPr>
            </w:pPr>
            <w:r>
              <w:rPr>
                <w:rFonts w:cs="宋体"/>
                <w:color w:val="000000"/>
                <w:sz w:val="20"/>
                <w:szCs w:val="20"/>
              </w:rPr>
              <w:t>初中教育</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B8DD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2,107.53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BE9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1,560.06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63A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547.46</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CBC5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F75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4A1C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8063AAE">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44537">
            <w:pPr>
              <w:textAlignment w:val="center"/>
              <w:rPr>
                <w:rFonts w:hint="default" w:cs="宋体"/>
                <w:color w:val="000000"/>
                <w:sz w:val="20"/>
                <w:szCs w:val="20"/>
              </w:rPr>
            </w:pPr>
            <w:r>
              <w:rPr>
                <w:rFonts w:cs="宋体"/>
                <w:b/>
                <w:color w:val="000000"/>
                <w:sz w:val="20"/>
                <w:szCs w:val="20"/>
              </w:rPr>
              <w:t>20509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B81B23">
            <w:pPr>
              <w:textAlignment w:val="center"/>
              <w:rPr>
                <w:rFonts w:hint="default" w:cs="宋体"/>
                <w:color w:val="000000"/>
                <w:sz w:val="20"/>
                <w:szCs w:val="20"/>
              </w:rPr>
            </w:pPr>
            <w:r>
              <w:rPr>
                <w:rFonts w:cs="宋体"/>
                <w:b/>
                <w:color w:val="000000"/>
                <w:sz w:val="20"/>
                <w:szCs w:val="20"/>
              </w:rPr>
              <w:t>教育费附加安排的支出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BEA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AC2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32F0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BD7B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9763B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92E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53CF2C4">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2034F2">
            <w:pPr>
              <w:textAlignment w:val="center"/>
              <w:rPr>
                <w:rFonts w:hint="default" w:cs="宋体"/>
                <w:color w:val="000000"/>
                <w:sz w:val="20"/>
                <w:szCs w:val="20"/>
              </w:rPr>
            </w:pPr>
            <w:r>
              <w:rPr>
                <w:rFonts w:cs="宋体"/>
                <w:color w:val="000000"/>
                <w:sz w:val="20"/>
                <w:szCs w:val="20"/>
              </w:rPr>
              <w:t>2050904</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403ABD">
            <w:pPr>
              <w:textAlignment w:val="center"/>
              <w:rPr>
                <w:rFonts w:hint="default" w:cs="宋体"/>
                <w:color w:val="000000"/>
                <w:sz w:val="20"/>
                <w:szCs w:val="20"/>
              </w:rPr>
            </w:pPr>
            <w:r>
              <w:rPr>
                <w:rFonts w:cs="宋体"/>
                <w:color w:val="000000"/>
                <w:sz w:val="20"/>
                <w:szCs w:val="20"/>
              </w:rPr>
              <w:t>城市中小学教学设施</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0A3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2D9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E1DC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DF4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2AD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0B2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3F1851EC">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95B1">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E02284">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D3E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255.29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871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255.29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31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68D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4FE6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37F4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4FCED2">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D4372">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7914E3">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1C0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247.55</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CCE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247.55</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D0F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20AA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00B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B3DB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61328A25">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CA4CC">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9B959C">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F17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C7B5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B108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6C63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FADE5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4773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6E06B17">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1A91">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435A69">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D2F6C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FAE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82.59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DA20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DD30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8A8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3B82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00F1376">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7448">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7999F8">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8BDC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2F8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FB33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4EC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AA51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B6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803005F">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1B81C">
            <w:pPr>
              <w:textAlignment w:val="center"/>
              <w:rPr>
                <w:rFonts w:hint="default" w:cs="宋体"/>
                <w:color w:val="000000"/>
                <w:sz w:val="20"/>
                <w:szCs w:val="20"/>
              </w:rPr>
            </w:pPr>
            <w:r>
              <w:rPr>
                <w:rFonts w:cs="宋体"/>
                <w:b/>
                <w:color w:val="000000"/>
                <w:sz w:val="20"/>
                <w:szCs w:val="20"/>
              </w:rPr>
              <w:t>20808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E1BD50">
            <w:pPr>
              <w:textAlignment w:val="center"/>
              <w:rPr>
                <w:rFonts w:hint="default" w:cs="宋体"/>
                <w:color w:val="000000"/>
                <w:sz w:val="20"/>
                <w:szCs w:val="20"/>
              </w:rPr>
            </w:pPr>
            <w:r>
              <w:rPr>
                <w:rFonts w:cs="宋体"/>
                <w:b/>
                <w:color w:val="000000"/>
                <w:sz w:val="20"/>
                <w:szCs w:val="20"/>
              </w:rPr>
              <w:t>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43D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CCC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7.74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76E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09C9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9038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D7F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F484075">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867DC">
            <w:pPr>
              <w:textAlignment w:val="center"/>
              <w:rPr>
                <w:rFonts w:hint="default" w:cs="宋体"/>
                <w:color w:val="000000"/>
                <w:sz w:val="20"/>
                <w:szCs w:val="20"/>
              </w:rPr>
            </w:pPr>
            <w:r>
              <w:rPr>
                <w:rFonts w:cs="宋体"/>
                <w:color w:val="000000"/>
                <w:sz w:val="20"/>
                <w:szCs w:val="20"/>
              </w:rPr>
              <w:t>2080801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73E465">
            <w:pPr>
              <w:textAlignment w:val="center"/>
              <w:rPr>
                <w:rFonts w:hint="default" w:cs="宋体"/>
                <w:color w:val="000000"/>
                <w:sz w:val="20"/>
                <w:szCs w:val="20"/>
              </w:rPr>
            </w:pPr>
            <w:r>
              <w:rPr>
                <w:rFonts w:cs="宋体"/>
                <w:color w:val="000000"/>
                <w:sz w:val="20"/>
                <w:szCs w:val="20"/>
              </w:rPr>
              <w:t>死亡抚恤</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5F0B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0A6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7.74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3764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CE167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0C9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7A90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CCACF1B">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F7560">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F23280">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0401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4AD6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52EE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53E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CC50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C1B7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4E39A791">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91554">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F64D75C">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68E2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9FD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FFF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8C33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9580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E1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8A80E06">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F5E01">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911FCF">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15B9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E594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A6A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D80E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422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63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77157B4B">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26804">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3F87B">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95D9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34AC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25.73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B249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78BA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EFE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86FA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09E920DE">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55A5">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3EBD12">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3CA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94F8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0BA5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652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1624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EA1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9A9BDF1">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11AC6">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C03298">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9C6F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777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BF3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9F0C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7C2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9CCF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539C0A4">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70E97">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74440C">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8C32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4FEE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555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77FF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02B3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158B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F353C8">
        <w:tblPrEx>
          <w:tblCellMar>
            <w:top w:w="0" w:type="dxa"/>
            <w:left w:w="0" w:type="dxa"/>
            <w:bottom w:w="0" w:type="dxa"/>
            <w:right w:w="0" w:type="dxa"/>
          </w:tblCellMar>
        </w:tblPrEx>
        <w:trPr>
          <w:trHeight w:val="312" w:hRule="exac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91C15">
            <w:pPr>
              <w:textAlignment w:val="center"/>
              <w:rPr>
                <w:rFonts w:hint="default" w:cs="宋体"/>
                <w:color w:val="000000"/>
                <w:sz w:val="20"/>
                <w:szCs w:val="20"/>
              </w:rPr>
            </w:pPr>
            <w:r>
              <w:rPr>
                <w:rFonts w:cs="宋体"/>
                <w:color w:val="000000"/>
                <w:sz w:val="20"/>
                <w:szCs w:val="20"/>
              </w:rPr>
              <w:t>2210203</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A0FA61">
            <w:pPr>
              <w:textAlignment w:val="center"/>
              <w:rPr>
                <w:rFonts w:hint="default" w:cs="宋体"/>
                <w:color w:val="000000"/>
                <w:sz w:val="20"/>
                <w:szCs w:val="20"/>
              </w:rPr>
            </w:pPr>
            <w:r>
              <w:rPr>
                <w:rFonts w:cs="宋体"/>
                <w:color w:val="000000"/>
                <w:sz w:val="20"/>
                <w:szCs w:val="20"/>
              </w:rPr>
              <w:t>购房补贴</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A10E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38ED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3B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5ED1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9E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28290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2DD52E68">
      <w:pPr>
        <w:rPr>
          <w:rFonts w:hint="default" w:cs="宋体"/>
          <w:sz w:val="21"/>
          <w:szCs w:val="21"/>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1"/>
          <w:szCs w:val="21"/>
        </w:rPr>
        <w:br w:type="page"/>
      </w:r>
    </w:p>
    <w:p w14:paraId="4B63A931">
      <w:pPr>
        <w:rPr>
          <w:rFonts w:hint="default" w:cs="宋体"/>
          <w:sz w:val="21"/>
          <w:szCs w:val="21"/>
        </w:rPr>
      </w:pPr>
    </w:p>
    <w:tbl>
      <w:tblPr>
        <w:tblStyle w:val="7"/>
        <w:tblW w:w="4790" w:type="pct"/>
        <w:tblInd w:w="0" w:type="dxa"/>
        <w:tblLayout w:type="autofit"/>
        <w:tblCellMar>
          <w:top w:w="0" w:type="dxa"/>
          <w:left w:w="0" w:type="dxa"/>
          <w:bottom w:w="0" w:type="dxa"/>
          <w:right w:w="0" w:type="dxa"/>
        </w:tblCellMar>
      </w:tblPr>
      <w:tblGrid>
        <w:gridCol w:w="2979"/>
        <w:gridCol w:w="1526"/>
        <w:gridCol w:w="3191"/>
        <w:gridCol w:w="1700"/>
        <w:gridCol w:w="1700"/>
        <w:gridCol w:w="1700"/>
        <w:gridCol w:w="1936"/>
      </w:tblGrid>
      <w:tr w14:paraId="6E06A356">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68596F4A">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18650EE8">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14:paraId="1EF214EC">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重庆市四十七中学</w:t>
            </w:r>
          </w:p>
        </w:tc>
        <w:tc>
          <w:tcPr>
            <w:tcW w:w="577" w:type="pct"/>
            <w:tcBorders>
              <w:top w:val="nil"/>
              <w:left w:val="nil"/>
              <w:bottom w:val="nil"/>
              <w:right w:val="nil"/>
            </w:tcBorders>
            <w:shd w:val="clear" w:color="auto" w:fill="auto"/>
            <w:noWrap/>
            <w:tcMar>
              <w:top w:w="15" w:type="dxa"/>
              <w:left w:w="15" w:type="dxa"/>
              <w:right w:w="15" w:type="dxa"/>
            </w:tcMar>
            <w:vAlign w:val="bottom"/>
          </w:tcPr>
          <w:p w14:paraId="0C43941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40955BF">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5572EA9C">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1F8A897B">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14:paraId="78BA4FFF">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14:paraId="1B394490">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AA3B971">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3956643C">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14:paraId="21201E08">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14:paraId="3EECB0F6">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0EF1455">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71FE1">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1E38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71CF3322">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59B33">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19137">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576CB47">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8806BA">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6639FC3C">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389C">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F3007">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299221">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D3F46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9D992">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070DB">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85E7A">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90E16DD">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4FA42">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16141">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A9CCA">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08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D1E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067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1ECC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39168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58B13">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B7B3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44839">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1B1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5C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5D8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2B4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B1C3E5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602D">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1994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E94D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6FA0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B33F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47A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EBE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DC05329">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804F8">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890C02">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93CB4">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83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8DA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0AC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2FF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B8D849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4A31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3C5AA5E">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2B2E">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F09F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37E0C">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2,045.48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CE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A64A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9AD5C7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906B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0C4C0DF">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EBEA3">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CD02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F6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EC5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8A9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C3106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AB41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F419C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75608">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97F2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14D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739B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BFE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70A8E7">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B104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AD79AE0">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9B2EB">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E5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B8D5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255.29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4D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DC1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BC8F8F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42CE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48981D">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33DEA">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B4AD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70D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96.78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B27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E7F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7B0C9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2394F">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B62726">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16F0B">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A6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23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4447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CBD2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7F210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6816D">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001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BF08E">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E4E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78BC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618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38A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52CFED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B8D1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4B0D8">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9BC76">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B5EE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89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E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0BF4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10D9AB1">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8ABD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1E6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B3A2">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8A8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3D4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1DC8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F49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7E93E6B">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F1AF5">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FEB03">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522EC">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0F01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58C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1B65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2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E0DD22">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AC363">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9105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06312">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DF1B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29B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4D40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890E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62B8A76">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EA75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2727A5">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4EE6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64F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9C7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DFE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1F3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EB50B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C26C">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3388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7B33B">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8D59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6326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A6D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D019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B19978">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7B18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B7D39">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702BB">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42FF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426F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611A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3D5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FA6AAF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A0FE9">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58792">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3A7FA">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5F65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ADD0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144.13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3F6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465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AFFD0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94AAE">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20B1B">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B56C5">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8D3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EAF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A0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F2C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34F22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555BB">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4C11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D7F8A6">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0DC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17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090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470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26BF6C">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EA37A">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18A1E">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F31B3">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0F9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D629A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9275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D93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CEA134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641D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F5580">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1B868">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A28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9418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944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04C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CA92D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DEFF6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6A93AC">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09D0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41B2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FD95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A767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6F1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75F44F">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4011974">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F8F7">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199A5">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B03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89A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BAE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736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4B9C693">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0BC51D0">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11F5A">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658CA">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8B3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DDE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37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BDBF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DF3D85A">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09FEE">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74B63">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F828FF">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DB6E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CA8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303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FD5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9844A0E">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34713">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C3A5D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8855B">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9778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D1E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123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C9A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85F823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75BB3">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20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A138A9">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798685">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FAF326">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5939B06">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CB824F5">
            <w:pPr>
              <w:spacing w:line="200" w:lineRule="exact"/>
              <w:rPr>
                <w:rFonts w:hint="default" w:ascii="Times New Roman" w:hAnsi="Times New Roman"/>
                <w:color w:val="000000"/>
                <w:sz w:val="18"/>
                <w:szCs w:val="18"/>
              </w:rPr>
            </w:pPr>
          </w:p>
        </w:tc>
      </w:tr>
      <w:tr w14:paraId="7820EB84">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58390">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06C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643C2">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89E8A3">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11D57">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1252E">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C3439A">
            <w:pPr>
              <w:spacing w:line="200" w:lineRule="exact"/>
              <w:jc w:val="right"/>
              <w:rPr>
                <w:rFonts w:hint="default" w:ascii="Times New Roman" w:hAnsi="Times New Roman"/>
                <w:color w:val="000000"/>
                <w:sz w:val="18"/>
                <w:szCs w:val="18"/>
              </w:rPr>
            </w:pPr>
          </w:p>
        </w:tc>
      </w:tr>
      <w:tr w14:paraId="58F54160">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E11A5">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554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7F4EB">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215B21">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AEE6">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3A667">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61C95">
            <w:pPr>
              <w:spacing w:line="200" w:lineRule="exact"/>
              <w:jc w:val="right"/>
              <w:rPr>
                <w:rFonts w:hint="default" w:ascii="Times New Roman" w:hAnsi="Times New Roman"/>
                <w:color w:val="000000"/>
                <w:sz w:val="18"/>
                <w:szCs w:val="18"/>
              </w:rPr>
            </w:pPr>
          </w:p>
        </w:tc>
      </w:tr>
      <w:tr w14:paraId="19E567D5">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BAC4D">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CB2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2,541.69</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B9E0">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02D6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CAC6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2,541.69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2D45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8B4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14:paraId="4C9049B3">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10"/>
        <w:gridCol w:w="4088"/>
        <w:gridCol w:w="3319"/>
        <w:gridCol w:w="3308"/>
        <w:gridCol w:w="3353"/>
      </w:tblGrid>
      <w:tr w14:paraId="29A651B5">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14:paraId="6649AF21">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1C2F4FA8">
        <w:tblPrEx>
          <w:tblCellMar>
            <w:top w:w="0" w:type="dxa"/>
            <w:left w:w="0" w:type="dxa"/>
            <w:bottom w:w="0" w:type="dxa"/>
            <w:right w:w="0" w:type="dxa"/>
          </w:tblCellMar>
        </w:tblPrEx>
        <w:trPr>
          <w:trHeight w:val="317"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14:paraId="7EE23270">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重庆市四十七中学</w:t>
            </w:r>
          </w:p>
        </w:tc>
        <w:tc>
          <w:tcPr>
            <w:tcW w:w="1076" w:type="pct"/>
            <w:tcBorders>
              <w:top w:val="nil"/>
              <w:left w:val="nil"/>
              <w:bottom w:val="nil"/>
              <w:right w:val="nil"/>
            </w:tcBorders>
            <w:shd w:val="clear" w:color="auto" w:fill="auto"/>
            <w:noWrap/>
            <w:tcMar>
              <w:top w:w="15" w:type="dxa"/>
              <w:left w:w="15" w:type="dxa"/>
              <w:right w:w="15" w:type="dxa"/>
            </w:tcMar>
            <w:vAlign w:val="bottom"/>
          </w:tcPr>
          <w:p w14:paraId="29F0FF1F">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1DD6F309">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14:paraId="59642451">
        <w:tblPrEx>
          <w:tblCellMar>
            <w:top w:w="0" w:type="dxa"/>
            <w:left w:w="0" w:type="dxa"/>
            <w:bottom w:w="0" w:type="dxa"/>
            <w:right w:w="0" w:type="dxa"/>
          </w:tblCellMar>
        </w:tblPrEx>
        <w:trPr>
          <w:trHeight w:val="281"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14:paraId="4CEBF75A">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14:paraId="014C2D45">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14:paraId="604D1BE2">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79B65D">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2499B">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F5A872">
            <w:pPr>
              <w:jc w:val="center"/>
              <w:textAlignment w:val="center"/>
              <w:rPr>
                <w:rFonts w:hint="default" w:cs="宋体"/>
                <w:b/>
                <w:color w:val="000000"/>
                <w:sz w:val="20"/>
                <w:szCs w:val="20"/>
              </w:rPr>
            </w:pPr>
            <w:r>
              <w:rPr>
                <w:rFonts w:cs="宋体"/>
                <w:b/>
                <w:color w:val="000000"/>
                <w:sz w:val="20"/>
                <w:szCs w:val="20"/>
              </w:rPr>
              <w:t>本年支出</w:t>
            </w:r>
          </w:p>
        </w:tc>
      </w:tr>
      <w:tr w14:paraId="3C3EB9F7">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EFAE56">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22E58E">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221EF4">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59D6D">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5A33063">
            <w:pPr>
              <w:jc w:val="center"/>
              <w:textAlignment w:val="center"/>
              <w:rPr>
                <w:rFonts w:hint="default" w:cs="宋体"/>
                <w:b/>
                <w:color w:val="000000"/>
                <w:sz w:val="20"/>
                <w:szCs w:val="20"/>
              </w:rPr>
            </w:pPr>
            <w:r>
              <w:rPr>
                <w:rFonts w:cs="宋体"/>
                <w:b/>
                <w:color w:val="000000"/>
                <w:sz w:val="20"/>
                <w:szCs w:val="20"/>
              </w:rPr>
              <w:t>项目支出</w:t>
            </w:r>
          </w:p>
        </w:tc>
      </w:tr>
      <w:tr w14:paraId="60BC2805">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7E7A2">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6CA3693">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88D9BE7">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A30C25B">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0AFA48">
            <w:pPr>
              <w:jc w:val="center"/>
              <w:rPr>
                <w:rFonts w:hint="default" w:cs="宋体"/>
                <w:b/>
                <w:color w:val="000000"/>
                <w:sz w:val="20"/>
                <w:szCs w:val="20"/>
              </w:rPr>
            </w:pPr>
          </w:p>
        </w:tc>
      </w:tr>
      <w:tr w14:paraId="469B0852">
        <w:tblPrEx>
          <w:tblCellMar>
            <w:top w:w="0" w:type="dxa"/>
            <w:left w:w="0" w:type="dxa"/>
            <w:bottom w:w="0" w:type="dxa"/>
            <w:right w:w="0" w:type="dxa"/>
          </w:tblCellMar>
        </w:tblPrEx>
        <w:trPr>
          <w:trHeight w:val="320"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6C1DD">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CA8DCE2">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406618">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38483F">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FA33E0">
            <w:pPr>
              <w:jc w:val="center"/>
              <w:rPr>
                <w:rFonts w:hint="default" w:cs="宋体"/>
                <w:b/>
                <w:color w:val="000000"/>
                <w:sz w:val="20"/>
                <w:szCs w:val="20"/>
              </w:rPr>
            </w:pPr>
          </w:p>
        </w:tc>
      </w:tr>
      <w:tr w14:paraId="2A151D62">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EF998">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53A6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2,541.69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E0D19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2,056.27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F19BB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485.41</w:t>
            </w:r>
            <w:r>
              <w:rPr>
                <w:rFonts w:ascii="Times New Roman" w:hAnsi="Times New Roman"/>
                <w:b/>
                <w:color w:val="000000"/>
                <w:sz w:val="20"/>
                <w:u w:color="auto"/>
              </w:rPr>
              <w:t xml:space="preserve"> </w:t>
            </w:r>
          </w:p>
        </w:tc>
      </w:tr>
      <w:tr w14:paraId="5D2BFF5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D7F1E">
            <w:pPr>
              <w:textAlignment w:val="center"/>
              <w:rPr>
                <w:rFonts w:hint="default" w:cs="宋体"/>
                <w:color w:val="000000"/>
                <w:sz w:val="20"/>
                <w:szCs w:val="20"/>
              </w:rPr>
            </w:pPr>
            <w:r>
              <w:rPr>
                <w:rFonts w:cs="宋体"/>
                <w:b/>
                <w:color w:val="000000"/>
                <w:sz w:val="20"/>
                <w:szCs w:val="20"/>
              </w:rPr>
              <w:t>205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669C93">
            <w:pPr>
              <w:textAlignment w:val="center"/>
              <w:rPr>
                <w:rFonts w:hint="default" w:cs="宋体"/>
                <w:color w:val="000000"/>
                <w:sz w:val="20"/>
                <w:szCs w:val="20"/>
              </w:rPr>
            </w:pPr>
            <w:r>
              <w:rPr>
                <w:rFonts w:cs="宋体"/>
                <w:b/>
                <w:color w:val="000000"/>
                <w:sz w:val="20"/>
                <w:szCs w:val="20"/>
              </w:rPr>
              <w:t>教育支出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BEFC0D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2,045.48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E6D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6E02F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485.41</w:t>
            </w:r>
            <w:r>
              <w:rPr>
                <w:rFonts w:ascii="Times New Roman" w:hAnsi="Times New Roman"/>
                <w:b/>
                <w:color w:val="000000"/>
                <w:sz w:val="20"/>
                <w:u w:color="auto"/>
              </w:rPr>
              <w:t xml:space="preserve"> </w:t>
            </w:r>
          </w:p>
        </w:tc>
      </w:tr>
      <w:tr w14:paraId="2E6E0A6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E1A31">
            <w:pPr>
              <w:textAlignment w:val="center"/>
              <w:rPr>
                <w:rFonts w:hint="default" w:cs="宋体"/>
                <w:color w:val="000000"/>
                <w:sz w:val="20"/>
                <w:szCs w:val="20"/>
              </w:rPr>
            </w:pPr>
            <w:r>
              <w:rPr>
                <w:rFonts w:cs="宋体"/>
                <w:b/>
                <w:color w:val="000000"/>
                <w:sz w:val="20"/>
                <w:szCs w:val="20"/>
              </w:rPr>
              <w:t>20502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4E1BA3">
            <w:pPr>
              <w:textAlignment w:val="center"/>
              <w:rPr>
                <w:rFonts w:hint="default" w:cs="宋体"/>
                <w:color w:val="000000"/>
                <w:sz w:val="20"/>
                <w:szCs w:val="20"/>
              </w:rPr>
            </w:pPr>
            <w:r>
              <w:rPr>
                <w:rFonts w:cs="宋体"/>
                <w:b/>
                <w:color w:val="000000"/>
                <w:sz w:val="20"/>
                <w:szCs w:val="20"/>
              </w:rPr>
              <w:t>普通教育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FE9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2,036.53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9A5E9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1,560.06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A5FA5E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476.46</w:t>
            </w:r>
            <w:r>
              <w:rPr>
                <w:rFonts w:ascii="Times New Roman" w:hAnsi="Times New Roman"/>
                <w:b/>
                <w:color w:val="000000"/>
                <w:sz w:val="20"/>
                <w:u w:color="auto"/>
              </w:rPr>
              <w:t xml:space="preserve"> </w:t>
            </w:r>
          </w:p>
        </w:tc>
      </w:tr>
      <w:tr w14:paraId="1BE28B90">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E1B32">
            <w:pPr>
              <w:textAlignment w:val="center"/>
              <w:rPr>
                <w:rFonts w:hint="default" w:cs="宋体"/>
                <w:color w:val="000000"/>
                <w:sz w:val="20"/>
                <w:szCs w:val="20"/>
              </w:rPr>
            </w:pPr>
            <w:r>
              <w:rPr>
                <w:rFonts w:cs="宋体"/>
                <w:color w:val="000000"/>
                <w:sz w:val="20"/>
                <w:szCs w:val="20"/>
              </w:rPr>
              <w:t>2050203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3ED8EDC">
            <w:pPr>
              <w:textAlignment w:val="center"/>
              <w:rPr>
                <w:rFonts w:hint="default" w:cs="宋体"/>
                <w:color w:val="000000"/>
                <w:sz w:val="20"/>
                <w:szCs w:val="20"/>
              </w:rPr>
            </w:pPr>
            <w:r>
              <w:rPr>
                <w:rFonts w:cs="宋体"/>
                <w:color w:val="000000"/>
                <w:sz w:val="20"/>
                <w:szCs w:val="20"/>
              </w:rPr>
              <w:t>初中教育</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B531B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2,036.53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4887F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1,560.06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DD234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476.46</w:t>
            </w:r>
            <w:r>
              <w:rPr>
                <w:rFonts w:ascii="Times New Roman" w:hAnsi="Times New Roman"/>
                <w:color w:val="000000"/>
                <w:sz w:val="20"/>
                <w:u w:color="auto"/>
              </w:rPr>
              <w:t xml:space="preserve"> </w:t>
            </w:r>
          </w:p>
        </w:tc>
      </w:tr>
      <w:tr w14:paraId="5CC6E90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F932E">
            <w:pPr>
              <w:textAlignment w:val="center"/>
              <w:rPr>
                <w:rFonts w:hint="default" w:cs="宋体"/>
                <w:color w:val="000000"/>
                <w:sz w:val="20"/>
                <w:szCs w:val="20"/>
              </w:rPr>
            </w:pPr>
            <w:r>
              <w:rPr>
                <w:rFonts w:cs="宋体"/>
                <w:b/>
                <w:color w:val="000000"/>
                <w:sz w:val="20"/>
                <w:szCs w:val="20"/>
              </w:rPr>
              <w:t>20509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387272">
            <w:pPr>
              <w:textAlignment w:val="center"/>
              <w:rPr>
                <w:rFonts w:hint="default" w:cs="宋体"/>
                <w:color w:val="000000"/>
                <w:sz w:val="20"/>
                <w:szCs w:val="20"/>
              </w:rPr>
            </w:pPr>
            <w:r>
              <w:rPr>
                <w:rFonts w:cs="宋体"/>
                <w:b/>
                <w:color w:val="000000"/>
                <w:sz w:val="20"/>
                <w:szCs w:val="20"/>
              </w:rPr>
              <w:t>教育费附加安排的支出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503C5A">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1DE0B7">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CF9F8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8.95</w:t>
            </w:r>
            <w:r>
              <w:rPr>
                <w:rFonts w:ascii="Times New Roman" w:hAnsi="Times New Roman"/>
                <w:b/>
                <w:color w:val="000000"/>
                <w:sz w:val="20"/>
                <w:u w:color="auto"/>
              </w:rPr>
              <w:t xml:space="preserve"> </w:t>
            </w:r>
          </w:p>
        </w:tc>
      </w:tr>
      <w:tr w14:paraId="4D568558">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DCC5C">
            <w:pPr>
              <w:textAlignment w:val="center"/>
              <w:rPr>
                <w:rFonts w:hint="default" w:cs="宋体"/>
                <w:color w:val="000000"/>
                <w:sz w:val="20"/>
                <w:szCs w:val="20"/>
              </w:rPr>
            </w:pPr>
            <w:r>
              <w:rPr>
                <w:rFonts w:cs="宋体"/>
                <w:color w:val="000000"/>
                <w:sz w:val="20"/>
                <w:szCs w:val="20"/>
              </w:rPr>
              <w:t>2050904</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940972">
            <w:pPr>
              <w:textAlignment w:val="center"/>
              <w:rPr>
                <w:rFonts w:hint="default" w:cs="宋体"/>
                <w:color w:val="000000"/>
                <w:sz w:val="20"/>
                <w:szCs w:val="20"/>
              </w:rPr>
            </w:pPr>
            <w:r>
              <w:rPr>
                <w:rFonts w:cs="宋体"/>
                <w:color w:val="000000"/>
                <w:sz w:val="20"/>
                <w:szCs w:val="20"/>
              </w:rPr>
              <w:t>城市中小学教学设施</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3F377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E7D9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EA171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8.95</w:t>
            </w:r>
            <w:r>
              <w:rPr>
                <w:rFonts w:ascii="Times New Roman" w:hAnsi="Times New Roman"/>
                <w:color w:val="000000"/>
                <w:sz w:val="20"/>
                <w:u w:color="auto"/>
              </w:rPr>
              <w:t xml:space="preserve"> </w:t>
            </w:r>
          </w:p>
        </w:tc>
      </w:tr>
      <w:tr w14:paraId="58D17F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87592">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ABE13E8">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B0205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255.29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6CF97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255.29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87543D3">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3ADEB7F7">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BCAD9">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DCC2AC">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B8F825">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247.55</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9438D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247.55</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4B77D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586AE0F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85F7F">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AAB045">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5440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CC336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AA1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A3BBBC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839E7">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83B80">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80F20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4CA31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82.59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6471B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4B01A8B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658CF">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0FED66">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D2AFB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0BE6A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E9479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D3074C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5F0BA">
            <w:pPr>
              <w:textAlignment w:val="center"/>
              <w:rPr>
                <w:rFonts w:hint="default" w:cs="宋体"/>
                <w:color w:val="000000"/>
                <w:sz w:val="20"/>
                <w:szCs w:val="20"/>
              </w:rPr>
            </w:pPr>
            <w:r>
              <w:rPr>
                <w:rFonts w:cs="宋体"/>
                <w:b/>
                <w:color w:val="000000"/>
                <w:sz w:val="20"/>
                <w:szCs w:val="20"/>
              </w:rPr>
              <w:t>20808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5B4A758">
            <w:pPr>
              <w:textAlignment w:val="center"/>
              <w:rPr>
                <w:rFonts w:hint="default" w:cs="宋体"/>
                <w:color w:val="000000"/>
                <w:sz w:val="20"/>
                <w:szCs w:val="20"/>
              </w:rPr>
            </w:pPr>
            <w:r>
              <w:rPr>
                <w:rFonts w:cs="宋体"/>
                <w:b/>
                <w:color w:val="000000"/>
                <w:sz w:val="20"/>
                <w:szCs w:val="20"/>
              </w:rPr>
              <w:t>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4CE07D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D9F8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7.74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793C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0F4AC18C">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3E4F0">
            <w:pPr>
              <w:textAlignment w:val="center"/>
              <w:rPr>
                <w:rFonts w:hint="default" w:cs="宋体"/>
                <w:color w:val="000000"/>
                <w:sz w:val="20"/>
                <w:szCs w:val="20"/>
              </w:rPr>
            </w:pPr>
            <w:r>
              <w:rPr>
                <w:rFonts w:cs="宋体"/>
                <w:color w:val="000000"/>
                <w:sz w:val="20"/>
                <w:szCs w:val="20"/>
              </w:rPr>
              <w:t>2080801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C296CF">
            <w:pPr>
              <w:textAlignment w:val="center"/>
              <w:rPr>
                <w:rFonts w:hint="default" w:cs="宋体"/>
                <w:color w:val="000000"/>
                <w:sz w:val="20"/>
                <w:szCs w:val="20"/>
              </w:rPr>
            </w:pPr>
            <w:r>
              <w:rPr>
                <w:rFonts w:cs="宋体"/>
                <w:color w:val="000000"/>
                <w:sz w:val="20"/>
                <w:szCs w:val="20"/>
              </w:rPr>
              <w:t>死亡抚恤</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1A55D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26C0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7.74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4DEA2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6603DF7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E1160">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E018BC">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57191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D6694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E960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284F7C6E">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7431">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F1F950">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BDF7C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87D565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96.78</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07D7F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D35BE1">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6F129">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39494D2">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B7B95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578A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71.05</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7DE57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1A56348F">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D066A">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3890D2">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8722F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8A738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25.73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FF50C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252B6894">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0EBF7">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0C1EA1">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BFDC40">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8A78F">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5E6E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0D1A75D">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818DE">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5C02B7">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4AA5B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C9AC8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144.13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7B0E8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14:paraId="12600985">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F8A5">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4D2AEB">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7798F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6EEE5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131.94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986D6B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14:paraId="531938F2">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7A73F">
            <w:pPr>
              <w:textAlignment w:val="center"/>
              <w:rPr>
                <w:rFonts w:hint="default" w:cs="宋体"/>
                <w:color w:val="000000"/>
                <w:sz w:val="20"/>
                <w:szCs w:val="20"/>
              </w:rPr>
            </w:pPr>
            <w:r>
              <w:rPr>
                <w:rFonts w:cs="宋体"/>
                <w:color w:val="000000"/>
                <w:sz w:val="20"/>
                <w:szCs w:val="20"/>
              </w:rPr>
              <w:t>2210203</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F4527">
            <w:pPr>
              <w:textAlignment w:val="center"/>
              <w:rPr>
                <w:rFonts w:hint="default" w:cs="宋体"/>
                <w:color w:val="000000"/>
                <w:sz w:val="20"/>
                <w:szCs w:val="20"/>
              </w:rPr>
            </w:pPr>
            <w:r>
              <w:rPr>
                <w:rFonts w:cs="宋体"/>
                <w:color w:val="000000"/>
                <w:sz w:val="20"/>
                <w:szCs w:val="20"/>
              </w:rPr>
              <w:t>购房补贴</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0BD0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80EB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12.19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5EBC5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785C5DA1">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p>
    <w:tbl>
      <w:tblPr>
        <w:tblStyle w:val="7"/>
        <w:tblW w:w="4994" w:type="pct"/>
        <w:tblInd w:w="0" w:type="dxa"/>
        <w:tblLayout w:type="fixed"/>
        <w:tblCellMar>
          <w:top w:w="0" w:type="dxa"/>
          <w:left w:w="0" w:type="dxa"/>
          <w:bottom w:w="0" w:type="dxa"/>
          <w:right w:w="0" w:type="dxa"/>
        </w:tblCellMar>
      </w:tblPr>
      <w:tblGrid>
        <w:gridCol w:w="805"/>
        <w:gridCol w:w="2819"/>
        <w:gridCol w:w="1547"/>
        <w:gridCol w:w="876"/>
        <w:gridCol w:w="2039"/>
        <w:gridCol w:w="1422"/>
        <w:gridCol w:w="876"/>
        <w:gridCol w:w="3478"/>
        <w:gridCol w:w="1498"/>
      </w:tblGrid>
      <w:tr w14:paraId="346791E8">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14:paraId="696C880D">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367C1765">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14:paraId="510EBC0E">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重庆市四十七中学</w:t>
            </w:r>
          </w:p>
        </w:tc>
        <w:tc>
          <w:tcPr>
            <w:tcW w:w="463" w:type="pct"/>
            <w:tcBorders>
              <w:top w:val="nil"/>
              <w:left w:val="nil"/>
              <w:bottom w:val="nil"/>
              <w:right w:val="nil"/>
            </w:tcBorders>
            <w:shd w:val="clear" w:color="auto" w:fill="auto"/>
            <w:noWrap/>
            <w:tcMar>
              <w:top w:w="15" w:type="dxa"/>
              <w:left w:w="15" w:type="dxa"/>
              <w:right w:w="15" w:type="dxa"/>
            </w:tcMar>
            <w:vAlign w:val="bottom"/>
          </w:tcPr>
          <w:p w14:paraId="0A64801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113807DD">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1FF9D5A0">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60893A66">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14:paraId="54C7C134">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14:paraId="12E37B37">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14:paraId="2095600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14:paraId="66533AA4">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14:paraId="6757BF69">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14:paraId="14ACE75E">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0DC3195">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5018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86A9D0">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14:paraId="7FD8483C">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5D04">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500302">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24C6367">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2DA8F">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2106F7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42CC3E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B8EC">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2C7B08">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2ECFB66">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14:paraId="1FF956A4">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F8028">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12DB5C9">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D389AF">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D7A0">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BB8431">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81103F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7385">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5437B44">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8027C6">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14:paraId="76BCD0C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198C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69F8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8609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1,617.35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E8F9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D455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23FA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183.96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C1E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9088E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E9C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r>
      <w:tr w14:paraId="20E2857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90E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384A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8580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83EE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102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FA5E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65A4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46E6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B160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149919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3E3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21F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40C9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76.53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3BBE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B4F97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C0B9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EF6A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D618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B7C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1.05</w:t>
            </w:r>
            <w:r>
              <w:rPr>
                <w:rFonts w:ascii="Times New Roman" w:hAnsi="Times New Roman"/>
                <w:color w:val="000000"/>
                <w:sz w:val="18"/>
                <w:u w:color="auto"/>
              </w:rPr>
              <w:t xml:space="preserve"> </w:t>
            </w:r>
          </w:p>
        </w:tc>
      </w:tr>
      <w:tr w14:paraId="70EB47F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3CF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A0A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E7D2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321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979BC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1194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720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5CF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59C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B7CFC7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D048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7B9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0A0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671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0410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9F94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9B56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682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F0B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67916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8FE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A926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3C1B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677.43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23E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E93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172D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A026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7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A8AD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B3192B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19F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5F17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1973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156.96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FB84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E184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C5B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7C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58DD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88F6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C16010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B31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1D5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9AAF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82.59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B230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A9CF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09E8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DFF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077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31E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E4EBF4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D001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8E17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D6F5E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70.22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5A61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47E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C66C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52B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4BAA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7473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E84019D">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39E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8C73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206E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29204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D093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3F5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045B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4CB0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81EA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418CC9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10FE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5944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6C2A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81D3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4B5C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CDA9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D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4BDE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CBD2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3A1296A">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E62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58F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5C13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131.94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C35C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A213E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AED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ADB4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38A0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E7DBE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89C050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49E3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AF67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B11D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7FC9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FD2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C269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D87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9967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FE0B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060A07B">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F269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5D89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886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437F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1BAB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F8CA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BD2AF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3F0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0C8F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071109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40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4C26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F6E7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253.91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C34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1F0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DA0D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0C8E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310A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B0B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2871E8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1DF4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533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FD0E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D29E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A9D3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5DE3B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41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522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BE68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86A7C07">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218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A25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A6C32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57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B972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42338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906F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7E3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11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9CD7E7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C731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E7BE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A78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2513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6270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2D22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F9E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6C7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921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1A5BE6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9642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E44D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31270">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607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7CF9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0B2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2B9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07A4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2E29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A491B1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43E0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39C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90F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225.13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7DA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40E0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F7FB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11C5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97F2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9278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66489964">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9EC9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3172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07BB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9D5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7894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6293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55.81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CB36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6E83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BD59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00B8B6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131B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162C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E46E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21.04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7801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FE862">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8CF5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B19A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C39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3A277">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138AB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92F1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A81F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42A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9C1F6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AFCE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748C1">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48.25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59F3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83814">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884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1AEBB03">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A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D689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311BB">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F87B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FD82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2FA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47B7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AF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663AC">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3926B5E">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F8D5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DA8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9AF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F91B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B0FD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5C7F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6908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C1B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359D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1E3322C">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8C6D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C3C96">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392A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5E26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42B0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37544">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E1A4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7C4C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AE1A8">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2A8F8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E2087">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019A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2B4A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3779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4808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C962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618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5490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40F15A">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3678B08">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DE6E">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13E4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BB589C1">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5C47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3D6D1">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31563">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48.61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F854">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EE6D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75A8D">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3F82A06">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D8468">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1B1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418019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B906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7905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6C8EFF">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0EB9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7FC20">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09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79564A1">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778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B862C">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B0F4F7">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36F7C">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35F49">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3B0C9">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8AB85">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987A6B">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CC6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338E6290">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FEA7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4ABC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A71F3C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D093">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9F758">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1508E">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AB0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24433">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A4A5FE">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03CC01A2">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6A8F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7AF2F">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7CD466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EB284E">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9230D">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DD7B76">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3D109">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D2F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90F0B">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2130D3DB">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4FDA6">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08032">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9890C20">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503AF">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339AA">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3FE2">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C800B">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D48B3D">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77A36">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14:paraId="4B58E8A8">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E2E3">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F938C92">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1,871.27</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26206B">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1AFD65">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185.01</w:t>
            </w:r>
            <w:r>
              <w:rPr>
                <w:rFonts w:ascii="Times New Roman" w:hAnsi="Times New Roman"/>
                <w:color w:val="000000"/>
                <w:sz w:val="18"/>
                <w:u w:color="auto"/>
              </w:rPr>
              <w:t xml:space="preserve"> </w:t>
            </w:r>
          </w:p>
        </w:tc>
      </w:tr>
    </w:tbl>
    <w:p w14:paraId="35739FEA">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25"/>
        <w:gridCol w:w="3608"/>
        <w:gridCol w:w="1707"/>
        <w:gridCol w:w="1707"/>
        <w:gridCol w:w="1707"/>
        <w:gridCol w:w="1707"/>
        <w:gridCol w:w="1772"/>
        <w:gridCol w:w="1845"/>
      </w:tblGrid>
      <w:tr w14:paraId="1DD0BDCF">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14:paraId="5CBC3A8A">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69E26859">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14:paraId="44B3DCAB">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重庆市四十七中学</w:t>
            </w:r>
          </w:p>
        </w:tc>
        <w:tc>
          <w:tcPr>
            <w:tcW w:w="555" w:type="pct"/>
            <w:tcBorders>
              <w:top w:val="nil"/>
              <w:left w:val="nil"/>
              <w:bottom w:val="nil"/>
              <w:right w:val="nil"/>
            </w:tcBorders>
            <w:shd w:val="clear" w:color="auto" w:fill="auto"/>
            <w:noWrap/>
            <w:tcMar>
              <w:top w:w="15" w:type="dxa"/>
              <w:left w:w="15" w:type="dxa"/>
              <w:right w:w="15" w:type="dxa"/>
            </w:tcMar>
            <w:vAlign w:val="bottom"/>
          </w:tcPr>
          <w:p w14:paraId="4215E97F">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3A325225">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12652621">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4B2F1AD6">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53413298">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14:paraId="7907C39D">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14:paraId="22F88A61">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27D740D6">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E575E23">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14:paraId="6AE5900D">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14:paraId="068ABC59">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14:paraId="40750F7F">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26B28712">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605B4">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3309C14">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145BA">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FB70268">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8DBE5">
            <w:pPr>
              <w:jc w:val="center"/>
              <w:textAlignment w:val="center"/>
              <w:rPr>
                <w:rFonts w:hint="default" w:cs="宋体"/>
                <w:b/>
                <w:color w:val="000000"/>
                <w:sz w:val="20"/>
                <w:szCs w:val="20"/>
              </w:rPr>
            </w:pPr>
            <w:r>
              <w:rPr>
                <w:rFonts w:cs="宋体"/>
                <w:b/>
                <w:color w:val="000000"/>
                <w:sz w:val="20"/>
                <w:szCs w:val="20"/>
              </w:rPr>
              <w:t>年末结转和结余</w:t>
            </w:r>
          </w:p>
        </w:tc>
      </w:tr>
      <w:tr w14:paraId="6A64BD83">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3B375">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56C9A">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A1C1DBD">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CA58F">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0674D1">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DA0D8A0">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875E8B">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A834">
            <w:pPr>
              <w:jc w:val="center"/>
              <w:rPr>
                <w:rFonts w:hint="default" w:cs="宋体"/>
                <w:b/>
                <w:color w:val="000000"/>
                <w:sz w:val="20"/>
                <w:szCs w:val="20"/>
              </w:rPr>
            </w:pPr>
          </w:p>
        </w:tc>
      </w:tr>
      <w:tr w14:paraId="37D503F4">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368ED">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32DDA">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D26327E">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77E2">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B4E3A1">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24CAB7">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D3B2A62">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48E5">
            <w:pPr>
              <w:jc w:val="center"/>
              <w:rPr>
                <w:rFonts w:hint="default" w:cs="宋体"/>
                <w:b/>
                <w:color w:val="000000"/>
                <w:sz w:val="20"/>
                <w:szCs w:val="20"/>
              </w:rPr>
            </w:pPr>
          </w:p>
        </w:tc>
      </w:tr>
      <w:tr w14:paraId="559197F3">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AA0F9">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00354">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1710D04">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781D3">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7157F66">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87D3018">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6CBF7F">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AE370">
            <w:pPr>
              <w:jc w:val="center"/>
              <w:rPr>
                <w:rFonts w:hint="default" w:cs="宋体"/>
                <w:b/>
                <w:color w:val="000000"/>
                <w:sz w:val="20"/>
                <w:szCs w:val="20"/>
              </w:rPr>
            </w:pPr>
          </w:p>
        </w:tc>
      </w:tr>
      <w:tr w14:paraId="4F698D8C">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5D05">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F5F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BA602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ED696C">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B6AEF">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FDBF39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48BC5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41DB8E9E">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61E24B">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9507C9">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01663B1">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2E646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8EAC0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33428B">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3B553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32907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14:paraId="5777D27F">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6F05C24A">
      <w:pPr>
        <w:rPr>
          <w:rFonts w:hint="default" w:cs="宋体"/>
          <w:sz w:val="21"/>
          <w:szCs w:val="21"/>
        </w:rPr>
      </w:pPr>
      <w:r>
        <w:rPr>
          <w:rFonts w:cs="宋体"/>
          <w:sz w:val="21"/>
          <w:szCs w:val="21"/>
        </w:rPr>
        <w:br w:type="page"/>
      </w:r>
    </w:p>
    <w:tbl>
      <w:tblPr>
        <w:tblStyle w:val="7"/>
        <w:tblW w:w="5000" w:type="pct"/>
        <w:tblInd w:w="0" w:type="dxa"/>
        <w:tblLayout w:type="fixed"/>
        <w:tblCellMar>
          <w:top w:w="0" w:type="dxa"/>
          <w:left w:w="0" w:type="dxa"/>
          <w:bottom w:w="0" w:type="dxa"/>
          <w:right w:w="0" w:type="dxa"/>
        </w:tblCellMar>
      </w:tblPr>
      <w:tblGrid>
        <w:gridCol w:w="1300"/>
        <w:gridCol w:w="3630"/>
        <w:gridCol w:w="3286"/>
        <w:gridCol w:w="190"/>
        <w:gridCol w:w="3475"/>
        <w:gridCol w:w="85"/>
        <w:gridCol w:w="3412"/>
      </w:tblGrid>
      <w:tr w14:paraId="659CFD37">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14:paraId="71940462">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68B442C2">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14:paraId="36EEAA41">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重庆市四十七中学</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4B23F43">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1FBDD8E4">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14:paraId="08D19E60">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14:paraId="5A383F50">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14:paraId="35568220">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14:paraId="4BA4481A">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572A2575">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B5B4667">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A8D3844">
            <w:pPr>
              <w:jc w:val="center"/>
              <w:textAlignment w:val="bottom"/>
              <w:rPr>
                <w:rFonts w:hint="default" w:cs="宋体"/>
                <w:b/>
                <w:color w:val="000000"/>
                <w:sz w:val="20"/>
                <w:szCs w:val="20"/>
              </w:rPr>
            </w:pPr>
            <w:r>
              <w:rPr>
                <w:rFonts w:cs="宋体"/>
                <w:b/>
                <w:color w:val="000000"/>
                <w:sz w:val="20"/>
                <w:szCs w:val="20"/>
              </w:rPr>
              <w:t>本年支出</w:t>
            </w:r>
          </w:p>
        </w:tc>
      </w:tr>
      <w:tr w14:paraId="64638BCC">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004CF">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C15B98C">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27E0">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9A01AF4">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50B5F65">
            <w:pPr>
              <w:jc w:val="center"/>
              <w:textAlignment w:val="center"/>
              <w:rPr>
                <w:rFonts w:hint="default" w:cs="宋体"/>
                <w:b/>
                <w:color w:val="000000"/>
                <w:sz w:val="20"/>
                <w:szCs w:val="20"/>
              </w:rPr>
            </w:pPr>
            <w:r>
              <w:rPr>
                <w:rFonts w:cs="宋体"/>
                <w:b/>
                <w:color w:val="000000"/>
                <w:sz w:val="20"/>
                <w:szCs w:val="20"/>
              </w:rPr>
              <w:t>项目支出</w:t>
            </w:r>
          </w:p>
        </w:tc>
      </w:tr>
      <w:tr w14:paraId="7AEA311E">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5AA36">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3A4397">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E6407">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6ADD8DC">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A7E14A1">
            <w:pPr>
              <w:jc w:val="center"/>
              <w:rPr>
                <w:rFonts w:hint="default" w:cs="宋体"/>
                <w:b/>
                <w:color w:val="000000"/>
                <w:sz w:val="20"/>
                <w:szCs w:val="20"/>
              </w:rPr>
            </w:pPr>
          </w:p>
        </w:tc>
      </w:tr>
      <w:tr w14:paraId="1EEAB38D">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80A2F">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EF26B20">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B3138">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75B497">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AA673D">
            <w:pPr>
              <w:jc w:val="center"/>
              <w:rPr>
                <w:rFonts w:hint="default" w:cs="宋体"/>
                <w:b/>
                <w:color w:val="000000"/>
                <w:sz w:val="20"/>
                <w:szCs w:val="20"/>
              </w:rPr>
            </w:pPr>
          </w:p>
        </w:tc>
      </w:tr>
      <w:tr w14:paraId="0463CACC">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C2FC7">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0610EBA">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16549">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90A829">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EC4326">
            <w:pPr>
              <w:jc w:val="center"/>
              <w:rPr>
                <w:rFonts w:hint="default" w:cs="宋体"/>
                <w:b/>
                <w:color w:val="000000"/>
                <w:sz w:val="20"/>
                <w:szCs w:val="20"/>
              </w:rPr>
            </w:pPr>
          </w:p>
        </w:tc>
      </w:tr>
      <w:tr w14:paraId="3A5044BA">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A17EC">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09E46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92F89">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DE94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14:paraId="3D4C357D">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0E4DBB">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B50C44">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79CF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7142E8">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E64472">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6FCFD6B0">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7891F5E5">
      <w:pPr>
        <w:rPr>
          <w:rFonts w:hint="default" w:cs="宋体"/>
          <w:sz w:val="21"/>
          <w:szCs w:val="21"/>
        </w:rPr>
      </w:pPr>
      <w:r>
        <w:rPr>
          <w:rFonts w:hint="default" w:cs="宋体"/>
          <w:sz w:val="21"/>
          <w:szCs w:val="21"/>
        </w:rPr>
        <w:br w:type="page"/>
      </w:r>
    </w:p>
    <w:tbl>
      <w:tblPr>
        <w:tblStyle w:val="7"/>
        <w:tblW w:w="4611" w:type="pct"/>
        <w:tblInd w:w="0" w:type="dxa"/>
        <w:tblLayout w:type="fixed"/>
        <w:tblCellMar>
          <w:top w:w="0" w:type="dxa"/>
          <w:left w:w="170" w:type="dxa"/>
          <w:bottom w:w="0" w:type="dxa"/>
          <w:right w:w="170" w:type="dxa"/>
        </w:tblCellMar>
      </w:tblPr>
      <w:tblGrid>
        <w:gridCol w:w="3191"/>
        <w:gridCol w:w="2424"/>
        <w:gridCol w:w="2385"/>
        <w:gridCol w:w="3688"/>
        <w:gridCol w:w="2495"/>
      </w:tblGrid>
      <w:tr w14:paraId="699099B6">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14:paraId="703FAF2B">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479C7D8F">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14:paraId="79E8F298">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14:paraId="6D8F4AF2">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14:paraId="6B92583B">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14:paraId="52DC461E">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14:paraId="76171221">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565409CA">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35F0D2B">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重庆市四十七中学</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14:paraId="0C606199">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14:paraId="3E0578AD">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14:paraId="3E30F6C3">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664C10CB">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BD4CF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5CEB7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2EC152">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333BE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BB00E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E60D5E7">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BC2EF6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ED5B20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F44B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CB095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623E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496DB13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EC72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43C48E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1C841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F900B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60DFCD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04D9A0">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EDD93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75C37D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57B9B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F6694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906E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0A9FD6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93C70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706BFAB">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FE1274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6CFC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CE90DB">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680786E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BF8CAFF">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1AE828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5A223C">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E5328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F23A8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27DA67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D9D9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6A9FC0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11454C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AB90E0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88FA8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B789696">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F6AA1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1C68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AA55B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AA8EBF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A221E3">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1F02BB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C5E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9EFEE4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A4FC10">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E8A84C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6C942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581E45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2D6144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97D708">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79BC6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3894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28249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14:paraId="71C3031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5814A8">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91961E">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2966D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F5A1D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81A73D1">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5EAF413A">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5EBB4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DE99A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B220B8">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337F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09B8A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7FB254B">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8711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43D6C">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E1AD10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F17A7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7E90C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0D6F46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2653E6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773E8B6">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E03E9C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658863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D360E8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16EE3BA3">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A58B77">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513809">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B31F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1EF4B4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F0E49B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786C195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0D2C9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2CCC1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4BA795">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E784272">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04E11B3">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411DDD3E">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2939A6">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97D0A20">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FBDE2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52C4FE0">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B73F14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37.15</w:t>
            </w:r>
            <w:r>
              <w:rPr>
                <w:rFonts w:ascii="Times New Roman" w:hAnsi="Times New Roman"/>
                <w:color w:val="000000"/>
                <w:sz w:val="18"/>
                <w:u w:color="auto"/>
              </w:rPr>
              <w:t xml:space="preserve"> </w:t>
            </w:r>
          </w:p>
        </w:tc>
      </w:tr>
      <w:tr w14:paraId="7D925A2C">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F01761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D8318F">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7B7B7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D396D7B">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CC41828">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37.15</w:t>
            </w:r>
            <w:r>
              <w:rPr>
                <w:rFonts w:ascii="Times New Roman" w:hAnsi="Times New Roman"/>
                <w:color w:val="000000"/>
                <w:sz w:val="18"/>
                <w:u w:color="auto"/>
              </w:rPr>
              <w:t xml:space="preserve"> </w:t>
            </w:r>
          </w:p>
        </w:tc>
      </w:tr>
      <w:tr w14:paraId="17917ABF">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D7277F9">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FEEF3B">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576EC27">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260CD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FBB314">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0FD5631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4C2E2F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47651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E33674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0FAE4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881947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14:paraId="2D880F71">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455D84">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58D6B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D4E5B6">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18AC75">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09FD1BD">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37.15</w:t>
            </w:r>
            <w:r>
              <w:rPr>
                <w:rFonts w:ascii="Times New Roman" w:hAnsi="Times New Roman"/>
                <w:color w:val="000000"/>
                <w:sz w:val="18"/>
                <w:u w:color="auto"/>
              </w:rPr>
              <w:t xml:space="preserve"> </w:t>
            </w:r>
          </w:p>
        </w:tc>
      </w:tr>
      <w:tr w14:paraId="4EB24348">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7F29283">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66C1DA">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A46438E">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DF3C80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6C279DA">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37.15</w:t>
            </w:r>
            <w:r>
              <w:rPr>
                <w:rFonts w:ascii="Times New Roman" w:hAnsi="Times New Roman"/>
                <w:color w:val="000000"/>
                <w:sz w:val="18"/>
                <w:u w:color="auto"/>
              </w:rPr>
              <w:t xml:space="preserve"> </w:t>
            </w:r>
          </w:p>
        </w:tc>
      </w:tr>
      <w:tr w14:paraId="6B029365">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B4F9F1A">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46DD914">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8CE32">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CAC81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A1E0A9A">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585C6C1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568D7C">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6B23E7">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3F8DDF">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7.43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33D16C">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B517287">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14:paraId="1AC94BD2">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524A7E1">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0F3EC3">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97A79">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0.26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870845">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A99D016">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14:paraId="1B44C55B">
      <w:pPr>
        <w:keepNext w:val="0"/>
        <w:keepLines w:val="0"/>
        <w:pageBreakBefore w:val="0"/>
        <w:widowControl/>
        <w:kinsoku/>
        <w:wordWrap/>
        <w:overflowPunct/>
        <w:topLinePunct w:val="0"/>
        <w:autoSpaceDE/>
        <w:autoSpaceDN/>
        <w:bidi w:val="0"/>
        <w:adjustRightInd/>
        <w:snapToGrid w:val="0"/>
        <w:spacing w:line="240" w:lineRule="auto"/>
        <w:textAlignment w:val="auto"/>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p>
    <w:sectPr>
      <w:headerReference r:id="rId5" w:type="default"/>
      <w:pgSz w:w="16839" w:h="11907" w:orient="landscape"/>
      <w:pgMar w:top="567" w:right="454" w:bottom="567" w:left="1037" w:header="0" w:footer="283" w:gutter="0"/>
      <w:pgNumType w:fmt="decimal"/>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DEA6BB5-69A6-4506-9A0A-D1AEF6547F7A}"/>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embedRegular r:id="rId2" w:fontKey="{15560170-1805-436D-83AF-763BFC32EB7C}"/>
  </w:font>
  <w:font w:name="方正黑体_GBK">
    <w:panose1 w:val="03000509000000000000"/>
    <w:charset w:val="86"/>
    <w:family w:val="script"/>
    <w:pitch w:val="default"/>
    <w:sig w:usb0="00000001" w:usb1="080E0000" w:usb2="00000000" w:usb3="00000000" w:csb0="00040000" w:csb1="00000000"/>
    <w:embedRegular r:id="rId3" w:fontKey="{23421CCE-F002-4BAC-8DE1-839233AC2742}"/>
  </w:font>
  <w:font w:name="方正楷体_GBK">
    <w:panose1 w:val="03000509000000000000"/>
    <w:charset w:val="86"/>
    <w:family w:val="script"/>
    <w:pitch w:val="default"/>
    <w:sig w:usb0="00000001" w:usb1="080E0000" w:usb2="00000000" w:usb3="00000000" w:csb0="00040000" w:csb1="00000000"/>
    <w:embedRegular r:id="rId4" w:fontKey="{AA53A615-456F-45D2-8D00-C3C50884EAFB}"/>
  </w:font>
  <w:font w:name="方正仿宋_GBK">
    <w:panose1 w:val="03000509000000000000"/>
    <w:charset w:val="86"/>
    <w:family w:val="script"/>
    <w:pitch w:val="default"/>
    <w:sig w:usb0="00000001" w:usb1="080E0000" w:usb2="00000000" w:usb3="00000000" w:csb0="00040000" w:csb1="00000000"/>
    <w:embedRegular r:id="rId5" w:fontKey="{E9FC68D0-BF76-468F-9124-B0E5D93BB9DD}"/>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FA0FE3">
    <w:pPr>
      <w:pStyle w:val="3"/>
      <w:rPr>
        <w:rFonts w:hint="default"/>
      </w:rPr>
    </w:pPr>
    <w:r>
      <w:rPr>
        <w:rFonts w:hint="default"/>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237F20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mLMpMkBAACZ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I6&#10;29MHqLHrIWBfGu78kFunPGAyqx5UtPmNegjW0dzz1Vw5JCLyR+vVel1hSWBtPiAOe/w8REhvpbck&#10;Bw2NeHvFVH56D2lsnVvyNOfvtTGY57VxfyUQM2dY5j5yzFEa9sNEfO/bM+rp8eIb6nDPKTHvHPqa&#10;d2QO4hzs5+AYoj50SG1ZeEG4PSYkUbjlCSPsNBhvrKibtiuvxJ/n0vX4R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YsykyQEAAJkDAAAOAAAAAAAAAAEAIAAAAB4BAABkcnMvZTJvRG9j&#10;LnhtbFBLBQYAAAAABgAGAFkBAABZBQAAAAA=&#10;">
              <v:fill on="f" focussize="0,0"/>
              <v:stroke on="f"/>
              <v:imagedata o:title=""/>
              <o:lock v:ext="edit" aspectratio="f"/>
              <v:textbox inset="0mm,0mm,0mm,0mm" style="mso-fit-shape-to-text:t;">
                <w:txbxContent>
                  <w:p w14:paraId="5237F205">
                    <w:pPr>
                      <w:pStyle w:val="3"/>
                      <w:rPr>
                        <w:rFonts w:hint="default"/>
                        <w:sz w:val="28"/>
                        <w:szCs w:val="28"/>
                      </w:rPr>
                    </w:pPr>
                    <w:r>
                      <w:rPr>
                        <w:rFonts w:hint="default"/>
                        <w:sz w:val="28"/>
                        <w:szCs w:val="28"/>
                      </w:rPr>
                      <w:t xml:space="preserve">— </w:t>
                    </w:r>
                    <w:r>
                      <w:rPr>
                        <w:rFonts w:hint="default"/>
                        <w:sz w:val="28"/>
                        <w:szCs w:val="28"/>
                      </w:rPr>
                      <w:fldChar w:fldCharType="begin"/>
                    </w:r>
                    <w:r>
                      <w:rPr>
                        <w:rFonts w:hint="default"/>
                        <w:sz w:val="28"/>
                        <w:szCs w:val="28"/>
                      </w:rPr>
                      <w:instrText xml:space="preserve"> PAGE  \* MERGEFORMAT </w:instrText>
                    </w:r>
                    <w:r>
                      <w:rPr>
                        <w:rFonts w:hint="default"/>
                        <w:sz w:val="28"/>
                        <w:szCs w:val="28"/>
                      </w:rPr>
                      <w:fldChar w:fldCharType="separate"/>
                    </w:r>
                    <w:r>
                      <w:rPr>
                        <w:rFonts w:hint="default"/>
                        <w:sz w:val="28"/>
                        <w:szCs w:val="28"/>
                      </w:rPr>
                      <w:t>- 1 -</w:t>
                    </w:r>
                    <w:r>
                      <w:rPr>
                        <w:rFonts w:hint="default"/>
                        <w:sz w:val="28"/>
                        <w:szCs w:val="28"/>
                      </w:rPr>
                      <w:fldChar w:fldCharType="end"/>
                    </w:r>
                    <w:r>
                      <w:rPr>
                        <w:rFonts w:hint="default"/>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01A9A">
    <w:pPr>
      <w:pStyle w:val="3"/>
      <w:rPr>
        <w:rFonts w:hint="default"/>
      </w:rPr>
    </w:pPr>
    <w:r>
      <w:rPr>
        <w:rFonts w:hint="default"/>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516B81">
                          <w:pPr>
                            <w:pStyle w:val="3"/>
                            <w:rPr>
                              <w:rFonts w:hint="default" w:asciiTheme="minorEastAsia" w:hAnsiTheme="minorEastAsia" w:eastAsiaTheme="minorEastAsia"/>
                              <w:sz w:val="28"/>
                              <w:szCs w:val="28"/>
                            </w:rPr>
                          </w:pPr>
                          <w:r>
                            <w:rPr>
                              <w:rFonts w:hint="default" w:asciiTheme="minorEastAsia" w:hAnsiTheme="minorEastAsia" w:eastAsiaTheme="minorEastAsia"/>
                              <w:sz w:val="28"/>
                              <w:szCs w:val="28"/>
                            </w:rPr>
                            <w:t xml:space="preserve">— </w:t>
                          </w:r>
                          <w:r>
                            <w:rPr>
                              <w:rFonts w:hint="default" w:asciiTheme="minorEastAsia" w:hAnsiTheme="minorEastAsia" w:eastAsiaTheme="minorEastAsia"/>
                              <w:sz w:val="28"/>
                              <w:szCs w:val="28"/>
                            </w:rPr>
                            <w:fldChar w:fldCharType="begin"/>
                          </w:r>
                          <w:r>
                            <w:rPr>
                              <w:rFonts w:hint="default" w:asciiTheme="minorEastAsia" w:hAnsiTheme="minorEastAsia" w:eastAsiaTheme="minorEastAsia"/>
                              <w:sz w:val="28"/>
                              <w:szCs w:val="28"/>
                            </w:rPr>
                            <w:instrText xml:space="preserve"> PAGE  \* MERGEFORMAT </w:instrText>
                          </w:r>
                          <w:r>
                            <w:rPr>
                              <w:rFonts w:hint="default" w:asciiTheme="minorEastAsia" w:hAnsiTheme="minorEastAsia" w:eastAsiaTheme="minorEastAsia"/>
                              <w:sz w:val="28"/>
                              <w:szCs w:val="28"/>
                            </w:rPr>
                            <w:fldChar w:fldCharType="separate"/>
                          </w:r>
                          <w:r>
                            <w:rPr>
                              <w:rFonts w:hint="default" w:asciiTheme="minorEastAsia" w:hAnsiTheme="minorEastAsia" w:eastAsiaTheme="minorEastAsia"/>
                              <w:sz w:val="28"/>
                              <w:szCs w:val="28"/>
                            </w:rPr>
                            <w:t>2</w:t>
                          </w:r>
                          <w:r>
                            <w:rPr>
                              <w:rFonts w:hint="default" w:asciiTheme="minorEastAsia" w:hAnsiTheme="minorEastAsia" w:eastAsiaTheme="minorEastAsia"/>
                              <w:sz w:val="28"/>
                              <w:szCs w:val="28"/>
                            </w:rPr>
                            <w:fldChar w:fldCharType="end"/>
                          </w:r>
                          <w:r>
                            <w:rPr>
                              <w:rFonts w:hint="default" w:asciiTheme="minorEastAsia" w:hAnsiTheme="minorEastAsia" w:eastAsiaTheme="minorEastAsia"/>
                              <w:sz w:val="28"/>
                              <w:szCs w:val="28"/>
                            </w:rPr>
                            <w:t xml:space="preserve"> —</w:t>
                          </w:r>
                        </w:p>
                      </w:txbxContent>
                    </wps:txbx>
                    <wps:bodyPr wrap="none" lIns="0" tIns="0" rIns="0" bIns="0" upright="1">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kV/MgBAACZAwAADgAAAGRycy9lMm9Eb2MueG1srVPNjtMwEL4j8Q6W&#10;79RpD6sqarraVbUICQHSwgO4jt1Y8p88bpO+ALwBJy7cea4+B2Mn6cJy2QMXZzwz/ub7Ziab28Ea&#10;cpIRtHcNXS4qSqQTvtXu0NAvnx/erCmBxF3LjXeyoWcJ9Hb7+tWmD7Vc+c6bVkaCIA7qPjS0SynU&#10;jIHopOWw8EE6DCofLU94jQfWRt4jujVsVVU3rPexDdELCYDe3RikE2J8CaBXSgu58+JopUsjapSG&#10;J5QEnQ5At4WtUlKkj0qBTMQ0FJWmcmIRtPf5ZNsNrw+Rh06LiQJ/CYVnmizXDoteoXY8cXKM+h8o&#10;q0X04FVaCG/ZKKR0BFUsq2e9eex4kEULthrCtenw/2DFh9OnSHTb0BUljlsc+OX7t8uPX5efX8lN&#10;bk8foMasx4B5abj3Ay7N7Ad0ZtWDijZ/UQ/BODb3fG2uHBIR+dF6tV5XGBIYmy+Iz56ehwjprfSW&#10;ZKOhEadXmspP7yGNqXNKrub8gzamTNC4vxyImT0scx85ZisN+2EStPftGfX0OPiGOtxzSsw7h33N&#10;OzIbcTb2s3EMUR86pLYsvCDcHROSKNxyhRF2KowTK+qm7cor8ee9ZD39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A7JFfzIAQAAmQMAAA4AAAAAAAAAAQAgAAAAHgEAAGRycy9lMm9Eb2Mu&#10;eG1sUEsFBgAAAAAGAAYAWQEAAFgFAAAAAA==&#10;">
              <v:fill on="f" focussize="0,0"/>
              <v:stroke on="f"/>
              <v:imagedata o:title=""/>
              <o:lock v:ext="edit" aspectratio="f"/>
              <v:textbox inset="0mm,0mm,0mm,0mm" style="mso-fit-shape-to-text:t;">
                <w:txbxContent>
                  <w:p w14:paraId="2A516B81">
                    <w:pPr>
                      <w:pStyle w:val="3"/>
                      <w:rPr>
                        <w:rFonts w:hint="default" w:asciiTheme="minorEastAsia" w:hAnsiTheme="minorEastAsia" w:eastAsiaTheme="minorEastAsia"/>
                        <w:sz w:val="28"/>
                        <w:szCs w:val="28"/>
                      </w:rPr>
                    </w:pPr>
                    <w:r>
                      <w:rPr>
                        <w:rFonts w:hint="default" w:asciiTheme="minorEastAsia" w:hAnsiTheme="minorEastAsia" w:eastAsiaTheme="minorEastAsia"/>
                        <w:sz w:val="28"/>
                        <w:szCs w:val="28"/>
                      </w:rPr>
                      <w:t xml:space="preserve">— </w:t>
                    </w:r>
                    <w:r>
                      <w:rPr>
                        <w:rFonts w:hint="default" w:asciiTheme="minorEastAsia" w:hAnsiTheme="minorEastAsia" w:eastAsiaTheme="minorEastAsia"/>
                        <w:sz w:val="28"/>
                        <w:szCs w:val="28"/>
                      </w:rPr>
                      <w:fldChar w:fldCharType="begin"/>
                    </w:r>
                    <w:r>
                      <w:rPr>
                        <w:rFonts w:hint="default" w:asciiTheme="minorEastAsia" w:hAnsiTheme="minorEastAsia" w:eastAsiaTheme="minorEastAsia"/>
                        <w:sz w:val="28"/>
                        <w:szCs w:val="28"/>
                      </w:rPr>
                      <w:instrText xml:space="preserve"> PAGE  \* MERGEFORMAT </w:instrText>
                    </w:r>
                    <w:r>
                      <w:rPr>
                        <w:rFonts w:hint="default" w:asciiTheme="minorEastAsia" w:hAnsiTheme="minorEastAsia" w:eastAsiaTheme="minorEastAsia"/>
                        <w:sz w:val="28"/>
                        <w:szCs w:val="28"/>
                      </w:rPr>
                      <w:fldChar w:fldCharType="separate"/>
                    </w:r>
                    <w:r>
                      <w:rPr>
                        <w:rFonts w:hint="default" w:asciiTheme="minorEastAsia" w:hAnsiTheme="minorEastAsia" w:eastAsiaTheme="minorEastAsia"/>
                        <w:sz w:val="28"/>
                        <w:szCs w:val="28"/>
                      </w:rPr>
                      <w:t>2</w:t>
                    </w:r>
                    <w:r>
                      <w:rPr>
                        <w:rFonts w:hint="default" w:asciiTheme="minorEastAsia" w:hAnsiTheme="minorEastAsia" w:eastAsiaTheme="minorEastAsia"/>
                        <w:sz w:val="28"/>
                        <w:szCs w:val="28"/>
                      </w:rPr>
                      <w:fldChar w:fldCharType="end"/>
                    </w:r>
                    <w:r>
                      <w:rPr>
                        <w:rFonts w:hint="default" w:asciiTheme="minorEastAsia" w:hAnsiTheme="minorEastAsia" w:eastAsia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57E0C6">
    <w:pPr>
      <w:pStyle w:val="4"/>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evenAndOddHeaders w:val="1"/>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k1YzE1ZGU0MDM1MzlkNDQzMjY4OWFkZjhiOTNmZWMifQ=="/>
  </w:docVars>
  <w:rsids>
    <w:rsidRoot w:val="00B03CCD"/>
    <w:rsid w:val="000239C6"/>
    <w:rsid w:val="00093369"/>
    <w:rsid w:val="001D3BB7"/>
    <w:rsid w:val="002B254B"/>
    <w:rsid w:val="004479E5"/>
    <w:rsid w:val="00466C9B"/>
    <w:rsid w:val="00550ABE"/>
    <w:rsid w:val="00577718"/>
    <w:rsid w:val="005E7651"/>
    <w:rsid w:val="00630122"/>
    <w:rsid w:val="00631B41"/>
    <w:rsid w:val="00770383"/>
    <w:rsid w:val="00773BAF"/>
    <w:rsid w:val="007819D4"/>
    <w:rsid w:val="00793336"/>
    <w:rsid w:val="007B419D"/>
    <w:rsid w:val="007B7C4B"/>
    <w:rsid w:val="007C16AC"/>
    <w:rsid w:val="007D3D39"/>
    <w:rsid w:val="00950240"/>
    <w:rsid w:val="00994AF7"/>
    <w:rsid w:val="009B67B8"/>
    <w:rsid w:val="009D2B67"/>
    <w:rsid w:val="00A566F9"/>
    <w:rsid w:val="00AA24CE"/>
    <w:rsid w:val="00AF2751"/>
    <w:rsid w:val="00AF7125"/>
    <w:rsid w:val="00B03CCD"/>
    <w:rsid w:val="00B8739F"/>
    <w:rsid w:val="00BE2B89"/>
    <w:rsid w:val="00C10E9E"/>
    <w:rsid w:val="00C20C3E"/>
    <w:rsid w:val="00CF2ACF"/>
    <w:rsid w:val="00D96281"/>
    <w:rsid w:val="00DD0D13"/>
    <w:rsid w:val="00ED4976"/>
    <w:rsid w:val="00F13F08"/>
    <w:rsid w:val="00F73F90"/>
    <w:rsid w:val="00FB4B3B"/>
    <w:rsid w:val="01474EBF"/>
    <w:rsid w:val="01CF32DE"/>
    <w:rsid w:val="01DA729B"/>
    <w:rsid w:val="01F3521E"/>
    <w:rsid w:val="01FC414D"/>
    <w:rsid w:val="02237A8B"/>
    <w:rsid w:val="0252075E"/>
    <w:rsid w:val="02535CBD"/>
    <w:rsid w:val="02C0622E"/>
    <w:rsid w:val="03511DCB"/>
    <w:rsid w:val="036F6B27"/>
    <w:rsid w:val="03835B39"/>
    <w:rsid w:val="03B87EA0"/>
    <w:rsid w:val="03E07A24"/>
    <w:rsid w:val="03E3214F"/>
    <w:rsid w:val="04367644"/>
    <w:rsid w:val="044C50BA"/>
    <w:rsid w:val="04940FE9"/>
    <w:rsid w:val="04CD172E"/>
    <w:rsid w:val="04D8694E"/>
    <w:rsid w:val="052102F4"/>
    <w:rsid w:val="052D3954"/>
    <w:rsid w:val="0545320E"/>
    <w:rsid w:val="05BC6D49"/>
    <w:rsid w:val="05F31C91"/>
    <w:rsid w:val="06194FF1"/>
    <w:rsid w:val="06A2550B"/>
    <w:rsid w:val="06F80EE2"/>
    <w:rsid w:val="07001CCA"/>
    <w:rsid w:val="07267E44"/>
    <w:rsid w:val="074838AD"/>
    <w:rsid w:val="075678DB"/>
    <w:rsid w:val="07603356"/>
    <w:rsid w:val="077E1A2E"/>
    <w:rsid w:val="0797489E"/>
    <w:rsid w:val="0797664C"/>
    <w:rsid w:val="079D7CC7"/>
    <w:rsid w:val="07AA5409"/>
    <w:rsid w:val="08051BCA"/>
    <w:rsid w:val="086C12F4"/>
    <w:rsid w:val="08705944"/>
    <w:rsid w:val="08A6123D"/>
    <w:rsid w:val="08BA052C"/>
    <w:rsid w:val="08C22581"/>
    <w:rsid w:val="08DB07BA"/>
    <w:rsid w:val="092263E9"/>
    <w:rsid w:val="0969353F"/>
    <w:rsid w:val="098305D0"/>
    <w:rsid w:val="09CB4CD3"/>
    <w:rsid w:val="0A145522"/>
    <w:rsid w:val="0A3317EA"/>
    <w:rsid w:val="0A5C4B69"/>
    <w:rsid w:val="0A5D5C5F"/>
    <w:rsid w:val="0A86124A"/>
    <w:rsid w:val="0AB54CC0"/>
    <w:rsid w:val="0AD05F67"/>
    <w:rsid w:val="0B106226"/>
    <w:rsid w:val="0B193AEC"/>
    <w:rsid w:val="0B1B4DAA"/>
    <w:rsid w:val="0B4E34C6"/>
    <w:rsid w:val="0B9335CE"/>
    <w:rsid w:val="0BF2311A"/>
    <w:rsid w:val="0C05299E"/>
    <w:rsid w:val="0C7927C4"/>
    <w:rsid w:val="0C9B098C"/>
    <w:rsid w:val="0CBA701A"/>
    <w:rsid w:val="0D335069"/>
    <w:rsid w:val="0D673E11"/>
    <w:rsid w:val="0DB366AF"/>
    <w:rsid w:val="0DBA0B20"/>
    <w:rsid w:val="0DDA54E4"/>
    <w:rsid w:val="0E3A5F83"/>
    <w:rsid w:val="0E6B4149"/>
    <w:rsid w:val="0E8A6F0A"/>
    <w:rsid w:val="0F0E3698"/>
    <w:rsid w:val="0F5D139B"/>
    <w:rsid w:val="0F836721"/>
    <w:rsid w:val="0F844B7D"/>
    <w:rsid w:val="0FA25D96"/>
    <w:rsid w:val="0FA75E3A"/>
    <w:rsid w:val="10417A9D"/>
    <w:rsid w:val="107B59E5"/>
    <w:rsid w:val="10EC0126"/>
    <w:rsid w:val="10F70B9A"/>
    <w:rsid w:val="111445C7"/>
    <w:rsid w:val="114278C6"/>
    <w:rsid w:val="1158083A"/>
    <w:rsid w:val="11643A4B"/>
    <w:rsid w:val="117F21AD"/>
    <w:rsid w:val="11A245C9"/>
    <w:rsid w:val="11ED0F98"/>
    <w:rsid w:val="11F03528"/>
    <w:rsid w:val="125C471A"/>
    <w:rsid w:val="12C921C4"/>
    <w:rsid w:val="12CC7AF2"/>
    <w:rsid w:val="12D44BF8"/>
    <w:rsid w:val="12E54456"/>
    <w:rsid w:val="130416AF"/>
    <w:rsid w:val="13622204"/>
    <w:rsid w:val="13871C70"/>
    <w:rsid w:val="13A71CB4"/>
    <w:rsid w:val="13AF1D43"/>
    <w:rsid w:val="13CE1647"/>
    <w:rsid w:val="13FD55AB"/>
    <w:rsid w:val="14200702"/>
    <w:rsid w:val="149208C7"/>
    <w:rsid w:val="155B5B82"/>
    <w:rsid w:val="1599007E"/>
    <w:rsid w:val="15D60C87"/>
    <w:rsid w:val="163A6CEE"/>
    <w:rsid w:val="167E55A7"/>
    <w:rsid w:val="169A7F07"/>
    <w:rsid w:val="17045380"/>
    <w:rsid w:val="17096AC8"/>
    <w:rsid w:val="172F4AF3"/>
    <w:rsid w:val="173708E3"/>
    <w:rsid w:val="178105AA"/>
    <w:rsid w:val="178F10EE"/>
    <w:rsid w:val="17C374FC"/>
    <w:rsid w:val="1821495C"/>
    <w:rsid w:val="182E4AB6"/>
    <w:rsid w:val="183D3240"/>
    <w:rsid w:val="189079DC"/>
    <w:rsid w:val="189B0D0B"/>
    <w:rsid w:val="18B43F7C"/>
    <w:rsid w:val="193D19EC"/>
    <w:rsid w:val="194A1770"/>
    <w:rsid w:val="19B906A4"/>
    <w:rsid w:val="19E00326"/>
    <w:rsid w:val="19F618F8"/>
    <w:rsid w:val="19F7584C"/>
    <w:rsid w:val="19FB6F0E"/>
    <w:rsid w:val="1A2E2E40"/>
    <w:rsid w:val="1AE6371B"/>
    <w:rsid w:val="1B6F15B6"/>
    <w:rsid w:val="1B8C2514"/>
    <w:rsid w:val="1BAA2EDC"/>
    <w:rsid w:val="1C0425E7"/>
    <w:rsid w:val="1C223B68"/>
    <w:rsid w:val="1CA55E64"/>
    <w:rsid w:val="1D014A01"/>
    <w:rsid w:val="1D022362"/>
    <w:rsid w:val="1D1B04B0"/>
    <w:rsid w:val="1D8C758A"/>
    <w:rsid w:val="1DA52501"/>
    <w:rsid w:val="1DBD6767"/>
    <w:rsid w:val="1DC52125"/>
    <w:rsid w:val="1DD26311"/>
    <w:rsid w:val="1DD508D3"/>
    <w:rsid w:val="1E374ACB"/>
    <w:rsid w:val="1E71154D"/>
    <w:rsid w:val="1E74103D"/>
    <w:rsid w:val="1ECF0A66"/>
    <w:rsid w:val="1EF67CA4"/>
    <w:rsid w:val="1F020D3A"/>
    <w:rsid w:val="1F2C5189"/>
    <w:rsid w:val="1F473EF4"/>
    <w:rsid w:val="1F4B0B02"/>
    <w:rsid w:val="1FBB35CD"/>
    <w:rsid w:val="1FCD26AF"/>
    <w:rsid w:val="20087C8F"/>
    <w:rsid w:val="20120B0E"/>
    <w:rsid w:val="206005CB"/>
    <w:rsid w:val="20642787"/>
    <w:rsid w:val="20B767FD"/>
    <w:rsid w:val="20EE0B33"/>
    <w:rsid w:val="2119316D"/>
    <w:rsid w:val="212E5E1B"/>
    <w:rsid w:val="21556F04"/>
    <w:rsid w:val="21CE3019"/>
    <w:rsid w:val="21F117A1"/>
    <w:rsid w:val="220426D8"/>
    <w:rsid w:val="221D3838"/>
    <w:rsid w:val="22403BD3"/>
    <w:rsid w:val="22A5754B"/>
    <w:rsid w:val="233314C7"/>
    <w:rsid w:val="24B92327"/>
    <w:rsid w:val="24C14514"/>
    <w:rsid w:val="2533755C"/>
    <w:rsid w:val="25791755"/>
    <w:rsid w:val="25D074A1"/>
    <w:rsid w:val="2624609B"/>
    <w:rsid w:val="26396DF4"/>
    <w:rsid w:val="27167136"/>
    <w:rsid w:val="271B442C"/>
    <w:rsid w:val="27B23302"/>
    <w:rsid w:val="28320E3C"/>
    <w:rsid w:val="28A6132B"/>
    <w:rsid w:val="292E4C0A"/>
    <w:rsid w:val="29310A5F"/>
    <w:rsid w:val="29A5267F"/>
    <w:rsid w:val="29C37A35"/>
    <w:rsid w:val="2A076083"/>
    <w:rsid w:val="2A1738F0"/>
    <w:rsid w:val="2A73162E"/>
    <w:rsid w:val="2AA50EFC"/>
    <w:rsid w:val="2B167953"/>
    <w:rsid w:val="2B200583"/>
    <w:rsid w:val="2B226E3C"/>
    <w:rsid w:val="2B5143C0"/>
    <w:rsid w:val="2B8209DE"/>
    <w:rsid w:val="2BB313F7"/>
    <w:rsid w:val="2BCC070B"/>
    <w:rsid w:val="2BE653B4"/>
    <w:rsid w:val="2C5C7914"/>
    <w:rsid w:val="2C636760"/>
    <w:rsid w:val="2C6762A3"/>
    <w:rsid w:val="2CB73907"/>
    <w:rsid w:val="2D0E68A8"/>
    <w:rsid w:val="2DA90D03"/>
    <w:rsid w:val="2EB86D24"/>
    <w:rsid w:val="2F7E1D1C"/>
    <w:rsid w:val="2FA50F72"/>
    <w:rsid w:val="2FA774C5"/>
    <w:rsid w:val="2FCA4B37"/>
    <w:rsid w:val="2FE029D7"/>
    <w:rsid w:val="2FF06E00"/>
    <w:rsid w:val="30416AFF"/>
    <w:rsid w:val="30586FEC"/>
    <w:rsid w:val="30AC7B38"/>
    <w:rsid w:val="30C4171D"/>
    <w:rsid w:val="30F304E8"/>
    <w:rsid w:val="315F0B22"/>
    <w:rsid w:val="3186310A"/>
    <w:rsid w:val="31975317"/>
    <w:rsid w:val="31B22151"/>
    <w:rsid w:val="31D84415"/>
    <w:rsid w:val="31F75DB5"/>
    <w:rsid w:val="32285F6F"/>
    <w:rsid w:val="32770556"/>
    <w:rsid w:val="329C0913"/>
    <w:rsid w:val="32AA0460"/>
    <w:rsid w:val="3337290D"/>
    <w:rsid w:val="337F2E45"/>
    <w:rsid w:val="33997CFE"/>
    <w:rsid w:val="33BE41A0"/>
    <w:rsid w:val="33E31118"/>
    <w:rsid w:val="33EF7674"/>
    <w:rsid w:val="33F20F2A"/>
    <w:rsid w:val="34036C94"/>
    <w:rsid w:val="341220B6"/>
    <w:rsid w:val="3417273F"/>
    <w:rsid w:val="342D7BC6"/>
    <w:rsid w:val="34C10FE5"/>
    <w:rsid w:val="352930DB"/>
    <w:rsid w:val="35573069"/>
    <w:rsid w:val="355F6038"/>
    <w:rsid w:val="357317BF"/>
    <w:rsid w:val="358C217E"/>
    <w:rsid w:val="359A3DA8"/>
    <w:rsid w:val="36146F36"/>
    <w:rsid w:val="36273AB2"/>
    <w:rsid w:val="362D1DA6"/>
    <w:rsid w:val="363870C8"/>
    <w:rsid w:val="36720506"/>
    <w:rsid w:val="36783969"/>
    <w:rsid w:val="36C9128A"/>
    <w:rsid w:val="37042250"/>
    <w:rsid w:val="37841E99"/>
    <w:rsid w:val="37BF1123"/>
    <w:rsid w:val="37CB7AC8"/>
    <w:rsid w:val="37DC1CD5"/>
    <w:rsid w:val="37DC7F27"/>
    <w:rsid w:val="37E754C5"/>
    <w:rsid w:val="37E96018"/>
    <w:rsid w:val="37FA0CE4"/>
    <w:rsid w:val="38056B0C"/>
    <w:rsid w:val="382D42DF"/>
    <w:rsid w:val="383C3F15"/>
    <w:rsid w:val="383F1A19"/>
    <w:rsid w:val="38B8692C"/>
    <w:rsid w:val="38BE4696"/>
    <w:rsid w:val="38CB0C79"/>
    <w:rsid w:val="38E26F5B"/>
    <w:rsid w:val="3939115E"/>
    <w:rsid w:val="39AB02D6"/>
    <w:rsid w:val="39B82A39"/>
    <w:rsid w:val="39C42CA8"/>
    <w:rsid w:val="39DC4FD6"/>
    <w:rsid w:val="39E97A3D"/>
    <w:rsid w:val="39F03D7A"/>
    <w:rsid w:val="39F156FC"/>
    <w:rsid w:val="39F33306"/>
    <w:rsid w:val="3A0952C1"/>
    <w:rsid w:val="3A2C1C67"/>
    <w:rsid w:val="3A540B18"/>
    <w:rsid w:val="3A563FC1"/>
    <w:rsid w:val="3A7C2CDA"/>
    <w:rsid w:val="3ADD7F09"/>
    <w:rsid w:val="3AE77A32"/>
    <w:rsid w:val="3B0A599B"/>
    <w:rsid w:val="3B10338E"/>
    <w:rsid w:val="3B13026C"/>
    <w:rsid w:val="3B1705E5"/>
    <w:rsid w:val="3B18334B"/>
    <w:rsid w:val="3B36794F"/>
    <w:rsid w:val="3B5F50F7"/>
    <w:rsid w:val="3B6F6EE0"/>
    <w:rsid w:val="3C1C4D96"/>
    <w:rsid w:val="3C566AD6"/>
    <w:rsid w:val="3C594871"/>
    <w:rsid w:val="3C6A5B02"/>
    <w:rsid w:val="3C991F43"/>
    <w:rsid w:val="3CBD309D"/>
    <w:rsid w:val="3CF4361D"/>
    <w:rsid w:val="3D2757A1"/>
    <w:rsid w:val="3D3D4FC4"/>
    <w:rsid w:val="3D7C7B20"/>
    <w:rsid w:val="3DDF3AB1"/>
    <w:rsid w:val="3DEF614E"/>
    <w:rsid w:val="3E1A70B4"/>
    <w:rsid w:val="3E1D0952"/>
    <w:rsid w:val="3E42660A"/>
    <w:rsid w:val="3E6E73FF"/>
    <w:rsid w:val="3E6F537E"/>
    <w:rsid w:val="3E7555B1"/>
    <w:rsid w:val="3E787ED9"/>
    <w:rsid w:val="3E79027E"/>
    <w:rsid w:val="3E9C3F6D"/>
    <w:rsid w:val="3EA846BF"/>
    <w:rsid w:val="3EE03152"/>
    <w:rsid w:val="3F032E93"/>
    <w:rsid w:val="3F0527E5"/>
    <w:rsid w:val="3F4E6A40"/>
    <w:rsid w:val="3F506BCC"/>
    <w:rsid w:val="3F5B3E28"/>
    <w:rsid w:val="3F694D83"/>
    <w:rsid w:val="3F854A01"/>
    <w:rsid w:val="3F877C43"/>
    <w:rsid w:val="3F885DCC"/>
    <w:rsid w:val="3FCD675E"/>
    <w:rsid w:val="3FFA53EF"/>
    <w:rsid w:val="4004000C"/>
    <w:rsid w:val="40B57568"/>
    <w:rsid w:val="40BD5482"/>
    <w:rsid w:val="41076015"/>
    <w:rsid w:val="411A73CB"/>
    <w:rsid w:val="411B6CE5"/>
    <w:rsid w:val="412070D7"/>
    <w:rsid w:val="41314E40"/>
    <w:rsid w:val="41BF557A"/>
    <w:rsid w:val="41E0734B"/>
    <w:rsid w:val="421742D4"/>
    <w:rsid w:val="4218782A"/>
    <w:rsid w:val="426C1EA8"/>
    <w:rsid w:val="42736402"/>
    <w:rsid w:val="42A17DA3"/>
    <w:rsid w:val="42E86A87"/>
    <w:rsid w:val="42F02098"/>
    <w:rsid w:val="43307B09"/>
    <w:rsid w:val="43364990"/>
    <w:rsid w:val="43790D20"/>
    <w:rsid w:val="439A3EB9"/>
    <w:rsid w:val="43BB152F"/>
    <w:rsid w:val="44C37687"/>
    <w:rsid w:val="44CC4B24"/>
    <w:rsid w:val="454A33F5"/>
    <w:rsid w:val="45753620"/>
    <w:rsid w:val="45BB65A9"/>
    <w:rsid w:val="45CA5863"/>
    <w:rsid w:val="45CB699A"/>
    <w:rsid w:val="465B470D"/>
    <w:rsid w:val="46865B74"/>
    <w:rsid w:val="469D6AD4"/>
    <w:rsid w:val="46A61876"/>
    <w:rsid w:val="471E6C84"/>
    <w:rsid w:val="4732546E"/>
    <w:rsid w:val="4748792B"/>
    <w:rsid w:val="475D719D"/>
    <w:rsid w:val="47674801"/>
    <w:rsid w:val="47BC268C"/>
    <w:rsid w:val="47BE1317"/>
    <w:rsid w:val="48030BB8"/>
    <w:rsid w:val="48225EF7"/>
    <w:rsid w:val="487F0B87"/>
    <w:rsid w:val="488F422B"/>
    <w:rsid w:val="48E36915"/>
    <w:rsid w:val="48EB6572"/>
    <w:rsid w:val="48F331AB"/>
    <w:rsid w:val="495C4A24"/>
    <w:rsid w:val="497135DF"/>
    <w:rsid w:val="499F525C"/>
    <w:rsid w:val="49CC7DFC"/>
    <w:rsid w:val="4A0D7699"/>
    <w:rsid w:val="4A263DF2"/>
    <w:rsid w:val="4A6F6675"/>
    <w:rsid w:val="4A7F0A3A"/>
    <w:rsid w:val="4A95788D"/>
    <w:rsid w:val="4AD64BDE"/>
    <w:rsid w:val="4B135857"/>
    <w:rsid w:val="4B157580"/>
    <w:rsid w:val="4B7951CB"/>
    <w:rsid w:val="4B7C315C"/>
    <w:rsid w:val="4B904E59"/>
    <w:rsid w:val="4CA51888"/>
    <w:rsid w:val="4D4647DA"/>
    <w:rsid w:val="4DAC4ACA"/>
    <w:rsid w:val="4DBE01D2"/>
    <w:rsid w:val="4DD17738"/>
    <w:rsid w:val="4DE95EBA"/>
    <w:rsid w:val="4DEB5D8E"/>
    <w:rsid w:val="4DF01091"/>
    <w:rsid w:val="4E3221F7"/>
    <w:rsid w:val="4E41243B"/>
    <w:rsid w:val="4EF31987"/>
    <w:rsid w:val="4F0C6BA3"/>
    <w:rsid w:val="4F186D58"/>
    <w:rsid w:val="4F5D14F6"/>
    <w:rsid w:val="50F06B6E"/>
    <w:rsid w:val="514069D9"/>
    <w:rsid w:val="51A61AB8"/>
    <w:rsid w:val="51C8534D"/>
    <w:rsid w:val="51D21804"/>
    <w:rsid w:val="51F55682"/>
    <w:rsid w:val="52234D33"/>
    <w:rsid w:val="522F6E0C"/>
    <w:rsid w:val="52463BA1"/>
    <w:rsid w:val="526D1A50"/>
    <w:rsid w:val="526D7CA2"/>
    <w:rsid w:val="527E1EAF"/>
    <w:rsid w:val="52A37C23"/>
    <w:rsid w:val="52F163D4"/>
    <w:rsid w:val="531A2DB4"/>
    <w:rsid w:val="536543A1"/>
    <w:rsid w:val="53A2396F"/>
    <w:rsid w:val="53C0244D"/>
    <w:rsid w:val="53CB2EA2"/>
    <w:rsid w:val="53DD4D4E"/>
    <w:rsid w:val="53E578CE"/>
    <w:rsid w:val="53F62592"/>
    <w:rsid w:val="541330F0"/>
    <w:rsid w:val="54272666"/>
    <w:rsid w:val="543B029D"/>
    <w:rsid w:val="544A08EB"/>
    <w:rsid w:val="54501629"/>
    <w:rsid w:val="54861779"/>
    <w:rsid w:val="54E87AB4"/>
    <w:rsid w:val="55012924"/>
    <w:rsid w:val="552256E1"/>
    <w:rsid w:val="554E5773"/>
    <w:rsid w:val="555829E0"/>
    <w:rsid w:val="555A3CBC"/>
    <w:rsid w:val="556829A3"/>
    <w:rsid w:val="5582012B"/>
    <w:rsid w:val="55886BA1"/>
    <w:rsid w:val="558E4E05"/>
    <w:rsid w:val="55A25DBA"/>
    <w:rsid w:val="55BE2E85"/>
    <w:rsid w:val="55DD513F"/>
    <w:rsid w:val="56530F5D"/>
    <w:rsid w:val="567700D3"/>
    <w:rsid w:val="56AD4B11"/>
    <w:rsid w:val="56FF7E9E"/>
    <w:rsid w:val="578867FC"/>
    <w:rsid w:val="57C30451"/>
    <w:rsid w:val="58360B36"/>
    <w:rsid w:val="5842572D"/>
    <w:rsid w:val="589870FB"/>
    <w:rsid w:val="5915074C"/>
    <w:rsid w:val="591C41D0"/>
    <w:rsid w:val="59396241"/>
    <w:rsid w:val="595F2764"/>
    <w:rsid w:val="59853B23"/>
    <w:rsid w:val="598A050D"/>
    <w:rsid w:val="598C3104"/>
    <w:rsid w:val="59A26483"/>
    <w:rsid w:val="59C02DAD"/>
    <w:rsid w:val="59C75EEA"/>
    <w:rsid w:val="5A1A070F"/>
    <w:rsid w:val="5A3B59D6"/>
    <w:rsid w:val="5A47702B"/>
    <w:rsid w:val="5A4B6C24"/>
    <w:rsid w:val="5A90036D"/>
    <w:rsid w:val="5AD134D8"/>
    <w:rsid w:val="5B57504B"/>
    <w:rsid w:val="5B6E563D"/>
    <w:rsid w:val="5B8561A4"/>
    <w:rsid w:val="5B9F1014"/>
    <w:rsid w:val="5B9F7C84"/>
    <w:rsid w:val="5BF32AEA"/>
    <w:rsid w:val="5BFE7BBD"/>
    <w:rsid w:val="5C221AFD"/>
    <w:rsid w:val="5C263CE4"/>
    <w:rsid w:val="5C5619C5"/>
    <w:rsid w:val="5C5D2777"/>
    <w:rsid w:val="5C761E49"/>
    <w:rsid w:val="5CAA00FA"/>
    <w:rsid w:val="5CBC7642"/>
    <w:rsid w:val="5CF66BF3"/>
    <w:rsid w:val="5D290C69"/>
    <w:rsid w:val="5D700646"/>
    <w:rsid w:val="5D731EE5"/>
    <w:rsid w:val="5DF66D9E"/>
    <w:rsid w:val="5F1578F3"/>
    <w:rsid w:val="5F1C6CD8"/>
    <w:rsid w:val="5F2D4A41"/>
    <w:rsid w:val="5FB05FA0"/>
    <w:rsid w:val="5FC5111D"/>
    <w:rsid w:val="5FC66E0E"/>
    <w:rsid w:val="603040BD"/>
    <w:rsid w:val="60340051"/>
    <w:rsid w:val="60C74F6C"/>
    <w:rsid w:val="60DD54D7"/>
    <w:rsid w:val="61025A59"/>
    <w:rsid w:val="613D5BBC"/>
    <w:rsid w:val="61536C39"/>
    <w:rsid w:val="62060383"/>
    <w:rsid w:val="62944DD7"/>
    <w:rsid w:val="629E5C56"/>
    <w:rsid w:val="62A74B0A"/>
    <w:rsid w:val="62DA4EE0"/>
    <w:rsid w:val="62FE631E"/>
    <w:rsid w:val="6319381F"/>
    <w:rsid w:val="633A597E"/>
    <w:rsid w:val="63843AA9"/>
    <w:rsid w:val="63934CDB"/>
    <w:rsid w:val="63C25DC5"/>
    <w:rsid w:val="63C45248"/>
    <w:rsid w:val="63C62057"/>
    <w:rsid w:val="63C64CF8"/>
    <w:rsid w:val="640815D9"/>
    <w:rsid w:val="64104931"/>
    <w:rsid w:val="64471332"/>
    <w:rsid w:val="64571EF5"/>
    <w:rsid w:val="646F46F5"/>
    <w:rsid w:val="64801AB7"/>
    <w:rsid w:val="64CF52DF"/>
    <w:rsid w:val="64F50429"/>
    <w:rsid w:val="64FB113D"/>
    <w:rsid w:val="656152C6"/>
    <w:rsid w:val="65757142"/>
    <w:rsid w:val="6587477F"/>
    <w:rsid w:val="658C3A08"/>
    <w:rsid w:val="65C031CA"/>
    <w:rsid w:val="65CE6852"/>
    <w:rsid w:val="661A06AC"/>
    <w:rsid w:val="66267C04"/>
    <w:rsid w:val="663F505A"/>
    <w:rsid w:val="664A237C"/>
    <w:rsid w:val="665E7BD6"/>
    <w:rsid w:val="667473F9"/>
    <w:rsid w:val="66EE5541"/>
    <w:rsid w:val="67065B78"/>
    <w:rsid w:val="674B05A3"/>
    <w:rsid w:val="67617776"/>
    <w:rsid w:val="678C03A6"/>
    <w:rsid w:val="67924660"/>
    <w:rsid w:val="68216989"/>
    <w:rsid w:val="68271280"/>
    <w:rsid w:val="68407834"/>
    <w:rsid w:val="68775201"/>
    <w:rsid w:val="6883293E"/>
    <w:rsid w:val="688412AD"/>
    <w:rsid w:val="68AD6BF3"/>
    <w:rsid w:val="68EB1B71"/>
    <w:rsid w:val="694B7F95"/>
    <w:rsid w:val="69EB79D2"/>
    <w:rsid w:val="6A521800"/>
    <w:rsid w:val="6A554E4C"/>
    <w:rsid w:val="6A6C7940"/>
    <w:rsid w:val="6AAD2300"/>
    <w:rsid w:val="6AB72D9B"/>
    <w:rsid w:val="6AE82164"/>
    <w:rsid w:val="6B19231D"/>
    <w:rsid w:val="6B2C440C"/>
    <w:rsid w:val="6B474EF5"/>
    <w:rsid w:val="6B8F6B7F"/>
    <w:rsid w:val="6BB362CE"/>
    <w:rsid w:val="6BEE5558"/>
    <w:rsid w:val="6C0A5AC5"/>
    <w:rsid w:val="6C560CAE"/>
    <w:rsid w:val="6C576495"/>
    <w:rsid w:val="6CBA368C"/>
    <w:rsid w:val="6CD96208"/>
    <w:rsid w:val="6CDB7296"/>
    <w:rsid w:val="6D1F1741"/>
    <w:rsid w:val="6D21195D"/>
    <w:rsid w:val="6D34343E"/>
    <w:rsid w:val="6D673814"/>
    <w:rsid w:val="6D68758C"/>
    <w:rsid w:val="6D903FF5"/>
    <w:rsid w:val="6DA34120"/>
    <w:rsid w:val="6DA955B8"/>
    <w:rsid w:val="6DCC3677"/>
    <w:rsid w:val="6DE346AB"/>
    <w:rsid w:val="6DE5391A"/>
    <w:rsid w:val="6E2455B9"/>
    <w:rsid w:val="6E5309A7"/>
    <w:rsid w:val="6E6A64EA"/>
    <w:rsid w:val="6EF70BC7"/>
    <w:rsid w:val="6EFD1324"/>
    <w:rsid w:val="6F5A53AC"/>
    <w:rsid w:val="6F81005D"/>
    <w:rsid w:val="6FAC003D"/>
    <w:rsid w:val="6FBE3493"/>
    <w:rsid w:val="6FE4739E"/>
    <w:rsid w:val="6FE55E12"/>
    <w:rsid w:val="6FFB2E76"/>
    <w:rsid w:val="708F6F7F"/>
    <w:rsid w:val="70B12FF8"/>
    <w:rsid w:val="70D94BD3"/>
    <w:rsid w:val="714A6389"/>
    <w:rsid w:val="71B0505E"/>
    <w:rsid w:val="71BE777B"/>
    <w:rsid w:val="71C34D91"/>
    <w:rsid w:val="71DE702F"/>
    <w:rsid w:val="727D5888"/>
    <w:rsid w:val="72B8066E"/>
    <w:rsid w:val="72DB435C"/>
    <w:rsid w:val="72E2613A"/>
    <w:rsid w:val="72F771F4"/>
    <w:rsid w:val="73260B3F"/>
    <w:rsid w:val="73674212"/>
    <w:rsid w:val="73934AD2"/>
    <w:rsid w:val="73B61051"/>
    <w:rsid w:val="73C66DBA"/>
    <w:rsid w:val="73F333C4"/>
    <w:rsid w:val="743C22CA"/>
    <w:rsid w:val="74971B79"/>
    <w:rsid w:val="74D625C9"/>
    <w:rsid w:val="750837F0"/>
    <w:rsid w:val="751D6EAE"/>
    <w:rsid w:val="75315840"/>
    <w:rsid w:val="754758CF"/>
    <w:rsid w:val="759A2F55"/>
    <w:rsid w:val="75DC44BC"/>
    <w:rsid w:val="764F62AB"/>
    <w:rsid w:val="765C45EC"/>
    <w:rsid w:val="768A7619"/>
    <w:rsid w:val="772E1EBA"/>
    <w:rsid w:val="77CD4BBB"/>
    <w:rsid w:val="77D56C0C"/>
    <w:rsid w:val="781701D3"/>
    <w:rsid w:val="781926BC"/>
    <w:rsid w:val="782642CC"/>
    <w:rsid w:val="789B7FE8"/>
    <w:rsid w:val="789D1576"/>
    <w:rsid w:val="78E55F35"/>
    <w:rsid w:val="79020895"/>
    <w:rsid w:val="79246A5D"/>
    <w:rsid w:val="796B468C"/>
    <w:rsid w:val="796D60A4"/>
    <w:rsid w:val="79A031D5"/>
    <w:rsid w:val="79A63B17"/>
    <w:rsid w:val="79BD0130"/>
    <w:rsid w:val="79C618C2"/>
    <w:rsid w:val="7A1525F7"/>
    <w:rsid w:val="7AAA2F92"/>
    <w:rsid w:val="7ADD3367"/>
    <w:rsid w:val="7B3E463A"/>
    <w:rsid w:val="7B420052"/>
    <w:rsid w:val="7B713AB0"/>
    <w:rsid w:val="7BA2602A"/>
    <w:rsid w:val="7BD06A28"/>
    <w:rsid w:val="7BDA43CC"/>
    <w:rsid w:val="7BFE14DB"/>
    <w:rsid w:val="7C2F7BF3"/>
    <w:rsid w:val="7C3A7C0B"/>
    <w:rsid w:val="7C5248E4"/>
    <w:rsid w:val="7C566698"/>
    <w:rsid w:val="7C5866A3"/>
    <w:rsid w:val="7CD6233C"/>
    <w:rsid w:val="7CEC5D5F"/>
    <w:rsid w:val="7D5471E5"/>
    <w:rsid w:val="7D711B45"/>
    <w:rsid w:val="7D7406BB"/>
    <w:rsid w:val="7DE94331"/>
    <w:rsid w:val="7DF2712A"/>
    <w:rsid w:val="7E2748F9"/>
    <w:rsid w:val="7E491B82"/>
    <w:rsid w:val="7E4F4523"/>
    <w:rsid w:val="7E786F03"/>
    <w:rsid w:val="7EA63A70"/>
    <w:rsid w:val="7F286B7B"/>
    <w:rsid w:val="7F446A19"/>
    <w:rsid w:val="7F66100E"/>
    <w:rsid w:val="7F7452B9"/>
    <w:rsid w:val="7F963AE5"/>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Char"/>
    <w:basedOn w:val="9"/>
    <w:link w:val="2"/>
    <w:qFormat/>
    <w:uiPriority w:val="0"/>
    <w:rPr>
      <w:rFonts w:ascii="宋体" w:hAnsi="宋体"/>
      <w:sz w:val="18"/>
      <w:szCs w:val="18"/>
    </w:rPr>
  </w:style>
  <w:style w:type="character" w:customStyle="1" w:styleId="16">
    <w:name w:val="16"/>
    <w:qFormat/>
    <w:uiPriority w:val="0"/>
    <w:rPr>
      <w:rFonts w:hint="default" w:ascii="Times New Roman" w:hAnsi="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5132</Words>
  <Characters>5728</Characters>
  <Lines>95</Lines>
  <Paragraphs>26</Paragraphs>
  <TotalTime>2</TotalTime>
  <ScaleCrop>false</ScaleCrop>
  <LinksUpToDate>false</LinksUpToDate>
  <CharactersWithSpaces>5778</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Yan</cp:lastModifiedBy>
  <dcterms:modified xsi:type="dcterms:W3CDTF">2025-10-23T06:34:10Z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79B266E53F90491DB00EF6285A71EFD3_13</vt:lpwstr>
  </property>
  <property fmtid="{D5CDD505-2E9C-101B-9397-08002B2CF9AE}" pid="4" name="KSOTemplateDocerSaveRecord">
    <vt:lpwstr>eyJoZGlkIjoiZWYxYTQ2NjMyMTNkMWU5MDEzOWUyOTUzM2EyMjNjZjEiLCJ1c2VySWQiOiIxMTM5Mjk4OTE4In0=</vt:lpwstr>
  </property>
</Properties>
</file>