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1281">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重庆市九龙坡区陶家镇中学</w:t>
      </w:r>
    </w:p>
    <w:p w14:paraId="03617889">
      <w:pPr>
        <w:pStyle w:val="8"/>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ascii="方正小标宋_GBK" w:hAnsi="方正小标宋_GBK" w:eastAsia="方正小标宋_GBK" w:cs="方正小标宋_GBK"/>
          <w:b w:val="0"/>
          <w:bCs w:val="0"/>
          <w:sz w:val="44"/>
          <w:szCs w:val="44"/>
          <w:shd w:val="clear" w:color="auto" w:fill="FFFFFF"/>
        </w:rPr>
        <w:t>说明</w:t>
      </w:r>
    </w:p>
    <w:p w14:paraId="2F50FBDA">
      <w:pPr>
        <w:spacing w:line="600" w:lineRule="exact"/>
        <w:ind w:firstLine="640" w:firstLineChars="200"/>
        <w:jc w:val="both"/>
        <w:rPr>
          <w:rStyle w:val="14"/>
          <w:rFonts w:hint="eastAsia" w:ascii="Times New Roman" w:hAnsi="Times New Roman" w:eastAsia="方正黑体_GBK" w:cs="黑体"/>
          <w:b w:val="0"/>
          <w:bCs w:val="0"/>
          <w:sz w:val="32"/>
          <w:szCs w:val="32"/>
          <w:shd w:val="clear" w:color="auto" w:fill="FFFFFF"/>
          <w:lang w:val="en-US" w:eastAsia="zh-CN"/>
        </w:rPr>
      </w:pPr>
    </w:p>
    <w:p w14:paraId="1742DE3B">
      <w:pPr>
        <w:spacing w:line="600" w:lineRule="exact"/>
        <w:ind w:firstLine="640" w:firstLineChars="200"/>
        <w:jc w:val="both"/>
        <w:rPr>
          <w:rStyle w:val="14"/>
          <w:rFonts w:hint="eastAsia" w:ascii="Times New Roman" w:hAnsi="Times New Roman" w:eastAsia="方正黑体_GBK" w:cs="黑体"/>
          <w:b w:val="0"/>
          <w:bCs w:val="0"/>
          <w:sz w:val="32"/>
          <w:szCs w:val="32"/>
          <w:shd w:val="clear" w:color="auto" w:fill="FFFFFF"/>
          <w:lang w:val="en-US" w:eastAsia="zh-CN"/>
        </w:rPr>
      </w:pPr>
      <w:bookmarkStart w:id="0" w:name="_GoBack"/>
      <w:bookmarkEnd w:id="0"/>
      <w:r>
        <w:rPr>
          <w:rStyle w:val="14"/>
          <w:rFonts w:hint="eastAsia" w:ascii="Times New Roman" w:hAnsi="Times New Roman" w:eastAsia="方正黑体_GBK" w:cs="黑体"/>
          <w:b w:val="0"/>
          <w:bCs w:val="0"/>
          <w:sz w:val="32"/>
          <w:szCs w:val="32"/>
          <w:shd w:val="clear" w:color="auto" w:fill="FFFFFF"/>
          <w:lang w:val="en-US" w:eastAsia="zh-CN"/>
        </w:rPr>
        <w:t>一、单位基本情况</w:t>
      </w:r>
    </w:p>
    <w:p w14:paraId="5A87CB9F">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default" w:ascii="Times New Roman" w:hAnsi="Times New Roman" w:eastAsia="方正楷体_GBK" w:cs="宋体"/>
          <w:b w:val="0"/>
          <w:bCs/>
          <w:sz w:val="32"/>
          <w:szCs w:val="32"/>
          <w:shd w:val="clear" w:color="auto" w:fill="FFFFFF"/>
          <w:lang w:eastAsia="zh-Hans"/>
        </w:rPr>
        <w:t>（一）职能职责</w:t>
      </w:r>
    </w:p>
    <w:p w14:paraId="6B01E0E5">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执行义务教育阶段教学任务的初级中学，主要宗旨和业务范围就实施普通初中义务教育，促进学生全面发展；开展教育教学工作；开展学校德育工作；开展学校体育、卫生、艺术工作；负责学校行政管理工作；开展对外交流工作；维护校园安全，提供后勤保障服务。</w:t>
      </w:r>
    </w:p>
    <w:p w14:paraId="3930E5C1">
      <w:pPr>
        <w:pStyle w:val="8"/>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楷体_GBK" w:cs="宋体"/>
          <w:b w:val="0"/>
          <w:bCs/>
          <w:sz w:val="32"/>
          <w:szCs w:val="32"/>
          <w:shd w:val="clear" w:color="auto" w:fill="FFFFFF"/>
          <w:lang w:eastAsia="zh-Hans"/>
        </w:rPr>
      </w:pPr>
      <w:r>
        <w:rPr>
          <w:rStyle w:val="11"/>
          <w:rFonts w:hint="default" w:ascii="Times New Roman" w:hAnsi="Times New Roman" w:eastAsia="方正楷体_GBK" w:cs="宋体"/>
          <w:b w:val="0"/>
          <w:bCs/>
          <w:sz w:val="32"/>
          <w:szCs w:val="32"/>
          <w:shd w:val="clear" w:color="auto" w:fill="FFFFFF"/>
          <w:lang w:eastAsia="zh-Hans"/>
        </w:rPr>
        <w:t>（</w:t>
      </w:r>
      <w:r>
        <w:rPr>
          <w:rStyle w:val="11"/>
          <w:rFonts w:hint="eastAsia" w:ascii="Times New Roman" w:hAnsi="Times New Roman" w:eastAsia="方正楷体_GBK" w:cs="宋体"/>
          <w:b w:val="0"/>
          <w:bCs/>
          <w:sz w:val="32"/>
          <w:szCs w:val="32"/>
          <w:shd w:val="clear" w:color="auto" w:fill="FFFFFF"/>
          <w:lang w:eastAsia="zh-CN"/>
        </w:rPr>
        <w:t>二</w:t>
      </w:r>
      <w:r>
        <w:rPr>
          <w:rStyle w:val="11"/>
          <w:rFonts w:hint="default" w:ascii="Times New Roman" w:hAnsi="Times New Roman" w:eastAsia="方正楷体_GBK" w:cs="宋体"/>
          <w:b w:val="0"/>
          <w:bCs/>
          <w:sz w:val="32"/>
          <w:szCs w:val="32"/>
          <w:shd w:val="clear" w:color="auto" w:fill="FFFFFF"/>
          <w:lang w:eastAsia="zh-Hans"/>
        </w:rPr>
        <w:t>）机构设置</w:t>
      </w:r>
    </w:p>
    <w:p w14:paraId="7606563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_GBK" w:cs="方正仿宋_GBK"/>
          <w:i w:val="0"/>
          <w:iCs w:val="0"/>
          <w:caps w:val="0"/>
          <w:color w:val="333333"/>
          <w:spacing w:val="0"/>
          <w:sz w:val="32"/>
          <w:szCs w:val="32"/>
        </w:rPr>
      </w:pPr>
      <w:r>
        <w:rPr>
          <w:rFonts w:hint="default" w:ascii="Times New Roman" w:hAnsi="Times New Roman" w:eastAsia="方正仿宋_GBK" w:cs="方正仿宋_GBK"/>
          <w:i w:val="0"/>
          <w:iCs w:val="0"/>
          <w:caps w:val="0"/>
          <w:color w:val="333333"/>
          <w:spacing w:val="0"/>
          <w:sz w:val="32"/>
          <w:szCs w:val="32"/>
        </w:rPr>
        <w:t>学校设置行政办公室、德育办公室、教导处、总务处。现有</w:t>
      </w:r>
      <w:r>
        <w:rPr>
          <w:rFonts w:hint="eastAsia" w:ascii="Times New Roman" w:hAnsi="Times New Roman" w:eastAsia="方正仿宋_GBK" w:cs="方正仿宋_GBK"/>
          <w:i w:val="0"/>
          <w:iCs w:val="0"/>
          <w:caps w:val="0"/>
          <w:color w:val="333333"/>
          <w:spacing w:val="0"/>
          <w:sz w:val="32"/>
          <w:szCs w:val="32"/>
          <w:lang w:val="en-US" w:eastAsia="zh-CN"/>
        </w:rPr>
        <w:t>5</w:t>
      </w:r>
      <w:r>
        <w:rPr>
          <w:rFonts w:hint="default" w:ascii="Times New Roman" w:hAnsi="Times New Roman" w:eastAsia="方正仿宋_GBK" w:cs="方正仿宋_GBK"/>
          <w:i w:val="0"/>
          <w:iCs w:val="0"/>
          <w:caps w:val="0"/>
          <w:color w:val="333333"/>
          <w:spacing w:val="0"/>
          <w:sz w:val="32"/>
          <w:szCs w:val="32"/>
        </w:rPr>
        <w:t>个教学班，在校学生</w:t>
      </w:r>
      <w:r>
        <w:rPr>
          <w:rFonts w:hint="eastAsia" w:ascii="Times New Roman" w:hAnsi="Times New Roman" w:eastAsia="方正仿宋_GBK" w:cs="方正仿宋_GBK"/>
          <w:i w:val="0"/>
          <w:iCs w:val="0"/>
          <w:caps w:val="0"/>
          <w:color w:val="333333"/>
          <w:spacing w:val="0"/>
          <w:sz w:val="32"/>
          <w:szCs w:val="32"/>
          <w:lang w:val="en-US" w:eastAsia="zh-CN"/>
        </w:rPr>
        <w:t>183</w:t>
      </w:r>
      <w:r>
        <w:rPr>
          <w:rFonts w:hint="default" w:ascii="Times New Roman" w:hAnsi="Times New Roman" w:eastAsia="方正仿宋_GBK" w:cs="方正仿宋_GBK"/>
          <w:i w:val="0"/>
          <w:iCs w:val="0"/>
          <w:caps w:val="0"/>
          <w:color w:val="333333"/>
          <w:spacing w:val="0"/>
          <w:sz w:val="32"/>
          <w:szCs w:val="32"/>
        </w:rPr>
        <w:t>人。在职教职工</w:t>
      </w:r>
      <w:r>
        <w:rPr>
          <w:rFonts w:hint="eastAsia" w:ascii="Times New Roman" w:hAnsi="Times New Roman" w:eastAsia="方正仿宋_GBK" w:cs="方正仿宋_GBK"/>
          <w:i w:val="0"/>
          <w:iCs w:val="0"/>
          <w:caps w:val="0"/>
          <w:color w:val="333333"/>
          <w:spacing w:val="0"/>
          <w:sz w:val="32"/>
          <w:szCs w:val="32"/>
          <w:lang w:val="en-US" w:eastAsia="zh-CN"/>
        </w:rPr>
        <w:t>27</w:t>
      </w:r>
      <w:r>
        <w:rPr>
          <w:rFonts w:hint="default" w:ascii="Times New Roman" w:hAnsi="Times New Roman" w:eastAsia="方正仿宋_GBK" w:cs="方正仿宋_GBK"/>
          <w:i w:val="0"/>
          <w:iCs w:val="0"/>
          <w:caps w:val="0"/>
          <w:color w:val="333333"/>
          <w:spacing w:val="0"/>
          <w:sz w:val="32"/>
          <w:szCs w:val="32"/>
        </w:rPr>
        <w:t>人，其中高级教师</w:t>
      </w:r>
      <w:r>
        <w:rPr>
          <w:rFonts w:hint="eastAsia" w:ascii="Times New Roman" w:hAnsi="Times New Roman" w:eastAsia="方正仿宋_GBK" w:cs="方正仿宋_GBK"/>
          <w:i w:val="0"/>
          <w:iCs w:val="0"/>
          <w:caps w:val="0"/>
          <w:color w:val="333333"/>
          <w:spacing w:val="0"/>
          <w:sz w:val="32"/>
          <w:szCs w:val="32"/>
          <w:lang w:val="en-US" w:eastAsia="zh-CN"/>
        </w:rPr>
        <w:t>4</w:t>
      </w:r>
      <w:r>
        <w:rPr>
          <w:rFonts w:hint="default" w:ascii="Times New Roman" w:hAnsi="Times New Roman" w:eastAsia="方正仿宋_GBK" w:cs="方正仿宋_GBK"/>
          <w:i w:val="0"/>
          <w:iCs w:val="0"/>
          <w:caps w:val="0"/>
          <w:color w:val="333333"/>
          <w:spacing w:val="0"/>
          <w:sz w:val="32"/>
          <w:szCs w:val="32"/>
        </w:rPr>
        <w:t>人、中初级教师2</w:t>
      </w:r>
      <w:r>
        <w:rPr>
          <w:rFonts w:hint="eastAsia" w:ascii="Times New Roman" w:hAnsi="Times New Roman" w:eastAsia="方正仿宋_GBK" w:cs="方正仿宋_GBK"/>
          <w:i w:val="0"/>
          <w:iCs w:val="0"/>
          <w:caps w:val="0"/>
          <w:color w:val="333333"/>
          <w:spacing w:val="0"/>
          <w:sz w:val="32"/>
          <w:szCs w:val="32"/>
          <w:lang w:val="en-US" w:eastAsia="zh-CN"/>
        </w:rPr>
        <w:t>2</w:t>
      </w:r>
      <w:r>
        <w:rPr>
          <w:rFonts w:hint="default" w:ascii="Times New Roman" w:hAnsi="Times New Roman" w:eastAsia="方正仿宋_GBK" w:cs="方正仿宋_GBK"/>
          <w:i w:val="0"/>
          <w:iCs w:val="0"/>
          <w:caps w:val="0"/>
          <w:color w:val="333333"/>
          <w:spacing w:val="0"/>
          <w:sz w:val="32"/>
          <w:szCs w:val="32"/>
        </w:rPr>
        <w:t>人，职员1人。</w:t>
      </w:r>
    </w:p>
    <w:p w14:paraId="5792FC0C">
      <w:pPr>
        <w:spacing w:line="600" w:lineRule="exact"/>
        <w:ind w:firstLine="640" w:firstLineChars="200"/>
        <w:jc w:val="both"/>
        <w:rPr>
          <w:rStyle w:val="14"/>
          <w:rFonts w:hint="default" w:ascii="Times New Roman" w:hAnsi="Times New Roman" w:eastAsia="方正黑体_GBK" w:cs="黑体"/>
          <w:b w:val="0"/>
          <w:bCs w:val="0"/>
          <w:sz w:val="32"/>
          <w:szCs w:val="32"/>
          <w:shd w:val="clear" w:color="auto" w:fill="FFFFFF"/>
        </w:rPr>
      </w:pPr>
      <w:r>
        <w:rPr>
          <w:rStyle w:val="14"/>
          <w:rFonts w:hint="eastAsia" w:ascii="Times New Roman" w:hAnsi="Times New Roman" w:eastAsia="方正黑体_GBK" w:cs="黑体"/>
          <w:b w:val="0"/>
          <w:bCs w:val="0"/>
          <w:sz w:val="32"/>
          <w:szCs w:val="32"/>
          <w:shd w:val="clear" w:color="auto" w:fill="FFFFFF"/>
        </w:rPr>
        <w:t>二、</w:t>
      </w:r>
      <w:r>
        <w:rPr>
          <w:rStyle w:val="14"/>
          <w:rFonts w:hint="eastAsia" w:ascii="Times New Roman" w:hAnsi="Times New Roman" w:eastAsia="方正黑体_GBK" w:cs="黑体"/>
          <w:b w:val="0"/>
          <w:bCs w:val="0"/>
          <w:sz w:val="32"/>
          <w:szCs w:val="32"/>
          <w:shd w:val="clear" w:color="auto" w:fill="FFFFFF"/>
          <w:lang w:eastAsia="zh-CN"/>
        </w:rPr>
        <w:t>单位</w:t>
      </w:r>
      <w:r>
        <w:rPr>
          <w:rStyle w:val="14"/>
          <w:rFonts w:hint="eastAsia" w:ascii="Times New Roman" w:hAnsi="Times New Roman" w:eastAsia="方正黑体_GBK" w:cs="黑体"/>
          <w:b w:val="0"/>
          <w:bCs w:val="0"/>
          <w:sz w:val="32"/>
          <w:szCs w:val="32"/>
          <w:shd w:val="clear" w:color="auto" w:fill="FFFFFF"/>
        </w:rPr>
        <w:t>决算</w:t>
      </w:r>
      <w:r>
        <w:rPr>
          <w:rStyle w:val="14"/>
          <w:rFonts w:hint="eastAsia" w:ascii="Times New Roman" w:hAnsi="Times New Roman" w:eastAsia="方正黑体_GBK" w:cs="黑体"/>
          <w:b w:val="0"/>
          <w:bCs w:val="0"/>
          <w:sz w:val="32"/>
          <w:szCs w:val="32"/>
          <w:shd w:val="clear" w:color="auto" w:fill="FFFFFF"/>
          <w:lang w:eastAsia="zh-CN"/>
        </w:rPr>
        <w:t>收支</w:t>
      </w:r>
      <w:r>
        <w:rPr>
          <w:rStyle w:val="14"/>
          <w:rFonts w:hint="eastAsia" w:ascii="Times New Roman" w:hAnsi="Times New Roman" w:eastAsia="方正黑体_GBK" w:cs="黑体"/>
          <w:b w:val="0"/>
          <w:bCs w:val="0"/>
          <w:sz w:val="32"/>
          <w:szCs w:val="32"/>
          <w:shd w:val="clear" w:color="auto" w:fill="FFFFFF"/>
        </w:rPr>
        <w:t>情况说明</w:t>
      </w:r>
    </w:p>
    <w:p w14:paraId="00E9689A">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eastAsia" w:ascii="Times New Roman" w:hAnsi="Times New Roman" w:eastAsia="方正楷体_GBK" w:cs="宋体"/>
          <w:b w:val="0"/>
          <w:bCs/>
          <w:sz w:val="32"/>
          <w:szCs w:val="32"/>
          <w:shd w:val="clear" w:color="auto" w:fill="FFFFFF"/>
          <w:lang w:eastAsia="zh-Hans"/>
        </w:rPr>
        <w:t>（一）收入支出决算总体情况说明。</w:t>
      </w:r>
    </w:p>
    <w:p w14:paraId="308CA394">
      <w:pPr>
        <w:keepNext w:val="0"/>
        <w:keepLines w:val="0"/>
        <w:pageBreakBefore w:val="0"/>
        <w:widowControl w:val="0"/>
        <w:kinsoku/>
        <w:wordWrap/>
        <w:overflowPunct/>
        <w:topLinePunct w:val="0"/>
        <w:autoSpaceDN/>
        <w:bidi w:val="0"/>
        <w:adjustRightInd/>
        <w:spacing w:beforeAutospacing="0" w:afterAutospacing="0" w:line="600" w:lineRule="exact"/>
        <w:ind w:firstLine="630" w:firstLineChars="196"/>
        <w:jc w:val="left"/>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度收入总计990.43万元，支出总计</w:t>
      </w:r>
      <w:r>
        <w:rPr>
          <w:rFonts w:ascii="Times New Roman" w:hAnsi="Times New Roman" w:eastAsia="方正仿宋_GBK" w:cs="方正仿宋_GBK"/>
          <w:sz w:val="32"/>
          <w:szCs w:val="32"/>
        </w:rPr>
        <w:t>990.43</w:t>
      </w:r>
      <w:r>
        <w:rPr>
          <w:rFonts w:ascii="Times New Roman" w:hAnsi="Times New Roman" w:eastAsia="方正仿宋_GBK" w:cs="方正仿宋_GBK"/>
          <w:sz w:val="32"/>
          <w:szCs w:val="32"/>
          <w:shd w:val="clear" w:color="auto" w:fill="FFFFFF"/>
        </w:rPr>
        <w:t>万元。收、支与2023年度相比，减少157.50万元，下降13.7%，主要原因是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w:t>
      </w:r>
      <w:r>
        <w:rPr>
          <w:rFonts w:hint="eastAsia" w:ascii="Times New Roman" w:hAnsi="Times New Roman" w:eastAsia="方正仿宋_GBK" w:cs="方正仿宋_GBK"/>
          <w:sz w:val="32"/>
          <w:szCs w:val="32"/>
          <w:shd w:val="clear" w:color="auto" w:fill="FFFFFF"/>
          <w:lang w:val="en-US" w:eastAsia="zh-CN"/>
        </w:rPr>
        <w:t>。</w:t>
      </w:r>
    </w:p>
    <w:p w14:paraId="407361D2">
      <w:pPr>
        <w:keepNext w:val="0"/>
        <w:keepLines w:val="0"/>
        <w:pageBreakBefore w:val="0"/>
        <w:widowControl w:val="0"/>
        <w:kinsoku/>
        <w:wordWrap/>
        <w:overflowPunct/>
        <w:topLinePunct w:val="0"/>
        <w:autoSpaceDN/>
        <w:bidi w:val="0"/>
        <w:adjustRightInd/>
        <w:spacing w:beforeAutospacing="0" w:afterAutospacing="0" w:line="600" w:lineRule="exact"/>
        <w:ind w:firstLine="630" w:firstLineChars="196"/>
        <w:jc w:val="left"/>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度收入合计990.43万元，与2023年度相比，减少157.50万元，下降13.7%，主要原因是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等。其</w:t>
      </w:r>
      <w:r>
        <w:rPr>
          <w:rFonts w:ascii="Times New Roman" w:hAnsi="Times New Roman" w:eastAsia="方正仿宋_GBK" w:cs="方正仿宋_GBK"/>
          <w:sz w:val="32"/>
          <w:szCs w:val="32"/>
          <w:shd w:val="clear" w:color="auto" w:fill="FFFFFF"/>
        </w:rPr>
        <w:t>中：财政拨款收入</w:t>
      </w:r>
      <w:r>
        <w:rPr>
          <w:rFonts w:ascii="Times New Roman" w:hAnsi="Times New Roman" w:eastAsia="方正仿宋_GBK" w:cs="方正仿宋_GBK"/>
          <w:sz w:val="32"/>
          <w:szCs w:val="32"/>
        </w:rPr>
        <w:t>990.43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w:t>
      </w:r>
    </w:p>
    <w:p w14:paraId="35C3F2B6">
      <w:pPr>
        <w:keepNext w:val="0"/>
        <w:keepLines w:val="0"/>
        <w:pageBreakBefore w:val="0"/>
        <w:widowControl w:val="0"/>
        <w:kinsoku/>
        <w:wordWrap/>
        <w:overflowPunct/>
        <w:topLinePunct w:val="0"/>
        <w:autoSpaceDN/>
        <w:bidi w:val="0"/>
        <w:adjustRightInd/>
        <w:spacing w:beforeAutospacing="0" w:afterAutospacing="0" w:line="600" w:lineRule="exact"/>
        <w:ind w:firstLine="630" w:firstLineChars="196"/>
        <w:jc w:val="left"/>
        <w:textAlignment w:val="auto"/>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度支出合计</w:t>
      </w:r>
      <w:r>
        <w:rPr>
          <w:rFonts w:ascii="Times New Roman" w:hAnsi="Times New Roman" w:eastAsia="方正仿宋_GBK" w:cs="方正仿宋_GBK"/>
          <w:sz w:val="32"/>
          <w:szCs w:val="32"/>
        </w:rPr>
        <w:t>990.43</w:t>
      </w:r>
      <w:r>
        <w:rPr>
          <w:rFonts w:ascii="Times New Roman" w:hAnsi="Times New Roman" w:eastAsia="方正仿宋_GBK" w:cs="方正仿宋_GBK"/>
          <w:sz w:val="32"/>
          <w:szCs w:val="32"/>
          <w:shd w:val="clear" w:color="auto" w:fill="FFFFFF"/>
        </w:rPr>
        <w:t>万元，与2023年度相比，减少157.50万元，下降13.7%，主要原因是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其中：基本支出</w:t>
      </w:r>
      <w:r>
        <w:rPr>
          <w:rFonts w:ascii="Times New Roman" w:hAnsi="Times New Roman" w:eastAsia="方正仿宋_GBK" w:cs="方正仿宋_GBK"/>
          <w:sz w:val="32"/>
          <w:szCs w:val="32"/>
        </w:rPr>
        <w:t>811.33</w:t>
      </w:r>
      <w:r>
        <w:rPr>
          <w:rFonts w:ascii="Times New Roman" w:hAnsi="Times New Roman" w:eastAsia="方正仿宋_GBK" w:cs="方正仿宋_GBK"/>
          <w:sz w:val="32"/>
          <w:szCs w:val="32"/>
          <w:shd w:val="clear" w:color="auto" w:fill="FFFFFF"/>
        </w:rPr>
        <w:t>万元，占81.92%；项目支出</w:t>
      </w:r>
      <w:r>
        <w:rPr>
          <w:rFonts w:ascii="Times New Roman" w:hAnsi="Times New Roman" w:eastAsia="方正仿宋_GBK" w:cs="方正仿宋_GBK"/>
          <w:sz w:val="32"/>
          <w:szCs w:val="32"/>
        </w:rPr>
        <w:t>179.10</w:t>
      </w:r>
      <w:r>
        <w:rPr>
          <w:rFonts w:ascii="Times New Roman" w:hAnsi="Times New Roman" w:eastAsia="方正仿宋_GBK" w:cs="方正仿宋_GBK"/>
          <w:sz w:val="32"/>
          <w:szCs w:val="32"/>
          <w:shd w:val="clear" w:color="auto" w:fill="FFFFFF"/>
        </w:rPr>
        <w:t>万元，占18.08%。</w:t>
      </w:r>
    </w:p>
    <w:p w14:paraId="3F02437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lang w:eastAsia="zh-CN"/>
        </w:rPr>
      </w:pPr>
      <w:r>
        <w:rPr>
          <w:rStyle w:val="11"/>
          <w:rFonts w:ascii="Times New Roman" w:hAnsi="Times New Roman" w:eastAsia="方正仿宋_GBK" w:cs="方正仿宋_GBK"/>
          <w:sz w:val="32"/>
          <w:szCs w:val="32"/>
          <w:shd w:val="clear" w:color="auto" w:fill="FFFFFF"/>
        </w:rPr>
        <w:t>4.结转结余情况。</w:t>
      </w:r>
      <w:r>
        <w:rPr>
          <w:rFonts w:hint="eastAsia" w:ascii="Times New Roman" w:hAnsi="Times New Roman" w:eastAsia="方正仿宋_GBK" w:cs="方正仿宋_GBK"/>
          <w:sz w:val="32"/>
          <w:szCs w:val="32"/>
          <w:shd w:val="clear" w:color="auto" w:fill="FFFFFF"/>
          <w:lang w:eastAsia="zh-CN"/>
        </w:rPr>
        <w:t>2024年度年末结转和结余0.00万元，与2023年度相比，无增减，主要原因是本年度收支平衡。</w:t>
      </w:r>
    </w:p>
    <w:p w14:paraId="6CEBC0B2">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eastAsia" w:ascii="Times New Roman" w:hAnsi="Times New Roman" w:eastAsia="方正楷体_GBK" w:cs="宋体"/>
          <w:b w:val="0"/>
          <w:bCs/>
          <w:sz w:val="32"/>
          <w:szCs w:val="32"/>
          <w:shd w:val="clear" w:color="auto" w:fill="FFFFFF"/>
          <w:lang w:eastAsia="zh-Hans"/>
        </w:rPr>
        <w:t>（二）财政拨款收入支出决算总体情况说明</w:t>
      </w:r>
    </w:p>
    <w:p w14:paraId="7D5217E1">
      <w:pPr>
        <w:keepNext w:val="0"/>
        <w:keepLines w:val="0"/>
        <w:pageBreakBefore w:val="0"/>
        <w:widowControl w:val="0"/>
        <w:kinsoku/>
        <w:wordWrap/>
        <w:overflowPunct/>
        <w:topLinePunct w:val="0"/>
        <w:autoSpaceDN/>
        <w:bidi w:val="0"/>
        <w:adjustRightInd/>
        <w:spacing w:beforeAutospacing="0" w:afterAutospacing="0" w:line="600" w:lineRule="exact"/>
        <w:ind w:firstLine="627" w:firstLineChars="196"/>
        <w:jc w:val="left"/>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度财政拨款收、支总计990.43万元。与202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w:t>
      </w:r>
      <w:r>
        <w:rPr>
          <w:rFonts w:hint="eastAsia" w:ascii="Times New Roman" w:hAnsi="Times New Roman" w:eastAsia="方正仿宋_GBK" w:cs="方正仿宋_GBK"/>
          <w:sz w:val="32"/>
          <w:szCs w:val="32"/>
          <w:shd w:val="clear" w:color="auto" w:fill="FFFFFF"/>
          <w:lang w:val="en-US" w:eastAsia="zh-CN"/>
        </w:rPr>
        <w:t>。</w:t>
      </w:r>
    </w:p>
    <w:p w14:paraId="28313885">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eastAsia" w:ascii="Times New Roman" w:hAnsi="Times New Roman" w:eastAsia="方正楷体_GBK" w:cs="宋体"/>
          <w:b w:val="0"/>
          <w:bCs/>
          <w:sz w:val="32"/>
          <w:szCs w:val="32"/>
          <w:shd w:val="clear" w:color="auto" w:fill="FFFFFF"/>
          <w:lang w:eastAsia="zh-Hans"/>
        </w:rPr>
        <w:t>（三）一般公共预算财政拨款收入支出决算情况说明</w:t>
      </w:r>
    </w:p>
    <w:p w14:paraId="661196CD">
      <w:pPr>
        <w:keepNext w:val="0"/>
        <w:keepLines w:val="0"/>
        <w:pageBreakBefore w:val="0"/>
        <w:widowControl w:val="0"/>
        <w:kinsoku/>
        <w:wordWrap/>
        <w:overflowPunct/>
        <w:topLinePunct w:val="0"/>
        <w:autoSpaceDN/>
        <w:bidi w:val="0"/>
        <w:adjustRightInd/>
        <w:spacing w:beforeAutospacing="0" w:afterAutospacing="0" w:line="600" w:lineRule="exact"/>
        <w:ind w:firstLine="630" w:firstLineChars="196"/>
        <w:jc w:val="left"/>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度一般公共预算财政拨款收入</w:t>
      </w:r>
      <w:r>
        <w:rPr>
          <w:rFonts w:ascii="Times New Roman" w:hAnsi="Times New Roman" w:eastAsia="方正仿宋_GBK" w:cs="方正仿宋_GBK"/>
          <w:sz w:val="32"/>
          <w:szCs w:val="32"/>
        </w:rPr>
        <w:t>990.43</w:t>
      </w:r>
      <w:r>
        <w:rPr>
          <w:rFonts w:ascii="Times New Roman" w:hAnsi="Times New Roman" w:eastAsia="方正仿宋_GBK" w:cs="方正仿宋_GBK"/>
          <w:sz w:val="32"/>
          <w:szCs w:val="32"/>
          <w:shd w:val="clear" w:color="auto" w:fill="FFFFFF"/>
        </w:rPr>
        <w:t>万元，与2023年度相比，减少157.50万元，下降13.7%。主要原因是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较年初预算数增加156.09万元，增长18.7%。主要原因是</w:t>
      </w:r>
      <w:r>
        <w:rPr>
          <w:rFonts w:hint="eastAsia" w:ascii="Times New Roman" w:hAnsi="Times New Roman" w:eastAsia="方正仿宋_GBK" w:cs="方正仿宋_GBK"/>
          <w:sz w:val="32"/>
          <w:szCs w:val="32"/>
          <w:shd w:val="clear" w:color="auto" w:fill="FFFFFF"/>
        </w:rPr>
        <w:t>新增了校舍维修改造、设备购置、缺编教师补助等项目经费。</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492BCE8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2.支出情况。</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度一般公共预算财政拨款支出</w:t>
      </w:r>
      <w:r>
        <w:rPr>
          <w:rFonts w:ascii="Times New Roman" w:hAnsi="Times New Roman" w:eastAsia="方正仿宋_GBK" w:cs="方正仿宋_GBK"/>
          <w:sz w:val="32"/>
          <w:szCs w:val="32"/>
        </w:rPr>
        <w:t>990.43</w:t>
      </w:r>
      <w:r>
        <w:rPr>
          <w:rFonts w:ascii="Times New Roman" w:hAnsi="Times New Roman" w:eastAsia="方正仿宋_GBK" w:cs="方正仿宋_GBK"/>
          <w:sz w:val="32"/>
          <w:szCs w:val="32"/>
          <w:shd w:val="clear" w:color="auto" w:fill="FFFFFF"/>
        </w:rPr>
        <w:t>万元，与2023年度相比，减少157.50万元，下降13.7%。主要原因是</w:t>
      </w:r>
      <w:r>
        <w:rPr>
          <w:rFonts w:hint="eastAsia" w:ascii="Times New Roman" w:hAnsi="Times New Roman" w:eastAsia="方正仿宋_GBK" w:cs="方正仿宋_GBK"/>
          <w:sz w:val="32"/>
          <w:szCs w:val="32"/>
          <w:shd w:val="clear" w:color="auto" w:fill="FFFFFF"/>
          <w:lang w:val="en-US" w:eastAsia="zh-CN"/>
        </w:rPr>
        <w:t>学生人数减少，办学规模缩小</w:t>
      </w:r>
      <w:r>
        <w:rPr>
          <w:rFonts w:ascii="Times New Roman" w:hAnsi="Times New Roman" w:eastAsia="方正仿宋_GBK" w:cs="方正仿宋_GBK"/>
          <w:i w:val="0"/>
          <w:iCs w:val="0"/>
          <w:caps w:val="0"/>
          <w:color w:val="333333"/>
          <w:spacing w:val="0"/>
          <w:sz w:val="31"/>
          <w:szCs w:val="31"/>
          <w:shd w:val="clear" w:fill="FFFFFF"/>
        </w:rPr>
        <w:t>等</w:t>
      </w:r>
      <w:r>
        <w:rPr>
          <w:rFonts w:hint="eastAsia" w:ascii="Times New Roman" w:hAnsi="Times New Roman" w:eastAsia="方正仿宋_GBK" w:cs="方正仿宋_GBK"/>
          <w:sz w:val="32"/>
          <w:szCs w:val="32"/>
          <w:shd w:val="clear" w:color="auto" w:fill="FFFFFF"/>
          <w:lang w:val="en-US" w:eastAsia="zh-CN"/>
        </w:rPr>
        <w:t>。</w:t>
      </w:r>
      <w:r>
        <w:rPr>
          <w:rFonts w:ascii="Times New Roman" w:hAnsi="Times New Roman" w:eastAsia="方正仿宋_GBK" w:cs="方正仿宋_GBK"/>
          <w:sz w:val="32"/>
          <w:szCs w:val="32"/>
          <w:shd w:val="clear" w:color="auto" w:fill="FFFFFF"/>
        </w:rPr>
        <w:t>较年初预算数增加156.09万元，增长18.7%。主要原因是</w:t>
      </w:r>
      <w:r>
        <w:rPr>
          <w:rFonts w:hint="eastAsia" w:ascii="Times New Roman" w:hAnsi="Times New Roman" w:eastAsia="方正仿宋_GBK" w:cs="方正仿宋_GBK"/>
          <w:sz w:val="32"/>
          <w:szCs w:val="32"/>
          <w:shd w:val="clear" w:color="auto" w:fill="FFFFFF"/>
        </w:rPr>
        <w:t>新增了校舍维修改造、设备购置、缺编教师补助等项目经费。</w:t>
      </w:r>
    </w:p>
    <w:p w14:paraId="009E66C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11"/>
          <w:rFonts w:ascii="Times New Roman" w:hAnsi="Times New Roman" w:eastAsia="方正仿宋_GBK" w:cs="方正仿宋_GBK"/>
          <w:sz w:val="32"/>
          <w:szCs w:val="32"/>
          <w:shd w:val="clear" w:color="auto" w:fill="FFFFFF"/>
        </w:rPr>
        <w:t>3.结转结余情况。</w:t>
      </w:r>
      <w:r>
        <w:rPr>
          <w:rFonts w:hint="eastAsia" w:ascii="Times New Roman" w:hAnsi="Times New Roman" w:eastAsia="方正仿宋_GBK" w:cs="方正仿宋_GBK"/>
          <w:sz w:val="32"/>
          <w:szCs w:val="32"/>
          <w:shd w:val="clear" w:color="auto" w:fill="FFFFFF"/>
          <w:lang w:eastAsia="zh-CN"/>
        </w:rPr>
        <w:t>2024年度年末一般公共预算财政拨款结转和结余0.00万元，与2023年度相比，无增减，主要原因是本年度收支平衡。</w:t>
      </w:r>
    </w:p>
    <w:p w14:paraId="41C9B96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单位2024年</w:t>
      </w:r>
      <w:r>
        <w:rPr>
          <w:rFonts w:ascii="Times New Roman" w:hAnsi="Times New Roman" w:eastAsia="方正仿宋_GBK" w:cs="方正仿宋_GBK"/>
          <w:sz w:val="32"/>
          <w:szCs w:val="32"/>
          <w:shd w:val="clear" w:color="auto" w:fill="FFFFFF"/>
        </w:rPr>
        <w:t>度一般公共预算财政拨款支出主要用于以下几个方面：</w:t>
      </w:r>
    </w:p>
    <w:p w14:paraId="64520773">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797.53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80.52</w:t>
      </w:r>
      <w:r>
        <w:rPr>
          <w:rFonts w:ascii="Times New Roman" w:hAnsi="Times New Roman" w:eastAsia="方正仿宋_GBK" w:cs="方正仿宋_GBK"/>
          <w:sz w:val="32"/>
          <w:szCs w:val="32"/>
          <w:shd w:val="clear" w:color="auto" w:fill="FFFFFF"/>
        </w:rPr>
        <w:t>%，较年初预算数增加187.59万元，增长30.8%，主要原因是</w:t>
      </w:r>
      <w:r>
        <w:rPr>
          <w:rFonts w:hint="eastAsia" w:ascii="Times New Roman" w:hAnsi="Times New Roman" w:eastAsia="方正仿宋_GBK" w:cs="方正仿宋_GBK"/>
          <w:sz w:val="32"/>
          <w:szCs w:val="32"/>
          <w:shd w:val="clear" w:color="auto" w:fill="FFFFFF"/>
        </w:rPr>
        <w:t>新增了校舍维修改造、设备购置、缺编教师补助等项目经费。</w:t>
      </w:r>
    </w:p>
    <w:p w14:paraId="6E9D756D">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i w:val="0"/>
          <w:iCs w:val="0"/>
          <w:caps w:val="0"/>
          <w:color w:val="333333"/>
          <w:spacing w:val="0"/>
          <w:sz w:val="31"/>
          <w:szCs w:val="31"/>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ascii="Times New Roman" w:hAnsi="Times New Roman" w:eastAsia="方正仿宋_GBK" w:cs="方正仿宋_GBK"/>
          <w:sz w:val="32"/>
          <w:szCs w:val="32"/>
        </w:rPr>
        <w:t>102.69</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10.37</w:t>
      </w:r>
      <w:r>
        <w:rPr>
          <w:rFonts w:ascii="Times New Roman" w:hAnsi="Times New Roman" w:eastAsia="方正仿宋_GBK" w:cs="方正仿宋_GBK"/>
          <w:sz w:val="32"/>
          <w:szCs w:val="32"/>
          <w:shd w:val="clear" w:color="auto" w:fill="FFFFFF"/>
        </w:rPr>
        <w:t>%，较年初预算数减少31.17万元，下降23.3%，主要原因是</w:t>
      </w:r>
      <w:r>
        <w:rPr>
          <w:rFonts w:hint="eastAsia" w:ascii="Times New Roman" w:hAnsi="Times New Roman" w:eastAsia="方正仿宋_GBK" w:cs="方正仿宋_GBK"/>
          <w:i w:val="0"/>
          <w:iCs w:val="0"/>
          <w:caps w:val="0"/>
          <w:color w:val="333333"/>
          <w:spacing w:val="0"/>
          <w:sz w:val="31"/>
          <w:szCs w:val="31"/>
          <w:shd w:val="clear" w:fill="FFFFFF"/>
          <w:lang w:eastAsia="zh-CN"/>
        </w:rPr>
        <w:t>政策性调整</w:t>
      </w:r>
      <w:r>
        <w:rPr>
          <w:rFonts w:hint="eastAsia" w:ascii="Times New Roman" w:hAnsi="Times New Roman" w:eastAsia="方正仿宋_GBK" w:cs="方正仿宋_GBK"/>
          <w:i w:val="0"/>
          <w:iCs w:val="0"/>
          <w:caps w:val="0"/>
          <w:color w:val="333333"/>
          <w:spacing w:val="0"/>
          <w:sz w:val="31"/>
          <w:szCs w:val="31"/>
          <w:lang w:eastAsia="zh-CN"/>
        </w:rPr>
        <w:t>。</w:t>
      </w:r>
    </w:p>
    <w:p w14:paraId="4419835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i w:val="0"/>
          <w:iCs w:val="0"/>
          <w:caps w:val="0"/>
          <w:color w:val="333333"/>
          <w:spacing w:val="0"/>
          <w:sz w:val="31"/>
          <w:szCs w:val="31"/>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ascii="Times New Roman" w:hAnsi="Times New Roman" w:eastAsia="方正仿宋_GBK" w:cs="方正仿宋_GBK"/>
          <w:sz w:val="32"/>
          <w:szCs w:val="32"/>
        </w:rPr>
        <w:t>36.98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3.73</w:t>
      </w:r>
      <w:r>
        <w:rPr>
          <w:rFonts w:ascii="Times New Roman" w:hAnsi="Times New Roman" w:eastAsia="方正仿宋_GBK" w:cs="方正仿宋_GBK"/>
          <w:sz w:val="32"/>
          <w:szCs w:val="32"/>
          <w:shd w:val="clear" w:color="auto" w:fill="FFFFFF"/>
        </w:rPr>
        <w:t>%，较年初预算数减少0.20万元，下降0.5%，主要原因是</w:t>
      </w:r>
      <w:r>
        <w:rPr>
          <w:rFonts w:hint="eastAsia" w:ascii="Times New Roman" w:hAnsi="Times New Roman" w:eastAsia="方正仿宋_GBK" w:cs="方正仿宋_GBK"/>
          <w:i w:val="0"/>
          <w:iCs w:val="0"/>
          <w:caps w:val="0"/>
          <w:color w:val="333333"/>
          <w:spacing w:val="0"/>
          <w:sz w:val="31"/>
          <w:szCs w:val="31"/>
          <w:lang w:val="en-US" w:eastAsia="zh-CN"/>
        </w:rPr>
        <w:t>政策性调整。</w:t>
      </w:r>
    </w:p>
    <w:p w14:paraId="278F72BA">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住房保障支出53.22</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5.37</w:t>
      </w:r>
      <w:r>
        <w:rPr>
          <w:rFonts w:ascii="Times New Roman" w:hAnsi="Times New Roman" w:eastAsia="方正仿宋_GBK" w:cs="方正仿宋_GBK"/>
          <w:sz w:val="32"/>
          <w:szCs w:val="32"/>
          <w:shd w:val="clear" w:color="auto" w:fill="FFFFFF"/>
        </w:rPr>
        <w:t>%，较年初预算数减少0.13万元，下降0.2%，主要原因是</w:t>
      </w:r>
      <w:r>
        <w:rPr>
          <w:rFonts w:ascii="Times New Roman" w:hAnsi="Times New Roman" w:eastAsia="方正仿宋_GBK" w:cs="方正仿宋_GBK"/>
          <w:i w:val="0"/>
          <w:iCs w:val="0"/>
          <w:caps w:val="0"/>
          <w:color w:val="333333"/>
          <w:spacing w:val="0"/>
          <w:sz w:val="31"/>
          <w:szCs w:val="31"/>
          <w:shd w:val="clear" w:fill="FFFFFF"/>
        </w:rPr>
        <w:t>人员变动，住房公积减少。</w:t>
      </w:r>
    </w:p>
    <w:p w14:paraId="68371A9F">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eastAsia" w:ascii="Times New Roman" w:hAnsi="Times New Roman" w:eastAsia="方正楷体_GBK" w:cs="宋体"/>
          <w:b w:val="0"/>
          <w:bCs/>
          <w:sz w:val="32"/>
          <w:szCs w:val="32"/>
          <w:shd w:val="clear" w:color="auto" w:fill="FFFFFF"/>
          <w:lang w:eastAsia="zh-Hans"/>
        </w:rPr>
        <w:t>（四）一般公共预算财政拨款基本支出决算情况说明</w:t>
      </w:r>
    </w:p>
    <w:p w14:paraId="3D1F1BCF">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度一般公共财政拨款基本支出</w:t>
      </w:r>
      <w:r>
        <w:rPr>
          <w:rFonts w:ascii="Times New Roman" w:hAnsi="Times New Roman" w:eastAsia="方正仿宋_GBK" w:cs="方正仿宋_GBK"/>
          <w:sz w:val="32"/>
          <w:szCs w:val="32"/>
        </w:rPr>
        <w:t>811.33</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714.58</w:t>
      </w:r>
      <w:r>
        <w:rPr>
          <w:rFonts w:ascii="Times New Roman" w:hAnsi="Times New Roman" w:eastAsia="方正仿宋_GBK" w:cs="方正仿宋_GBK"/>
          <w:sz w:val="32"/>
          <w:szCs w:val="32"/>
          <w:shd w:val="clear" w:color="auto" w:fill="FFFFFF"/>
        </w:rPr>
        <w:t>万元，与2023年度相比，减少46.10万元，下降6.1%，主要原因是</w:t>
      </w:r>
      <w:r>
        <w:rPr>
          <w:rFonts w:hint="eastAsia" w:ascii="Times New Roman" w:hAnsi="Times New Roman" w:eastAsia="方正仿宋_GBK" w:cs="方正仿宋_GBK"/>
          <w:sz w:val="32"/>
          <w:szCs w:val="32"/>
          <w:shd w:val="clear" w:color="auto" w:fill="FFFFFF"/>
          <w:lang w:val="en-US" w:eastAsia="zh-CN"/>
        </w:rPr>
        <w:t>人员减少、政策性调整社保、职业年金补缴的减少。</w:t>
      </w:r>
      <w:r>
        <w:rPr>
          <w:rFonts w:ascii="Times New Roman" w:hAnsi="Times New Roman" w:eastAsia="方正仿宋_GBK" w:cs="方正仿宋_GBK"/>
          <w:sz w:val="32"/>
          <w:szCs w:val="32"/>
          <w:shd w:val="clear" w:color="auto" w:fill="FFFFFF"/>
        </w:rPr>
        <w:t>人员经费用途主要包括基本工资、津补贴、绩效工资、超高</w:t>
      </w:r>
      <w:r>
        <w:rPr>
          <w:rFonts w:ascii="Times New Roman" w:hAnsi="Times New Roman" w:eastAsia="方正仿宋_GBK"/>
          <w:sz w:val="32"/>
          <w:szCs w:val="32"/>
        </w:rPr>
        <w:t>绩效、</w:t>
      </w:r>
      <w:r>
        <w:rPr>
          <w:rFonts w:hint="eastAsia" w:ascii="Times New Roman" w:hAnsi="Times New Roman" w:eastAsia="方正仿宋_GBK"/>
          <w:sz w:val="32"/>
          <w:szCs w:val="32"/>
          <w:lang w:val="en-US" w:eastAsia="zh-CN"/>
        </w:rPr>
        <w:t>养老保险、医疗保险</w:t>
      </w:r>
      <w:r>
        <w:rPr>
          <w:rFonts w:ascii="Times New Roman" w:hAnsi="Times New Roman" w:eastAsia="方正仿宋_GBK"/>
          <w:sz w:val="32"/>
          <w:szCs w:val="32"/>
        </w:rPr>
        <w:t>、抚恤金</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住房保障支出、助学金等</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shd w:val="clear" w:color="auto" w:fill="FFFFFF"/>
        </w:rPr>
        <w:t>公用经费</w:t>
      </w:r>
      <w:r>
        <w:rPr>
          <w:rFonts w:ascii="Times New Roman" w:hAnsi="Times New Roman" w:eastAsia="方正仿宋_GBK" w:cs="方正仿宋_GBK"/>
          <w:sz w:val="32"/>
          <w:szCs w:val="32"/>
        </w:rPr>
        <w:t>96.74</w:t>
      </w:r>
      <w:r>
        <w:rPr>
          <w:rFonts w:ascii="Times New Roman" w:hAnsi="Times New Roman" w:eastAsia="方正仿宋_GBK" w:cs="方正仿宋_GBK"/>
          <w:sz w:val="32"/>
          <w:szCs w:val="32"/>
          <w:shd w:val="clear" w:color="auto" w:fill="FFFFFF"/>
        </w:rPr>
        <w:t>万元，与2023年度相比，减少16.84万元，下降14.8%，主要原因是</w:t>
      </w:r>
      <w:r>
        <w:rPr>
          <w:rFonts w:ascii="Times New Roman" w:hAnsi="Times New Roman" w:eastAsia="方正仿宋_GBK"/>
          <w:sz w:val="32"/>
          <w:szCs w:val="32"/>
        </w:rPr>
        <w:t>学生及教师人数减少，日常运转经费减少。</w:t>
      </w:r>
      <w:r>
        <w:rPr>
          <w:rFonts w:ascii="Times New Roman" w:hAnsi="Times New Roman" w:eastAsia="方正仿宋_GBK" w:cs="方正仿宋_GBK"/>
          <w:sz w:val="32"/>
          <w:szCs w:val="32"/>
          <w:shd w:val="clear" w:color="auto" w:fill="FFFFFF"/>
        </w:rPr>
        <w:t>公用经费用途主要包括</w:t>
      </w:r>
      <w:r>
        <w:rPr>
          <w:rFonts w:ascii="Times New Roman" w:hAnsi="Times New Roman" w:eastAsia="方正仿宋_GBK"/>
          <w:sz w:val="32"/>
          <w:szCs w:val="32"/>
        </w:rPr>
        <w:t>办公费、印刷费、咨询费、水费、电费、邮电费、差旅费、维修费、培训费、专用材料费、劳务费、工会经费、福利费等。</w:t>
      </w:r>
    </w:p>
    <w:p w14:paraId="1F18C8B0">
      <w:pPr>
        <w:pStyle w:val="8"/>
        <w:snapToGrid w:val="0"/>
        <w:spacing w:before="0" w:beforeAutospacing="0" w:after="0" w:afterAutospacing="0" w:line="600" w:lineRule="exact"/>
        <w:ind w:firstLine="640" w:firstLineChars="200"/>
        <w:jc w:val="both"/>
        <w:rPr>
          <w:rStyle w:val="11"/>
          <w:rFonts w:hint="default" w:ascii="Times New Roman" w:hAnsi="Times New Roman" w:eastAsia="方正楷体_GBK" w:cs="宋体"/>
          <w:b w:val="0"/>
          <w:bCs/>
          <w:sz w:val="32"/>
          <w:szCs w:val="32"/>
          <w:shd w:val="clear" w:color="auto" w:fill="FFFFFF"/>
          <w:lang w:eastAsia="zh-Hans"/>
        </w:rPr>
      </w:pPr>
      <w:r>
        <w:rPr>
          <w:rStyle w:val="11"/>
          <w:rFonts w:hint="eastAsia" w:ascii="Times New Roman" w:hAnsi="Times New Roman" w:eastAsia="方正楷体_GBK" w:cs="宋体"/>
          <w:b w:val="0"/>
          <w:bCs/>
          <w:sz w:val="32"/>
          <w:szCs w:val="32"/>
          <w:shd w:val="clear" w:color="auto" w:fill="FFFFFF"/>
          <w:lang w:eastAsia="zh-Hans"/>
        </w:rPr>
        <w:t>（五）政府性基金预算收支决算情况说明</w:t>
      </w:r>
    </w:p>
    <w:p w14:paraId="00632469">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eastAsia="zh-CN"/>
        </w:rPr>
        <w:t>单位2024年</w:t>
      </w:r>
      <w:r>
        <w:rPr>
          <w:rFonts w:ascii="Times New Roman" w:hAnsi="Times New Roman" w:eastAsia="方正仿宋_GBK"/>
          <w:sz w:val="32"/>
          <w:szCs w:val="32"/>
        </w:rPr>
        <w:t>度无政府性基金预算财政拨款收支。</w:t>
      </w:r>
    </w:p>
    <w:p w14:paraId="58FFDD85">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（六）国有资本经营预算财政拨款支出决算情况说明</w:t>
      </w:r>
    </w:p>
    <w:p w14:paraId="1D597FB7">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eastAsia="zh-CN"/>
        </w:rPr>
        <w:t>单位2024年</w:t>
      </w:r>
      <w:r>
        <w:rPr>
          <w:rFonts w:ascii="Times New Roman" w:hAnsi="Times New Roman" w:eastAsia="方正仿宋_GBK"/>
          <w:sz w:val="32"/>
          <w:szCs w:val="32"/>
        </w:rPr>
        <w:t>度无国有资本经营预算财政拨款支出。</w:t>
      </w:r>
    </w:p>
    <w:p w14:paraId="1D163F34">
      <w:pPr>
        <w:spacing w:line="600" w:lineRule="exact"/>
        <w:ind w:firstLine="640" w:firstLineChars="200"/>
        <w:jc w:val="both"/>
        <w:rPr>
          <w:rStyle w:val="14"/>
          <w:rFonts w:hint="default" w:ascii="Times New Roman" w:hAnsi="Times New Roman" w:eastAsia="方正黑体_GBK" w:cs="黑体"/>
          <w:b w:val="0"/>
          <w:bCs w:val="0"/>
          <w:sz w:val="32"/>
          <w:szCs w:val="32"/>
          <w:shd w:val="clear" w:color="auto" w:fill="FFFFFF"/>
        </w:rPr>
      </w:pPr>
      <w:r>
        <w:rPr>
          <w:rStyle w:val="14"/>
          <w:rFonts w:hint="eastAsia" w:ascii="Times New Roman" w:hAnsi="Times New Roman" w:eastAsia="方正黑体_GBK" w:cs="黑体"/>
          <w:b w:val="0"/>
          <w:bCs w:val="0"/>
          <w:sz w:val="32"/>
          <w:szCs w:val="32"/>
          <w:shd w:val="clear" w:color="auto" w:fill="FFFFFF"/>
        </w:rPr>
        <w:t>三、</w:t>
      </w:r>
      <w:r>
        <w:rPr>
          <w:rStyle w:val="14"/>
          <w:rFonts w:hint="eastAsia" w:ascii="Times New Roman" w:hAnsi="Times New Roman" w:eastAsia="方正黑体_GBK" w:cs="黑体"/>
          <w:b w:val="0"/>
          <w:bCs w:val="0"/>
          <w:sz w:val="32"/>
          <w:szCs w:val="32"/>
          <w:shd w:val="clear" w:color="auto" w:fill="FFFFFF"/>
          <w:lang w:eastAsia="zh-CN"/>
        </w:rPr>
        <w:t>财政拨款</w:t>
      </w:r>
      <w:r>
        <w:rPr>
          <w:rStyle w:val="14"/>
          <w:rFonts w:hint="eastAsia" w:ascii="Times New Roman" w:hAnsi="Times New Roman" w:eastAsia="方正黑体_GBK" w:cs="黑体"/>
          <w:b w:val="0"/>
          <w:bCs w:val="0"/>
          <w:sz w:val="32"/>
          <w:szCs w:val="32"/>
          <w:shd w:val="clear" w:color="auto" w:fill="FFFFFF"/>
        </w:rPr>
        <w:t>“三公”经费情况说明</w:t>
      </w:r>
    </w:p>
    <w:p w14:paraId="10D7830F">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（一）“三公”经费支出总体情况说明</w:t>
      </w:r>
    </w:p>
    <w:p w14:paraId="63914361">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年度未发生“三公”经费支出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1215F255">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（二）“三公”经费分项支出情况</w:t>
      </w:r>
    </w:p>
    <w:p w14:paraId="35B37785">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年度未发生因公出国（境）费用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09C9C6A8">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年度未发生公务车购置费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65283F15">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年度未发生公务车运行维护费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5529A42B">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年度未发生公务接待费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36E6F8B3">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（三）“三公”经费实物量情况</w:t>
      </w:r>
    </w:p>
    <w:p w14:paraId="1F503054">
      <w:pPr>
        <w:pStyle w:val="8"/>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03BA0FDD">
      <w:pPr>
        <w:spacing w:line="600" w:lineRule="exact"/>
        <w:ind w:firstLine="640" w:firstLineChars="200"/>
        <w:jc w:val="both"/>
        <w:rPr>
          <w:rStyle w:val="14"/>
          <w:rFonts w:hint="default" w:ascii="Times New Roman" w:hAnsi="Times New Roman" w:eastAsia="方正黑体_GBK" w:cs="黑体"/>
          <w:b w:val="0"/>
          <w:bCs w:val="0"/>
          <w:sz w:val="32"/>
          <w:szCs w:val="32"/>
          <w:shd w:val="clear" w:color="auto" w:fill="FFFFFF"/>
        </w:rPr>
      </w:pPr>
      <w:r>
        <w:rPr>
          <w:rStyle w:val="14"/>
          <w:rFonts w:hint="eastAsia" w:ascii="Times New Roman" w:hAnsi="Times New Roman" w:eastAsia="方正黑体_GBK" w:cs="黑体"/>
          <w:b w:val="0"/>
          <w:bCs w:val="0"/>
          <w:sz w:val="32"/>
          <w:szCs w:val="32"/>
          <w:shd w:val="clear" w:color="auto" w:fill="FFFFFF"/>
        </w:rPr>
        <w:t>四、其他需要说明的事项</w:t>
      </w:r>
    </w:p>
    <w:p w14:paraId="28ED8B7A">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（一）财政拨款会议费和培训费情况说明</w:t>
      </w:r>
    </w:p>
    <w:p w14:paraId="7498518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w:t>
      </w:r>
      <w:r>
        <w:rPr>
          <w:rFonts w:hint="eastAsia" w:ascii="Times New Roman" w:hAnsi="Times New Roman" w:eastAsia="方正仿宋_GBK"/>
          <w:sz w:val="32"/>
          <w:szCs w:val="32"/>
          <w:lang w:val="en-US" w:eastAsia="zh-CN"/>
        </w:rPr>
        <w:t>会议</w:t>
      </w:r>
      <w:r>
        <w:rPr>
          <w:rFonts w:ascii="Times New Roman" w:hAnsi="Times New Roman" w:eastAsia="方正仿宋_GBK"/>
          <w:sz w:val="32"/>
          <w:szCs w:val="32"/>
        </w:rPr>
        <w:t>费。</w:t>
      </w:r>
      <w:r>
        <w:rPr>
          <w:rFonts w:ascii="Times New Roman" w:hAnsi="Times New Roman" w:eastAsia="方正仿宋_GBK" w:cs="方正仿宋_GBK"/>
          <w:sz w:val="32"/>
          <w:szCs w:val="32"/>
          <w:shd w:val="clear" w:color="auto" w:fill="FFFFFF"/>
        </w:rPr>
        <w:t>本年度培训费支出</w:t>
      </w:r>
      <w:r>
        <w:rPr>
          <w:rFonts w:ascii="Times New Roman" w:hAnsi="Times New Roman" w:eastAsia="方正仿宋_GBK" w:cs="方正仿宋_GBK"/>
          <w:sz w:val="32"/>
          <w:szCs w:val="32"/>
        </w:rPr>
        <w:t>3.44</w:t>
      </w:r>
      <w:r>
        <w:rPr>
          <w:rFonts w:ascii="Times New Roman" w:hAnsi="Times New Roman" w:eastAsia="方正仿宋_GBK" w:cs="方正仿宋_GBK"/>
          <w:sz w:val="32"/>
          <w:szCs w:val="32"/>
          <w:shd w:val="clear" w:color="auto" w:fill="FFFFFF"/>
        </w:rPr>
        <w:t>万元，与2023年度相比，减少2.13万元，下降38.2%，主要原因是</w:t>
      </w:r>
      <w:r>
        <w:rPr>
          <w:rFonts w:ascii="Times New Roman" w:hAnsi="Times New Roman" w:eastAsia="方正仿宋_GBK"/>
          <w:sz w:val="32"/>
          <w:szCs w:val="32"/>
          <w:lang w:eastAsia="zh-Hans"/>
        </w:rPr>
        <w:t>组织教师外出培训活动人次的减少</w:t>
      </w:r>
      <w:r>
        <w:rPr>
          <w:rFonts w:hint="eastAsia" w:ascii="Times New Roman" w:hAnsi="Times New Roman" w:eastAsia="方正仿宋_GBK"/>
          <w:sz w:val="32"/>
          <w:szCs w:val="32"/>
          <w:lang w:val="en-US" w:eastAsia="zh-CN"/>
        </w:rPr>
        <w:t>。</w:t>
      </w:r>
    </w:p>
    <w:p w14:paraId="0BDDB42E">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（二）机关运行经费情况说明</w:t>
      </w:r>
    </w:p>
    <w:p w14:paraId="7C37C6A1">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eastAsia"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val="en-US" w:eastAsia="zh-CN"/>
        </w:rPr>
        <w:t>按照单位决算列报口径，我单位不在机关运行经费统计范围之内。</w:t>
      </w:r>
    </w:p>
    <w:p w14:paraId="4056C665">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（三）国有资产占用情况说明</w:t>
      </w:r>
    </w:p>
    <w:p w14:paraId="49EB0D85">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left"/>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eastAsia" w:ascii="Times New Roman" w:hAnsi="Times New Roman" w:eastAsia="方正仿宋_GBK" w:cs="方正仿宋_GBK"/>
          <w:sz w:val="32"/>
          <w:szCs w:val="32"/>
          <w:shd w:val="clear" w:color="auto" w:fill="FFFFFF"/>
          <w:lang w:eastAsia="zh-CN"/>
        </w:rPr>
        <w:t>2024年</w:t>
      </w:r>
      <w:r>
        <w:rPr>
          <w:rFonts w:ascii="Times New Roman" w:hAnsi="Times New Roman" w:eastAsia="方正仿宋_GBK" w:cs="方正仿宋_GBK"/>
          <w:sz w:val="32"/>
          <w:szCs w:val="32"/>
          <w:shd w:val="clear" w:color="auto" w:fill="FFFFFF"/>
        </w:rPr>
        <w:t>12月31日，本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38643692">
      <w:pPr>
        <w:pStyle w:val="12"/>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（四）政府采购支出情况说明</w:t>
      </w:r>
    </w:p>
    <w:p w14:paraId="1B979D05">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lang w:val="en-US" w:eastAsia="zh-CN" w:bidi="ar-SA"/>
        </w:rPr>
      </w:pPr>
      <w:r>
        <w:rPr>
          <w:rFonts w:hint="eastAsia" w:ascii="Times New Roman" w:hAnsi="Times New Roman" w:eastAsia="方正仿宋_GBK" w:cs="方正仿宋_GBK"/>
          <w:sz w:val="32"/>
          <w:szCs w:val="32"/>
          <w:lang w:val="en-US" w:eastAsia="zh-CN" w:bidi="ar-SA"/>
        </w:rPr>
        <w:t>2024年度我单位未发生政府采购事项，无相关经费支出。</w:t>
      </w:r>
    </w:p>
    <w:p w14:paraId="1B009131">
      <w:pPr>
        <w:spacing w:line="600" w:lineRule="exact"/>
        <w:ind w:firstLine="640" w:firstLineChars="200"/>
        <w:jc w:val="both"/>
        <w:rPr>
          <w:rStyle w:val="14"/>
          <w:rFonts w:hint="eastAsia" w:ascii="Times New Roman" w:hAnsi="Times New Roman" w:eastAsia="方正黑体_GBK" w:cs="黑体"/>
          <w:b w:val="0"/>
          <w:bCs w:val="0"/>
          <w:sz w:val="32"/>
          <w:szCs w:val="32"/>
          <w:shd w:val="clear" w:color="auto" w:fill="FFFFFF"/>
          <w:lang w:val="en-US" w:eastAsia="zh-CN"/>
        </w:rPr>
      </w:pPr>
      <w:r>
        <w:rPr>
          <w:rStyle w:val="14"/>
          <w:rFonts w:hint="eastAsia" w:ascii="Times New Roman" w:hAnsi="Times New Roman" w:eastAsia="方正黑体_GBK" w:cs="黑体"/>
          <w:b w:val="0"/>
          <w:bCs w:val="0"/>
          <w:sz w:val="32"/>
          <w:szCs w:val="32"/>
          <w:shd w:val="clear" w:color="auto" w:fill="FFFFFF"/>
          <w:lang w:val="en-US" w:eastAsia="zh-CN"/>
        </w:rPr>
        <w:t>五、2024年度预算绩效管理情况说明</w:t>
      </w:r>
    </w:p>
    <w:p w14:paraId="4D74BF77">
      <w:pPr>
        <w:pStyle w:val="1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Style w:val="11"/>
          <w:rFonts w:hint="eastAsia" w:ascii="Times New Roman" w:hAnsi="Times New Roman" w:eastAsia="方正楷体_GBK" w:cs="宋体"/>
          <w:b w:val="0"/>
          <w:bCs/>
          <w:sz w:val="32"/>
          <w:szCs w:val="32"/>
          <w:shd w:val="clear" w:color="auto" w:fill="FFFFFF"/>
          <w:lang w:val="en-US" w:eastAsia="zh-Hans" w:bidi="ar-SA"/>
        </w:rPr>
      </w:pPr>
      <w:r>
        <w:rPr>
          <w:rStyle w:val="11"/>
          <w:rFonts w:hint="eastAsia" w:ascii="Times New Roman" w:hAnsi="Times New Roman" w:eastAsia="方正楷体_GBK" w:cs="宋体"/>
          <w:b w:val="0"/>
          <w:bCs/>
          <w:sz w:val="32"/>
          <w:szCs w:val="32"/>
          <w:shd w:val="clear" w:color="auto" w:fill="FFFFFF"/>
          <w:lang w:val="en-US" w:eastAsia="zh-Hans" w:bidi="ar-SA"/>
        </w:rPr>
        <w:t>预算绩效管理工作开展情况</w:t>
      </w:r>
    </w:p>
    <w:p w14:paraId="47959219">
      <w:pPr>
        <w:pStyle w:val="1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Style w:val="11"/>
          <w:rFonts w:hint="eastAsia" w:ascii="Times New Roman" w:hAnsi="Times New Roman" w:eastAsia="方正仿宋_GBK" w:cs="宋体"/>
          <w:b w:val="0"/>
          <w:bCs/>
          <w:sz w:val="32"/>
          <w:szCs w:val="32"/>
          <w:shd w:val="clear" w:color="auto" w:fill="FFFFFF"/>
          <w:lang w:val="en-US" w:eastAsia="zh-CN" w:bidi="ar-SA"/>
        </w:rPr>
      </w:pPr>
      <w:r>
        <w:rPr>
          <w:rFonts w:hint="default" w:ascii="Times New Roman" w:hAnsi="Times New Roman" w:eastAsia="方正仿宋_GBK"/>
          <w:bCs/>
          <w:sz w:val="32"/>
          <w:szCs w:val="32"/>
          <w:shd w:val="clear" w:color="auto" w:fill="FFFFFF"/>
        </w:rPr>
        <w:t>根据预算绩效管理要求，我单位成立工作小组对10个二级项目开展了绩效自评，涉及财政拨款项目支出179.</w:t>
      </w:r>
      <w:r>
        <w:rPr>
          <w:rFonts w:hint="eastAsia" w:ascii="Times New Roman" w:hAnsi="Times New Roman" w:eastAsia="方正仿宋_GBK"/>
          <w:bCs/>
          <w:sz w:val="32"/>
          <w:szCs w:val="32"/>
          <w:shd w:val="clear" w:color="auto" w:fill="FFFFFF"/>
          <w:lang w:val="en-US" w:eastAsia="zh-CN"/>
        </w:rPr>
        <w:t>10</w:t>
      </w:r>
      <w:r>
        <w:rPr>
          <w:rFonts w:hint="default" w:ascii="Times New Roman" w:hAnsi="Times New Roman" w:eastAsia="方正仿宋_GBK"/>
          <w:bCs/>
          <w:sz w:val="32"/>
          <w:szCs w:val="32"/>
          <w:shd w:val="clear" w:color="auto" w:fill="FFFFFF"/>
        </w:rPr>
        <w:t>万元。</w:t>
      </w:r>
    </w:p>
    <w:p w14:paraId="38508641">
      <w:pPr>
        <w:tabs>
          <w:tab w:val="center" w:pos="4153"/>
          <w:tab w:val="left" w:pos="7275"/>
        </w:tabs>
        <w:spacing w:line="596" w:lineRule="exact"/>
        <w:jc w:val="center"/>
        <w:rPr>
          <w:rFonts w:cs="宋体"/>
          <w:kern w:val="0"/>
          <w:szCs w:val="32"/>
        </w:rPr>
      </w:pPr>
      <w:r>
        <w:rPr>
          <w:rFonts w:hint="eastAsia" w:eastAsia="方正小标宋_GBK" w:cs="方正小标宋_GBK"/>
          <w:color w:val="000000"/>
          <w:kern w:val="0"/>
          <w:sz w:val="36"/>
          <w:szCs w:val="36"/>
          <w:lang w:val="en-US" w:eastAsia="zh-CN" w:bidi="ar"/>
        </w:rPr>
        <w:t>陶家镇中学</w:t>
      </w:r>
      <w:r>
        <w:rPr>
          <w:rFonts w:hint="eastAsia" w:eastAsia="方正小标宋_GBK" w:cs="方正小标宋_GBK"/>
          <w:color w:val="000000"/>
          <w:kern w:val="0"/>
          <w:sz w:val="36"/>
          <w:szCs w:val="36"/>
          <w:lang w:bidi="ar"/>
        </w:rPr>
        <w:t>2024年度项目支出绩效自评表</w:t>
      </w:r>
    </w:p>
    <w:tbl>
      <w:tblPr>
        <w:tblStyle w:val="9"/>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1024"/>
        <w:gridCol w:w="1546"/>
        <w:gridCol w:w="2014"/>
        <w:gridCol w:w="628"/>
        <w:gridCol w:w="1105"/>
        <w:gridCol w:w="628"/>
        <w:gridCol w:w="628"/>
        <w:gridCol w:w="788"/>
        <w:gridCol w:w="628"/>
        <w:gridCol w:w="688"/>
        <w:gridCol w:w="608"/>
      </w:tblGrid>
      <w:tr w14:paraId="0E0A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tblHeader/>
          <w:jc w:val="center"/>
        </w:trPr>
        <w:tc>
          <w:tcPr>
            <w:tcW w:w="1024" w:type="dxa"/>
            <w:tcBorders>
              <w:top w:val="single" w:color="auto" w:sz="4" w:space="0"/>
            </w:tcBorders>
            <w:noWrap w:val="0"/>
            <w:vAlign w:val="center"/>
          </w:tcPr>
          <w:p w14:paraId="4F84E9CB">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序号</w:t>
            </w:r>
          </w:p>
        </w:tc>
        <w:tc>
          <w:tcPr>
            <w:tcW w:w="1546" w:type="dxa"/>
            <w:tcBorders>
              <w:top w:val="single" w:color="auto" w:sz="4" w:space="0"/>
            </w:tcBorders>
            <w:noWrap w:val="0"/>
            <w:vAlign w:val="center"/>
          </w:tcPr>
          <w:p w14:paraId="1D64DF99">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项目名称</w:t>
            </w:r>
          </w:p>
        </w:tc>
        <w:tc>
          <w:tcPr>
            <w:tcW w:w="2014" w:type="dxa"/>
            <w:tcBorders>
              <w:top w:val="single" w:color="auto" w:sz="4" w:space="0"/>
            </w:tcBorders>
            <w:noWrap w:val="0"/>
            <w:vAlign w:val="center"/>
          </w:tcPr>
          <w:p w14:paraId="1F724FD6">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指标名称</w:t>
            </w:r>
          </w:p>
        </w:tc>
        <w:tc>
          <w:tcPr>
            <w:tcW w:w="628" w:type="dxa"/>
            <w:tcBorders>
              <w:top w:val="single" w:color="auto" w:sz="4" w:space="0"/>
            </w:tcBorders>
            <w:noWrap w:val="0"/>
            <w:vAlign w:val="center"/>
          </w:tcPr>
          <w:p w14:paraId="5F0FBBAF">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指标性质</w:t>
            </w:r>
          </w:p>
        </w:tc>
        <w:tc>
          <w:tcPr>
            <w:tcW w:w="1105" w:type="dxa"/>
            <w:tcBorders>
              <w:top w:val="single" w:color="auto" w:sz="4" w:space="0"/>
            </w:tcBorders>
            <w:noWrap w:val="0"/>
            <w:vAlign w:val="center"/>
          </w:tcPr>
          <w:p w14:paraId="75B71D93">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指标值</w:t>
            </w:r>
          </w:p>
        </w:tc>
        <w:tc>
          <w:tcPr>
            <w:tcW w:w="628" w:type="dxa"/>
            <w:tcBorders>
              <w:top w:val="single" w:color="auto" w:sz="4" w:space="0"/>
            </w:tcBorders>
            <w:noWrap w:val="0"/>
            <w:vAlign w:val="center"/>
          </w:tcPr>
          <w:p w14:paraId="0174A77A">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计量单位</w:t>
            </w:r>
          </w:p>
        </w:tc>
        <w:tc>
          <w:tcPr>
            <w:tcW w:w="628" w:type="dxa"/>
            <w:tcBorders>
              <w:top w:val="single" w:color="auto" w:sz="4" w:space="0"/>
            </w:tcBorders>
            <w:noWrap w:val="0"/>
            <w:vAlign w:val="center"/>
          </w:tcPr>
          <w:p w14:paraId="67201B0B">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指标权重</w:t>
            </w:r>
          </w:p>
        </w:tc>
        <w:tc>
          <w:tcPr>
            <w:tcW w:w="788" w:type="dxa"/>
            <w:tcBorders>
              <w:top w:val="single" w:color="auto" w:sz="4" w:space="0"/>
            </w:tcBorders>
            <w:noWrap w:val="0"/>
            <w:vAlign w:val="center"/>
          </w:tcPr>
          <w:p w14:paraId="44F83048">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全年完成值</w:t>
            </w:r>
          </w:p>
        </w:tc>
        <w:tc>
          <w:tcPr>
            <w:tcW w:w="628" w:type="dxa"/>
            <w:tcBorders>
              <w:top w:val="single" w:color="auto" w:sz="4" w:space="0"/>
            </w:tcBorders>
            <w:noWrap w:val="0"/>
            <w:vAlign w:val="center"/>
          </w:tcPr>
          <w:p w14:paraId="52E7A710">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指标得分</w:t>
            </w:r>
          </w:p>
        </w:tc>
        <w:tc>
          <w:tcPr>
            <w:tcW w:w="688" w:type="dxa"/>
            <w:tcBorders>
              <w:top w:val="single" w:color="auto" w:sz="4" w:space="0"/>
            </w:tcBorders>
            <w:noWrap w:val="0"/>
            <w:vAlign w:val="center"/>
          </w:tcPr>
          <w:p w14:paraId="19D3B98E">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说明</w:t>
            </w:r>
          </w:p>
        </w:tc>
        <w:tc>
          <w:tcPr>
            <w:tcW w:w="608" w:type="dxa"/>
            <w:tcBorders>
              <w:top w:val="single" w:color="auto" w:sz="4" w:space="0"/>
            </w:tcBorders>
            <w:noWrap w:val="0"/>
            <w:vAlign w:val="center"/>
          </w:tcPr>
          <w:p w14:paraId="7F33210F">
            <w:pPr>
              <w:widowControl/>
              <w:snapToGrid w:val="0"/>
              <w:jc w:val="center"/>
              <w:textAlignment w:val="center"/>
              <w:rPr>
                <w:rFonts w:hint="eastAsia" w:eastAsia="方正黑体_GBK" w:cs="方正黑体_GBK"/>
                <w:b/>
                <w:color w:val="000000"/>
                <w:sz w:val="22"/>
                <w:lang w:eastAsia="zh-CN"/>
              </w:rPr>
            </w:pPr>
            <w:r>
              <w:rPr>
                <w:rFonts w:hint="eastAsia" w:eastAsia="方正黑体_GBK" w:cs="方正黑体_GBK"/>
                <w:b/>
                <w:color w:val="000000"/>
                <w:kern w:val="0"/>
                <w:sz w:val="22"/>
                <w:lang w:eastAsia="zh-CN" w:bidi="ar"/>
              </w:rPr>
              <w:t>自评得分</w:t>
            </w:r>
          </w:p>
        </w:tc>
      </w:tr>
      <w:tr w14:paraId="78CB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024" w:type="dxa"/>
            <w:vMerge w:val="restart"/>
            <w:noWrap/>
            <w:vAlign w:val="center"/>
          </w:tcPr>
          <w:p w14:paraId="341E00E4">
            <w:pPr>
              <w:snapToGrid w:val="0"/>
              <w:jc w:val="center"/>
              <w:textAlignment w:val="center"/>
              <w:rPr>
                <w:color w:val="000000"/>
                <w:sz w:val="22"/>
              </w:rPr>
            </w:pPr>
            <w:r>
              <w:rPr>
                <w:color w:val="000000"/>
                <w:kern w:val="0"/>
                <w:sz w:val="22"/>
                <w:lang w:bidi="ar"/>
              </w:rPr>
              <w:t>1</w:t>
            </w:r>
          </w:p>
        </w:tc>
        <w:tc>
          <w:tcPr>
            <w:tcW w:w="1546" w:type="dxa"/>
            <w:vMerge w:val="restart"/>
            <w:noWrap/>
            <w:vAlign w:val="center"/>
          </w:tcPr>
          <w:p w14:paraId="17FC04FF">
            <w:pPr>
              <w:snapToGrid w:val="0"/>
              <w:jc w:val="center"/>
              <w:rPr>
                <w:rFonts w:cs="宋体"/>
                <w:color w:val="000000"/>
                <w:sz w:val="22"/>
              </w:rPr>
            </w:pPr>
            <w:r>
              <w:rPr>
                <w:rFonts w:hint="eastAsia" w:cs="宋体"/>
                <w:color w:val="000000"/>
                <w:sz w:val="22"/>
              </w:rPr>
              <w:t>2024年非寄宿制困难学生生活补助专项经费</w:t>
            </w:r>
          </w:p>
        </w:tc>
        <w:tc>
          <w:tcPr>
            <w:tcW w:w="2014" w:type="dxa"/>
            <w:shd w:val="clear" w:color="auto" w:fill="auto"/>
            <w:noWrap/>
            <w:vAlign w:val="center"/>
          </w:tcPr>
          <w:p w14:paraId="567EA0C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资助学生数量jlp</w:t>
            </w:r>
          </w:p>
        </w:tc>
        <w:tc>
          <w:tcPr>
            <w:tcW w:w="628" w:type="dxa"/>
            <w:shd w:val="clear" w:color="auto" w:fill="auto"/>
            <w:noWrap/>
            <w:vAlign w:val="center"/>
          </w:tcPr>
          <w:p w14:paraId="3A13C56E">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105" w:type="dxa"/>
            <w:shd w:val="clear" w:color="auto" w:fill="auto"/>
            <w:noWrap/>
            <w:vAlign w:val="center"/>
          </w:tcPr>
          <w:p w14:paraId="17872719">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628" w:type="dxa"/>
            <w:shd w:val="clear" w:color="auto" w:fill="auto"/>
            <w:noWrap/>
            <w:vAlign w:val="center"/>
          </w:tcPr>
          <w:p w14:paraId="3811F8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人次</w:t>
            </w:r>
          </w:p>
        </w:tc>
        <w:tc>
          <w:tcPr>
            <w:tcW w:w="628" w:type="dxa"/>
            <w:noWrap/>
            <w:vAlign w:val="center"/>
          </w:tcPr>
          <w:p w14:paraId="02AEB4BB">
            <w:pPr>
              <w:snapToGrid w:val="0"/>
              <w:jc w:val="center"/>
              <w:rPr>
                <w:rFonts w:hint="default" w:eastAsia="宋体" w:cs="宋体"/>
                <w:color w:val="000000"/>
                <w:sz w:val="22"/>
                <w:lang w:val="en-US" w:eastAsia="zh-CN"/>
              </w:rPr>
            </w:pPr>
            <w:r>
              <w:rPr>
                <w:rFonts w:hint="eastAsia" w:cs="宋体"/>
                <w:color w:val="000000"/>
                <w:sz w:val="22"/>
                <w:lang w:val="en-US" w:eastAsia="zh-CN"/>
              </w:rPr>
              <w:t>10</w:t>
            </w:r>
          </w:p>
        </w:tc>
        <w:tc>
          <w:tcPr>
            <w:tcW w:w="788" w:type="dxa"/>
            <w:shd w:val="clear" w:color="auto" w:fill="auto"/>
            <w:noWrap/>
            <w:vAlign w:val="center"/>
          </w:tcPr>
          <w:p w14:paraId="6BD3AC7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628" w:type="dxa"/>
            <w:noWrap/>
            <w:vAlign w:val="center"/>
          </w:tcPr>
          <w:p w14:paraId="01E69354">
            <w:pPr>
              <w:keepNext w:val="0"/>
              <w:keepLines w:val="0"/>
              <w:widowControl/>
              <w:suppressLineNumbers w:val="0"/>
              <w:snapToGrid w:val="0"/>
              <w:ind w:firstLine="220" w:firstLineChars="100"/>
              <w:jc w:val="center"/>
              <w:textAlignment w:val="center"/>
              <w:rPr>
                <w:rFonts w:hint="default" w:cs="宋体"/>
                <w:color w:val="000000"/>
                <w:sz w:val="22"/>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5</w:t>
            </w:r>
          </w:p>
        </w:tc>
        <w:tc>
          <w:tcPr>
            <w:tcW w:w="688" w:type="dxa"/>
            <w:noWrap/>
            <w:vAlign w:val="center"/>
          </w:tcPr>
          <w:p w14:paraId="5643ADB8">
            <w:pPr>
              <w:snapToGrid w:val="0"/>
              <w:jc w:val="center"/>
              <w:rPr>
                <w:rFonts w:cs="宋体"/>
                <w:color w:val="000000"/>
                <w:sz w:val="22"/>
              </w:rPr>
            </w:pPr>
          </w:p>
        </w:tc>
        <w:tc>
          <w:tcPr>
            <w:tcW w:w="608" w:type="dxa"/>
            <w:vMerge w:val="restart"/>
            <w:noWrap/>
            <w:vAlign w:val="center"/>
          </w:tcPr>
          <w:p w14:paraId="11BC9F2B">
            <w:pPr>
              <w:snapToGrid w:val="0"/>
              <w:jc w:val="center"/>
              <w:rPr>
                <w:rFonts w:hint="default" w:eastAsia="宋体" w:cs="宋体"/>
                <w:color w:val="000000"/>
                <w:sz w:val="22"/>
                <w:lang w:val="en-US" w:eastAsia="zh-CN"/>
              </w:rPr>
            </w:pPr>
            <w:r>
              <w:rPr>
                <w:rFonts w:hint="eastAsia" w:cs="宋体"/>
                <w:color w:val="000000"/>
                <w:sz w:val="22"/>
                <w:lang w:val="en-US" w:eastAsia="zh-CN"/>
              </w:rPr>
              <w:t>100</w:t>
            </w:r>
          </w:p>
        </w:tc>
      </w:tr>
      <w:tr w14:paraId="4D62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024" w:type="dxa"/>
            <w:vMerge w:val="continue"/>
            <w:noWrap/>
            <w:vAlign w:val="center"/>
          </w:tcPr>
          <w:p w14:paraId="2CF4D3BC">
            <w:pPr>
              <w:snapToGrid w:val="0"/>
              <w:jc w:val="center"/>
              <w:textAlignment w:val="center"/>
              <w:rPr>
                <w:color w:val="000000"/>
                <w:sz w:val="22"/>
              </w:rPr>
            </w:pPr>
          </w:p>
        </w:tc>
        <w:tc>
          <w:tcPr>
            <w:tcW w:w="1546" w:type="dxa"/>
            <w:vMerge w:val="continue"/>
            <w:noWrap/>
            <w:vAlign w:val="center"/>
          </w:tcPr>
          <w:p w14:paraId="2321D710">
            <w:pPr>
              <w:snapToGrid w:val="0"/>
              <w:jc w:val="center"/>
              <w:rPr>
                <w:rFonts w:cs="宋体"/>
                <w:color w:val="000000"/>
                <w:sz w:val="22"/>
              </w:rPr>
            </w:pPr>
          </w:p>
        </w:tc>
        <w:tc>
          <w:tcPr>
            <w:tcW w:w="2014" w:type="dxa"/>
            <w:noWrap/>
            <w:vAlign w:val="center"/>
          </w:tcPr>
          <w:p w14:paraId="546E6442">
            <w:pPr>
              <w:snapToGrid w:val="0"/>
              <w:jc w:val="center"/>
              <w:rPr>
                <w:rFonts w:cs="宋体"/>
                <w:color w:val="000000"/>
                <w:sz w:val="22"/>
              </w:rPr>
            </w:pPr>
            <w:r>
              <w:rPr>
                <w:rFonts w:hint="eastAsia" w:cs="宋体"/>
                <w:color w:val="000000"/>
                <w:sz w:val="22"/>
              </w:rPr>
              <w:t>资助到位时间jlp</w:t>
            </w:r>
          </w:p>
        </w:tc>
        <w:tc>
          <w:tcPr>
            <w:tcW w:w="628" w:type="dxa"/>
            <w:noWrap/>
            <w:vAlign w:val="center"/>
          </w:tcPr>
          <w:p w14:paraId="43765FAE">
            <w:pPr>
              <w:keepNext w:val="0"/>
              <w:keepLines w:val="0"/>
              <w:widowControl/>
              <w:suppressLineNumbers w:val="0"/>
              <w:snapToGrid w:val="0"/>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w:t>
            </w:r>
          </w:p>
        </w:tc>
        <w:tc>
          <w:tcPr>
            <w:tcW w:w="1105" w:type="dxa"/>
            <w:shd w:val="clear" w:color="auto" w:fill="auto"/>
            <w:noWrap/>
            <w:vAlign w:val="center"/>
          </w:tcPr>
          <w:p w14:paraId="273AA251">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628" w:type="dxa"/>
            <w:shd w:val="clear" w:color="auto" w:fill="auto"/>
            <w:noWrap/>
            <w:vAlign w:val="center"/>
          </w:tcPr>
          <w:p w14:paraId="587A7B4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天</w:t>
            </w:r>
          </w:p>
        </w:tc>
        <w:tc>
          <w:tcPr>
            <w:tcW w:w="628" w:type="dxa"/>
            <w:noWrap/>
            <w:vAlign w:val="center"/>
          </w:tcPr>
          <w:p w14:paraId="58CA9810">
            <w:pPr>
              <w:snapToGrid w:val="0"/>
              <w:jc w:val="center"/>
              <w:rPr>
                <w:rFonts w:hint="default" w:eastAsia="宋体" w:cs="宋体"/>
                <w:color w:val="000000"/>
                <w:sz w:val="22"/>
                <w:lang w:val="en-US" w:eastAsia="zh-CN"/>
              </w:rPr>
            </w:pPr>
            <w:r>
              <w:rPr>
                <w:rFonts w:hint="eastAsia" w:cs="宋体"/>
                <w:color w:val="000000"/>
                <w:sz w:val="22"/>
                <w:lang w:val="en-US" w:eastAsia="zh-CN"/>
              </w:rPr>
              <w:t>10</w:t>
            </w:r>
          </w:p>
        </w:tc>
        <w:tc>
          <w:tcPr>
            <w:tcW w:w="788" w:type="dxa"/>
            <w:shd w:val="clear" w:color="auto" w:fill="auto"/>
            <w:noWrap/>
            <w:vAlign w:val="center"/>
          </w:tcPr>
          <w:p w14:paraId="65FA14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w:t>
            </w:r>
          </w:p>
        </w:tc>
        <w:tc>
          <w:tcPr>
            <w:tcW w:w="628" w:type="dxa"/>
            <w:noWrap/>
            <w:vAlign w:val="center"/>
          </w:tcPr>
          <w:p w14:paraId="4972302E">
            <w:pPr>
              <w:keepNext w:val="0"/>
              <w:keepLines w:val="0"/>
              <w:widowControl/>
              <w:suppressLineNumbers w:val="0"/>
              <w:snapToGrid w:val="0"/>
              <w:ind w:firstLine="220" w:firstLineChars="100"/>
              <w:jc w:val="center"/>
              <w:textAlignment w:val="center"/>
              <w:rPr>
                <w:rFonts w:hint="default" w:cs="宋体"/>
                <w:color w:val="000000"/>
                <w:sz w:val="22"/>
                <w:lang w:val="en-US"/>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5</w:t>
            </w:r>
          </w:p>
        </w:tc>
        <w:tc>
          <w:tcPr>
            <w:tcW w:w="688" w:type="dxa"/>
            <w:noWrap/>
            <w:vAlign w:val="center"/>
          </w:tcPr>
          <w:p w14:paraId="710BF985">
            <w:pPr>
              <w:snapToGrid w:val="0"/>
              <w:jc w:val="center"/>
              <w:rPr>
                <w:rFonts w:cs="宋体"/>
                <w:color w:val="000000"/>
                <w:sz w:val="22"/>
              </w:rPr>
            </w:pPr>
          </w:p>
        </w:tc>
        <w:tc>
          <w:tcPr>
            <w:tcW w:w="608" w:type="dxa"/>
            <w:vMerge w:val="continue"/>
            <w:noWrap/>
            <w:vAlign w:val="center"/>
          </w:tcPr>
          <w:p w14:paraId="29E89B14">
            <w:pPr>
              <w:snapToGrid w:val="0"/>
              <w:jc w:val="center"/>
              <w:rPr>
                <w:rFonts w:cs="宋体"/>
                <w:color w:val="000000"/>
                <w:sz w:val="22"/>
              </w:rPr>
            </w:pPr>
          </w:p>
        </w:tc>
      </w:tr>
      <w:tr w14:paraId="6826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024" w:type="dxa"/>
            <w:vMerge w:val="continue"/>
            <w:noWrap/>
            <w:vAlign w:val="center"/>
          </w:tcPr>
          <w:p w14:paraId="22FCDD36">
            <w:pPr>
              <w:snapToGrid w:val="0"/>
              <w:jc w:val="center"/>
              <w:textAlignment w:val="center"/>
              <w:rPr>
                <w:color w:val="000000"/>
                <w:sz w:val="22"/>
              </w:rPr>
            </w:pPr>
          </w:p>
        </w:tc>
        <w:tc>
          <w:tcPr>
            <w:tcW w:w="1546" w:type="dxa"/>
            <w:vMerge w:val="continue"/>
            <w:noWrap/>
            <w:vAlign w:val="center"/>
          </w:tcPr>
          <w:p w14:paraId="4431114D">
            <w:pPr>
              <w:snapToGrid w:val="0"/>
              <w:jc w:val="center"/>
              <w:rPr>
                <w:rFonts w:cs="宋体"/>
                <w:color w:val="000000"/>
                <w:sz w:val="22"/>
              </w:rPr>
            </w:pPr>
          </w:p>
        </w:tc>
        <w:tc>
          <w:tcPr>
            <w:tcW w:w="2014" w:type="dxa"/>
            <w:noWrap/>
            <w:vAlign w:val="center"/>
          </w:tcPr>
          <w:p w14:paraId="577D5A6F">
            <w:pPr>
              <w:snapToGrid w:val="0"/>
              <w:jc w:val="center"/>
              <w:rPr>
                <w:rFonts w:cs="宋体"/>
                <w:color w:val="000000"/>
                <w:sz w:val="22"/>
              </w:rPr>
            </w:pPr>
            <w:r>
              <w:rPr>
                <w:rFonts w:hint="eastAsia" w:cs="宋体"/>
                <w:color w:val="000000"/>
                <w:sz w:val="22"/>
              </w:rPr>
              <w:t>补助金额</w:t>
            </w:r>
          </w:p>
        </w:tc>
        <w:tc>
          <w:tcPr>
            <w:tcW w:w="628" w:type="dxa"/>
            <w:shd w:val="clear" w:color="auto" w:fill="auto"/>
            <w:noWrap/>
            <w:vAlign w:val="center"/>
          </w:tcPr>
          <w:p w14:paraId="388EB81C">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105" w:type="dxa"/>
            <w:shd w:val="clear" w:color="auto" w:fill="auto"/>
            <w:noWrap/>
            <w:vAlign w:val="center"/>
          </w:tcPr>
          <w:p w14:paraId="3365D42B">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17600</w:t>
            </w:r>
          </w:p>
        </w:tc>
        <w:tc>
          <w:tcPr>
            <w:tcW w:w="628" w:type="dxa"/>
            <w:shd w:val="clear" w:color="auto" w:fill="auto"/>
            <w:noWrap/>
            <w:vAlign w:val="center"/>
          </w:tcPr>
          <w:p w14:paraId="08A2A7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元</w:t>
            </w:r>
          </w:p>
        </w:tc>
        <w:tc>
          <w:tcPr>
            <w:tcW w:w="628" w:type="dxa"/>
            <w:noWrap/>
            <w:vAlign w:val="center"/>
          </w:tcPr>
          <w:p w14:paraId="3B219DB4">
            <w:pPr>
              <w:snapToGrid w:val="0"/>
              <w:jc w:val="center"/>
              <w:rPr>
                <w:rFonts w:hint="default" w:eastAsia="宋体" w:cs="宋体"/>
                <w:color w:val="000000"/>
                <w:sz w:val="22"/>
                <w:lang w:val="en-US" w:eastAsia="zh-CN"/>
              </w:rPr>
            </w:pPr>
            <w:r>
              <w:rPr>
                <w:rFonts w:hint="eastAsia" w:cs="宋体"/>
                <w:color w:val="000000"/>
                <w:sz w:val="22"/>
                <w:lang w:val="en-US" w:eastAsia="zh-CN"/>
              </w:rPr>
              <w:t>30</w:t>
            </w:r>
          </w:p>
        </w:tc>
        <w:tc>
          <w:tcPr>
            <w:tcW w:w="788" w:type="dxa"/>
            <w:shd w:val="clear" w:color="auto" w:fill="auto"/>
            <w:noWrap/>
            <w:vAlign w:val="center"/>
          </w:tcPr>
          <w:p w14:paraId="559389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17600</w:t>
            </w:r>
          </w:p>
        </w:tc>
        <w:tc>
          <w:tcPr>
            <w:tcW w:w="628" w:type="dxa"/>
            <w:noWrap/>
            <w:vAlign w:val="center"/>
          </w:tcPr>
          <w:p w14:paraId="5701F26D">
            <w:pPr>
              <w:keepNext w:val="0"/>
              <w:keepLines w:val="0"/>
              <w:widowControl/>
              <w:suppressLineNumbers w:val="0"/>
              <w:snapToGrid w:val="0"/>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688" w:type="dxa"/>
            <w:noWrap/>
            <w:vAlign w:val="center"/>
          </w:tcPr>
          <w:p w14:paraId="0FE8F1E4">
            <w:pPr>
              <w:snapToGrid w:val="0"/>
              <w:jc w:val="center"/>
              <w:rPr>
                <w:rFonts w:cs="宋体"/>
                <w:color w:val="000000"/>
                <w:sz w:val="22"/>
              </w:rPr>
            </w:pPr>
          </w:p>
        </w:tc>
        <w:tc>
          <w:tcPr>
            <w:tcW w:w="608" w:type="dxa"/>
            <w:vMerge w:val="continue"/>
            <w:noWrap/>
            <w:vAlign w:val="center"/>
          </w:tcPr>
          <w:p w14:paraId="30BAE939">
            <w:pPr>
              <w:snapToGrid w:val="0"/>
              <w:jc w:val="center"/>
              <w:rPr>
                <w:rFonts w:cs="宋体"/>
                <w:color w:val="000000"/>
                <w:sz w:val="22"/>
              </w:rPr>
            </w:pPr>
          </w:p>
        </w:tc>
      </w:tr>
      <w:tr w14:paraId="083D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024" w:type="dxa"/>
            <w:vMerge w:val="continue"/>
            <w:noWrap/>
            <w:vAlign w:val="center"/>
          </w:tcPr>
          <w:p w14:paraId="00DA20CC">
            <w:pPr>
              <w:snapToGrid w:val="0"/>
              <w:jc w:val="center"/>
              <w:textAlignment w:val="center"/>
              <w:rPr>
                <w:color w:val="000000"/>
                <w:sz w:val="22"/>
              </w:rPr>
            </w:pPr>
          </w:p>
        </w:tc>
        <w:tc>
          <w:tcPr>
            <w:tcW w:w="1546" w:type="dxa"/>
            <w:vMerge w:val="continue"/>
            <w:noWrap/>
            <w:vAlign w:val="center"/>
          </w:tcPr>
          <w:p w14:paraId="02F77807">
            <w:pPr>
              <w:snapToGrid w:val="0"/>
              <w:jc w:val="center"/>
              <w:rPr>
                <w:rFonts w:cs="宋体"/>
                <w:color w:val="000000"/>
                <w:sz w:val="22"/>
              </w:rPr>
            </w:pPr>
          </w:p>
        </w:tc>
        <w:tc>
          <w:tcPr>
            <w:tcW w:w="2014" w:type="dxa"/>
            <w:noWrap/>
            <w:vAlign w:val="center"/>
          </w:tcPr>
          <w:p w14:paraId="64BAA14E">
            <w:pPr>
              <w:snapToGrid w:val="0"/>
              <w:jc w:val="center"/>
              <w:rPr>
                <w:rFonts w:cs="宋体"/>
                <w:color w:val="000000"/>
                <w:sz w:val="22"/>
              </w:rPr>
            </w:pPr>
            <w:r>
              <w:rPr>
                <w:rFonts w:hint="eastAsia" w:cs="宋体"/>
                <w:color w:val="000000"/>
                <w:sz w:val="22"/>
              </w:rPr>
              <w:t>贫困学生覆盖率</w:t>
            </w:r>
          </w:p>
        </w:tc>
        <w:tc>
          <w:tcPr>
            <w:tcW w:w="628" w:type="dxa"/>
            <w:shd w:val="clear" w:color="auto" w:fill="auto"/>
            <w:noWrap/>
            <w:vAlign w:val="center"/>
          </w:tcPr>
          <w:p w14:paraId="6E359722">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1105" w:type="dxa"/>
            <w:shd w:val="clear" w:color="auto" w:fill="auto"/>
            <w:noWrap/>
            <w:vAlign w:val="center"/>
          </w:tcPr>
          <w:p w14:paraId="71FB0165">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28" w:type="dxa"/>
            <w:shd w:val="clear" w:color="auto" w:fill="auto"/>
            <w:noWrap/>
            <w:vAlign w:val="center"/>
          </w:tcPr>
          <w:p w14:paraId="317A2E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28" w:type="dxa"/>
            <w:noWrap/>
            <w:vAlign w:val="center"/>
          </w:tcPr>
          <w:p w14:paraId="02D6BDA9">
            <w:pPr>
              <w:snapToGrid w:val="0"/>
              <w:jc w:val="center"/>
              <w:rPr>
                <w:rFonts w:hint="default" w:eastAsia="宋体" w:cs="宋体"/>
                <w:color w:val="000000"/>
                <w:sz w:val="22"/>
                <w:lang w:val="en-US" w:eastAsia="zh-CN"/>
              </w:rPr>
            </w:pPr>
            <w:r>
              <w:rPr>
                <w:rFonts w:hint="eastAsia" w:cs="宋体"/>
                <w:color w:val="000000"/>
                <w:sz w:val="22"/>
                <w:lang w:val="en-US" w:eastAsia="zh-CN"/>
              </w:rPr>
              <w:t>15</w:t>
            </w:r>
          </w:p>
        </w:tc>
        <w:tc>
          <w:tcPr>
            <w:tcW w:w="788" w:type="dxa"/>
            <w:shd w:val="clear" w:color="auto" w:fill="auto"/>
            <w:noWrap/>
            <w:vAlign w:val="center"/>
          </w:tcPr>
          <w:p w14:paraId="72AF0D7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28" w:type="dxa"/>
            <w:noWrap/>
            <w:vAlign w:val="center"/>
          </w:tcPr>
          <w:p w14:paraId="68F1C6E2">
            <w:pPr>
              <w:keepNext w:val="0"/>
              <w:keepLines w:val="0"/>
              <w:widowControl/>
              <w:suppressLineNumbers w:val="0"/>
              <w:snapToGrid w:val="0"/>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1EBF43C8">
            <w:pPr>
              <w:snapToGrid w:val="0"/>
              <w:jc w:val="center"/>
              <w:rPr>
                <w:rFonts w:cs="宋体"/>
                <w:color w:val="000000"/>
                <w:sz w:val="22"/>
              </w:rPr>
            </w:pPr>
          </w:p>
        </w:tc>
        <w:tc>
          <w:tcPr>
            <w:tcW w:w="608" w:type="dxa"/>
            <w:vMerge w:val="continue"/>
            <w:noWrap/>
            <w:vAlign w:val="center"/>
          </w:tcPr>
          <w:p w14:paraId="44E348C7">
            <w:pPr>
              <w:snapToGrid w:val="0"/>
              <w:jc w:val="center"/>
              <w:rPr>
                <w:rFonts w:cs="宋体"/>
                <w:color w:val="000000"/>
                <w:sz w:val="22"/>
              </w:rPr>
            </w:pPr>
          </w:p>
        </w:tc>
      </w:tr>
      <w:tr w14:paraId="5FC8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682" w:hRule="atLeast"/>
          <w:jc w:val="center"/>
        </w:trPr>
        <w:tc>
          <w:tcPr>
            <w:tcW w:w="1024" w:type="dxa"/>
            <w:vMerge w:val="continue"/>
            <w:noWrap/>
            <w:vAlign w:val="center"/>
          </w:tcPr>
          <w:p w14:paraId="0C67BFFE">
            <w:pPr>
              <w:snapToGrid w:val="0"/>
              <w:jc w:val="center"/>
              <w:textAlignment w:val="center"/>
              <w:rPr>
                <w:color w:val="000000"/>
                <w:sz w:val="22"/>
              </w:rPr>
            </w:pPr>
          </w:p>
        </w:tc>
        <w:tc>
          <w:tcPr>
            <w:tcW w:w="1546" w:type="dxa"/>
            <w:vMerge w:val="continue"/>
            <w:noWrap/>
            <w:vAlign w:val="center"/>
          </w:tcPr>
          <w:p w14:paraId="4937A5DA">
            <w:pPr>
              <w:snapToGrid w:val="0"/>
              <w:jc w:val="center"/>
              <w:rPr>
                <w:rFonts w:cs="宋体"/>
                <w:color w:val="000000"/>
                <w:sz w:val="22"/>
              </w:rPr>
            </w:pPr>
          </w:p>
        </w:tc>
        <w:tc>
          <w:tcPr>
            <w:tcW w:w="2014" w:type="dxa"/>
            <w:noWrap/>
            <w:vAlign w:val="center"/>
          </w:tcPr>
          <w:p w14:paraId="19BA31A8">
            <w:pPr>
              <w:snapToGrid w:val="0"/>
              <w:jc w:val="center"/>
              <w:rPr>
                <w:rFonts w:hint="default" w:eastAsia="宋体" w:cs="宋体"/>
                <w:color w:val="000000"/>
                <w:sz w:val="22"/>
                <w:lang w:val="en-US" w:eastAsia="zh-CN"/>
              </w:rPr>
            </w:pPr>
            <w:r>
              <w:rPr>
                <w:rFonts w:hint="eastAsia" w:cs="宋体"/>
                <w:color w:val="000000"/>
                <w:sz w:val="22"/>
                <w:lang w:val="en-US" w:eastAsia="zh-CN"/>
              </w:rPr>
              <w:t>执行率</w:t>
            </w:r>
          </w:p>
        </w:tc>
        <w:tc>
          <w:tcPr>
            <w:tcW w:w="628" w:type="dxa"/>
            <w:shd w:val="clear" w:color="auto" w:fill="auto"/>
            <w:noWrap/>
            <w:vAlign w:val="center"/>
          </w:tcPr>
          <w:p w14:paraId="19AE1FAE">
            <w:pPr>
              <w:keepNext w:val="0"/>
              <w:keepLines w:val="0"/>
              <w:widowControl/>
              <w:suppressLineNumbers w:val="0"/>
              <w:snapToGrid w:val="0"/>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105" w:type="dxa"/>
            <w:shd w:val="clear" w:color="auto" w:fill="auto"/>
            <w:noWrap/>
            <w:vAlign w:val="center"/>
          </w:tcPr>
          <w:p w14:paraId="2AB1160F">
            <w:pPr>
              <w:keepNext w:val="0"/>
              <w:keepLines w:val="0"/>
              <w:widowControl/>
              <w:suppressLineNumbers w:val="0"/>
              <w:snapToGrid w:val="0"/>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628" w:type="dxa"/>
            <w:shd w:val="clear" w:color="auto" w:fill="auto"/>
            <w:noWrap/>
            <w:vAlign w:val="center"/>
          </w:tcPr>
          <w:p w14:paraId="00BF16D3">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w:t>
            </w:r>
          </w:p>
        </w:tc>
        <w:tc>
          <w:tcPr>
            <w:tcW w:w="628" w:type="dxa"/>
            <w:noWrap/>
            <w:vAlign w:val="center"/>
          </w:tcPr>
          <w:p w14:paraId="6EB6B01C">
            <w:pPr>
              <w:snapToGrid w:val="0"/>
              <w:jc w:val="center"/>
              <w:rPr>
                <w:rFonts w:hint="default" w:cs="宋体"/>
                <w:color w:val="000000"/>
                <w:sz w:val="22"/>
                <w:lang w:val="en-US" w:eastAsia="zh-CN"/>
              </w:rPr>
            </w:pPr>
            <w:r>
              <w:rPr>
                <w:rFonts w:hint="eastAsia" w:cs="宋体"/>
                <w:color w:val="000000"/>
                <w:sz w:val="22"/>
                <w:lang w:val="en-US" w:eastAsia="zh-CN"/>
              </w:rPr>
              <w:t>10</w:t>
            </w:r>
          </w:p>
        </w:tc>
        <w:tc>
          <w:tcPr>
            <w:tcW w:w="788" w:type="dxa"/>
            <w:shd w:val="clear" w:color="auto" w:fill="auto"/>
            <w:noWrap/>
            <w:vAlign w:val="center"/>
          </w:tcPr>
          <w:p w14:paraId="31688044">
            <w:pPr>
              <w:keepNext w:val="0"/>
              <w:keepLines w:val="0"/>
              <w:widowControl/>
              <w:suppressLineNumbers w:val="0"/>
              <w:snapToGrid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628" w:type="dxa"/>
            <w:noWrap/>
            <w:vAlign w:val="center"/>
          </w:tcPr>
          <w:p w14:paraId="342C554B">
            <w:pPr>
              <w:keepNext w:val="0"/>
              <w:keepLines w:val="0"/>
              <w:widowControl/>
              <w:suppressLineNumbers w:val="0"/>
              <w:snapToGrid w:val="0"/>
              <w:ind w:firstLine="220" w:firstLineChars="10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688" w:type="dxa"/>
            <w:noWrap/>
            <w:vAlign w:val="center"/>
          </w:tcPr>
          <w:p w14:paraId="79BEE5D4">
            <w:pPr>
              <w:snapToGrid w:val="0"/>
              <w:jc w:val="center"/>
              <w:rPr>
                <w:rFonts w:cs="宋体"/>
                <w:color w:val="000000"/>
                <w:sz w:val="22"/>
              </w:rPr>
            </w:pPr>
          </w:p>
        </w:tc>
        <w:tc>
          <w:tcPr>
            <w:tcW w:w="608" w:type="dxa"/>
            <w:vMerge w:val="continue"/>
            <w:noWrap/>
            <w:vAlign w:val="center"/>
          </w:tcPr>
          <w:p w14:paraId="7C048F60">
            <w:pPr>
              <w:snapToGrid w:val="0"/>
              <w:jc w:val="center"/>
              <w:rPr>
                <w:rFonts w:cs="宋体"/>
                <w:color w:val="000000"/>
                <w:sz w:val="22"/>
              </w:rPr>
            </w:pPr>
          </w:p>
        </w:tc>
      </w:tr>
      <w:tr w14:paraId="6B4B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024" w:type="dxa"/>
            <w:vMerge w:val="continue"/>
            <w:noWrap/>
            <w:vAlign w:val="center"/>
          </w:tcPr>
          <w:p w14:paraId="04F94141">
            <w:pPr>
              <w:snapToGrid w:val="0"/>
              <w:jc w:val="center"/>
              <w:textAlignment w:val="center"/>
              <w:rPr>
                <w:color w:val="000000"/>
                <w:sz w:val="22"/>
              </w:rPr>
            </w:pPr>
          </w:p>
        </w:tc>
        <w:tc>
          <w:tcPr>
            <w:tcW w:w="1546" w:type="dxa"/>
            <w:vMerge w:val="continue"/>
            <w:noWrap/>
            <w:vAlign w:val="center"/>
          </w:tcPr>
          <w:p w14:paraId="1355D74C">
            <w:pPr>
              <w:snapToGrid w:val="0"/>
              <w:jc w:val="center"/>
              <w:rPr>
                <w:rFonts w:cs="宋体"/>
                <w:color w:val="000000"/>
                <w:sz w:val="22"/>
              </w:rPr>
            </w:pPr>
          </w:p>
        </w:tc>
        <w:tc>
          <w:tcPr>
            <w:tcW w:w="2014" w:type="dxa"/>
            <w:noWrap/>
            <w:vAlign w:val="center"/>
          </w:tcPr>
          <w:p w14:paraId="0DFB3D1A">
            <w:pPr>
              <w:snapToGrid w:val="0"/>
              <w:jc w:val="center"/>
              <w:rPr>
                <w:rFonts w:cs="宋体"/>
                <w:color w:val="000000"/>
                <w:sz w:val="22"/>
              </w:rPr>
            </w:pPr>
            <w:r>
              <w:rPr>
                <w:rFonts w:hint="eastAsia" w:cs="宋体"/>
                <w:color w:val="000000"/>
                <w:sz w:val="22"/>
              </w:rPr>
              <w:t>促进少年儿童健康成长</w:t>
            </w:r>
          </w:p>
        </w:tc>
        <w:tc>
          <w:tcPr>
            <w:tcW w:w="628" w:type="dxa"/>
            <w:shd w:val="clear" w:color="auto" w:fill="auto"/>
            <w:noWrap/>
            <w:vAlign w:val="center"/>
          </w:tcPr>
          <w:p w14:paraId="04AB2F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定性</w:t>
            </w:r>
          </w:p>
        </w:tc>
        <w:tc>
          <w:tcPr>
            <w:tcW w:w="1105" w:type="dxa"/>
            <w:shd w:val="clear" w:color="auto" w:fill="auto"/>
            <w:noWrap/>
            <w:vAlign w:val="center"/>
          </w:tcPr>
          <w:p w14:paraId="3155C03A">
            <w:pPr>
              <w:keepNext w:val="0"/>
              <w:keepLines w:val="0"/>
              <w:widowControl/>
              <w:suppressLineNumbers w:val="0"/>
              <w:snapToGrid w:val="0"/>
              <w:ind w:firstLine="22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有效改善</w:t>
            </w:r>
          </w:p>
        </w:tc>
        <w:tc>
          <w:tcPr>
            <w:tcW w:w="628" w:type="dxa"/>
            <w:noWrap/>
            <w:vAlign w:val="center"/>
          </w:tcPr>
          <w:p w14:paraId="15CEFCD7">
            <w:pPr>
              <w:snapToGrid w:val="0"/>
              <w:jc w:val="center"/>
              <w:rPr>
                <w:rFonts w:hint="eastAsia" w:eastAsia="宋体" w:cs="宋体"/>
                <w:color w:val="000000"/>
                <w:sz w:val="22"/>
                <w:lang w:val="en-US" w:eastAsia="zh-CN"/>
              </w:rPr>
            </w:pPr>
          </w:p>
        </w:tc>
        <w:tc>
          <w:tcPr>
            <w:tcW w:w="628" w:type="dxa"/>
            <w:noWrap/>
            <w:vAlign w:val="center"/>
          </w:tcPr>
          <w:p w14:paraId="5B3B6419">
            <w:pPr>
              <w:snapToGrid w:val="0"/>
              <w:jc w:val="center"/>
              <w:rPr>
                <w:rFonts w:hint="default" w:eastAsia="宋体" w:cs="宋体"/>
                <w:color w:val="000000"/>
                <w:sz w:val="22"/>
                <w:lang w:val="en-US" w:eastAsia="zh-CN"/>
              </w:rPr>
            </w:pPr>
            <w:r>
              <w:rPr>
                <w:rFonts w:hint="eastAsia" w:cs="宋体"/>
                <w:color w:val="000000"/>
                <w:sz w:val="22"/>
                <w:lang w:val="en-US" w:eastAsia="zh-CN"/>
              </w:rPr>
              <w:t>15</w:t>
            </w:r>
          </w:p>
        </w:tc>
        <w:tc>
          <w:tcPr>
            <w:tcW w:w="788" w:type="dxa"/>
            <w:shd w:val="clear" w:color="auto" w:fill="auto"/>
            <w:noWrap/>
            <w:vAlign w:val="center"/>
          </w:tcPr>
          <w:p w14:paraId="1AEAF866">
            <w:pPr>
              <w:snapToGrid w:val="0"/>
              <w:jc w:val="center"/>
              <w:rPr>
                <w:rFonts w:hint="eastAsia" w:ascii="宋体" w:hAnsi="宋体" w:eastAsia="宋体" w:cs="宋体"/>
                <w:color w:val="000000"/>
                <w:sz w:val="22"/>
                <w:szCs w:val="24"/>
                <w:lang w:val="en-US" w:eastAsia="zh-CN" w:bidi="ar-SA"/>
              </w:rPr>
            </w:pPr>
            <w:r>
              <w:rPr>
                <w:rFonts w:hint="eastAsia" w:cs="宋体"/>
                <w:color w:val="000000"/>
                <w:sz w:val="22"/>
                <w:lang w:val="en-US" w:eastAsia="zh-CN"/>
              </w:rPr>
              <w:t>1</w:t>
            </w:r>
          </w:p>
        </w:tc>
        <w:tc>
          <w:tcPr>
            <w:tcW w:w="628" w:type="dxa"/>
            <w:noWrap/>
            <w:vAlign w:val="center"/>
          </w:tcPr>
          <w:p w14:paraId="714F5369">
            <w:pPr>
              <w:keepNext w:val="0"/>
              <w:keepLines w:val="0"/>
              <w:widowControl/>
              <w:suppressLineNumbers w:val="0"/>
              <w:snapToGrid w:val="0"/>
              <w:ind w:firstLine="220" w:firstLineChars="100"/>
              <w:jc w:val="center"/>
              <w:textAlignment w:val="center"/>
              <w:rPr>
                <w:rFonts w:cs="宋体"/>
                <w:color w:val="000000"/>
                <w:sz w:val="22"/>
              </w:rPr>
            </w:pPr>
            <w:r>
              <w:rPr>
                <w:rFonts w:hint="eastAsia" w:ascii="宋体" w:hAnsi="宋体" w:eastAsia="宋体" w:cs="宋体"/>
                <w:i w:val="0"/>
                <w:iCs w:val="0"/>
                <w:color w:val="000000"/>
                <w:kern w:val="0"/>
                <w:sz w:val="22"/>
                <w:szCs w:val="22"/>
                <w:u w:val="none"/>
                <w:lang w:val="en-US" w:eastAsia="zh-CN" w:bidi="ar"/>
              </w:rPr>
              <w:t>15</w:t>
            </w:r>
          </w:p>
        </w:tc>
        <w:tc>
          <w:tcPr>
            <w:tcW w:w="688" w:type="dxa"/>
            <w:noWrap/>
            <w:vAlign w:val="center"/>
          </w:tcPr>
          <w:p w14:paraId="44230FD3">
            <w:pPr>
              <w:snapToGrid w:val="0"/>
              <w:jc w:val="center"/>
              <w:rPr>
                <w:rFonts w:cs="宋体"/>
                <w:color w:val="000000"/>
                <w:sz w:val="22"/>
              </w:rPr>
            </w:pPr>
          </w:p>
        </w:tc>
        <w:tc>
          <w:tcPr>
            <w:tcW w:w="608" w:type="dxa"/>
            <w:vMerge w:val="continue"/>
            <w:noWrap/>
            <w:vAlign w:val="center"/>
          </w:tcPr>
          <w:p w14:paraId="5F107108">
            <w:pPr>
              <w:snapToGrid w:val="0"/>
              <w:jc w:val="center"/>
              <w:rPr>
                <w:rFonts w:cs="宋体"/>
                <w:color w:val="000000"/>
                <w:sz w:val="22"/>
              </w:rPr>
            </w:pPr>
          </w:p>
        </w:tc>
      </w:tr>
    </w:tbl>
    <w:p w14:paraId="7A3F2576">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Style w:val="11"/>
          <w:rFonts w:hint="eastAsia" w:ascii="Times New Roman" w:hAnsi="Times New Roman" w:eastAsia="方正楷体_GBK" w:cs="宋体"/>
          <w:b w:val="0"/>
          <w:bCs/>
          <w:sz w:val="32"/>
          <w:szCs w:val="32"/>
          <w:shd w:val="clear" w:color="auto" w:fill="FFFFFF"/>
          <w:lang w:val="en-US" w:eastAsia="zh-CN" w:bidi="ar-SA"/>
        </w:rPr>
      </w:pPr>
      <w:r>
        <w:rPr>
          <w:rStyle w:val="11"/>
          <w:rFonts w:hint="eastAsia" w:ascii="Times New Roman" w:hAnsi="Times New Roman" w:eastAsia="方正楷体_GBK" w:cs="宋体"/>
          <w:b w:val="0"/>
          <w:bCs/>
          <w:sz w:val="32"/>
          <w:szCs w:val="32"/>
          <w:shd w:val="clear" w:color="auto" w:fill="FFFFFF"/>
          <w:lang w:val="en-US" w:eastAsia="zh-CN" w:bidi="ar-SA"/>
        </w:rPr>
        <w:t>（二）单位重点绩效评价情况</w:t>
      </w:r>
    </w:p>
    <w:p w14:paraId="11126320">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default"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我单位2024年无重点绩效评价。</w:t>
      </w:r>
    </w:p>
    <w:p w14:paraId="0296AF88">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Style w:val="11"/>
          <w:rFonts w:hint="eastAsia" w:ascii="Times New Roman" w:hAnsi="Times New Roman" w:eastAsia="方正楷体_GBK" w:cs="宋体"/>
          <w:b w:val="0"/>
          <w:bCs/>
          <w:sz w:val="32"/>
          <w:szCs w:val="32"/>
          <w:shd w:val="clear" w:color="auto" w:fill="FFFFFF"/>
          <w:lang w:val="en-US" w:eastAsia="zh-CN" w:bidi="ar-SA"/>
        </w:rPr>
      </w:pPr>
      <w:r>
        <w:rPr>
          <w:rStyle w:val="11"/>
          <w:rFonts w:hint="eastAsia" w:ascii="Times New Roman" w:hAnsi="Times New Roman" w:eastAsia="方正楷体_GBK" w:cs="宋体"/>
          <w:b w:val="0"/>
          <w:bCs/>
          <w:sz w:val="32"/>
          <w:szCs w:val="32"/>
          <w:shd w:val="clear" w:color="auto" w:fill="FFFFFF"/>
          <w:lang w:val="en-US" w:eastAsia="zh-CN" w:bidi="ar-SA"/>
        </w:rPr>
        <w:t>（三）财政绩效评价情况</w:t>
      </w:r>
    </w:p>
    <w:p w14:paraId="396F895D">
      <w:pPr>
        <w:keepNext w:val="0"/>
        <w:keepLines w:val="0"/>
        <w:pageBreakBefore w:val="0"/>
        <w:widowControl w:val="0"/>
        <w:tabs>
          <w:tab w:val="center" w:pos="4153"/>
          <w:tab w:val="left" w:pos="7275"/>
        </w:tabs>
        <w:kinsoku/>
        <w:wordWrap/>
        <w:overflowPunct/>
        <w:topLinePunct w:val="0"/>
        <w:autoSpaceDN/>
        <w:bidi w:val="0"/>
        <w:spacing w:line="600" w:lineRule="exact"/>
        <w:ind w:firstLine="640" w:firstLineChars="200"/>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重点绩效评价由区财政局统一公开。</w:t>
      </w:r>
    </w:p>
    <w:p w14:paraId="19F712D8">
      <w:pPr>
        <w:spacing w:line="600" w:lineRule="exact"/>
        <w:ind w:firstLine="640" w:firstLineChars="200"/>
        <w:jc w:val="both"/>
        <w:rPr>
          <w:rStyle w:val="14"/>
          <w:rFonts w:hint="eastAsia" w:ascii="Times New Roman" w:hAnsi="Times New Roman" w:eastAsia="方正黑体_GBK" w:cs="黑体"/>
          <w:b w:val="0"/>
          <w:bCs w:val="0"/>
          <w:sz w:val="32"/>
          <w:szCs w:val="32"/>
          <w:shd w:val="clear" w:color="auto" w:fill="FFFFFF"/>
          <w:lang w:val="en-US" w:eastAsia="zh-CN"/>
        </w:rPr>
      </w:pPr>
      <w:r>
        <w:rPr>
          <w:rStyle w:val="14"/>
          <w:rFonts w:hint="eastAsia" w:ascii="Times New Roman" w:hAnsi="Times New Roman" w:eastAsia="方正黑体_GBK" w:cs="黑体"/>
          <w:b w:val="0"/>
          <w:bCs w:val="0"/>
          <w:sz w:val="32"/>
          <w:szCs w:val="32"/>
          <w:shd w:val="clear" w:color="auto" w:fill="FFFFFF"/>
          <w:lang w:val="en-US" w:eastAsia="zh-CN"/>
        </w:rPr>
        <w:t>六、专业名词解释</w:t>
      </w:r>
    </w:p>
    <w:p w14:paraId="38898C2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（一）财政拨款收入：</w:t>
      </w:r>
      <w:r>
        <w:rPr>
          <w:rFonts w:hint="eastAsia" w:ascii="Times New Roman" w:hAnsi="Times New Roman" w:eastAsia="方正仿宋_GBK" w:cs="方正仿宋_GBK"/>
          <w:kern w:val="0"/>
          <w:sz w:val="32"/>
          <w:szCs w:val="32"/>
          <w:shd w:val="clear" w:fill="FFFFFF"/>
        </w:rPr>
        <w:t>指本年度从本级财政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取得的财政拨款，包括一般公共预算财政拨款和政府性基金预算财政拨款。</w:t>
      </w:r>
    </w:p>
    <w:p w14:paraId="2EF0490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（二）事业收入：</w:t>
      </w:r>
      <w:r>
        <w:rPr>
          <w:rFonts w:hint="eastAsia" w:ascii="Times New Roman" w:hAnsi="Times New Roman"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76B56C2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（三）经营收入：</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指事业单位在专业业务活动及其辅助活动之外开展非独立核算经营活动取得的现金流入。</w:t>
      </w:r>
    </w:p>
    <w:p w14:paraId="0BB0AC1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（四）其他收入：</w:t>
      </w:r>
      <w:r>
        <w:rPr>
          <w:rFonts w:hint="eastAsia" w:ascii="Times New Roman" w:hAnsi="Times New Roman"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以外的同级单位取得的经费、从非本级财政</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取得的经费，以及行政单位收到的财政专户管理资金反映在本项内。</w:t>
      </w:r>
    </w:p>
    <w:p w14:paraId="1D39AEC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（五）使用非财政拨款结余：</w:t>
      </w:r>
      <w:r>
        <w:rPr>
          <w:rFonts w:hint="eastAsia" w:ascii="Times New Roman" w:hAnsi="Times New Roman"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762A2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（六）年初结转和结余：</w:t>
      </w:r>
      <w:r>
        <w:rPr>
          <w:rFonts w:hint="eastAsia" w:ascii="Times New Roman" w:hAnsi="Times New Roman" w:eastAsia="方正仿宋_GBK" w:cs="方正仿宋_GBK"/>
          <w:kern w:val="0"/>
          <w:sz w:val="32"/>
          <w:szCs w:val="32"/>
          <w:shd w:val="clear" w:fill="FFFFFF"/>
        </w:rPr>
        <w:t>指单位上年结转本年使用的基本支出结转、项目支出结转和结余、经营结余。</w:t>
      </w:r>
    </w:p>
    <w:p w14:paraId="5F5E2B1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（七）结余分配：</w:t>
      </w:r>
      <w:r>
        <w:rPr>
          <w:rFonts w:hint="eastAsia" w:ascii="Times New Roman" w:hAnsi="Times New Roman" w:eastAsia="方正仿宋_GBK" w:cs="方正仿宋_GBK"/>
          <w:kern w:val="0"/>
          <w:sz w:val="32"/>
          <w:szCs w:val="32"/>
          <w:shd w:val="clear" w:fill="FFFFFF"/>
        </w:rPr>
        <w:t>指单位按照国家有关规定，缴纳所得税、提取专用基金、转入非财政拨款结余等当年结余的分配情况。</w:t>
      </w:r>
    </w:p>
    <w:p w14:paraId="08BCCDC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（八）年末结转和结余：</w:t>
      </w:r>
      <w:r>
        <w:rPr>
          <w:rFonts w:hint="eastAsia" w:ascii="Times New Roman" w:hAnsi="Times New Roman" w:eastAsia="方正仿宋_GBK" w:cs="方正仿宋_GBK"/>
          <w:kern w:val="0"/>
          <w:sz w:val="32"/>
          <w:szCs w:val="32"/>
          <w:shd w:val="clear" w:fill="FFFFFF"/>
        </w:rPr>
        <w:t>指单位结转下年的基本支出结转、项目支出结转和结余、经营结余。</w:t>
      </w:r>
    </w:p>
    <w:p w14:paraId="65A5ACB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（九）基本支出：</w:t>
      </w:r>
      <w:r>
        <w:rPr>
          <w:rFonts w:hint="eastAsia" w:ascii="Times New Roman" w:hAnsi="Times New Roman"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FBBA89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（十）项目支出：</w:t>
      </w:r>
      <w:r>
        <w:rPr>
          <w:rFonts w:hint="eastAsia" w:ascii="Times New Roman" w:hAnsi="Times New Roman" w:eastAsia="方正仿宋_GBK" w:cs="方正仿宋_GBK"/>
          <w:kern w:val="0"/>
          <w:sz w:val="32"/>
          <w:szCs w:val="32"/>
          <w:shd w:val="clear" w:fill="FFFFFF"/>
        </w:rPr>
        <w:t>指在基本支出之外为完成特定行政任务和事业发展目标所发生的支出。</w:t>
      </w:r>
    </w:p>
    <w:p w14:paraId="10185AF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（十一）经营支出：</w:t>
      </w:r>
      <w:r>
        <w:rPr>
          <w:rFonts w:hint="eastAsia" w:ascii="Times New Roman" w:hAnsi="Times New Roman" w:eastAsia="方正仿宋_GBK" w:cs="方正仿宋_GBK"/>
          <w:kern w:val="0"/>
          <w:sz w:val="32"/>
          <w:szCs w:val="32"/>
          <w:shd w:val="clear" w:fill="FFFFFF"/>
        </w:rPr>
        <w:t>指事业单位在专业业务活动及其辅助活动之外开展非独立核算经营活动发生的支出。</w:t>
      </w:r>
    </w:p>
    <w:p w14:paraId="1AAB2D3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（十二）“三公”经费：</w:t>
      </w:r>
      <w:r>
        <w:rPr>
          <w:rFonts w:hint="eastAsia" w:ascii="Times New Roman" w:hAnsi="Times New Roman"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B0026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（十三）机关运行经费：</w:t>
      </w:r>
      <w:r>
        <w:rPr>
          <w:rFonts w:hint="eastAsia" w:ascii="Times New Roman" w:hAnsi="Times New Roman"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9B884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kern w:val="0"/>
          <w:sz w:val="32"/>
          <w:szCs w:val="32"/>
          <w:shd w:val="clear" w:fill="FFFFFF"/>
        </w:rPr>
        <w:t>反映单位开支的在职职工和编制外长期聘用人员的各类劳动报酬，以及为上述人员缴纳的各项社会保险费等。</w:t>
      </w:r>
    </w:p>
    <w:p w14:paraId="4C32F3C5">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kern w:val="0"/>
          <w:sz w:val="32"/>
          <w:szCs w:val="32"/>
          <w:shd w:val="clear" w:fill="FFFFFF"/>
        </w:rPr>
        <w:t>反映单位购买商品和服务的支出（不包括用于购置固定资产的支出、战略性和应急储备支出）。</w:t>
      </w:r>
    </w:p>
    <w:p w14:paraId="6AB23D4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kern w:val="0"/>
          <w:sz w:val="32"/>
          <w:szCs w:val="32"/>
          <w:shd w:val="clear" w:fill="FFFFFF"/>
        </w:rPr>
        <w:t>反映用于对个人和家庭的补助支出。</w:t>
      </w:r>
    </w:p>
    <w:p w14:paraId="72239B1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kern w:val="0"/>
          <w:sz w:val="32"/>
          <w:szCs w:val="32"/>
        </w:rPr>
      </w:pPr>
      <w:r>
        <w:rPr>
          <w:rStyle w:val="11"/>
          <w:rFonts w:hint="eastAsia" w:ascii="Times New Roman" w:hAnsi="Times New Roman" w:eastAsia="方正楷体_GBK" w:cs="宋体"/>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kern w:val="0"/>
          <w:sz w:val="32"/>
          <w:szCs w:val="32"/>
          <w:shd w:val="clear" w:fill="FFFFFF"/>
        </w:rPr>
        <w:t>反映非各级发展与改革</w:t>
      </w:r>
      <w:r>
        <w:rPr>
          <w:rFonts w:hint="eastAsia" w:ascii="Times New Roman" w:hAnsi="Times New Roman" w:eastAsia="方正仿宋_GBK" w:cs="方正仿宋_GBK"/>
          <w:kern w:val="0"/>
          <w:sz w:val="32"/>
          <w:szCs w:val="32"/>
          <w:shd w:val="clear" w:fill="FFFFFF"/>
          <w:lang w:eastAsia="zh-CN"/>
        </w:rPr>
        <w:t>单位</w:t>
      </w:r>
      <w:r>
        <w:rPr>
          <w:rFonts w:hint="eastAsia" w:ascii="Times New Roman" w:hAnsi="Times New Roman"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5E0BEC1E">
      <w:pPr>
        <w:spacing w:line="600" w:lineRule="exact"/>
        <w:ind w:firstLine="640" w:firstLineChars="200"/>
        <w:jc w:val="both"/>
        <w:rPr>
          <w:rStyle w:val="14"/>
          <w:rFonts w:hint="eastAsia" w:ascii="Times New Roman" w:hAnsi="Times New Roman" w:eastAsia="方正黑体_GBK" w:cs="黑体"/>
          <w:b w:val="0"/>
          <w:bCs w:val="0"/>
          <w:sz w:val="32"/>
          <w:szCs w:val="32"/>
          <w:shd w:val="clear" w:color="auto" w:fill="FFFFFF"/>
        </w:rPr>
      </w:pPr>
      <w:r>
        <w:rPr>
          <w:rStyle w:val="14"/>
          <w:rFonts w:hint="eastAsia" w:ascii="Times New Roman" w:hAnsi="Times New Roman" w:eastAsia="方正黑体_GBK" w:cs="黑体"/>
          <w:b w:val="0"/>
          <w:bCs w:val="0"/>
          <w:sz w:val="32"/>
          <w:szCs w:val="32"/>
          <w:shd w:val="clear" w:color="auto" w:fill="FFFFFF"/>
          <w:lang w:val="en-US" w:eastAsia="zh-CN"/>
        </w:rPr>
        <w:t>七、决算公开联系方式及信息反馈渠道</w:t>
      </w:r>
    </w:p>
    <w:p w14:paraId="1CC2B92E">
      <w:pPr>
        <w:spacing w:line="600" w:lineRule="exact"/>
        <w:ind w:firstLine="620" w:firstLineChars="200"/>
        <w:jc w:val="both"/>
        <w:rPr>
          <w:rFonts w:hint="default" w:ascii="Times New Roman" w:hAnsi="Times New Roman" w:eastAsia="方正仿宋_GBK" w:cs="方正仿宋_GBK"/>
          <w:i w:val="0"/>
          <w:iCs w:val="0"/>
          <w:caps w:val="0"/>
          <w:color w:val="333333"/>
          <w:spacing w:val="0"/>
          <w:sz w:val="31"/>
          <w:szCs w:val="31"/>
        </w:rPr>
      </w:pPr>
      <w:r>
        <w:rPr>
          <w:rFonts w:ascii="Times New Roman" w:hAnsi="Times New Roman" w:eastAsia="方正仿宋_GBK" w:cs="方正仿宋_GBK"/>
          <w:i w:val="0"/>
          <w:iCs w:val="0"/>
          <w:caps w:val="0"/>
          <w:color w:val="333333"/>
          <w:spacing w:val="0"/>
          <w:sz w:val="31"/>
          <w:szCs w:val="31"/>
          <w:shd w:val="clear" w:fill="FFFFFF"/>
        </w:rPr>
        <w:t>本单位决算公开信息反馈和联系方式：</w:t>
      </w:r>
      <w:r>
        <w:rPr>
          <w:rFonts w:hint="default" w:ascii="Times New Roman" w:hAnsi="Times New Roman" w:eastAsia="方正仿宋_GBK" w:cs="方正仿宋_GBK"/>
          <w:i w:val="0"/>
          <w:iCs w:val="0"/>
          <w:caps w:val="0"/>
          <w:color w:val="333333"/>
          <w:spacing w:val="0"/>
          <w:sz w:val="31"/>
          <w:szCs w:val="31"/>
        </w:rPr>
        <w:t>023-65785008</w:t>
      </w:r>
    </w:p>
    <w:p w14:paraId="2763309B">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附件：1.收入支出决算总表</w:t>
      </w:r>
    </w:p>
    <w:p w14:paraId="097BDA90">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2.收入决算表</w:t>
      </w:r>
    </w:p>
    <w:p w14:paraId="50C7F7D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3.支出决算表</w:t>
      </w:r>
    </w:p>
    <w:p w14:paraId="53E0DB8F">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4.财政拨款收入支出决算总表</w:t>
      </w:r>
    </w:p>
    <w:p w14:paraId="6B98DCD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5.一般公共预算财政拨款支出决算表</w:t>
      </w:r>
    </w:p>
    <w:p w14:paraId="38E08A29">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6.一般公共预算财政拨款基本支出决算表</w:t>
      </w:r>
    </w:p>
    <w:p w14:paraId="51F4BDB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7.政府性基金预算财政拨款收入支出决算表</w:t>
      </w:r>
    </w:p>
    <w:p w14:paraId="77358B41">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8.国有资本经营预算财政拨款支出决算表</w:t>
      </w:r>
    </w:p>
    <w:p w14:paraId="040BFE36">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Times New Roman" w:hAnsi="Times New Roman" w:eastAsia="方正仿宋_GBK" w:cs="方正仿宋_GBK"/>
          <w:kern w:val="0"/>
          <w:sz w:val="32"/>
          <w:szCs w:val="32"/>
          <w:shd w:val="clear" w:fill="FFFFFF"/>
          <w:lang w:val="en-US" w:eastAsia="zh-CN" w:bidi="ar-SA"/>
        </w:rPr>
      </w:pPr>
      <w:r>
        <w:rPr>
          <w:rFonts w:hint="eastAsia" w:ascii="Times New Roman" w:hAnsi="Times New Roman" w:eastAsia="方正仿宋_GBK" w:cs="方正仿宋_GBK"/>
          <w:kern w:val="0"/>
          <w:sz w:val="32"/>
          <w:szCs w:val="32"/>
          <w:shd w:val="clear" w:fill="FFFFFF"/>
          <w:lang w:val="en-US" w:eastAsia="zh-CN" w:bidi="ar-SA"/>
        </w:rPr>
        <w:t>9.机构运行信息表</w:t>
      </w:r>
    </w:p>
    <w:p w14:paraId="44348FD7">
      <w:pPr>
        <w:pStyle w:val="12"/>
        <w:keepNext w:val="0"/>
        <w:keepLines w:val="0"/>
        <w:pageBreakBefore w:val="0"/>
        <w:widowControl w:val="0"/>
        <w:kinsoku/>
        <w:wordWrap/>
        <w:overflowPunct/>
        <w:topLinePunct w:val="0"/>
        <w:autoSpaceDE w:val="0"/>
        <w:autoSpaceDN/>
        <w:bidi w:val="0"/>
        <w:spacing w:line="600" w:lineRule="exact"/>
        <w:ind w:firstLine="640"/>
        <w:jc w:val="both"/>
        <w:textAlignment w:val="auto"/>
        <w:rPr>
          <w:rStyle w:val="11"/>
          <w:rFonts w:ascii="Times New Roman" w:hAnsi="Times New Roman"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3F7DE25A">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A3CBD3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97F85C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CC2F01">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718A1F9">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773B545">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ECD3E1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50E9B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AC86AE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CF412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重庆市九龙坡区陶家镇中学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52D3967">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FFC45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764B5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5931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9A23B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46EB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282B">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DCE5">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7FDB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86DB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8F008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F1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C05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6FD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F66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7A34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370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8F2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0F6C">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8B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C715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D20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5C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2FB6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312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D836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EC00">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CD4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BDCC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65A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2C08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DC9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38B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36B1D">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D3C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797.53</w:t>
            </w:r>
            <w:r>
              <w:rPr>
                <w:rFonts w:ascii="Times New Roman" w:hAnsi="Times New Roman"/>
                <w:color w:val="000000"/>
                <w:sz w:val="20"/>
                <w:u w:color="auto"/>
              </w:rPr>
              <w:t xml:space="preserve"> </w:t>
            </w:r>
          </w:p>
        </w:tc>
      </w:tr>
      <w:tr w14:paraId="57E87C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87A4">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3D5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00CD">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BB6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A7E7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ED6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35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B3731">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9D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BB8E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744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D3CE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8600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BA9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102.69</w:t>
            </w:r>
            <w:r>
              <w:rPr>
                <w:rFonts w:ascii="Times New Roman" w:hAnsi="Times New Roman"/>
                <w:color w:val="000000"/>
                <w:sz w:val="20"/>
                <w:u w:color="auto"/>
              </w:rPr>
              <w:t xml:space="preserve"> </w:t>
            </w:r>
          </w:p>
        </w:tc>
      </w:tr>
      <w:tr w14:paraId="451ADE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2F1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5B10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F9EB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28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36.98</w:t>
            </w:r>
            <w:r>
              <w:rPr>
                <w:rFonts w:ascii="Times New Roman" w:hAnsi="Times New Roman"/>
                <w:color w:val="000000"/>
                <w:sz w:val="20"/>
                <w:u w:color="auto"/>
              </w:rPr>
              <w:t xml:space="preserve"> </w:t>
            </w:r>
          </w:p>
        </w:tc>
      </w:tr>
      <w:tr w14:paraId="3D5359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E4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217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392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324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C5B4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EE9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039C1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32CC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80F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D85F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5520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5D77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4F49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2D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5C68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1734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E1C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E3A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37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38CF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8E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D98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AD61">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E58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34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D85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669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A9F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49D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9E69E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38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8A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3F8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086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DC09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801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A5BC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5F9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43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9FFAD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A97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999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DBE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5A7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730A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E7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8E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94F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9BC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53.22</w:t>
            </w:r>
            <w:r>
              <w:rPr>
                <w:rFonts w:ascii="Times New Roman" w:hAnsi="Times New Roman"/>
                <w:color w:val="000000"/>
                <w:sz w:val="20"/>
                <w:u w:color="auto"/>
              </w:rPr>
              <w:t xml:space="preserve"> </w:t>
            </w:r>
          </w:p>
        </w:tc>
      </w:tr>
      <w:tr w14:paraId="142E1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64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4FF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79C8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9207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714B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F7C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772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EC3A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292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B6E97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1F8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48B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8641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065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ABD4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1E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735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05CB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226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93E0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A361">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CCB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15B6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DD7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6341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5F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228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F93C">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F4C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DB39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E8F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69D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6320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46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1EDA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167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A9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A45A">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377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990.43</w:t>
            </w:r>
            <w:r>
              <w:rPr>
                <w:rFonts w:ascii="Times New Roman" w:hAnsi="Times New Roman"/>
                <w:color w:val="000000"/>
                <w:sz w:val="20"/>
                <w:u w:color="auto"/>
              </w:rPr>
              <w:t xml:space="preserve"> </w:t>
            </w:r>
          </w:p>
        </w:tc>
      </w:tr>
      <w:tr w14:paraId="300380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5E3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1DB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8BB7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FC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0630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6A2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F0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57F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B8AC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EC010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C10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46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990.43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D3D642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4B7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990.43</w:t>
            </w:r>
            <w:r>
              <w:rPr>
                <w:rFonts w:ascii="Times New Roman" w:hAnsi="Times New Roman"/>
                <w:color w:val="000000"/>
                <w:sz w:val="20"/>
                <w:u w:color="auto"/>
              </w:rPr>
              <w:t xml:space="preserve"> </w:t>
            </w:r>
          </w:p>
        </w:tc>
      </w:tr>
    </w:tbl>
    <w:p w14:paraId="3475BB8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BF0ADE5">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4E55CFF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023743F">
            <w:pPr>
              <w:jc w:val="center"/>
              <w:textAlignment w:val="bottom"/>
              <w:rPr>
                <w:rFonts w:hint="default" w:cs="宋体"/>
                <w:b/>
                <w:color w:val="000000"/>
                <w:sz w:val="32"/>
                <w:szCs w:val="32"/>
              </w:rPr>
            </w:pPr>
            <w:r>
              <w:rPr>
                <w:rFonts w:cs="宋体"/>
                <w:b/>
                <w:color w:val="000000"/>
                <w:sz w:val="32"/>
                <w:szCs w:val="32"/>
              </w:rPr>
              <w:t>收入决算表</w:t>
            </w:r>
          </w:p>
        </w:tc>
      </w:tr>
      <w:tr w14:paraId="73B82A9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58AE91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重庆市九龙坡区陶家镇中学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49CF4FC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190EC00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8B7724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E6DB97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77B44A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9779CE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A05B2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5A6A4F9">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ABF20A7">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DD8755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4B6CC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415C6C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A24028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C2700F6">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6473CB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2EE9A4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9397E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E0C1D1F">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8195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7ABB6">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000B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9DA9CC">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CA40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53FC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56BDB">
            <w:pPr>
              <w:jc w:val="center"/>
              <w:textAlignment w:val="center"/>
              <w:rPr>
                <w:rFonts w:hint="default" w:cs="宋体"/>
                <w:b/>
                <w:color w:val="000000"/>
                <w:sz w:val="20"/>
                <w:szCs w:val="20"/>
              </w:rPr>
            </w:pPr>
            <w:r>
              <w:rPr>
                <w:rFonts w:cs="宋体"/>
                <w:b/>
                <w:color w:val="000000"/>
                <w:sz w:val="20"/>
                <w:szCs w:val="20"/>
              </w:rPr>
              <w:t>其他收入</w:t>
            </w:r>
          </w:p>
        </w:tc>
      </w:tr>
      <w:tr w14:paraId="2683A8E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9AD7">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F465ED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39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00FC1">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24A1">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8732">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C1A4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CF9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540D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37F2">
            <w:pPr>
              <w:jc w:val="center"/>
              <w:rPr>
                <w:rFonts w:hint="default" w:cs="宋体"/>
                <w:b/>
                <w:color w:val="000000"/>
                <w:sz w:val="20"/>
                <w:szCs w:val="20"/>
              </w:rPr>
            </w:pPr>
          </w:p>
        </w:tc>
      </w:tr>
      <w:tr w14:paraId="6FFE8BB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538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59815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986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D9A2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D60F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097E">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3399">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C401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F633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4523B">
            <w:pPr>
              <w:jc w:val="center"/>
              <w:rPr>
                <w:rFonts w:hint="default" w:cs="宋体"/>
                <w:b/>
                <w:color w:val="000000"/>
                <w:sz w:val="20"/>
                <w:szCs w:val="20"/>
              </w:rPr>
            </w:pPr>
          </w:p>
        </w:tc>
      </w:tr>
      <w:tr w14:paraId="2601181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778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90AE8B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354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649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04D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30DD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719C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E20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FF93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EC812">
            <w:pPr>
              <w:jc w:val="center"/>
              <w:rPr>
                <w:rFonts w:hint="default" w:cs="宋体"/>
                <w:b/>
                <w:color w:val="000000"/>
                <w:sz w:val="20"/>
                <w:szCs w:val="20"/>
              </w:rPr>
            </w:pPr>
          </w:p>
        </w:tc>
      </w:tr>
      <w:tr w14:paraId="7B8D669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084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D456DB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FA8E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986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D637">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38C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E6F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5B6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0EB1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52DF2">
            <w:pPr>
              <w:jc w:val="center"/>
              <w:rPr>
                <w:rFonts w:hint="default" w:cs="宋体"/>
                <w:b/>
                <w:color w:val="000000"/>
                <w:sz w:val="20"/>
                <w:szCs w:val="20"/>
              </w:rPr>
            </w:pPr>
          </w:p>
        </w:tc>
      </w:tr>
      <w:tr w14:paraId="29708B13">
        <w:tblPrEx>
          <w:tblCellMar>
            <w:top w:w="0" w:type="dxa"/>
            <w:left w:w="0" w:type="dxa"/>
            <w:bottom w:w="0" w:type="dxa"/>
            <w:right w:w="0" w:type="dxa"/>
          </w:tblCellMar>
        </w:tblPrEx>
        <w:trPr>
          <w:trHeight w:val="283"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CC46">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E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990.43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F9D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990.43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1D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AC0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11E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83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DE0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1A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28EA29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4BE0">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A5032">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F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4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4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A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5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E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0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48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AB6FD5">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E454">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367FD">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F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F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3E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7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3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CB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7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6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A84FAD">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86EF">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30F2">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27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8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2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6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9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A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5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C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D9FD9">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BD2D">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8AF05">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D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2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F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5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17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A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0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F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D6B16E">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D864">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AD331">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5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0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D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0F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0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F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B6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2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31E46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5A8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3AD6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B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ED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6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B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A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C7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1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D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97B49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A5D3">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9BD2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1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4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E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3E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3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6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1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82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6827B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2933">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5742">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2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B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9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0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0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C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B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386727">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5A9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0F2F">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F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C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17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0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3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3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A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A2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BA81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3A881">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10CA">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E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A2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5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F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5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2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6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10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003632">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C975">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761A">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D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EC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E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8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0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5B2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3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0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07F634">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3D1B">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F89D">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2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1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6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E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9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E2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F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F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CB8DBC">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F7C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F0FB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2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7E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9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1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F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8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5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1C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257E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87C2">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A5D2F">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2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4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8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61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0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62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0C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1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75E43F">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A58">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F5D2B">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2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4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0E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4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3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9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1F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E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73E78B">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A963">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6BF4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B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EF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FB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D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E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A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E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19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E80014">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B89B">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4C91E">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E7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5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9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9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B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9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7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83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69C88">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1E22">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BA4E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9A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7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9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A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1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5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72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A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37C4ED">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BC5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46BB">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3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6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F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E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E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A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8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2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F8160">
        <w:tblPrEx>
          <w:tblCellMar>
            <w:top w:w="0" w:type="dxa"/>
            <w:left w:w="0" w:type="dxa"/>
            <w:bottom w:w="0" w:type="dxa"/>
            <w:right w:w="0" w:type="dxa"/>
          </w:tblCellMar>
        </w:tblPrEx>
        <w:trPr>
          <w:trHeight w:val="283"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D9E7">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DD5C4">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9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22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5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A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4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2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3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12768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3C7EED92">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41F90A6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6D74C9">
            <w:pPr>
              <w:jc w:val="center"/>
              <w:textAlignment w:val="bottom"/>
              <w:rPr>
                <w:rFonts w:hint="default" w:cs="宋体"/>
                <w:b/>
                <w:color w:val="000000"/>
                <w:sz w:val="32"/>
                <w:szCs w:val="32"/>
              </w:rPr>
            </w:pPr>
            <w:r>
              <w:rPr>
                <w:rFonts w:cs="宋体"/>
                <w:b/>
                <w:color w:val="000000"/>
                <w:sz w:val="32"/>
                <w:szCs w:val="32"/>
              </w:rPr>
              <w:t>支出决算表</w:t>
            </w:r>
          </w:p>
        </w:tc>
      </w:tr>
      <w:tr w14:paraId="0D41E43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F9D8F9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重庆市九龙坡区陶家镇中学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F7950F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6A92F02">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ACA232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E07B57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9EACE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B14E6B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60F50DD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96DA62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6F7F10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293C2F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E246C4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768C9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240C7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A60F1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EA1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A6E75">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D81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30944">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6D4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42B29">
            <w:pPr>
              <w:jc w:val="center"/>
              <w:textAlignment w:val="center"/>
              <w:rPr>
                <w:rFonts w:hint="default" w:cs="宋体"/>
                <w:b/>
                <w:color w:val="000000"/>
                <w:sz w:val="20"/>
                <w:szCs w:val="20"/>
              </w:rPr>
            </w:pPr>
            <w:r>
              <w:rPr>
                <w:rFonts w:cs="宋体"/>
                <w:b/>
                <w:color w:val="000000"/>
                <w:sz w:val="20"/>
                <w:szCs w:val="20"/>
              </w:rPr>
              <w:t>对附属单位补助支出</w:t>
            </w:r>
          </w:p>
        </w:tc>
      </w:tr>
      <w:tr w14:paraId="1CBB3DC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E5AD">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E74A5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0D1A">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10A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913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3DB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1624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59178">
            <w:pPr>
              <w:jc w:val="center"/>
              <w:rPr>
                <w:rFonts w:hint="default" w:cs="宋体"/>
                <w:b/>
                <w:color w:val="000000"/>
                <w:sz w:val="20"/>
                <w:szCs w:val="20"/>
              </w:rPr>
            </w:pPr>
          </w:p>
        </w:tc>
      </w:tr>
      <w:tr w14:paraId="5F31A2F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CB1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59A43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FAEC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BBE7">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E9FA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C85B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2EC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C26EF">
            <w:pPr>
              <w:jc w:val="center"/>
              <w:rPr>
                <w:rFonts w:hint="default" w:cs="宋体"/>
                <w:b/>
                <w:color w:val="000000"/>
                <w:sz w:val="20"/>
                <w:szCs w:val="20"/>
              </w:rPr>
            </w:pPr>
          </w:p>
        </w:tc>
      </w:tr>
      <w:tr w14:paraId="36A5276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91E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BE818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0D35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45D0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81F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B138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9228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D278">
            <w:pPr>
              <w:jc w:val="center"/>
              <w:rPr>
                <w:rFonts w:hint="default" w:cs="宋体"/>
                <w:b/>
                <w:color w:val="000000"/>
                <w:sz w:val="20"/>
                <w:szCs w:val="20"/>
              </w:rPr>
            </w:pPr>
          </w:p>
        </w:tc>
      </w:tr>
      <w:tr w14:paraId="16AA3D96">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8E8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E3B12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AB0F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C81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F32D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A763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D7FE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9AAB">
            <w:pPr>
              <w:jc w:val="center"/>
              <w:rPr>
                <w:rFonts w:hint="default" w:cs="宋体"/>
                <w:b/>
                <w:color w:val="000000"/>
                <w:sz w:val="20"/>
                <w:szCs w:val="20"/>
              </w:rPr>
            </w:pPr>
          </w:p>
        </w:tc>
      </w:tr>
      <w:tr w14:paraId="30CB0458">
        <w:tblPrEx>
          <w:tblCellMar>
            <w:top w:w="0" w:type="dxa"/>
            <w:left w:w="0" w:type="dxa"/>
            <w:bottom w:w="0" w:type="dxa"/>
            <w:right w:w="0" w:type="dxa"/>
          </w:tblCellMar>
        </w:tblPrEx>
        <w:trPr>
          <w:trHeight w:val="283"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B9A0B">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555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990.43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8ED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811.33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E86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179.10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AE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D8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F24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8F5A0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013A">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EA8B">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1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797.53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71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01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5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8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2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1DF47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D06D">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7BB0">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653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B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618.43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9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C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F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3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216CA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5EA2">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A3836">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11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D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618.43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2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6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3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D7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EFE5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9A1C">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EB6C9">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E5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0A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8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56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D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9D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03BCD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725D">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0CEC3">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5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9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E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E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B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1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4643A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9D3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93DB3">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5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6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C9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3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6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2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A23ED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2206">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03D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AB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C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C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7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0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3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EC27E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2B1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A7B6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8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B9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F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4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7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BF7E79">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BB0F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825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2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F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B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C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1C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276F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203B">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FEF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6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1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C6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49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8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8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DFBB65">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A052">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32BB4">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0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1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3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D5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FC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91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DFB9B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25745">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79C2">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3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76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4F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C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0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F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4B47B8">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7C0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8B4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2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4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5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E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E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C3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699D21">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F77E">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0087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BD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A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C1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1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2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3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960CB6">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DF4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D5F02">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4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D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5F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9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E4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4E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38E494">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CB01">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A23E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43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B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1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6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E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9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19765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FD5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932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F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C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88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E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B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0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C7918A">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B0EE">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D56B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0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7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4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9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B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1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77CDB">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0060">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0EAF">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7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12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C5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C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B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FF7D10">
        <w:tblPrEx>
          <w:tblCellMar>
            <w:top w:w="0" w:type="dxa"/>
            <w:left w:w="0" w:type="dxa"/>
            <w:bottom w:w="0" w:type="dxa"/>
            <w:right w:w="0" w:type="dxa"/>
          </w:tblCellMar>
        </w:tblPrEx>
        <w:trPr>
          <w:trHeight w:val="283"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5AF6">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005D">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8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B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1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C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CC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DD1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BEE5EC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81AF5C2">
      <w:pPr>
        <w:rPr>
          <w:rFonts w:hint="default" w:cs="宋体"/>
          <w:sz w:val="21"/>
          <w:szCs w:val="21"/>
        </w:rPr>
      </w:pPr>
      <w:r>
        <w:rPr>
          <w:rFonts w:cs="宋体"/>
          <w:sz w:val="21"/>
          <w:szCs w:val="21"/>
        </w:rPr>
        <w:br w:type="page"/>
      </w:r>
    </w:p>
    <w:p w14:paraId="472F8C06">
      <w:pPr>
        <w:rPr>
          <w:rFonts w:hint="default" w:cs="宋体"/>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5E1891F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3E4B96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644B1CA">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274C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重庆市九龙坡区陶家镇中学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52B8889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509618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3BAC5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E7452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93B7A6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452E6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79899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4091E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5E6E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2A8DB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9C6C26">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F3F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FCB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107175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A219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833B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1E7F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4F9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5763A0F">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A53F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2B7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A1F9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93F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4D4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C7F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487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D0526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D96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30C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81E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60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2F6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E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CE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8595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EA4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264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560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2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2F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F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E1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211F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2E9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3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EAE7">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A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B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D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2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A15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F0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F4C31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F4D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3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6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7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D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547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FF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A9D3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8F0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41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52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797.53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CC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5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681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01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BF1D8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62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8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4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E2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5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830A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7B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04DA7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0F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07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B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9C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E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CE63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78B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57C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1BAB7">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F3A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25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54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D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36F1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D3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1422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BFE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9D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3F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09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1C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640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1E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4C6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C47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D7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62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2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3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7444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EC0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CE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84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C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3F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04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33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36B2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0F0A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064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905A">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9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AF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5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A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587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2C9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E5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2BB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9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CD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DC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BB1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8F6B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0A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FE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59B9">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8C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64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E3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73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AA71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457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19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7CF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EC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F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5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E6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14FB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34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DA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DB9D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3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2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6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DC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B047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C5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DD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73E3">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D4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1F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9BA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0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A0B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45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DBC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1B17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0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B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F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F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36085">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006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E1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0C0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E6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C3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51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C7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71F7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4C3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1B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FDA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C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0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5C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85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016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DC3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ED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FCA7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39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A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FA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A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697C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84A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30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B017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2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15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F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FA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61EED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83D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45D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8CA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C1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4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3F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A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EB4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4CD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48D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E62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E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6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33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C9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F27F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212BF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3B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AC370">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CB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0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4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2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1D0F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84FC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77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126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5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E5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37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F5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183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9A5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366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989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42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BD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1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4E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9DA7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90BA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18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5BC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46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B1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03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CE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45A9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B33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00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9BA8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E015D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2447B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798B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92FD9">
            <w:pPr>
              <w:spacing w:line="200" w:lineRule="exact"/>
              <w:rPr>
                <w:rFonts w:hint="default" w:ascii="Times New Roman" w:hAnsi="Times New Roman"/>
                <w:color w:val="000000"/>
                <w:sz w:val="18"/>
                <w:szCs w:val="18"/>
              </w:rPr>
            </w:pPr>
          </w:p>
        </w:tc>
      </w:tr>
      <w:tr w14:paraId="1A0D64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A758">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1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FDA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F5C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321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E54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8D55">
            <w:pPr>
              <w:spacing w:line="200" w:lineRule="exact"/>
              <w:jc w:val="right"/>
              <w:rPr>
                <w:rFonts w:hint="default" w:ascii="Times New Roman" w:hAnsi="Times New Roman"/>
                <w:color w:val="000000"/>
                <w:sz w:val="18"/>
                <w:szCs w:val="18"/>
              </w:rPr>
            </w:pPr>
          </w:p>
        </w:tc>
      </w:tr>
      <w:tr w14:paraId="0CB089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9B6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3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43A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CC1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FF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4D4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7D33A">
            <w:pPr>
              <w:spacing w:line="200" w:lineRule="exact"/>
              <w:jc w:val="right"/>
              <w:rPr>
                <w:rFonts w:hint="default" w:ascii="Times New Roman" w:hAnsi="Times New Roman"/>
                <w:color w:val="000000"/>
                <w:sz w:val="18"/>
                <w:szCs w:val="18"/>
              </w:rPr>
            </w:pPr>
          </w:p>
        </w:tc>
      </w:tr>
      <w:tr w14:paraId="32F04CC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618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B5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A48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8C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706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BFC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B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6D0770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7E89B089">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EB2622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D8169A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4C64B9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EABF98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B7AD1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5E60116">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C61BA3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0117CC3">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58A6E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E5D6AE">
        <w:tblPrEx>
          <w:tblCellMar>
            <w:top w:w="0" w:type="dxa"/>
            <w:left w:w="0" w:type="dxa"/>
            <w:bottom w:w="0" w:type="dxa"/>
            <w:right w:w="0" w:type="dxa"/>
          </w:tblCellMar>
        </w:tblPrEx>
        <w:trPr>
          <w:trHeight w:val="576"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3D3F">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E9D6E8">
            <w:pPr>
              <w:jc w:val="center"/>
              <w:textAlignment w:val="center"/>
              <w:rPr>
                <w:rFonts w:hint="default" w:cs="宋体"/>
                <w:b/>
                <w:color w:val="000000"/>
                <w:sz w:val="20"/>
                <w:szCs w:val="20"/>
              </w:rPr>
            </w:pPr>
            <w:r>
              <w:rPr>
                <w:rFonts w:cs="宋体"/>
                <w:b/>
                <w:color w:val="000000"/>
                <w:sz w:val="20"/>
                <w:szCs w:val="20"/>
              </w:rPr>
              <w:t>本年支出</w:t>
            </w:r>
          </w:p>
        </w:tc>
      </w:tr>
      <w:tr w14:paraId="5FDF4A1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C80A0">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ED783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6CF299">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B0B3C">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B757E">
            <w:pPr>
              <w:jc w:val="center"/>
              <w:textAlignment w:val="center"/>
              <w:rPr>
                <w:rFonts w:hint="default" w:cs="宋体"/>
                <w:b/>
                <w:color w:val="000000"/>
                <w:sz w:val="20"/>
                <w:szCs w:val="20"/>
              </w:rPr>
            </w:pPr>
            <w:r>
              <w:rPr>
                <w:rFonts w:cs="宋体"/>
                <w:b/>
                <w:color w:val="000000"/>
                <w:sz w:val="20"/>
                <w:szCs w:val="20"/>
              </w:rPr>
              <w:t>项目支出</w:t>
            </w:r>
          </w:p>
        </w:tc>
      </w:tr>
      <w:tr w14:paraId="3BDCE13B">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68CA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47CE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08D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339F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CB3DD">
            <w:pPr>
              <w:jc w:val="center"/>
              <w:rPr>
                <w:rFonts w:hint="default" w:cs="宋体"/>
                <w:b/>
                <w:color w:val="000000"/>
                <w:sz w:val="20"/>
                <w:szCs w:val="20"/>
              </w:rPr>
            </w:pPr>
          </w:p>
        </w:tc>
      </w:tr>
      <w:tr w14:paraId="5E730CE5">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00BC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94F8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AED3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28E3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40BB7">
            <w:pPr>
              <w:jc w:val="center"/>
              <w:rPr>
                <w:rFonts w:hint="default" w:cs="宋体"/>
                <w:b/>
                <w:color w:val="000000"/>
                <w:sz w:val="20"/>
                <w:szCs w:val="20"/>
              </w:rPr>
            </w:pPr>
          </w:p>
        </w:tc>
      </w:tr>
      <w:tr w14:paraId="67B5A838">
        <w:tblPrEx>
          <w:tblCellMar>
            <w:top w:w="0" w:type="dxa"/>
            <w:left w:w="0" w:type="dxa"/>
            <w:bottom w:w="0" w:type="dxa"/>
            <w:right w:w="0" w:type="dxa"/>
          </w:tblCellMar>
        </w:tblPrEx>
        <w:trPr>
          <w:trHeight w:val="295"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CF9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1E1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990.43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21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A9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179.10</w:t>
            </w:r>
            <w:r>
              <w:rPr>
                <w:rFonts w:ascii="Times New Roman" w:hAnsi="Times New Roman"/>
                <w:b/>
                <w:color w:val="000000"/>
                <w:sz w:val="20"/>
                <w:u w:color="auto"/>
              </w:rPr>
              <w:t xml:space="preserve"> </w:t>
            </w:r>
          </w:p>
        </w:tc>
      </w:tr>
      <w:tr w14:paraId="17D601D5">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7FD2">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A97C2">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411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797.53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2B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951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179.10</w:t>
            </w:r>
            <w:r>
              <w:rPr>
                <w:rFonts w:ascii="Times New Roman" w:hAnsi="Times New Roman"/>
                <w:b/>
                <w:color w:val="000000"/>
                <w:sz w:val="20"/>
                <w:u w:color="auto"/>
              </w:rPr>
              <w:t xml:space="preserve"> </w:t>
            </w:r>
          </w:p>
        </w:tc>
      </w:tr>
      <w:tr w14:paraId="706A8935">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FEEF">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A7C8">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F76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11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618.43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62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174.93</w:t>
            </w:r>
            <w:r>
              <w:rPr>
                <w:rFonts w:ascii="Times New Roman" w:hAnsi="Times New Roman"/>
                <w:b/>
                <w:color w:val="000000"/>
                <w:sz w:val="20"/>
                <w:u w:color="auto"/>
              </w:rPr>
              <w:t xml:space="preserve"> </w:t>
            </w:r>
          </w:p>
        </w:tc>
      </w:tr>
      <w:tr w14:paraId="3DD6183A">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9A6D">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24BE1">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11B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B584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618.43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571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174.93</w:t>
            </w:r>
            <w:r>
              <w:rPr>
                <w:rFonts w:ascii="Times New Roman" w:hAnsi="Times New Roman"/>
                <w:color w:val="000000"/>
                <w:sz w:val="20"/>
                <w:u w:color="auto"/>
              </w:rPr>
              <w:t xml:space="preserve"> </w:t>
            </w:r>
          </w:p>
        </w:tc>
      </w:tr>
      <w:tr w14:paraId="4284F71F">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7DA1">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C0177">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707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82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F7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w:t>
            </w:r>
            <w:r>
              <w:rPr>
                <w:rFonts w:ascii="Times New Roman" w:hAnsi="Times New Roman"/>
                <w:b/>
                <w:color w:val="000000"/>
                <w:sz w:val="20"/>
                <w:u w:color="auto"/>
              </w:rPr>
              <w:t xml:space="preserve"> </w:t>
            </w:r>
          </w:p>
        </w:tc>
      </w:tr>
      <w:tr w14:paraId="33FFCC2E">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3696">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F906F">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AB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C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F3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w:t>
            </w:r>
            <w:r>
              <w:rPr>
                <w:rFonts w:ascii="Times New Roman" w:hAnsi="Times New Roman"/>
                <w:color w:val="000000"/>
                <w:sz w:val="20"/>
                <w:u w:color="auto"/>
              </w:rPr>
              <w:t xml:space="preserve"> </w:t>
            </w:r>
          </w:p>
        </w:tc>
      </w:tr>
      <w:tr w14:paraId="3E8F49F7">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4790">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4AE0E">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4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418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8AA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75FE6C">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2D97">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F38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62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FD8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850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CADF6E">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608D">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2F8B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B58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A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7B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E44BF9">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B4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1416">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380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913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CE3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C0875C">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E6C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08D8">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93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F7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6A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1C3BCB">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FE22">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DA156">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263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CC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9E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1E9D10">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75A6">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15F38">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287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CA7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234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4DD12D">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D6F3">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AA6D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86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3A3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8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2F8ED0">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49FC">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F7619">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E79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CC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354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94C9A4">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684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771A">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5E1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2A0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090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FF68E">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43A1">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1EAA">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40A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8F8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BFC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866951">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DDC8">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8B7B0">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3CB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36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570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83DD88">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470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0CC8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559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B2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2E5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DD69C3">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7EE1">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4906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86E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2B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D1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CF0124">
        <w:tblPrEx>
          <w:tblCellMar>
            <w:top w:w="0" w:type="dxa"/>
            <w:left w:w="0" w:type="dxa"/>
            <w:bottom w:w="0" w:type="dxa"/>
            <w:right w:w="0" w:type="dxa"/>
          </w:tblCellMar>
        </w:tblPrEx>
        <w:trPr>
          <w:trHeight w:val="29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13B3">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739A8">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5E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93C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5F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9D4200B">
      <w:pPr>
        <w:ind w:firstLine="600" w:firstLineChars="3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9"/>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06D2077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7629C9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EFD6F6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51E93B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重庆市九龙坡区陶家镇中学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25D52D1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777FA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CD6215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4D5FC1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5BFA401">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0685C1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4710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AAD064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56FD79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10238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330A4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BC0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58E53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5EB0B5D8">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1343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4AC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AA0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BD5A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73B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943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FFC4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138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28F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545C9727">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349D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2E5B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C520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0881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4E22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A8F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624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A3B2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B48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55E9A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C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E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36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0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F2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D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0E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0C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A4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r>
      <w:tr w14:paraId="46D812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79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AE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B7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97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94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B05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FE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0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0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B7A7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A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E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F3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4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0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A0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9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B9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C79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r>
      <w:tr w14:paraId="2D7E9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F1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E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4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6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A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3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2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D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69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0AC2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93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B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4D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53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46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EB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D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9F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B868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9D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1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B5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9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85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8C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B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E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84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352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E0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F7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2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32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0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C0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6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3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C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A826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F5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D4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F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D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C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4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C1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8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A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2488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C8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8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2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F8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8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21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58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E4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3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D5FC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F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EF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1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C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0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23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FA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0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1C5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67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6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45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CE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3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4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62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7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1A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C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179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1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4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5C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0B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F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A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9B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5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43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1B0A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9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D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EC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4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2B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6D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2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2A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78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9F5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32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C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71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F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29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8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5B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DFB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9F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46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2D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29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D4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69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D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5A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5F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F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5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4CD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7D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6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2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EC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F7E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A1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1F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9E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7B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703B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B8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B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F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23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5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25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19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8C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DE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08C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CD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0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23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9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C4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6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00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24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56C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8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DC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9F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6B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D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F5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FA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3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4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71E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78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9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CA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9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1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44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FA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5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7A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5D8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E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E4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4B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B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8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E9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5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7D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5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3B7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6E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2A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0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FF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B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23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2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2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9F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1A8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95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2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DF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1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B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0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2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2C1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F2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9743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9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31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AD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87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F2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A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C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A8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6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257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0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E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7D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B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4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E0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D2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75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A9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779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A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2A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4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B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3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E7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9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49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9BB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365D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AE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1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89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90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4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E0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27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4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27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94D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10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5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006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8E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C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6D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1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EB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7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DE9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A8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020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ED5F1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11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7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2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8F4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F5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9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30AA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6B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E5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1DAE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E4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3B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1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EA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D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D0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CD6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AF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60E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659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9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F0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5B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B1C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7A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DAE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0837D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F9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94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AF82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F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0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5F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23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8E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624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DEC3927">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96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65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1E51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7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B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8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23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A3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5930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7E0F790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38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82F3F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714.58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0F0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E6E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96.74</w:t>
            </w:r>
            <w:r>
              <w:rPr>
                <w:rFonts w:ascii="Times New Roman" w:hAnsi="Times New Roman"/>
                <w:color w:val="000000"/>
                <w:sz w:val="18"/>
                <w:u w:color="auto"/>
              </w:rPr>
              <w:t xml:space="preserve"> </w:t>
            </w:r>
          </w:p>
        </w:tc>
      </w:tr>
    </w:tbl>
    <w:p w14:paraId="759B2386">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F8240F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7E5304E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D3EF2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1124D3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4DFB182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B69CB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6F619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4C5FC9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41F81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092D6D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9F477F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6578E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51AA4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72BDE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6018D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C047F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E5C3C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F2E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3019A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BA7F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94A155">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AB13E">
            <w:pPr>
              <w:jc w:val="center"/>
              <w:textAlignment w:val="center"/>
              <w:rPr>
                <w:rFonts w:hint="default" w:cs="宋体"/>
                <w:b/>
                <w:color w:val="000000"/>
                <w:sz w:val="20"/>
                <w:szCs w:val="20"/>
              </w:rPr>
            </w:pPr>
            <w:r>
              <w:rPr>
                <w:rFonts w:cs="宋体"/>
                <w:b/>
                <w:color w:val="000000"/>
                <w:sz w:val="20"/>
                <w:szCs w:val="20"/>
              </w:rPr>
              <w:t>年末结转和结余</w:t>
            </w:r>
          </w:p>
        </w:tc>
      </w:tr>
      <w:tr w14:paraId="3AE7A40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C5BC">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1D0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FB6E4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8F215">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315E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2D3D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752B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E3BF5">
            <w:pPr>
              <w:jc w:val="center"/>
              <w:rPr>
                <w:rFonts w:hint="default" w:cs="宋体"/>
                <w:b/>
                <w:color w:val="000000"/>
                <w:sz w:val="20"/>
                <w:szCs w:val="20"/>
              </w:rPr>
            </w:pPr>
          </w:p>
        </w:tc>
      </w:tr>
      <w:tr w14:paraId="44E3E141">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D7BE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EDD0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B7E44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FD6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5EAF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67229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C6F48">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2332">
            <w:pPr>
              <w:jc w:val="center"/>
              <w:rPr>
                <w:rFonts w:hint="default" w:cs="宋体"/>
                <w:b/>
                <w:color w:val="000000"/>
                <w:sz w:val="20"/>
                <w:szCs w:val="20"/>
              </w:rPr>
            </w:pPr>
          </w:p>
        </w:tc>
      </w:tr>
      <w:tr w14:paraId="55503D7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EC9D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69D0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7E7F9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045C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C4E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4B6C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15842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76349">
            <w:pPr>
              <w:jc w:val="center"/>
              <w:rPr>
                <w:rFonts w:hint="default" w:cs="宋体"/>
                <w:b/>
                <w:color w:val="000000"/>
                <w:sz w:val="20"/>
                <w:szCs w:val="20"/>
              </w:rPr>
            </w:pPr>
          </w:p>
        </w:tc>
      </w:tr>
      <w:tr w14:paraId="068A067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B1C7">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80B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9E3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09B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9D5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F1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3D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63330A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068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6CD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8D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FE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C6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D88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067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012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4731E3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6568C92">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A8EF82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69374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E5E529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F31FAE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重庆市九龙坡区陶家镇中学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55E45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8E81A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C5517A7">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68ECE2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B5C78E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FBFC6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086C7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260D4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68F68">
            <w:pPr>
              <w:jc w:val="center"/>
              <w:textAlignment w:val="bottom"/>
              <w:rPr>
                <w:rFonts w:hint="default" w:cs="宋体"/>
                <w:b/>
                <w:color w:val="000000"/>
                <w:sz w:val="20"/>
                <w:szCs w:val="20"/>
              </w:rPr>
            </w:pPr>
            <w:r>
              <w:rPr>
                <w:rFonts w:cs="宋体"/>
                <w:b/>
                <w:color w:val="000000"/>
                <w:sz w:val="20"/>
                <w:szCs w:val="20"/>
              </w:rPr>
              <w:t>本年支出</w:t>
            </w:r>
          </w:p>
        </w:tc>
      </w:tr>
      <w:tr w14:paraId="3388EF4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8FD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1DE1">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AB16">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12726">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69B4B">
            <w:pPr>
              <w:jc w:val="center"/>
              <w:textAlignment w:val="center"/>
              <w:rPr>
                <w:rFonts w:hint="default" w:cs="宋体"/>
                <w:b/>
                <w:color w:val="000000"/>
                <w:sz w:val="20"/>
                <w:szCs w:val="20"/>
              </w:rPr>
            </w:pPr>
            <w:r>
              <w:rPr>
                <w:rFonts w:cs="宋体"/>
                <w:b/>
                <w:color w:val="000000"/>
                <w:sz w:val="20"/>
                <w:szCs w:val="20"/>
              </w:rPr>
              <w:t>项目支出</w:t>
            </w:r>
          </w:p>
        </w:tc>
      </w:tr>
      <w:tr w14:paraId="27DFC69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7288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EF72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F3E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B8D0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BD0BB">
            <w:pPr>
              <w:jc w:val="center"/>
              <w:rPr>
                <w:rFonts w:hint="default" w:cs="宋体"/>
                <w:b/>
                <w:color w:val="000000"/>
                <w:sz w:val="20"/>
                <w:szCs w:val="20"/>
              </w:rPr>
            </w:pPr>
          </w:p>
        </w:tc>
      </w:tr>
      <w:tr w14:paraId="6394D53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DAC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09E7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B15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13A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698DF">
            <w:pPr>
              <w:jc w:val="center"/>
              <w:rPr>
                <w:rFonts w:hint="default" w:cs="宋体"/>
                <w:b/>
                <w:color w:val="000000"/>
                <w:sz w:val="20"/>
                <w:szCs w:val="20"/>
              </w:rPr>
            </w:pPr>
          </w:p>
        </w:tc>
      </w:tr>
      <w:tr w14:paraId="00C88CC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1345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50A4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1E01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5070A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26EE5">
            <w:pPr>
              <w:jc w:val="center"/>
              <w:rPr>
                <w:rFonts w:hint="default" w:cs="宋体"/>
                <w:b/>
                <w:color w:val="000000"/>
                <w:sz w:val="20"/>
                <w:szCs w:val="20"/>
              </w:rPr>
            </w:pPr>
          </w:p>
        </w:tc>
      </w:tr>
      <w:tr w14:paraId="1DFEEB4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404F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053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AF8E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619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9FF2A7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D90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67B5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B2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2D23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5B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31A5EC5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40962AB">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3CFA85B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CD7ECC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0021581">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7C338D3">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04665663">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384231C">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2D87614">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ECFA71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4EE3FE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0CFD34">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重庆市九龙坡区陶家镇中学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346DFA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E6E116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8C3EF94">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744749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2B2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B6A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747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1B1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A25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0C47628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656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596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D9C4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6F1B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B09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96C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90D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66B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BD2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E33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9F50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892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D5C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8C9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D2E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93AA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D924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004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4AF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058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F7F3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A8F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75E6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1E894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537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154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5AC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FB2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5EB4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93D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2944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DA0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DC96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8F4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ED2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B20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172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CFFC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184E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E81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D2ED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6960D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82D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3E8F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73F4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99F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D3F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858F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3B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031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FAF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C81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0AA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6236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1B1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3E5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B0D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9EF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45E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AD18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B81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11E0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E27C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1A2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72B6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EA5D8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8DF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62B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0F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0A9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91E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181F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5EF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8AA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4D7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DDF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6B4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E50E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331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4C4A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3E2C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A85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B5F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2D9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072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9A5B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994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6903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9F2C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C0947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6657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399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38E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0CB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6B5B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5CA4A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A662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8EE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215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353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E0D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1A5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BAA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9B0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A9E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7F0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7049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A1FB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1EE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62F6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3EB8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88D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8115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9C91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99F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009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809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160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57A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DBAD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017C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381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E6A2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21D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2086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E868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E20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904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87CF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B1296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E739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D16934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EEE7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9B4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794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A87A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3A2B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87C84D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DE5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096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7EC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10.19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D225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4EF83">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CDF0117">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C4B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08FBCE">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A08FBCE">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875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2A9D16">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A2A9D16">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E606D4B">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E606D4B">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E7C0">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C5712"/>
    <w:multiLevelType w:val="singleLevel"/>
    <w:tmpl w:val="9D8C57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550ABE"/>
    <w:rsid w:val="007B419D"/>
    <w:rsid w:val="009B67B8"/>
    <w:rsid w:val="00B03CCD"/>
    <w:rsid w:val="01474EBF"/>
    <w:rsid w:val="019020B1"/>
    <w:rsid w:val="01F3521E"/>
    <w:rsid w:val="02056D00"/>
    <w:rsid w:val="03A2417B"/>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7360C88"/>
    <w:rsid w:val="189B0D0B"/>
    <w:rsid w:val="18E03A42"/>
    <w:rsid w:val="18FE0830"/>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AEA7540"/>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8031BC"/>
    <w:rsid w:val="3FEC075A"/>
    <w:rsid w:val="4004000C"/>
    <w:rsid w:val="4005423E"/>
    <w:rsid w:val="411B6CE5"/>
    <w:rsid w:val="412070D7"/>
    <w:rsid w:val="41314E40"/>
    <w:rsid w:val="415C674B"/>
    <w:rsid w:val="41C145F8"/>
    <w:rsid w:val="426C1EA8"/>
    <w:rsid w:val="42E86A87"/>
    <w:rsid w:val="43136432"/>
    <w:rsid w:val="443A3B12"/>
    <w:rsid w:val="44487B36"/>
    <w:rsid w:val="44EF6BE8"/>
    <w:rsid w:val="4582210E"/>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98A28E2"/>
    <w:rsid w:val="5A6279C1"/>
    <w:rsid w:val="5AD563E4"/>
    <w:rsid w:val="5C1336B7"/>
    <w:rsid w:val="5C263CE4"/>
    <w:rsid w:val="5C5D2777"/>
    <w:rsid w:val="5C722D7F"/>
    <w:rsid w:val="5D290C69"/>
    <w:rsid w:val="5DC17CC6"/>
    <w:rsid w:val="5E931889"/>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D99748"/>
    <w:rsid w:val="6AE0292E"/>
    <w:rsid w:val="6B474EF5"/>
    <w:rsid w:val="6BC27679"/>
    <w:rsid w:val="6BC54EFE"/>
    <w:rsid w:val="6C0737CC"/>
    <w:rsid w:val="6C560CAE"/>
    <w:rsid w:val="6CD15296"/>
    <w:rsid w:val="6D903FF5"/>
    <w:rsid w:val="6DA955B8"/>
    <w:rsid w:val="6DE346AB"/>
    <w:rsid w:val="6F607C2A"/>
    <w:rsid w:val="6FFB2E76"/>
    <w:rsid w:val="70AB70D6"/>
    <w:rsid w:val="70DE5507"/>
    <w:rsid w:val="71C34D91"/>
    <w:rsid w:val="71ED38AA"/>
    <w:rsid w:val="723F3B65"/>
    <w:rsid w:val="726734B0"/>
    <w:rsid w:val="72DB435C"/>
    <w:rsid w:val="738549F4"/>
    <w:rsid w:val="74ED1B1B"/>
    <w:rsid w:val="750837F0"/>
    <w:rsid w:val="762A73EF"/>
    <w:rsid w:val="7631412E"/>
    <w:rsid w:val="764F62AB"/>
    <w:rsid w:val="765C45EC"/>
    <w:rsid w:val="768A7619"/>
    <w:rsid w:val="76B5562B"/>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autoRedefine/>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4731</Words>
  <Characters>5249</Characters>
  <Lines>161</Lines>
  <Paragraphs>45</Paragraphs>
  <TotalTime>7</TotalTime>
  <ScaleCrop>false</ScaleCrop>
  <LinksUpToDate>false</LinksUpToDate>
  <CharactersWithSpaces>5297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Yan</cp:lastModifiedBy>
  <dcterms:modified xsi:type="dcterms:W3CDTF">2025-10-23T02:51:55Z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F2F71536F60B4527BF772B092628E327_13</vt:lpwstr>
  </property>
  <property fmtid="{D5CDD505-2E9C-101B-9397-08002B2CF9AE}" pid="4" name="KSOTemplateDocerSaveRecord">
    <vt:lpwstr>eyJoZGlkIjoiZWYxYTQ2NjMyMTNkMWU5MDEzOWUyOTUzM2EyMjNjZjEiLCJ1c2VySWQiOiIxMTM5Mjk4OTE4In0=</vt:lpwstr>
  </property>
</Properties>
</file>