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5B764F">
      <w:pPr>
        <w:pStyle w:val="8"/>
        <w:keepNext w:val="0"/>
        <w:keepLines w:val="0"/>
        <w:pageBreakBefore w:val="0"/>
        <w:widowControl/>
        <w:kinsoku/>
        <w:wordWrap/>
        <w:overflowPunct/>
        <w:topLinePunct w:val="0"/>
        <w:autoSpaceDN/>
        <w:bidi w:val="0"/>
        <w:snapToGrid w:val="0"/>
        <w:spacing w:before="0" w:beforeAutospacing="0" w:after="0" w:afterAutospacing="0" w:line="600" w:lineRule="exact"/>
        <w:jc w:val="center"/>
        <w:textAlignment w:val="auto"/>
        <w:rPr>
          <w:rFonts w:ascii="方正小标宋_GBK" w:hAnsi="方正小标宋_GBK" w:eastAsia="方正小标宋_GBK" w:cs="Times New Roman"/>
          <w:sz w:val="44"/>
          <w:szCs w:val="44"/>
        </w:rPr>
      </w:pPr>
      <w:r>
        <w:rPr>
          <w:rFonts w:ascii="方正小标宋_GBK" w:hAnsi="方正小标宋_GBK" w:eastAsia="方正小标宋_GBK" w:cs="Times New Roman"/>
          <w:sz w:val="44"/>
          <w:szCs w:val="44"/>
        </w:rPr>
        <w:t>重庆市九龙坡区和平小学校</w:t>
      </w:r>
    </w:p>
    <w:p w14:paraId="4891815C">
      <w:pPr>
        <w:pStyle w:val="8"/>
        <w:keepNext w:val="0"/>
        <w:keepLines w:val="0"/>
        <w:pageBreakBefore w:val="0"/>
        <w:widowControl/>
        <w:kinsoku/>
        <w:wordWrap/>
        <w:overflowPunct/>
        <w:topLinePunct w:val="0"/>
        <w:autoSpaceDN/>
        <w:bidi w:val="0"/>
        <w:snapToGrid w:val="0"/>
        <w:spacing w:before="0" w:beforeAutospacing="0" w:after="0" w:afterAutospacing="0" w:line="600" w:lineRule="exact"/>
        <w:jc w:val="center"/>
        <w:textAlignment w:val="auto"/>
        <w:rPr>
          <w:rFonts w:hint="eastAsia" w:ascii="方正小标宋_GBK" w:hAnsi="方正小标宋_GBK" w:eastAsia="方正小标宋_GBK" w:cs="Times New Roman"/>
          <w:sz w:val="44"/>
          <w:szCs w:val="44"/>
        </w:rPr>
      </w:pPr>
      <w:r>
        <w:rPr>
          <w:rFonts w:hint="default" w:ascii="Times New Roman" w:hAnsi="Times New Roman" w:eastAsia="方正小标宋_GBK" w:cs="Times New Roman"/>
          <w:sz w:val="44"/>
          <w:szCs w:val="44"/>
        </w:rPr>
        <w:t>2024</w:t>
      </w:r>
      <w:r>
        <w:rPr>
          <w:rFonts w:ascii="方正小标宋_GBK" w:hAnsi="方正小标宋_GBK" w:eastAsia="方正小标宋_GBK" w:cs="Times New Roman"/>
          <w:sz w:val="44"/>
          <w:szCs w:val="44"/>
        </w:rPr>
        <w:t>年度</w:t>
      </w:r>
      <w:r>
        <w:rPr>
          <w:rFonts w:hint="eastAsia" w:ascii="方正小标宋_GBK" w:hAnsi="方正小标宋_GBK" w:eastAsia="方正小标宋_GBK" w:cs="Times New Roman"/>
          <w:sz w:val="44"/>
          <w:szCs w:val="44"/>
          <w:lang w:val="en-US" w:eastAsia="zh-CN"/>
        </w:rPr>
        <w:t>单位决算情况</w:t>
      </w:r>
      <w:r>
        <w:rPr>
          <w:rFonts w:ascii="方正小标宋_GBK" w:hAnsi="方正小标宋_GBK" w:eastAsia="方正小标宋_GBK" w:cs="Times New Roman"/>
          <w:sz w:val="44"/>
          <w:szCs w:val="44"/>
        </w:rPr>
        <w:t>说明</w:t>
      </w:r>
    </w:p>
    <w:p w14:paraId="1E3D4DE5">
      <w:pPr>
        <w:pStyle w:val="8"/>
        <w:keepNext w:val="0"/>
        <w:keepLines w:val="0"/>
        <w:pageBreakBefore w:val="0"/>
        <w:widowControl/>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Style w:val="11"/>
          <w:rFonts w:hint="eastAsia" w:ascii="Times New Roman" w:hAnsi="Times New Roman" w:eastAsia="方正黑体_GBK" w:cs="Times New Roman"/>
          <w:b w:val="0"/>
          <w:sz w:val="32"/>
          <w:szCs w:val="32"/>
          <w:shd w:val="clear" w:color="auto" w:fill="FFFFFF"/>
        </w:rPr>
      </w:pPr>
    </w:p>
    <w:p w14:paraId="6161F027">
      <w:pPr>
        <w:pStyle w:val="8"/>
        <w:keepNext w:val="0"/>
        <w:keepLines w:val="0"/>
        <w:pageBreakBefore w:val="0"/>
        <w:widowControl/>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Style w:val="11"/>
          <w:rFonts w:hint="default" w:ascii="Times New Roman" w:hAnsi="Times New Roman" w:eastAsia="方正黑体_GBK" w:cs="Times New Roman"/>
          <w:b w:val="0"/>
          <w:sz w:val="32"/>
          <w:szCs w:val="32"/>
          <w:shd w:val="clear" w:color="auto" w:fill="FFFFFF"/>
        </w:rPr>
      </w:pPr>
      <w:r>
        <w:rPr>
          <w:rStyle w:val="11"/>
          <w:rFonts w:hint="eastAsia" w:ascii="Times New Roman" w:hAnsi="Times New Roman" w:eastAsia="方正黑体_GBK" w:cs="Times New Roman"/>
          <w:b w:val="0"/>
          <w:sz w:val="32"/>
          <w:szCs w:val="32"/>
          <w:shd w:val="clear" w:color="auto" w:fill="FFFFFF"/>
        </w:rPr>
        <w:t>一、</w:t>
      </w:r>
      <w:r>
        <w:rPr>
          <w:rStyle w:val="11"/>
          <w:rFonts w:hint="eastAsia" w:ascii="Times New Roman" w:hAnsi="Times New Roman" w:eastAsia="方正黑体_GBK" w:cs="Times New Roman"/>
          <w:b w:val="0"/>
          <w:sz w:val="32"/>
          <w:szCs w:val="32"/>
          <w:shd w:val="clear" w:color="auto" w:fill="FFFFFF"/>
          <w:lang w:eastAsia="zh-CN"/>
        </w:rPr>
        <w:t>单位</w:t>
      </w:r>
      <w:r>
        <w:rPr>
          <w:rStyle w:val="11"/>
          <w:rFonts w:hint="eastAsia" w:ascii="Times New Roman" w:hAnsi="Times New Roman" w:eastAsia="方正黑体_GBK" w:cs="Times New Roman"/>
          <w:b w:val="0"/>
          <w:sz w:val="32"/>
          <w:szCs w:val="32"/>
          <w:shd w:val="clear" w:color="auto" w:fill="FFFFFF"/>
        </w:rPr>
        <w:t>基本情况</w:t>
      </w:r>
    </w:p>
    <w:p w14:paraId="52C70465">
      <w:pPr>
        <w:keepNext w:val="0"/>
        <w:keepLines w:val="0"/>
        <w:pageBreakBefore w:val="0"/>
        <w:widowControl/>
        <w:kinsoku/>
        <w:wordWrap/>
        <w:overflowPunct/>
        <w:topLinePunct w:val="0"/>
        <w:autoSpaceDN/>
        <w:bidi w:val="0"/>
        <w:adjustRightInd w:val="0"/>
        <w:snapToGrid w:val="0"/>
        <w:spacing w:line="600" w:lineRule="exact"/>
        <w:ind w:firstLine="640" w:firstLineChars="2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（一）职能职责</w:t>
      </w:r>
    </w:p>
    <w:p w14:paraId="21C0858A">
      <w:pPr>
        <w:keepNext w:val="0"/>
        <w:keepLines w:val="0"/>
        <w:pageBreakBefore w:val="0"/>
        <w:widowControl/>
        <w:kinsoku/>
        <w:wordWrap/>
        <w:overflowPunct/>
        <w:topLinePunct w:val="0"/>
        <w:autoSpaceDN/>
        <w:bidi w:val="0"/>
        <w:adjustRightInd w:val="0"/>
        <w:snapToGrid w:val="0"/>
        <w:spacing w:line="600" w:lineRule="exact"/>
        <w:ind w:firstLine="640"/>
        <w:jc w:val="both"/>
        <w:textAlignment w:val="auto"/>
        <w:rPr>
          <w:rFonts w:hint="default" w:ascii="Times New Roman" w:hAnsi="Times New Roman" w:eastAsia="方正仿宋_GBK"/>
          <w:sz w:val="32"/>
          <w:szCs w:val="32"/>
        </w:rPr>
      </w:pPr>
      <w:bookmarkStart w:id="0" w:name="OLE_LINK28"/>
      <w:bookmarkStart w:id="1" w:name="OLE_LINK24"/>
      <w:bookmarkStart w:id="2" w:name="OLE_LINK29"/>
      <w:bookmarkStart w:id="3" w:name="OLE_LINK25"/>
      <w:bookmarkStart w:id="4" w:name="OLE_LINK26"/>
      <w:r>
        <w:rPr>
          <w:rFonts w:hint="default" w:ascii="Times New Roman" w:hAnsi="Times New Roman" w:eastAsia="方正仿宋_GBK"/>
          <w:sz w:val="32"/>
          <w:szCs w:val="32"/>
        </w:rPr>
        <w:t>本单位</w:t>
      </w:r>
      <w:r>
        <w:rPr>
          <w:rFonts w:hint="default" w:ascii="Times New Roman" w:hAnsi="方正仿宋_GBK" w:eastAsia="方正仿宋_GBK"/>
          <w:sz w:val="32"/>
          <w:szCs w:val="32"/>
        </w:rPr>
        <w:t>实施普通小学义务教育，促进学生全面发展；开展教育教学工作；开展学校德育工</w:t>
      </w:r>
      <w:bookmarkStart w:id="5" w:name="OLE_LINK27"/>
      <w:r>
        <w:rPr>
          <w:rFonts w:hint="default" w:ascii="Times New Roman" w:hAnsi="方正仿宋_GBK" w:eastAsia="方正仿宋_GBK"/>
          <w:sz w:val="32"/>
          <w:szCs w:val="32"/>
        </w:rPr>
        <w:t>作；开展学校体育、卫生、</w:t>
      </w:r>
      <w:bookmarkEnd w:id="5"/>
      <w:r>
        <w:rPr>
          <w:rFonts w:hint="default" w:ascii="Times New Roman" w:hAnsi="方正仿宋_GBK" w:eastAsia="方正仿宋_GBK"/>
          <w:sz w:val="32"/>
          <w:szCs w:val="32"/>
        </w:rPr>
        <w:t>艺术工作；负责学校行政管理工作；开展对外交流工作；维护校园安全，提供后勤保障服务。</w:t>
      </w:r>
      <w:bookmarkEnd w:id="0"/>
      <w:bookmarkEnd w:id="1"/>
      <w:bookmarkEnd w:id="2"/>
    </w:p>
    <w:bookmarkEnd w:id="3"/>
    <w:bookmarkEnd w:id="4"/>
    <w:p w14:paraId="63F51C9F">
      <w:pPr>
        <w:keepNext w:val="0"/>
        <w:keepLines w:val="0"/>
        <w:pageBreakBefore w:val="0"/>
        <w:widowControl/>
        <w:kinsoku/>
        <w:wordWrap/>
        <w:overflowPunct/>
        <w:topLinePunct w:val="0"/>
        <w:autoSpaceDN/>
        <w:bidi w:val="0"/>
        <w:adjustRightInd w:val="0"/>
        <w:snapToGrid w:val="0"/>
        <w:spacing w:line="600" w:lineRule="exact"/>
        <w:ind w:firstLine="640" w:firstLineChars="2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（二）机构设置</w:t>
      </w:r>
    </w:p>
    <w:p w14:paraId="622ABBB2">
      <w:pPr>
        <w:keepNext w:val="0"/>
        <w:keepLines w:val="0"/>
        <w:pageBreakBefore w:val="0"/>
        <w:widowControl/>
        <w:kinsoku/>
        <w:wordWrap/>
        <w:overflowPunct/>
        <w:topLinePunct w:val="0"/>
        <w:autoSpaceDN/>
        <w:bidi w:val="0"/>
        <w:adjustRightInd w:val="0"/>
        <w:snapToGrid w:val="0"/>
        <w:spacing w:line="600" w:lineRule="exact"/>
        <w:ind w:firstLine="640"/>
        <w:jc w:val="both"/>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rPr>
        <w:t>本单位共设置8个科室，分别为党建办公室、行政办公室、家长咨询中心、后勤保障中心、教学中心、学生中心、幼儿园、科学信息中心。</w:t>
      </w:r>
    </w:p>
    <w:p w14:paraId="4FEA44A7">
      <w:pPr>
        <w:pStyle w:val="8"/>
        <w:keepNext w:val="0"/>
        <w:keepLines w:val="0"/>
        <w:pageBreakBefore w:val="0"/>
        <w:widowControl/>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Style w:val="11"/>
          <w:rFonts w:hint="default" w:ascii="Times New Roman" w:hAnsi="Times New Roman" w:eastAsia="方正黑体_GBK" w:cs="Times New Roman"/>
          <w:b w:val="0"/>
          <w:sz w:val="32"/>
          <w:szCs w:val="32"/>
          <w:shd w:val="clear" w:color="auto" w:fill="FFFFFF"/>
        </w:rPr>
      </w:pPr>
      <w:r>
        <w:rPr>
          <w:rStyle w:val="11"/>
          <w:rFonts w:hint="default" w:ascii="Times New Roman" w:hAnsi="Times New Roman" w:eastAsia="方正黑体_GBK" w:cs="Times New Roman"/>
          <w:b w:val="0"/>
          <w:sz w:val="32"/>
          <w:szCs w:val="32"/>
          <w:shd w:val="clear" w:color="auto" w:fill="FFFFFF"/>
        </w:rPr>
        <w:t>二、</w:t>
      </w:r>
      <w:r>
        <w:rPr>
          <w:rStyle w:val="11"/>
          <w:rFonts w:hint="eastAsia" w:ascii="Times New Roman" w:hAnsi="Times New Roman" w:eastAsia="方正黑体_GBK" w:cs="Times New Roman"/>
          <w:b w:val="0"/>
          <w:sz w:val="32"/>
          <w:szCs w:val="32"/>
          <w:shd w:val="clear" w:color="auto" w:fill="FFFFFF"/>
          <w:lang w:eastAsia="zh-CN"/>
        </w:rPr>
        <w:t>单位</w:t>
      </w:r>
      <w:r>
        <w:rPr>
          <w:rStyle w:val="11"/>
          <w:rFonts w:hint="default" w:ascii="Times New Roman" w:hAnsi="Times New Roman" w:eastAsia="方正黑体_GBK" w:cs="Times New Roman"/>
          <w:b w:val="0"/>
          <w:sz w:val="32"/>
          <w:szCs w:val="32"/>
          <w:shd w:val="clear" w:color="auto" w:fill="FFFFFF"/>
        </w:rPr>
        <w:t>决算情况说明</w:t>
      </w:r>
    </w:p>
    <w:p w14:paraId="79D81ED6">
      <w:pPr>
        <w:keepNext w:val="0"/>
        <w:keepLines w:val="0"/>
        <w:pageBreakBefore w:val="0"/>
        <w:widowControl/>
        <w:kinsoku/>
        <w:wordWrap/>
        <w:overflowPunct/>
        <w:topLinePunct w:val="0"/>
        <w:autoSpaceDN/>
        <w:bidi w:val="0"/>
        <w:adjustRightInd w:val="0"/>
        <w:snapToGrid w:val="0"/>
        <w:spacing w:line="600" w:lineRule="exact"/>
        <w:ind w:firstLine="640" w:firstLineChars="200"/>
        <w:jc w:val="both"/>
        <w:textAlignment w:val="auto"/>
        <w:rPr>
          <w:rFonts w:hint="default" w:ascii="Times New Roman" w:hAnsi="Times New Roman" w:eastAsia="方正楷体_GBK" w:cs="Times New Roman"/>
          <w:sz w:val="32"/>
          <w:szCs w:val="32"/>
        </w:rPr>
      </w:pPr>
      <w:r>
        <w:rPr>
          <w:rFonts w:hint="eastAsia" w:ascii="Times New Roman" w:hAnsi="Times New Roman" w:eastAsia="方正楷体_GBK" w:cs="Times New Roman"/>
          <w:sz w:val="32"/>
          <w:szCs w:val="32"/>
        </w:rPr>
        <w:t>（一）收入支出决算总体情况说明</w:t>
      </w:r>
    </w:p>
    <w:p w14:paraId="75445658">
      <w:pPr>
        <w:keepNext w:val="0"/>
        <w:keepLines w:val="0"/>
        <w:pageBreakBefore w:val="0"/>
        <w:widowControl/>
        <w:kinsoku/>
        <w:wordWrap/>
        <w:overflowPunct/>
        <w:topLinePunct w:val="0"/>
        <w:autoSpaceDE/>
        <w:autoSpaceDN/>
        <w:bidi w:val="0"/>
        <w:adjustRightInd/>
        <w:spacing w:line="600" w:lineRule="exact"/>
        <w:ind w:firstLine="643" w:firstLineChars="200"/>
        <w:jc w:val="left"/>
        <w:textAlignment w:val="auto"/>
        <w:rPr>
          <w:rFonts w:ascii="方正仿宋_GBK" w:hAnsi="方正仿宋_GBK" w:eastAsia="方正仿宋_GBK" w:cs="方正仿宋_GBK"/>
          <w:sz w:val="32"/>
          <w:szCs w:val="32"/>
          <w:shd w:val="clear" w:color="auto" w:fill="FFFFFF"/>
        </w:rPr>
      </w:pPr>
      <w:r>
        <w:rPr>
          <w:rStyle w:val="11"/>
          <w:rFonts w:hint="default" w:ascii="Times New Roman" w:hAnsi="Times New Roman" w:eastAsia="方正仿宋_GBK" w:cs="Times New Roman"/>
          <w:sz w:val="32"/>
          <w:szCs w:val="32"/>
          <w:shd w:val="clear" w:color="auto" w:fill="FFFFFF"/>
          <w:lang w:val="en-US" w:eastAsia="zh-CN" w:bidi="ar-SA"/>
        </w:rPr>
        <w:t>1.总体情况。</w:t>
      </w:r>
      <w:r>
        <w:rPr>
          <w:rFonts w:hint="eastAsia" w:ascii="Times New Roman" w:hAnsi="Times New Roman" w:eastAsia="方正仿宋_GBK" w:cs="Times New Roman"/>
          <w:sz w:val="32"/>
          <w:szCs w:val="32"/>
          <w:shd w:val="clear" w:color="auto" w:fill="FFFFFF"/>
          <w:lang w:val="en-US" w:eastAsia="zh-CN" w:bidi="ar-SA"/>
        </w:rPr>
        <w:t>2024年</w:t>
      </w:r>
      <w:r>
        <w:rPr>
          <w:rFonts w:hint="default" w:ascii="Times New Roman" w:hAnsi="Times New Roman" w:eastAsia="方正仿宋_GBK" w:cs="Times New Roman"/>
          <w:sz w:val="32"/>
          <w:szCs w:val="32"/>
          <w:shd w:val="clear" w:color="auto" w:fill="FFFFFF"/>
          <w:lang w:val="en-US" w:eastAsia="zh-CN" w:bidi="ar-SA"/>
        </w:rPr>
        <w:t>度收入总计659.14万元，支出总计659.14万元。收、支与2023年度相比，减少16.41万元，下降2.4%，主要原因是</w:t>
      </w:r>
      <w:r>
        <w:rPr>
          <w:rFonts w:hint="eastAsia" w:ascii="Times New Roman" w:hAnsi="Times New Roman" w:eastAsia="方正仿宋_GBK" w:cs="Times New Roman"/>
          <w:sz w:val="32"/>
          <w:szCs w:val="32"/>
          <w:shd w:val="clear" w:color="auto" w:fill="FFFFFF"/>
          <w:lang w:val="en-US" w:eastAsia="zh-CN" w:bidi="ar-SA"/>
        </w:rPr>
        <w:t>学生合并至区实验外语校，学生人数减少。</w:t>
      </w:r>
    </w:p>
    <w:p w14:paraId="00EFFC2B">
      <w:pPr>
        <w:keepNext w:val="0"/>
        <w:keepLines w:val="0"/>
        <w:pageBreakBefore w:val="0"/>
        <w:widowControl/>
        <w:kinsoku/>
        <w:wordWrap/>
        <w:overflowPunct/>
        <w:topLinePunct w:val="0"/>
        <w:autoSpaceDE/>
        <w:autoSpaceDN/>
        <w:bidi w:val="0"/>
        <w:adjustRightInd/>
        <w:spacing w:line="600" w:lineRule="exact"/>
        <w:ind w:firstLine="643" w:firstLineChars="200"/>
        <w:jc w:val="left"/>
        <w:textAlignment w:val="auto"/>
        <w:rPr>
          <w:rFonts w:ascii="方正仿宋_GBK" w:hAnsi="方正仿宋_GBK" w:eastAsia="方正仿宋_GBK" w:cs="方正仿宋_GBK"/>
          <w:color w:val="FF0000"/>
          <w:sz w:val="32"/>
          <w:szCs w:val="32"/>
        </w:rPr>
      </w:pPr>
      <w:r>
        <w:rPr>
          <w:rStyle w:val="11"/>
          <w:rFonts w:hint="default" w:ascii="Times New Roman" w:hAnsi="Times New Roman" w:eastAsia="方正仿宋_GBK" w:cs="Times New Roman"/>
          <w:sz w:val="32"/>
          <w:szCs w:val="32"/>
          <w:shd w:val="clear" w:color="auto" w:fill="FFFFFF"/>
          <w:lang w:val="en-US" w:eastAsia="zh-CN" w:bidi="ar-SA"/>
        </w:rPr>
        <w:t>2.收入情况。</w:t>
      </w:r>
      <w:r>
        <w:rPr>
          <w:rFonts w:hint="eastAsia" w:ascii="Times New Roman" w:hAnsi="Times New Roman" w:eastAsia="方正仿宋_GBK" w:cs="Times New Roman"/>
          <w:sz w:val="32"/>
          <w:szCs w:val="32"/>
          <w:shd w:val="clear" w:color="auto" w:fill="FFFFFF"/>
          <w:lang w:val="en-US" w:eastAsia="zh-CN" w:bidi="ar-SA"/>
        </w:rPr>
        <w:t>2024年</w:t>
      </w:r>
      <w:r>
        <w:rPr>
          <w:rFonts w:hint="default" w:ascii="Times New Roman" w:hAnsi="Times New Roman" w:eastAsia="方正仿宋_GBK" w:cs="Times New Roman"/>
          <w:sz w:val="32"/>
          <w:szCs w:val="32"/>
          <w:shd w:val="clear" w:color="auto" w:fill="FFFFFF"/>
          <w:lang w:val="en-US" w:eastAsia="zh-CN" w:bidi="ar-SA"/>
        </w:rPr>
        <w:t>度收入合计659.14万元，与2023年度相比，减少16.41万元，下降2.4%，主要原因是学生合并至区实验外语校，学生人数减少</w:t>
      </w:r>
      <w:r>
        <w:rPr>
          <w:rFonts w:hint="eastAsia" w:ascii="Times New Roman" w:hAnsi="Times New Roman" w:eastAsia="方正仿宋_GBK" w:cs="Times New Roman"/>
          <w:sz w:val="32"/>
          <w:szCs w:val="32"/>
          <w:shd w:val="clear" w:color="auto" w:fill="FFFFFF"/>
          <w:lang w:val="en-US" w:eastAsia="zh-CN" w:bidi="ar-SA"/>
        </w:rPr>
        <w:t>。</w:t>
      </w:r>
      <w:r>
        <w:rPr>
          <w:rFonts w:hint="default" w:ascii="Times New Roman" w:hAnsi="Times New Roman" w:eastAsia="方正仿宋_GBK" w:cs="Times New Roman"/>
          <w:sz w:val="32"/>
          <w:szCs w:val="32"/>
          <w:shd w:val="clear" w:color="auto" w:fill="FFFFFF"/>
          <w:lang w:val="en-US" w:eastAsia="zh-CN" w:bidi="ar-SA"/>
        </w:rPr>
        <w:t>其中：财政拨款收入659.14万元，占100.00%</w:t>
      </w:r>
      <w:r>
        <w:rPr>
          <w:rFonts w:hint="eastAsia" w:ascii="Times New Roman" w:hAnsi="Times New Roman" w:eastAsia="方正仿宋_GBK" w:cs="Times New Roman"/>
          <w:sz w:val="32"/>
          <w:szCs w:val="32"/>
          <w:shd w:val="clear" w:color="auto" w:fill="FFFFFF"/>
          <w:lang w:val="en-US" w:eastAsia="zh-CN" w:bidi="ar-SA"/>
        </w:rPr>
        <w:t>。</w:t>
      </w:r>
    </w:p>
    <w:p w14:paraId="0B70AAB0">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3" w:firstLineChars="200"/>
        <w:jc w:val="both"/>
        <w:textAlignment w:val="auto"/>
        <w:rPr>
          <w:rFonts w:hint="default" w:ascii="方正仿宋_GBK" w:hAnsi="方正仿宋_GBK" w:eastAsia="方正仿宋_GBK" w:cs="方正仿宋_GBK"/>
          <w:sz w:val="32"/>
          <w:szCs w:val="32"/>
          <w:shd w:val="clear" w:color="auto" w:fill="FFFFFF"/>
        </w:rPr>
      </w:pPr>
      <w:r>
        <w:rPr>
          <w:rStyle w:val="11"/>
          <w:rFonts w:hint="default" w:ascii="Times New Roman" w:hAnsi="Times New Roman" w:eastAsia="方正仿宋_GBK" w:cs="Times New Roman"/>
          <w:sz w:val="32"/>
          <w:szCs w:val="32"/>
          <w:shd w:val="clear" w:color="auto" w:fill="FFFFFF"/>
        </w:rPr>
        <w:t>3.支出情况。</w:t>
      </w:r>
      <w:r>
        <w:rPr>
          <w:rFonts w:hint="eastAsia"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度支出合计659.14万元，与2023年度相比，减少16.41万元，下降2.4%，主要原因</w:t>
      </w:r>
      <w:r>
        <w:rPr>
          <w:rFonts w:ascii="方正仿宋_GBK" w:hAnsi="方正仿宋_GBK" w:eastAsia="方正仿宋_GBK" w:cs="方正仿宋_GBK"/>
          <w:sz w:val="32"/>
          <w:szCs w:val="32"/>
          <w:shd w:val="clear" w:color="auto" w:fill="FFFFFF"/>
        </w:rPr>
        <w:t>是</w:t>
      </w:r>
      <w:r>
        <w:rPr>
          <w:rFonts w:hint="default" w:ascii="Times New Roman" w:hAnsi="Times New Roman" w:eastAsia="方正仿宋_GBK" w:cs="Times New Roman"/>
          <w:sz w:val="32"/>
          <w:szCs w:val="32"/>
          <w:shd w:val="clear" w:color="auto" w:fill="FFFFFF"/>
          <w:lang w:val="en-US" w:eastAsia="zh-CN" w:bidi="ar-SA"/>
        </w:rPr>
        <w:t>学生合并至区实验外语校，学生人数减少</w:t>
      </w:r>
      <w:r>
        <w:rPr>
          <w:rFonts w:hint="eastAsia" w:ascii="Times New Roman" w:hAnsi="Times New Roman" w:eastAsia="方正仿宋_GBK" w:cs="Times New Roman"/>
          <w:sz w:val="32"/>
          <w:szCs w:val="32"/>
          <w:shd w:val="clear" w:color="auto" w:fill="FFFFFF"/>
          <w:lang w:val="en-US" w:eastAsia="zh-CN" w:bidi="ar-SA"/>
        </w:rPr>
        <w:t>。</w:t>
      </w:r>
      <w:r>
        <w:rPr>
          <w:rFonts w:hint="default" w:ascii="Times New Roman" w:hAnsi="Times New Roman" w:eastAsia="方正仿宋_GBK" w:cs="Times New Roman"/>
          <w:sz w:val="32"/>
          <w:szCs w:val="32"/>
          <w:shd w:val="clear" w:color="auto" w:fill="FFFFFF"/>
        </w:rPr>
        <w:t>其中：基本支出658.84万元，占99.95%；项目支出0.30万元，占0.05%。</w:t>
      </w:r>
    </w:p>
    <w:p w14:paraId="50FC923A">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3" w:firstLineChars="200"/>
        <w:jc w:val="both"/>
        <w:textAlignment w:val="auto"/>
        <w:rPr>
          <w:rFonts w:hint="default" w:ascii="方正仿宋_GBK" w:hAnsi="方正仿宋_GBK" w:eastAsia="方正仿宋_GBK" w:cs="方正仿宋_GBK"/>
          <w:sz w:val="32"/>
          <w:szCs w:val="32"/>
        </w:rPr>
      </w:pPr>
      <w:r>
        <w:rPr>
          <w:rStyle w:val="11"/>
          <w:rFonts w:hint="default" w:ascii="Times New Roman" w:hAnsi="Times New Roman" w:eastAsia="方正仿宋_GBK" w:cs="Times New Roman"/>
          <w:sz w:val="32"/>
          <w:szCs w:val="32"/>
          <w:shd w:val="clear" w:color="auto" w:fill="FFFFFF"/>
        </w:rPr>
        <w:t>4.结转结余情况。</w:t>
      </w:r>
      <w:r>
        <w:rPr>
          <w:rFonts w:hint="eastAsia"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度年末结转和结余0.00万元，与2023年度相比，无增减，主要原因是</w:t>
      </w:r>
      <w:r>
        <w:rPr>
          <w:rFonts w:hint="eastAsia" w:ascii="Times New Roman" w:hAnsi="Times New Roman" w:eastAsia="方正仿宋_GBK" w:cs="Times New Roman"/>
          <w:sz w:val="32"/>
          <w:szCs w:val="32"/>
          <w:shd w:val="clear" w:color="auto" w:fill="FFFFFF"/>
          <w:lang w:val="en-US" w:eastAsia="zh-CN"/>
        </w:rPr>
        <w:t>本单位</w:t>
      </w:r>
      <w:r>
        <w:rPr>
          <w:rFonts w:hint="default" w:ascii="Times New Roman" w:hAnsi="Times New Roman" w:eastAsia="方正仿宋_GBK" w:cs="Times New Roman"/>
          <w:sz w:val="32"/>
          <w:szCs w:val="32"/>
          <w:shd w:val="clear" w:color="auto" w:fill="FFFFFF"/>
        </w:rPr>
        <w:t>加强预算执行力度，细化学校各项预算编制与经费支出事项，保证预算绩效与支出进度如期完成，202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年本单位收支持平，无结转结余</w:t>
      </w:r>
      <w:r>
        <w:rPr>
          <w:rFonts w:hint="eastAsia" w:ascii="Times New Roman" w:hAnsi="Times New Roman" w:eastAsia="方正仿宋_GBK" w:cs="Times New Roman"/>
          <w:sz w:val="32"/>
          <w:szCs w:val="32"/>
          <w:shd w:val="clear" w:color="auto" w:fill="FFFFFF"/>
          <w:lang w:eastAsia="zh-CN"/>
        </w:rPr>
        <w:t>。</w:t>
      </w:r>
    </w:p>
    <w:p w14:paraId="01500A61">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楷体_GBK" w:cs="Times New Roman"/>
          <w:sz w:val="32"/>
          <w:szCs w:val="32"/>
        </w:rPr>
      </w:pPr>
      <w:r>
        <w:rPr>
          <w:rFonts w:hint="eastAsia" w:ascii="Times New Roman" w:hAnsi="Times New Roman" w:eastAsia="方正楷体_GBK" w:cs="Times New Roman"/>
          <w:sz w:val="32"/>
          <w:szCs w:val="32"/>
        </w:rPr>
        <w:t>（二）财政拨款收入支出决算总体情况说明</w:t>
      </w:r>
    </w:p>
    <w:p w14:paraId="6F8C0A18">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ascii="方正仿宋_GBK" w:hAnsi="方正仿宋_GBK" w:eastAsia="方正仿宋_GBK" w:cs="方正仿宋_GBK"/>
          <w:color w:val="FF0000"/>
          <w:sz w:val="32"/>
          <w:szCs w:val="32"/>
          <w:shd w:val="clear" w:color="auto" w:fill="FFFFFF"/>
        </w:rPr>
      </w:pPr>
      <w:r>
        <w:rPr>
          <w:rFonts w:hint="eastAsia" w:ascii="Times New Roman" w:hAnsi="Times New Roman" w:eastAsia="方正仿宋_GBK" w:cs="Times New Roman"/>
          <w:sz w:val="32"/>
          <w:szCs w:val="32"/>
          <w:shd w:val="clear" w:color="auto" w:fill="FFFFFF"/>
          <w:lang w:val="en-US" w:eastAsia="zh-CN" w:bidi="ar-SA"/>
        </w:rPr>
        <w:t>2024年</w:t>
      </w:r>
      <w:r>
        <w:rPr>
          <w:rFonts w:hint="default" w:ascii="Times New Roman" w:hAnsi="Times New Roman" w:eastAsia="方正仿宋_GBK" w:cs="Times New Roman"/>
          <w:sz w:val="32"/>
          <w:szCs w:val="32"/>
          <w:shd w:val="clear" w:color="auto" w:fill="FFFFFF"/>
          <w:lang w:val="en-US" w:eastAsia="zh-CN" w:bidi="ar-SA"/>
        </w:rPr>
        <w:t>度财政拨款收、支总计659.14万元。与202</w:t>
      </w:r>
      <w:r>
        <w:rPr>
          <w:rFonts w:hint="eastAsia" w:ascii="Times New Roman" w:hAnsi="Times New Roman" w:eastAsia="方正仿宋_GBK" w:cs="Times New Roman"/>
          <w:sz w:val="32"/>
          <w:szCs w:val="32"/>
          <w:shd w:val="clear" w:color="auto" w:fill="FFFFFF"/>
          <w:lang w:val="en-US" w:eastAsia="zh-CN" w:bidi="ar-SA"/>
        </w:rPr>
        <w:t>3</w:t>
      </w:r>
      <w:r>
        <w:rPr>
          <w:rFonts w:hint="default" w:ascii="Times New Roman" w:hAnsi="Times New Roman" w:eastAsia="方正仿宋_GBK" w:cs="Times New Roman"/>
          <w:sz w:val="32"/>
          <w:szCs w:val="32"/>
          <w:shd w:val="clear" w:color="auto" w:fill="FFFFFF"/>
          <w:lang w:val="en-US" w:eastAsia="zh-CN" w:bidi="ar-SA"/>
        </w:rPr>
        <w:t>年相比，财政拨款收、支总计各减少16.41万元，下降2.4%。主要原因是学生合并至区实验外语校，学生人数减少</w:t>
      </w:r>
      <w:r>
        <w:rPr>
          <w:rFonts w:hint="eastAsia" w:ascii="Times New Roman" w:hAnsi="Times New Roman" w:eastAsia="方正仿宋_GBK" w:cs="Times New Roman"/>
          <w:sz w:val="32"/>
          <w:szCs w:val="32"/>
          <w:shd w:val="clear" w:color="auto" w:fill="FFFFFF"/>
          <w:lang w:val="en-US" w:eastAsia="zh-CN" w:bidi="ar-SA"/>
        </w:rPr>
        <w:t>。</w:t>
      </w:r>
    </w:p>
    <w:p w14:paraId="1BD5AA45">
      <w:pPr>
        <w:keepNext w:val="0"/>
        <w:keepLines w:val="0"/>
        <w:pageBreakBefore w:val="0"/>
        <w:widowControl/>
        <w:kinsoku/>
        <w:wordWrap/>
        <w:overflowPunct/>
        <w:topLinePunct w:val="0"/>
        <w:autoSpaceDN/>
        <w:bidi w:val="0"/>
        <w:adjustRightInd w:val="0"/>
        <w:snapToGrid w:val="0"/>
        <w:spacing w:line="600" w:lineRule="exact"/>
        <w:ind w:firstLine="640" w:firstLineChars="200"/>
        <w:jc w:val="both"/>
        <w:textAlignment w:val="auto"/>
        <w:rPr>
          <w:rFonts w:hint="default" w:ascii="Times New Roman" w:hAnsi="Times New Roman" w:eastAsia="方正楷体_GBK" w:cs="Times New Roman"/>
          <w:sz w:val="32"/>
          <w:szCs w:val="32"/>
        </w:rPr>
      </w:pPr>
      <w:r>
        <w:rPr>
          <w:rFonts w:hint="eastAsia" w:ascii="Times New Roman" w:hAnsi="Times New Roman" w:eastAsia="方正楷体_GBK" w:cs="Times New Roman"/>
          <w:sz w:val="32"/>
          <w:szCs w:val="32"/>
        </w:rPr>
        <w:t>（三）一般公共预算财政拨款收入支出决算情况说明</w:t>
      </w:r>
    </w:p>
    <w:p w14:paraId="5A0004B5">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3" w:firstLineChars="200"/>
        <w:jc w:val="both"/>
        <w:textAlignment w:val="auto"/>
        <w:rPr>
          <w:rFonts w:hint="default" w:ascii="方正仿宋_GBK" w:hAnsi="方正仿宋_GBK" w:eastAsia="方正仿宋_GBK" w:cs="方正仿宋_GBK"/>
          <w:sz w:val="32"/>
          <w:szCs w:val="32"/>
        </w:rPr>
      </w:pPr>
      <w:r>
        <w:rPr>
          <w:rStyle w:val="11"/>
          <w:rFonts w:hint="default" w:ascii="Times New Roman" w:hAnsi="Times New Roman" w:eastAsia="方正仿宋_GBK" w:cs="Times New Roman"/>
          <w:sz w:val="32"/>
          <w:szCs w:val="32"/>
          <w:shd w:val="clear" w:color="auto" w:fill="FFFFFF"/>
        </w:rPr>
        <w:t>1.收入情况。</w:t>
      </w:r>
      <w:r>
        <w:rPr>
          <w:rFonts w:hint="eastAsia"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度一般公共预算财政拨款收入659.14万元，与2023年度相比，减少16.41万元，下降2.4%。主要原因是学生合并至区实验外语校，学生人数减少</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较年初预算数增加24.00万元，增长3.8%。主要原因是</w:t>
      </w:r>
      <w:r>
        <w:rPr>
          <w:rFonts w:hint="eastAsia" w:ascii="Times New Roman" w:hAnsi="Times New Roman" w:eastAsia="方正仿宋_GBK" w:cs="Times New Roman"/>
          <w:sz w:val="32"/>
          <w:szCs w:val="32"/>
          <w:shd w:val="clear" w:color="auto" w:fill="FFFFFF"/>
          <w:lang w:val="en-US" w:eastAsia="zh-CN"/>
        </w:rPr>
        <w:t>人员工资和社保缴费基数政策性调整</w:t>
      </w:r>
      <w:r>
        <w:rPr>
          <w:rFonts w:ascii="方正仿宋_GBK" w:hAnsi="方正仿宋_GBK" w:eastAsia="方正仿宋_GBK" w:cs="方正仿宋_GBK"/>
          <w:sz w:val="32"/>
          <w:szCs w:val="32"/>
          <w:shd w:val="clear" w:color="auto" w:fill="FFFFFF"/>
        </w:rPr>
        <w:t>。</w:t>
      </w:r>
    </w:p>
    <w:p w14:paraId="7B7B8663">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3" w:firstLineChars="200"/>
        <w:jc w:val="both"/>
        <w:textAlignment w:val="auto"/>
        <w:rPr>
          <w:rFonts w:hint="default" w:ascii="方正仿宋_GBK" w:hAnsi="方正仿宋_GBK" w:eastAsia="方正仿宋_GBK" w:cs="方正仿宋_GBK"/>
          <w:sz w:val="32"/>
          <w:szCs w:val="32"/>
        </w:rPr>
      </w:pPr>
      <w:r>
        <w:rPr>
          <w:rStyle w:val="11"/>
          <w:rFonts w:hint="default" w:ascii="Times New Roman" w:hAnsi="Times New Roman" w:eastAsia="方正仿宋_GBK" w:cs="Times New Roman"/>
          <w:sz w:val="32"/>
          <w:szCs w:val="32"/>
          <w:shd w:val="clear" w:color="auto" w:fill="FFFFFF"/>
        </w:rPr>
        <w:t>2.支出情况。</w:t>
      </w:r>
      <w:r>
        <w:rPr>
          <w:rFonts w:hint="eastAsia"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度一般公共预算财政拨款支出659.14万元，与2023年度相比，减少16.41万元，下降2.4%。主要原因是</w:t>
      </w:r>
      <w:r>
        <w:rPr>
          <w:rFonts w:hint="eastAsia" w:ascii="Times New Roman" w:hAnsi="Times New Roman" w:eastAsia="方正仿宋_GBK" w:cs="Times New Roman"/>
          <w:sz w:val="32"/>
          <w:szCs w:val="32"/>
          <w:shd w:val="clear" w:color="auto" w:fill="FFFFFF"/>
          <w:lang w:eastAsia="zh-CN"/>
        </w:rPr>
        <w:t>学生合并至区实验外语校，学生人数减少。</w:t>
      </w:r>
      <w:r>
        <w:rPr>
          <w:rFonts w:hint="default" w:ascii="Times New Roman" w:hAnsi="Times New Roman" w:eastAsia="方正仿宋_GBK" w:cs="Times New Roman"/>
          <w:sz w:val="32"/>
          <w:szCs w:val="32"/>
          <w:shd w:val="clear" w:color="auto" w:fill="FFFFFF"/>
        </w:rPr>
        <w:t>较年初预算数增加24.00万元，增长3.8%。主要原因是</w:t>
      </w:r>
      <w:r>
        <w:rPr>
          <w:rFonts w:hint="eastAsia" w:ascii="Times New Roman" w:hAnsi="Times New Roman" w:eastAsia="方正仿宋_GBK" w:cs="Times New Roman"/>
          <w:sz w:val="32"/>
          <w:szCs w:val="32"/>
          <w:shd w:val="clear" w:color="auto" w:fill="FFFFFF"/>
        </w:rPr>
        <w:t>人员工资和社保缴费基数政策性调整</w:t>
      </w:r>
      <w:r>
        <w:rPr>
          <w:rFonts w:hint="eastAsia" w:ascii="Times New Roman" w:hAnsi="Times New Roman" w:eastAsia="方正仿宋_GBK" w:cs="Times New Roman"/>
          <w:sz w:val="32"/>
          <w:szCs w:val="32"/>
          <w:shd w:val="clear" w:color="auto" w:fill="FFFFFF"/>
          <w:lang w:eastAsia="zh-CN"/>
        </w:rPr>
        <w:t>。</w:t>
      </w:r>
    </w:p>
    <w:p w14:paraId="69D941F9">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3" w:firstLineChars="200"/>
        <w:jc w:val="both"/>
        <w:textAlignment w:val="auto"/>
        <w:rPr>
          <w:rFonts w:hint="default" w:ascii="方正仿宋_GBK" w:hAnsi="方正仿宋_GBK" w:eastAsia="方正仿宋_GBK" w:cs="方正仿宋_GBK"/>
          <w:sz w:val="32"/>
          <w:szCs w:val="32"/>
        </w:rPr>
      </w:pPr>
      <w:r>
        <w:rPr>
          <w:rStyle w:val="11"/>
          <w:rFonts w:hint="default" w:ascii="Times New Roman" w:hAnsi="Times New Roman" w:eastAsia="方正仿宋_GBK" w:cs="Times New Roman"/>
          <w:sz w:val="32"/>
          <w:szCs w:val="32"/>
          <w:shd w:val="clear" w:color="auto" w:fill="FFFFFF"/>
        </w:rPr>
        <w:t>3.结转结余情况。</w:t>
      </w:r>
      <w:r>
        <w:rPr>
          <w:rFonts w:hint="eastAsia"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度年末一般公共预算财政拨款结转和结余0.00万元，与2023年度相比，无增减，主要原因是本单位加强预算执行力度，细化学校各项预算编制与经费支出事项，保证预算绩效与支出进度如期完成，202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年本单位收支持平，无结转结余。</w:t>
      </w:r>
    </w:p>
    <w:p w14:paraId="70C94FF0">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3" w:firstLineChars="200"/>
        <w:jc w:val="both"/>
        <w:textAlignment w:val="auto"/>
        <w:rPr>
          <w:rFonts w:hint="default" w:ascii="方正仿宋_GBK" w:hAnsi="方正仿宋_GBK" w:eastAsia="方正仿宋_GBK" w:cs="方正仿宋_GBK"/>
          <w:color w:val="FF0000"/>
          <w:sz w:val="32"/>
          <w:szCs w:val="32"/>
          <w:highlight w:val="cyan"/>
          <w:shd w:val="clear" w:color="auto" w:fill="FFFFFF"/>
        </w:rPr>
      </w:pPr>
      <w:r>
        <w:rPr>
          <w:rStyle w:val="11"/>
          <w:rFonts w:hint="default" w:ascii="Times New Roman" w:hAnsi="Times New Roman" w:eastAsia="方正仿宋_GBK" w:cs="Times New Roman"/>
          <w:sz w:val="32"/>
          <w:szCs w:val="32"/>
          <w:shd w:val="clear" w:color="auto" w:fill="FFFFFF"/>
        </w:rPr>
        <w:t xml:space="preserve"> 4.比较情况。</w:t>
      </w:r>
      <w:r>
        <w:rPr>
          <w:rFonts w:hint="default" w:ascii="Times New Roman" w:hAnsi="Times New Roman" w:eastAsia="方正仿宋_GBK" w:cs="Times New Roman"/>
          <w:sz w:val="32"/>
          <w:szCs w:val="32"/>
          <w:shd w:val="clear" w:color="auto" w:fill="FFFFFF"/>
        </w:rPr>
        <w:t>本</w:t>
      </w:r>
      <w:r>
        <w:rPr>
          <w:rFonts w:hint="eastAsia" w:ascii="Times New Roman" w:hAnsi="Times New Roman" w:eastAsia="方正仿宋_GBK" w:cs="Times New Roman"/>
          <w:sz w:val="32"/>
          <w:szCs w:val="32"/>
          <w:shd w:val="clear" w:color="auto" w:fill="FFFFFF"/>
          <w:lang w:eastAsia="zh-CN"/>
        </w:rPr>
        <w:t>单位2024年</w:t>
      </w:r>
      <w:r>
        <w:rPr>
          <w:rFonts w:hint="default" w:ascii="Times New Roman" w:hAnsi="Times New Roman" w:eastAsia="方正仿宋_GBK" w:cs="Times New Roman"/>
          <w:sz w:val="32"/>
          <w:szCs w:val="32"/>
          <w:shd w:val="clear" w:color="auto" w:fill="FFFFFF"/>
        </w:rPr>
        <w:t>度一般公共预算财政拨款支出主要用于以下几个方面：</w:t>
      </w:r>
    </w:p>
    <w:p w14:paraId="40B4F4FD">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rPr>
        <w:t>1</w:t>
      </w:r>
      <w:r>
        <w:rPr>
          <w:rFonts w:hint="default" w:ascii="Times New Roman" w:hAnsi="Times New Roman" w:eastAsia="方正仿宋_GBK" w:cs="Times New Roman"/>
          <w:sz w:val="32"/>
          <w:szCs w:val="32"/>
          <w:shd w:val="clear" w:color="auto" w:fill="FFFFFF"/>
        </w:rPr>
        <w:t>）教育支出532.14万元，占80.73%，较年初预算数增加181.98万元，增长52.0%，主要原因是</w:t>
      </w:r>
      <w:r>
        <w:rPr>
          <w:rFonts w:hint="eastAsia" w:ascii="Times New Roman" w:hAnsi="Times New Roman" w:eastAsia="方正仿宋_GBK" w:cs="Times New Roman"/>
          <w:sz w:val="32"/>
          <w:szCs w:val="32"/>
          <w:shd w:val="clear" w:color="auto" w:fill="FFFFFF"/>
          <w:lang w:val="en-US" w:eastAsia="zh-CN"/>
        </w:rPr>
        <w:t>退休人员支出分类政策性调整。</w:t>
      </w:r>
    </w:p>
    <w:p w14:paraId="03411972">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）社会保障与就业支出57.63万元，占8.74%，较年初预算数减少158.26万元，下降73.3%，主要原因是</w:t>
      </w:r>
      <w:r>
        <w:rPr>
          <w:rFonts w:hint="eastAsia" w:ascii="Times New Roman" w:hAnsi="Times New Roman" w:eastAsia="方正仿宋_GBK" w:cs="Times New Roman"/>
          <w:sz w:val="32"/>
          <w:szCs w:val="32"/>
          <w:shd w:val="clear" w:color="auto" w:fill="FFFFFF"/>
          <w:lang w:val="en-US" w:eastAsia="zh-CN"/>
        </w:rPr>
        <w:t>政策性调整</w:t>
      </w:r>
      <w:bookmarkStart w:id="21" w:name="_GoBack"/>
      <w:bookmarkEnd w:id="21"/>
      <w:r>
        <w:rPr>
          <w:rFonts w:hint="eastAsia" w:ascii="Times New Roman" w:hAnsi="Times New Roman" w:eastAsia="方正仿宋_GBK" w:cs="Times New Roman"/>
          <w:sz w:val="32"/>
          <w:szCs w:val="32"/>
          <w:shd w:val="clear" w:color="auto" w:fill="FFFFFF"/>
          <w:lang w:eastAsia="zh-CN"/>
        </w:rPr>
        <w:t>。</w:t>
      </w:r>
    </w:p>
    <w:p w14:paraId="7129D29F">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）卫生健康支出32.66万元，占4.95%，较年初预算数无增减，主要原因是</w:t>
      </w:r>
      <w:r>
        <w:rPr>
          <w:rFonts w:hint="eastAsia" w:ascii="Times New Roman" w:hAnsi="Times New Roman" w:eastAsia="方正仿宋_GBK" w:cs="Times New Roman"/>
          <w:sz w:val="32"/>
          <w:szCs w:val="32"/>
          <w:shd w:val="clear" w:color="auto" w:fill="FFFFFF"/>
          <w:lang w:val="en-US" w:eastAsia="zh-CN"/>
        </w:rPr>
        <w:t>预算精准，无人员变化。</w:t>
      </w:r>
    </w:p>
    <w:p w14:paraId="66D233D0">
      <w:pPr>
        <w:keepNext w:val="0"/>
        <w:keepLines w:val="0"/>
        <w:pageBreakBefore w:val="0"/>
        <w:widowControl/>
        <w:kinsoku/>
        <w:wordWrap/>
        <w:overflowPunct/>
        <w:topLinePunct w:val="0"/>
        <w:autoSpaceDE/>
        <w:autoSpaceDN/>
        <w:bidi w:val="0"/>
        <w:adjustRightInd/>
        <w:spacing w:line="600" w:lineRule="exact"/>
        <w:ind w:firstLine="640" w:firstLineChars="200"/>
        <w:textAlignment w:val="auto"/>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cs="Times New Roman"/>
          <w:sz w:val="32"/>
          <w:szCs w:val="32"/>
          <w:shd w:val="clear" w:color="auto" w:fill="FFFFFF"/>
          <w:lang w:val="en-US" w:eastAsia="zh-CN" w:bidi="ar-SA"/>
        </w:rPr>
        <w:t>（</w:t>
      </w:r>
      <w:r>
        <w:rPr>
          <w:rFonts w:hint="eastAsia" w:ascii="Times New Roman" w:hAnsi="Times New Roman" w:eastAsia="方正仿宋_GBK" w:cs="Times New Roman"/>
          <w:sz w:val="32"/>
          <w:szCs w:val="32"/>
          <w:shd w:val="clear" w:color="auto" w:fill="FFFFFF"/>
          <w:lang w:val="en-US" w:eastAsia="zh-CN" w:bidi="ar-SA"/>
        </w:rPr>
        <w:t>4</w:t>
      </w:r>
      <w:r>
        <w:rPr>
          <w:rFonts w:hint="default" w:ascii="Times New Roman" w:hAnsi="Times New Roman" w:eastAsia="方正仿宋_GBK" w:cs="Times New Roman"/>
          <w:sz w:val="32"/>
          <w:szCs w:val="32"/>
          <w:shd w:val="clear" w:color="auto" w:fill="FFFFFF"/>
          <w:lang w:val="en-US" w:eastAsia="zh-CN" w:bidi="ar-SA"/>
        </w:rPr>
        <w:t>）住房保障支出36.72万元，占5.57%，较年初预算数增加0.28万元，增长0.8%，主要原因是</w:t>
      </w:r>
      <w:r>
        <w:rPr>
          <w:rFonts w:hint="eastAsia" w:ascii="Times New Roman" w:hAnsi="Times New Roman" w:eastAsia="方正仿宋_GBK" w:cs="Times New Roman"/>
          <w:sz w:val="32"/>
          <w:szCs w:val="32"/>
          <w:shd w:val="clear" w:color="auto" w:fill="FFFFFF"/>
          <w:lang w:val="en-US" w:eastAsia="zh-CN" w:bidi="ar-SA"/>
        </w:rPr>
        <w:t>补发购房补贴。</w:t>
      </w:r>
    </w:p>
    <w:p w14:paraId="130150AC">
      <w:pPr>
        <w:keepNext w:val="0"/>
        <w:keepLines w:val="0"/>
        <w:pageBreakBefore w:val="0"/>
        <w:widowControl/>
        <w:kinsoku/>
        <w:wordWrap/>
        <w:overflowPunct/>
        <w:topLinePunct w:val="0"/>
        <w:autoSpaceDN/>
        <w:bidi w:val="0"/>
        <w:adjustRightInd w:val="0"/>
        <w:snapToGrid w:val="0"/>
        <w:spacing w:line="600" w:lineRule="exact"/>
        <w:ind w:firstLine="640" w:firstLineChars="200"/>
        <w:jc w:val="both"/>
        <w:textAlignment w:val="auto"/>
        <w:rPr>
          <w:rFonts w:hint="default" w:ascii="Times New Roman" w:hAnsi="Times New Roman" w:eastAsia="方正楷体_GBK" w:cs="Times New Roman"/>
          <w:sz w:val="32"/>
          <w:szCs w:val="32"/>
        </w:rPr>
      </w:pPr>
      <w:r>
        <w:rPr>
          <w:rFonts w:hint="eastAsia" w:ascii="Times New Roman" w:hAnsi="Times New Roman" w:eastAsia="方正楷体_GBK" w:cs="Times New Roman"/>
          <w:sz w:val="32"/>
          <w:szCs w:val="32"/>
        </w:rPr>
        <w:t>（四）一般公共预算财政拨款基本支出决算情况说明</w:t>
      </w:r>
    </w:p>
    <w:p w14:paraId="5A4E9A0C">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cs="Times New Roman"/>
          <w:sz w:val="32"/>
          <w:szCs w:val="32"/>
          <w:shd w:val="clear" w:color="auto" w:fill="FFFFFF"/>
        </w:rPr>
        <w:t> </w:t>
      </w:r>
      <w:r>
        <w:rPr>
          <w:rFonts w:hint="eastAsia"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度一般公共财政拨款基本支出658.84万元。其中：人员经费594.81万元，与2023年度相比，增加42.51万元，增长7.7%，主要原因是人员工资和社保缴费基数政策性调整</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人员经费用途主要包括基本工资、津贴补贴、绩效工资、机关事业单位基本养老保险、职业年金、职工基本医疗保险、住房公积金，其他社会保障缴费等</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公用经费64.02万元，与2023年度相比，减少22.80万元，下降26.3%，主要原因是学生合并至区实验外语校，学生人数减少</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公用经费用途主要包括办公费、咨询费、水电费、邮电费、物业管理费、差旅费、维修（护）费、培训费、专用材料费、劳务费、其他商品和服务支出等</w:t>
      </w:r>
      <w:r>
        <w:rPr>
          <w:rFonts w:hint="eastAsia" w:ascii="Times New Roman" w:hAnsi="Times New Roman" w:eastAsia="方正仿宋_GBK" w:cs="Times New Roman"/>
          <w:sz w:val="32"/>
          <w:szCs w:val="32"/>
          <w:shd w:val="clear" w:color="auto" w:fill="FFFFFF"/>
          <w:lang w:eastAsia="zh-CN"/>
        </w:rPr>
        <w:t>。</w:t>
      </w:r>
    </w:p>
    <w:p w14:paraId="3D833BBC">
      <w:pPr>
        <w:keepNext w:val="0"/>
        <w:keepLines w:val="0"/>
        <w:pageBreakBefore w:val="0"/>
        <w:widowControl/>
        <w:kinsoku/>
        <w:wordWrap/>
        <w:overflowPunct/>
        <w:topLinePunct w:val="0"/>
        <w:autoSpaceDN/>
        <w:bidi w:val="0"/>
        <w:adjustRightInd w:val="0"/>
        <w:snapToGrid w:val="0"/>
        <w:spacing w:line="600" w:lineRule="exact"/>
        <w:ind w:firstLine="640" w:firstLineChars="200"/>
        <w:jc w:val="both"/>
        <w:textAlignment w:val="auto"/>
        <w:rPr>
          <w:rFonts w:hint="default" w:ascii="Times New Roman" w:hAnsi="Times New Roman" w:eastAsia="方正楷体_GBK" w:cs="Times New Roman"/>
          <w:sz w:val="32"/>
          <w:szCs w:val="32"/>
        </w:rPr>
      </w:pPr>
      <w:r>
        <w:rPr>
          <w:rFonts w:hint="eastAsia" w:ascii="Times New Roman" w:hAnsi="Times New Roman" w:eastAsia="方正楷体_GBK" w:cs="Times New Roman"/>
          <w:sz w:val="32"/>
          <w:szCs w:val="32"/>
        </w:rPr>
        <w:t>（五）政府性基金预算收支决算情况说明</w:t>
      </w:r>
    </w:p>
    <w:p w14:paraId="55C8FD83">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Times New Roman" w:hAnsi="Times New Roman" w:eastAsia="方正仿宋_GBK" w:cs="Times New Roman"/>
          <w:sz w:val="32"/>
          <w:szCs w:val="32"/>
          <w:shd w:val="clear" w:color="auto" w:fill="FFFFFF"/>
          <w:lang w:eastAsia="zh-CN"/>
        </w:rPr>
        <w:t>本单位2024年度无政府性基金预算财政拨款收支。</w:t>
      </w:r>
    </w:p>
    <w:p w14:paraId="2943ED61">
      <w:pPr>
        <w:keepNext w:val="0"/>
        <w:keepLines w:val="0"/>
        <w:pageBreakBefore w:val="0"/>
        <w:widowControl/>
        <w:kinsoku/>
        <w:wordWrap/>
        <w:overflowPunct/>
        <w:topLinePunct w:val="0"/>
        <w:autoSpaceDN/>
        <w:bidi w:val="0"/>
        <w:adjustRightInd w:val="0"/>
        <w:snapToGrid w:val="0"/>
        <w:spacing w:line="600" w:lineRule="exact"/>
        <w:ind w:firstLine="640" w:firstLineChars="200"/>
        <w:jc w:val="both"/>
        <w:textAlignment w:val="auto"/>
        <w:rPr>
          <w:rFonts w:hint="default" w:ascii="Times New Roman" w:hAnsi="Times New Roman" w:eastAsia="方正楷体_GBK" w:cs="Times New Roman"/>
          <w:sz w:val="32"/>
          <w:szCs w:val="32"/>
        </w:rPr>
      </w:pPr>
      <w:r>
        <w:rPr>
          <w:rFonts w:hint="eastAsia" w:ascii="Times New Roman" w:hAnsi="Times New Roman" w:eastAsia="方正楷体_GBK" w:cs="Times New Roman"/>
          <w:sz w:val="32"/>
          <w:szCs w:val="32"/>
        </w:rPr>
        <w:t>（六）国有资本经营预算财政拨款支出决算情况说明</w:t>
      </w:r>
    </w:p>
    <w:p w14:paraId="60A14E04">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eastAsia" w:ascii="Times New Roman" w:hAnsi="Times New Roman" w:eastAsia="方正仿宋_GBK" w:cs="Times New Roman"/>
          <w:sz w:val="32"/>
          <w:szCs w:val="32"/>
          <w:shd w:val="clear" w:color="auto" w:fill="FFFFFF"/>
          <w:lang w:eastAsia="zh-CN"/>
        </w:rPr>
        <w:t>本单位2024年度无国有资本经营预算财政拨款支出。</w:t>
      </w:r>
    </w:p>
    <w:p w14:paraId="02E376C0">
      <w:pPr>
        <w:widowControl w:val="0"/>
        <w:spacing w:line="600" w:lineRule="exact"/>
        <w:ind w:firstLine="640" w:firstLineChars="200"/>
        <w:jc w:val="both"/>
        <w:rPr>
          <w:rFonts w:hint="default" w:ascii="Times New Roman" w:hAnsi="Times New Roman" w:eastAsia="方正黑体_GBK" w:cs="宋体"/>
          <w:bCs/>
          <w:kern w:val="0"/>
          <w:sz w:val="32"/>
          <w:szCs w:val="20"/>
        </w:rPr>
      </w:pPr>
      <w:r>
        <w:rPr>
          <w:rFonts w:hint="default" w:ascii="Times New Roman" w:hAnsi="Times New Roman" w:eastAsia="方正黑体_GBK" w:cs="宋体"/>
          <w:bCs/>
          <w:kern w:val="0"/>
          <w:sz w:val="32"/>
          <w:szCs w:val="20"/>
        </w:rPr>
        <w:t>三、</w:t>
      </w:r>
      <w:r>
        <w:rPr>
          <w:rFonts w:hint="eastAsia" w:eastAsia="方正黑体_GBK" w:cs="宋体"/>
          <w:bCs/>
          <w:kern w:val="0"/>
          <w:sz w:val="32"/>
          <w:szCs w:val="32"/>
        </w:rPr>
        <w:t>“三公”</w:t>
      </w:r>
      <w:r>
        <w:rPr>
          <w:rFonts w:hint="default" w:ascii="Times New Roman" w:hAnsi="Times New Roman" w:eastAsia="方正黑体_GBK" w:cs="宋体"/>
          <w:bCs/>
          <w:kern w:val="0"/>
          <w:sz w:val="32"/>
          <w:szCs w:val="20"/>
        </w:rPr>
        <w:t>经费情况说明</w:t>
      </w:r>
    </w:p>
    <w:p w14:paraId="1DAC9B2E">
      <w:pPr>
        <w:keepNext w:val="0"/>
        <w:keepLines w:val="0"/>
        <w:pageBreakBefore w:val="0"/>
        <w:widowControl/>
        <w:kinsoku/>
        <w:wordWrap/>
        <w:overflowPunct/>
        <w:topLinePunct w:val="0"/>
        <w:autoSpaceDN/>
        <w:bidi w:val="0"/>
        <w:adjustRightInd w:val="0"/>
        <w:snapToGrid w:val="0"/>
        <w:spacing w:line="600" w:lineRule="exact"/>
        <w:ind w:firstLine="640" w:firstLineChars="200"/>
        <w:jc w:val="both"/>
        <w:textAlignment w:val="auto"/>
        <w:rPr>
          <w:rFonts w:hint="default" w:ascii="Times New Roman" w:hAnsi="Times New Roman" w:eastAsia="方正楷体_GBK" w:cs="Times New Roman"/>
          <w:sz w:val="32"/>
          <w:szCs w:val="32"/>
        </w:rPr>
      </w:pPr>
      <w:r>
        <w:rPr>
          <w:rFonts w:hint="eastAsia" w:ascii="Times New Roman" w:hAnsi="Times New Roman" w:eastAsia="方正楷体_GBK" w:cs="Times New Roman"/>
          <w:sz w:val="32"/>
          <w:szCs w:val="32"/>
        </w:rPr>
        <w:t>（一）“三公”经费支出总体情况说明</w:t>
      </w:r>
    </w:p>
    <w:p w14:paraId="6CB1D3F0">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Times New Roman" w:hAnsi="Times New Roman" w:eastAsia="方正仿宋_GBK" w:cs="Times New Roman"/>
          <w:sz w:val="32"/>
          <w:szCs w:val="32"/>
          <w:shd w:val="clear" w:color="auto" w:fill="FFFFFF"/>
          <w:lang w:val="en-US" w:eastAsia="zh-CN" w:bidi="ar-SA"/>
        </w:rPr>
        <w:t>2024年度“三公”经费支出共计0.00万元，较年初预算数无增减，较上年支出数无增减，主要原因是</w:t>
      </w:r>
      <w:bookmarkStart w:id="6" w:name="OLE_LINK267"/>
      <w:bookmarkStart w:id="7" w:name="OLE_LINK274"/>
      <w:bookmarkStart w:id="8" w:name="OLE_LINK276"/>
      <w:bookmarkStart w:id="9" w:name="OLE_LINK277"/>
      <w:bookmarkStart w:id="10" w:name="OLE_LINK275"/>
      <w:r>
        <w:rPr>
          <w:rFonts w:hint="default" w:ascii="Times New Roman" w:hAnsi="方正仿宋_GBK" w:eastAsia="方正仿宋_GBK"/>
          <w:sz w:val="32"/>
          <w:szCs w:val="32"/>
          <w:shd w:val="clear" w:color="auto" w:fill="FFFFFF"/>
        </w:rPr>
        <w:t>本单位</w:t>
      </w:r>
      <w:r>
        <w:rPr>
          <w:rFonts w:hint="default" w:ascii="Times New Roman" w:hAnsi="Times New Roman" w:eastAsia="方正仿宋_GBK"/>
          <w:sz w:val="32"/>
          <w:szCs w:val="32"/>
          <w:shd w:val="clear" w:color="auto" w:fill="FFFFFF"/>
        </w:rPr>
        <w:t>202</w:t>
      </w:r>
      <w:r>
        <w:rPr>
          <w:rFonts w:hint="eastAsia" w:ascii="Times New Roman" w:hAnsi="Times New Roman" w:eastAsia="方正仿宋_GBK"/>
          <w:sz w:val="32"/>
          <w:szCs w:val="32"/>
          <w:shd w:val="clear" w:color="auto" w:fill="FFFFFF"/>
          <w:lang w:val="en-US" w:eastAsia="zh-CN"/>
        </w:rPr>
        <w:t>4</w:t>
      </w:r>
      <w:r>
        <w:rPr>
          <w:rFonts w:hint="default" w:ascii="Times New Roman" w:hAnsi="方正仿宋_GBK" w:eastAsia="方正仿宋_GBK"/>
          <w:sz w:val="32"/>
          <w:szCs w:val="32"/>
          <w:shd w:val="clear" w:color="auto" w:fill="FFFFFF"/>
        </w:rPr>
        <w:t>年度未发</w:t>
      </w:r>
      <w:r>
        <w:rPr>
          <w:rFonts w:hint="eastAsia" w:ascii="方正仿宋_GBK" w:hAnsi="方正仿宋_GBK" w:eastAsia="方正仿宋_GBK" w:cs="方正仿宋_GBK"/>
          <w:sz w:val="32"/>
          <w:szCs w:val="32"/>
          <w:shd w:val="clear" w:color="auto" w:fill="FFFFFF"/>
        </w:rPr>
        <w:t>生“三公”</w:t>
      </w:r>
      <w:r>
        <w:rPr>
          <w:rFonts w:hint="default" w:ascii="Times New Roman" w:hAnsi="方正仿宋_GBK" w:eastAsia="方正仿宋_GBK"/>
          <w:sz w:val="32"/>
          <w:szCs w:val="32"/>
          <w:shd w:val="clear" w:color="auto" w:fill="FFFFFF"/>
        </w:rPr>
        <w:t>经费支出</w:t>
      </w:r>
      <w:bookmarkStart w:id="11" w:name="OLE_LINK293"/>
      <w:bookmarkStart w:id="12" w:name="OLE_LINK296"/>
      <w:bookmarkStart w:id="13" w:name="OLE_LINK294"/>
      <w:r>
        <w:rPr>
          <w:rFonts w:hint="default" w:ascii="Times New Roman" w:hAnsi="方正仿宋_GBK" w:eastAsia="方正仿宋_GBK"/>
          <w:sz w:val="32"/>
          <w:szCs w:val="32"/>
          <w:shd w:val="clear" w:color="auto" w:fill="FFFFFF"/>
        </w:rPr>
        <w:t>，与上年决算数持平</w:t>
      </w:r>
      <w:bookmarkEnd w:id="6"/>
      <w:bookmarkEnd w:id="7"/>
      <w:bookmarkEnd w:id="8"/>
      <w:bookmarkEnd w:id="9"/>
      <w:bookmarkEnd w:id="10"/>
      <w:bookmarkEnd w:id="11"/>
      <w:bookmarkEnd w:id="12"/>
      <w:bookmarkEnd w:id="13"/>
      <w:r>
        <w:rPr>
          <w:rFonts w:hint="eastAsia" w:ascii="Times New Roman" w:hAnsi="方正仿宋_GBK" w:eastAsia="方正仿宋_GBK"/>
          <w:sz w:val="32"/>
          <w:szCs w:val="32"/>
          <w:shd w:val="clear" w:color="auto" w:fill="FFFFFF"/>
          <w:lang w:eastAsia="zh-CN"/>
        </w:rPr>
        <w:t>。</w:t>
      </w:r>
    </w:p>
    <w:p w14:paraId="773D9FF7">
      <w:pPr>
        <w:keepNext w:val="0"/>
        <w:keepLines w:val="0"/>
        <w:pageBreakBefore w:val="0"/>
        <w:widowControl/>
        <w:kinsoku/>
        <w:wordWrap/>
        <w:overflowPunct/>
        <w:topLinePunct w:val="0"/>
        <w:autoSpaceDN/>
        <w:bidi w:val="0"/>
        <w:adjustRightInd w:val="0"/>
        <w:snapToGrid w:val="0"/>
        <w:spacing w:line="600" w:lineRule="exact"/>
        <w:ind w:firstLine="640" w:firstLineChars="200"/>
        <w:jc w:val="both"/>
        <w:textAlignment w:val="auto"/>
        <w:rPr>
          <w:rFonts w:hint="default" w:ascii="Times New Roman" w:hAnsi="Times New Roman" w:eastAsia="方正楷体_GBK" w:cs="Times New Roman"/>
          <w:sz w:val="32"/>
          <w:szCs w:val="32"/>
        </w:rPr>
      </w:pPr>
      <w:r>
        <w:rPr>
          <w:rFonts w:hint="eastAsia" w:ascii="Times New Roman" w:hAnsi="Times New Roman" w:eastAsia="方正楷体_GBK" w:cs="Times New Roman"/>
          <w:sz w:val="32"/>
          <w:szCs w:val="32"/>
        </w:rPr>
        <w:t>（二）“三公”经费分项支出情况</w:t>
      </w:r>
    </w:p>
    <w:p w14:paraId="76F43C65">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Times New Roman" w:hAnsi="Times New Roman" w:eastAsia="方正仿宋_GBK" w:cs="Times New Roman"/>
          <w:sz w:val="32"/>
          <w:szCs w:val="32"/>
          <w:shd w:val="clear" w:color="auto" w:fill="FFFFFF"/>
          <w:lang w:val="en-US" w:eastAsia="zh-CN" w:bidi="ar-SA"/>
        </w:rPr>
        <w:t>2024年度本单位因公出国（境）费用0.00万元，费用支出较年初预算数无增减，</w:t>
      </w:r>
      <w:r>
        <w:rPr>
          <w:rFonts w:hint="default" w:ascii="Times New Roman" w:hAnsi="方正仿宋_GBK" w:eastAsia="方正仿宋_GBK"/>
          <w:sz w:val="32"/>
          <w:szCs w:val="32"/>
          <w:shd w:val="clear" w:color="auto" w:fill="FFFFFF"/>
        </w:rPr>
        <w:t>较上年支出数无增减，主要原因是本单位</w:t>
      </w:r>
      <w:r>
        <w:rPr>
          <w:rFonts w:hint="default" w:ascii="Times New Roman" w:hAnsi="Times New Roman" w:eastAsia="方正仿宋_GBK"/>
          <w:sz w:val="32"/>
          <w:szCs w:val="32"/>
          <w:shd w:val="clear" w:color="auto" w:fill="FFFFFF"/>
        </w:rPr>
        <w:t>202</w:t>
      </w:r>
      <w:r>
        <w:rPr>
          <w:rFonts w:hint="eastAsia" w:ascii="Times New Roman" w:hAnsi="Times New Roman" w:eastAsia="方正仿宋_GBK"/>
          <w:sz w:val="32"/>
          <w:szCs w:val="32"/>
          <w:shd w:val="clear" w:color="auto" w:fill="FFFFFF"/>
          <w:lang w:val="en-US" w:eastAsia="zh-CN"/>
        </w:rPr>
        <w:t>4</w:t>
      </w:r>
      <w:r>
        <w:rPr>
          <w:rFonts w:hint="default" w:ascii="Times New Roman" w:hAnsi="方正仿宋_GBK" w:eastAsia="方正仿宋_GBK"/>
          <w:sz w:val="32"/>
          <w:szCs w:val="32"/>
          <w:shd w:val="clear" w:color="auto" w:fill="FFFFFF"/>
        </w:rPr>
        <w:t>年度未发生因公出国（境）费用支出，与上年决算数持平。</w:t>
      </w:r>
    </w:p>
    <w:p w14:paraId="2F579FC4">
      <w:pPr>
        <w:pStyle w:val="8"/>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olor w:val="auto"/>
          <w:sz w:val="32"/>
          <w:szCs w:val="32"/>
        </w:rPr>
      </w:pPr>
      <w:r>
        <w:rPr>
          <w:rFonts w:ascii="方正仿宋_GBK" w:hAnsi="方正仿宋_GBK" w:eastAsia="方正仿宋_GBK" w:cs="方正仿宋_GBK"/>
          <w:sz w:val="32"/>
          <w:szCs w:val="32"/>
          <w:shd w:val="clear" w:color="auto" w:fill="FFFFFF"/>
        </w:rPr>
        <w:t> </w:t>
      </w:r>
      <w:r>
        <w:rPr>
          <w:rFonts w:hint="default" w:ascii="Times New Roman" w:hAnsi="方正仿宋_GBK" w:eastAsia="方正仿宋_GBK"/>
          <w:color w:val="auto"/>
          <w:sz w:val="32"/>
          <w:szCs w:val="32"/>
          <w:shd w:val="clear" w:color="auto" w:fill="FFFFFF"/>
        </w:rPr>
        <w:t>公务车购置费</w:t>
      </w:r>
      <w:r>
        <w:rPr>
          <w:rFonts w:hint="default" w:ascii="Times New Roman" w:hAnsi="Times New Roman" w:eastAsia="方正仿宋_GBK"/>
          <w:color w:val="auto"/>
          <w:sz w:val="32"/>
          <w:szCs w:val="32"/>
        </w:rPr>
        <w:t>0.00</w:t>
      </w:r>
      <w:r>
        <w:rPr>
          <w:rFonts w:hint="default" w:ascii="Times New Roman" w:hAnsi="方正仿宋_GBK" w:eastAsia="方正仿宋_GBK"/>
          <w:color w:val="auto"/>
          <w:sz w:val="32"/>
          <w:szCs w:val="32"/>
          <w:shd w:val="clear" w:color="auto" w:fill="FFFFFF"/>
        </w:rPr>
        <w:t>万元</w:t>
      </w:r>
      <w:bookmarkStart w:id="14" w:name="OLE_LINK300"/>
      <w:bookmarkStart w:id="15" w:name="OLE_LINK299"/>
      <w:r>
        <w:rPr>
          <w:rFonts w:hint="default" w:ascii="Times New Roman" w:hAnsi="方正仿宋_GBK" w:eastAsia="方正仿宋_GBK"/>
          <w:color w:val="auto"/>
          <w:sz w:val="32"/>
          <w:szCs w:val="32"/>
          <w:shd w:val="clear" w:color="auto" w:fill="FFFFFF"/>
        </w:rPr>
        <w:t>。</w:t>
      </w:r>
      <w:bookmarkEnd w:id="14"/>
      <w:bookmarkEnd w:id="15"/>
      <w:r>
        <w:rPr>
          <w:rFonts w:hint="default" w:ascii="Times New Roman" w:hAnsi="方正仿宋_GBK" w:eastAsia="方正仿宋_GBK"/>
          <w:color w:val="auto"/>
          <w:sz w:val="32"/>
          <w:szCs w:val="32"/>
          <w:shd w:val="clear" w:color="auto" w:fill="FFFFFF"/>
        </w:rPr>
        <w:t>费用支出较年初预算数无增减，</w:t>
      </w:r>
      <w:bookmarkStart w:id="16" w:name="OLE_LINK308"/>
      <w:bookmarkStart w:id="17" w:name="OLE_LINK309"/>
      <w:r>
        <w:rPr>
          <w:rFonts w:hint="default" w:ascii="Times New Roman" w:hAnsi="方正仿宋_GBK" w:eastAsia="方正仿宋_GBK"/>
          <w:color w:val="auto"/>
          <w:sz w:val="32"/>
          <w:szCs w:val="32"/>
          <w:shd w:val="clear" w:color="auto" w:fill="FFFFFF"/>
        </w:rPr>
        <w:t>较上年支出数无增减，主要原因是本单位</w:t>
      </w:r>
      <w:r>
        <w:rPr>
          <w:rFonts w:hint="default" w:ascii="Times New Roman" w:hAnsi="Times New Roman" w:eastAsia="方正仿宋_GBK"/>
          <w:color w:val="auto"/>
          <w:sz w:val="32"/>
          <w:szCs w:val="32"/>
          <w:shd w:val="clear" w:color="auto" w:fill="FFFFFF"/>
        </w:rPr>
        <w:t>202</w:t>
      </w:r>
      <w:r>
        <w:rPr>
          <w:rFonts w:hint="eastAsia" w:ascii="Times New Roman" w:hAnsi="Times New Roman" w:eastAsia="方正仿宋_GBK"/>
          <w:color w:val="auto"/>
          <w:sz w:val="32"/>
          <w:szCs w:val="32"/>
          <w:shd w:val="clear" w:color="auto" w:fill="FFFFFF"/>
          <w:lang w:val="en-US" w:eastAsia="zh-CN"/>
        </w:rPr>
        <w:t>4</w:t>
      </w:r>
      <w:r>
        <w:rPr>
          <w:rFonts w:hint="default" w:ascii="Times New Roman" w:hAnsi="方正仿宋_GBK" w:eastAsia="方正仿宋_GBK"/>
          <w:color w:val="auto"/>
          <w:sz w:val="32"/>
          <w:szCs w:val="32"/>
          <w:shd w:val="clear" w:color="auto" w:fill="FFFFFF"/>
        </w:rPr>
        <w:t>年度未发生公务车购置费支出，与上年</w:t>
      </w:r>
      <w:bookmarkStart w:id="18" w:name="OLE_LINK315"/>
      <w:r>
        <w:rPr>
          <w:rFonts w:hint="default" w:ascii="Times New Roman" w:hAnsi="方正仿宋_GBK" w:eastAsia="方正仿宋_GBK"/>
          <w:color w:val="auto"/>
          <w:sz w:val="32"/>
          <w:szCs w:val="32"/>
          <w:shd w:val="clear" w:color="auto" w:fill="FFFFFF"/>
        </w:rPr>
        <w:t>决算数持平。</w:t>
      </w:r>
    </w:p>
    <w:bookmarkEnd w:id="16"/>
    <w:bookmarkEnd w:id="17"/>
    <w:bookmarkEnd w:id="18"/>
    <w:p w14:paraId="2AA81114">
      <w:pPr>
        <w:pStyle w:val="8"/>
        <w:keepNext w:val="0"/>
        <w:keepLines w:val="0"/>
        <w:pageBreakBefore w:val="0"/>
        <w:widowControl/>
        <w:kinsoku/>
        <w:wordWrap/>
        <w:overflowPunct/>
        <w:topLinePunct w:val="0"/>
        <w:autoSpaceDE/>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olor w:val="auto"/>
          <w:sz w:val="32"/>
          <w:szCs w:val="32"/>
          <w:shd w:val="clear" w:color="auto" w:fill="FFFFFF"/>
        </w:rPr>
      </w:pPr>
      <w:r>
        <w:rPr>
          <w:rFonts w:hint="default" w:ascii="Times New Roman" w:hAnsi="方正仿宋_GBK" w:eastAsia="方正仿宋_GBK"/>
          <w:color w:val="auto"/>
          <w:sz w:val="32"/>
          <w:szCs w:val="32"/>
          <w:shd w:val="clear" w:color="auto" w:fill="FFFFFF"/>
        </w:rPr>
        <w:t>公务车运行维护费</w:t>
      </w:r>
      <w:r>
        <w:rPr>
          <w:rFonts w:hint="default" w:ascii="Times New Roman" w:hAnsi="Times New Roman" w:eastAsia="方正仿宋_GBK"/>
          <w:color w:val="auto"/>
          <w:sz w:val="32"/>
          <w:szCs w:val="32"/>
        </w:rPr>
        <w:t>0.00</w:t>
      </w:r>
      <w:r>
        <w:rPr>
          <w:rFonts w:hint="default" w:ascii="Times New Roman" w:hAnsi="方正仿宋_GBK" w:eastAsia="方正仿宋_GBK"/>
          <w:color w:val="auto"/>
          <w:sz w:val="32"/>
          <w:szCs w:val="32"/>
          <w:shd w:val="clear" w:color="auto" w:fill="FFFFFF"/>
        </w:rPr>
        <w:t>万元。费用支出较年初预算数无增减，</w:t>
      </w:r>
      <w:bookmarkStart w:id="19" w:name="OLE_LINK316"/>
      <w:r>
        <w:rPr>
          <w:rFonts w:hint="default" w:ascii="Times New Roman" w:hAnsi="方正仿宋_GBK" w:eastAsia="方正仿宋_GBK"/>
          <w:color w:val="auto"/>
          <w:sz w:val="32"/>
          <w:szCs w:val="32"/>
          <w:shd w:val="clear" w:color="auto" w:fill="FFFFFF"/>
        </w:rPr>
        <w:t>较上年支出</w:t>
      </w:r>
      <w:bookmarkEnd w:id="19"/>
      <w:r>
        <w:rPr>
          <w:rFonts w:hint="default" w:ascii="Times New Roman" w:hAnsi="方正仿宋_GBK" w:eastAsia="方正仿宋_GBK"/>
          <w:color w:val="auto"/>
          <w:sz w:val="32"/>
          <w:szCs w:val="32"/>
          <w:shd w:val="clear" w:color="auto" w:fill="FFFFFF"/>
        </w:rPr>
        <w:t>数无增减，主要原因是本单位</w:t>
      </w:r>
      <w:r>
        <w:rPr>
          <w:rFonts w:hint="default" w:ascii="Times New Roman" w:hAnsi="Times New Roman" w:eastAsia="方正仿宋_GBK"/>
          <w:color w:val="auto"/>
          <w:sz w:val="32"/>
          <w:szCs w:val="32"/>
          <w:shd w:val="clear" w:color="auto" w:fill="FFFFFF"/>
        </w:rPr>
        <w:t>202</w:t>
      </w:r>
      <w:r>
        <w:rPr>
          <w:rFonts w:hint="eastAsia" w:ascii="Times New Roman" w:hAnsi="Times New Roman" w:eastAsia="方正仿宋_GBK"/>
          <w:color w:val="auto"/>
          <w:sz w:val="32"/>
          <w:szCs w:val="32"/>
          <w:shd w:val="clear" w:color="auto" w:fill="FFFFFF"/>
          <w:lang w:val="en-US" w:eastAsia="zh-CN"/>
        </w:rPr>
        <w:t>4</w:t>
      </w:r>
      <w:r>
        <w:rPr>
          <w:rFonts w:hint="default" w:ascii="Times New Roman" w:hAnsi="方正仿宋_GBK" w:eastAsia="方正仿宋_GBK"/>
          <w:color w:val="auto"/>
          <w:sz w:val="32"/>
          <w:szCs w:val="32"/>
          <w:shd w:val="clear" w:color="auto" w:fill="FFFFFF"/>
        </w:rPr>
        <w:t>年度未发生公务车运行维护费支出，与上年决算数持平。</w:t>
      </w:r>
    </w:p>
    <w:p w14:paraId="26BFA6D1">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0" w:firstLineChars="0"/>
        <w:jc w:val="both"/>
        <w:textAlignment w:val="auto"/>
        <w:rPr>
          <w:rFonts w:hint="eastAsia" w:ascii="Times New Roman" w:hAnsi="Times New Roman" w:eastAsia="方正仿宋_GBK" w:cs="Times New Roman"/>
          <w:sz w:val="32"/>
          <w:szCs w:val="32"/>
          <w:shd w:val="clear" w:color="auto" w:fill="FFFFFF"/>
          <w:lang w:eastAsia="zh-CN"/>
        </w:rPr>
      </w:pPr>
      <w:r>
        <w:rPr>
          <w:rFonts w:hint="default" w:ascii="Times New Roman" w:hAnsi="方正仿宋_GBK" w:eastAsia="方正仿宋_GBK"/>
          <w:color w:val="auto"/>
          <w:sz w:val="32"/>
          <w:szCs w:val="32"/>
          <w:shd w:val="clear" w:color="auto" w:fill="FFFFFF"/>
        </w:rPr>
        <w:t>公务接待费</w:t>
      </w:r>
      <w:r>
        <w:rPr>
          <w:rFonts w:hint="default" w:ascii="Times New Roman" w:hAnsi="Times New Roman" w:eastAsia="方正仿宋_GBK"/>
          <w:color w:val="auto"/>
          <w:sz w:val="32"/>
          <w:szCs w:val="32"/>
        </w:rPr>
        <w:t>0.00</w:t>
      </w:r>
      <w:r>
        <w:rPr>
          <w:rFonts w:hint="default" w:ascii="Times New Roman" w:hAnsi="方正仿宋_GBK" w:eastAsia="方正仿宋_GBK"/>
          <w:color w:val="auto"/>
          <w:sz w:val="32"/>
          <w:szCs w:val="32"/>
          <w:shd w:val="clear" w:color="auto" w:fill="FFFFFF"/>
        </w:rPr>
        <w:t>万元。费用支出较年初预算数无增减，</w:t>
      </w:r>
      <w:bookmarkStart w:id="20" w:name="OLE_LINK321"/>
      <w:r>
        <w:rPr>
          <w:rFonts w:hint="default" w:ascii="Times New Roman" w:hAnsi="方正仿宋_GBK" w:eastAsia="方正仿宋_GBK"/>
          <w:color w:val="auto"/>
          <w:sz w:val="32"/>
          <w:szCs w:val="32"/>
          <w:shd w:val="clear" w:color="auto" w:fill="FFFFFF"/>
        </w:rPr>
        <w:t>较上年支出数无增减，主要原因是本</w:t>
      </w:r>
      <w:bookmarkEnd w:id="20"/>
      <w:r>
        <w:rPr>
          <w:rFonts w:hint="default" w:ascii="Times New Roman" w:hAnsi="方正仿宋_GBK" w:eastAsia="方正仿宋_GBK"/>
          <w:color w:val="auto"/>
          <w:sz w:val="32"/>
          <w:szCs w:val="32"/>
          <w:shd w:val="clear" w:color="auto" w:fill="FFFFFF"/>
        </w:rPr>
        <w:t>单位</w:t>
      </w:r>
      <w:r>
        <w:rPr>
          <w:rFonts w:hint="default" w:ascii="Times New Roman" w:hAnsi="Times New Roman" w:eastAsia="方正仿宋_GBK"/>
          <w:color w:val="auto"/>
          <w:sz w:val="32"/>
          <w:szCs w:val="32"/>
          <w:shd w:val="clear" w:color="auto" w:fill="FFFFFF"/>
        </w:rPr>
        <w:t>202</w:t>
      </w:r>
      <w:r>
        <w:rPr>
          <w:rFonts w:hint="eastAsia" w:ascii="Times New Roman" w:hAnsi="Times New Roman" w:eastAsia="方正仿宋_GBK"/>
          <w:color w:val="auto"/>
          <w:sz w:val="32"/>
          <w:szCs w:val="32"/>
          <w:shd w:val="clear" w:color="auto" w:fill="FFFFFF"/>
          <w:lang w:val="en-US" w:eastAsia="zh-CN"/>
        </w:rPr>
        <w:t>4</w:t>
      </w:r>
      <w:r>
        <w:rPr>
          <w:rFonts w:hint="default" w:ascii="Times New Roman" w:hAnsi="方正仿宋_GBK" w:eastAsia="方正仿宋_GBK"/>
          <w:color w:val="auto"/>
          <w:sz w:val="32"/>
          <w:szCs w:val="32"/>
          <w:shd w:val="clear" w:color="auto" w:fill="FFFFFF"/>
        </w:rPr>
        <w:t>年度未发生公务接待费支出，与上年决算数持平。</w:t>
      </w:r>
    </w:p>
    <w:p w14:paraId="24C57247">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楷体_GBK" w:cs="Times New Roman"/>
          <w:sz w:val="32"/>
          <w:szCs w:val="32"/>
        </w:rPr>
      </w:pPr>
      <w:r>
        <w:rPr>
          <w:rFonts w:hint="eastAsia" w:ascii="Times New Roman" w:hAnsi="Times New Roman" w:eastAsia="方正楷体_GBK" w:cs="Times New Roman"/>
          <w:sz w:val="32"/>
          <w:szCs w:val="32"/>
        </w:rPr>
        <w:t>（三）“三公”经费实物量情况</w:t>
      </w:r>
    </w:p>
    <w:p w14:paraId="6A890800">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w:t>
      </w:r>
      <w:r>
        <w:rPr>
          <w:rFonts w:hint="eastAsia"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因公出国（境）共计0个团组，0人；公务用车购置0辆，公务车保有量为0辆；国内公务接待0批次0人，其中：国内外事接待0批次，0人；国（境）外公务接待0批次，0人。</w:t>
      </w:r>
      <w:r>
        <w:rPr>
          <w:rFonts w:hint="eastAsia"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本</w:t>
      </w:r>
      <w:r>
        <w:rPr>
          <w:rFonts w:hint="eastAsia"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人均接待费0元，车均购置费0万元，车均维护费0万元。</w:t>
      </w:r>
    </w:p>
    <w:p w14:paraId="2D4A69ED">
      <w:pPr>
        <w:pStyle w:val="8"/>
        <w:keepNext w:val="0"/>
        <w:keepLines w:val="0"/>
        <w:pageBreakBefore w:val="0"/>
        <w:widowControl/>
        <w:numPr>
          <w:ilvl w:val="0"/>
          <w:numId w:val="1"/>
        </w:numPr>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Style w:val="11"/>
          <w:rFonts w:hint="default" w:ascii="Times New Roman" w:hAnsi="Times New Roman" w:eastAsia="方正黑体_GBK" w:cs="Times New Roman"/>
          <w:b w:val="0"/>
          <w:sz w:val="32"/>
          <w:szCs w:val="32"/>
          <w:shd w:val="clear" w:color="auto" w:fill="FFFFFF"/>
        </w:rPr>
      </w:pPr>
      <w:r>
        <w:rPr>
          <w:rStyle w:val="11"/>
          <w:rFonts w:hint="default" w:ascii="Times New Roman" w:hAnsi="Times New Roman" w:eastAsia="方正黑体_GBK" w:cs="Times New Roman"/>
          <w:b w:val="0"/>
          <w:sz w:val="32"/>
          <w:szCs w:val="32"/>
          <w:shd w:val="clear" w:color="auto" w:fill="FFFFFF"/>
        </w:rPr>
        <w:t>其他需要说明的事项</w:t>
      </w:r>
    </w:p>
    <w:p w14:paraId="7FBF25D1">
      <w:pPr>
        <w:pStyle w:val="8"/>
        <w:keepNext w:val="0"/>
        <w:keepLines w:val="0"/>
        <w:pageBreakBefore w:val="0"/>
        <w:widowControl/>
        <w:numPr>
          <w:ilvl w:val="0"/>
          <w:numId w:val="0"/>
        </w:numPr>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楷体" w:hAnsi="楷体" w:eastAsia="楷体" w:cs="楷体"/>
          <w:b/>
          <w:bCs/>
          <w:sz w:val="32"/>
          <w:szCs w:val="32"/>
          <w:shd w:val="clear" w:color="auto" w:fill="FFFFFF"/>
        </w:rPr>
      </w:pPr>
      <w:r>
        <w:rPr>
          <w:rFonts w:hint="eastAsia" w:ascii="Times New Roman" w:hAnsi="Times New Roman" w:eastAsia="方正楷体_GBK" w:cs="Times New Roman"/>
          <w:sz w:val="32"/>
          <w:szCs w:val="32"/>
          <w:lang w:val="en-US" w:eastAsia="zh-CN" w:bidi="ar-SA"/>
        </w:rPr>
        <w:t>（一）财政拨款会议费和培训费情况说明</w:t>
      </w:r>
    </w:p>
    <w:p w14:paraId="648D6075">
      <w:pPr>
        <w:pStyle w:val="8"/>
        <w:keepNext w:val="0"/>
        <w:keepLines w:val="0"/>
        <w:pageBreakBefore w:val="0"/>
        <w:widowControl/>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本年度会议费支出0.00万元，与2023年度相比，无增减，主要原因是本单位2024年度未发生会议费支出。本年度培训费支出0.77万元，与2023年度相比，减少3.29万元，下降81.0%，主要原因是</w:t>
      </w:r>
      <w:r>
        <w:rPr>
          <w:rFonts w:hint="eastAsia" w:ascii="Times New Roman" w:hAnsi="Times New Roman" w:eastAsia="方正仿宋_GBK" w:cs="Times New Roman"/>
          <w:sz w:val="32"/>
          <w:szCs w:val="32"/>
          <w:shd w:val="clear" w:color="auto" w:fill="FFFFFF"/>
          <w:lang w:val="en-US" w:eastAsia="zh-CN"/>
        </w:rPr>
        <w:t>学校教师合并至区实验外语校，培训减少</w:t>
      </w:r>
      <w:r>
        <w:rPr>
          <w:rFonts w:hint="default" w:ascii="Times New Roman" w:hAnsi="Times New Roman" w:eastAsia="方正仿宋_GBK" w:cs="Times New Roman"/>
          <w:sz w:val="32"/>
          <w:szCs w:val="32"/>
          <w:shd w:val="clear" w:color="auto" w:fill="FFFFFF"/>
        </w:rPr>
        <w:t>。</w:t>
      </w:r>
    </w:p>
    <w:p w14:paraId="3C26A384">
      <w:pPr>
        <w:keepNext w:val="0"/>
        <w:keepLines w:val="0"/>
        <w:pageBreakBefore w:val="0"/>
        <w:widowControl/>
        <w:kinsoku/>
        <w:wordWrap/>
        <w:overflowPunct/>
        <w:topLinePunct w:val="0"/>
        <w:autoSpaceDN/>
        <w:bidi w:val="0"/>
        <w:adjustRightInd w:val="0"/>
        <w:snapToGrid w:val="0"/>
        <w:spacing w:line="600" w:lineRule="exact"/>
        <w:ind w:firstLine="640" w:firstLineChars="200"/>
        <w:jc w:val="both"/>
        <w:textAlignment w:val="auto"/>
        <w:rPr>
          <w:rFonts w:hint="eastAsia" w:ascii="Times New Roman" w:hAnsi="Times New Roman" w:eastAsia="方正楷体_GBK" w:cs="Times New Roman"/>
          <w:sz w:val="32"/>
          <w:szCs w:val="32"/>
        </w:rPr>
      </w:pPr>
      <w:r>
        <w:rPr>
          <w:rFonts w:hint="eastAsia" w:ascii="Times New Roman" w:hAnsi="Times New Roman" w:eastAsia="方正楷体_GBK" w:cs="Times New Roman"/>
          <w:sz w:val="32"/>
          <w:szCs w:val="32"/>
        </w:rPr>
        <w:t>（二）机关运行经费情况说明</w:t>
      </w:r>
    </w:p>
    <w:p w14:paraId="5E090E35">
      <w:pPr>
        <w:keepNext w:val="0"/>
        <w:keepLines w:val="0"/>
        <w:pageBreakBefore w:val="0"/>
        <w:widowControl/>
        <w:kinsoku/>
        <w:wordWrap/>
        <w:overflowPunct/>
        <w:topLinePunct w:val="0"/>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sz w:val="32"/>
          <w:szCs w:val="32"/>
          <w:shd w:val="clear" w:color="auto" w:fill="FFFFFF"/>
          <w:lang w:val="en-US" w:eastAsia="zh-CN" w:bidi="ar-SA"/>
        </w:rPr>
      </w:pPr>
      <w:r>
        <w:rPr>
          <w:rFonts w:hint="eastAsia" w:ascii="Times New Roman" w:hAnsi="Times New Roman" w:eastAsia="方正仿宋_GBK" w:cs="Times New Roman"/>
          <w:sz w:val="32"/>
          <w:szCs w:val="32"/>
          <w:shd w:val="clear" w:color="auto" w:fill="FFFFFF"/>
          <w:lang w:val="en-US" w:eastAsia="zh-CN" w:bidi="ar-SA"/>
        </w:rPr>
        <w:t>按照部门决算列报口径，我单位不在机关运行经费统计范围之内。</w:t>
      </w:r>
    </w:p>
    <w:p w14:paraId="4A60D1B7">
      <w:pPr>
        <w:keepNext w:val="0"/>
        <w:keepLines w:val="0"/>
        <w:pageBreakBefore w:val="0"/>
        <w:widowControl/>
        <w:kinsoku/>
        <w:wordWrap/>
        <w:overflowPunct/>
        <w:topLinePunct w:val="0"/>
        <w:autoSpaceDN/>
        <w:bidi w:val="0"/>
        <w:adjustRightInd w:val="0"/>
        <w:snapToGrid w:val="0"/>
        <w:spacing w:line="600" w:lineRule="exact"/>
        <w:ind w:firstLine="640" w:firstLineChars="200"/>
        <w:jc w:val="both"/>
        <w:textAlignment w:val="auto"/>
        <w:rPr>
          <w:rFonts w:hint="eastAsia" w:ascii="Times New Roman" w:hAnsi="Times New Roman" w:eastAsia="方正楷体_GBK" w:cs="Times New Roman"/>
          <w:sz w:val="32"/>
          <w:szCs w:val="32"/>
        </w:rPr>
      </w:pPr>
      <w:r>
        <w:rPr>
          <w:rFonts w:hint="eastAsia" w:ascii="Times New Roman" w:hAnsi="Times New Roman" w:eastAsia="方正楷体_GBK" w:cs="Times New Roman"/>
          <w:sz w:val="32"/>
          <w:szCs w:val="32"/>
        </w:rPr>
        <w:t>（三）国有资产占用情况说明</w:t>
      </w:r>
    </w:p>
    <w:p w14:paraId="0CB4C92F">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截至</w:t>
      </w:r>
      <w:r>
        <w:rPr>
          <w:rFonts w:hint="eastAsia" w:ascii="Times New Roman" w:hAnsi="Times New Roman" w:eastAsia="方正仿宋_GBK" w:cs="Times New Roman"/>
          <w:sz w:val="32"/>
          <w:szCs w:val="32"/>
          <w:shd w:val="clear" w:color="auto" w:fill="FFFFFF"/>
          <w:lang w:val="en-US" w:eastAsia="zh-CN" w:bidi="ar-SA"/>
        </w:rPr>
        <w:t>2024年</w:t>
      </w:r>
      <w:r>
        <w:rPr>
          <w:rFonts w:hint="default" w:ascii="Times New Roman" w:hAnsi="Times New Roman" w:eastAsia="方正仿宋_GBK" w:cs="Times New Roman"/>
          <w:sz w:val="32"/>
          <w:szCs w:val="32"/>
          <w:shd w:val="clear" w:color="auto" w:fill="FFFFFF"/>
          <w:lang w:val="en-US" w:eastAsia="zh-CN" w:bidi="ar-SA"/>
        </w:rPr>
        <w:t>12月31日，本</w:t>
      </w:r>
      <w:r>
        <w:rPr>
          <w:rFonts w:hint="eastAsia" w:ascii="Times New Roman" w:hAnsi="Times New Roman" w:eastAsia="方正仿宋_GBK" w:cs="Times New Roman"/>
          <w:sz w:val="32"/>
          <w:szCs w:val="32"/>
          <w:shd w:val="clear" w:color="auto" w:fill="FFFFFF"/>
          <w:lang w:val="en-US" w:eastAsia="zh-CN" w:bidi="ar-SA"/>
        </w:rPr>
        <w:t>单位</w:t>
      </w:r>
      <w:r>
        <w:rPr>
          <w:rFonts w:hint="default" w:ascii="Times New Roman" w:hAnsi="Times New Roman" w:eastAsia="方正仿宋_GBK" w:cs="Times New Roman"/>
          <w:sz w:val="32"/>
          <w:szCs w:val="32"/>
          <w:shd w:val="clear" w:color="auto" w:fill="FFFFFF"/>
          <w:lang w:val="en-US" w:eastAsia="zh-CN" w:bidi="ar-SA"/>
        </w:rPr>
        <w:t>共有车辆0辆，其中，副部（省）级及以上领导用车0辆、主要负责人用车0辆、机要通信用车0辆、应急保障用车0辆、执法执勤用车0辆，特种专业技术用车0辆，离退休干部用车0辆。单价100万元（含）以上专用设备0台（套）。</w:t>
      </w:r>
    </w:p>
    <w:p w14:paraId="03D319A0">
      <w:pPr>
        <w:keepNext w:val="0"/>
        <w:keepLines w:val="0"/>
        <w:pageBreakBefore w:val="0"/>
        <w:widowControl/>
        <w:kinsoku/>
        <w:wordWrap/>
        <w:overflowPunct/>
        <w:topLinePunct w:val="0"/>
        <w:autoSpaceDN/>
        <w:bidi w:val="0"/>
        <w:adjustRightInd w:val="0"/>
        <w:snapToGrid w:val="0"/>
        <w:spacing w:line="600" w:lineRule="exact"/>
        <w:ind w:firstLine="640" w:firstLineChars="200"/>
        <w:jc w:val="both"/>
        <w:textAlignment w:val="auto"/>
        <w:rPr>
          <w:rFonts w:hint="eastAsia" w:ascii="Times New Roman" w:hAnsi="Times New Roman" w:eastAsia="方正楷体_GBK" w:cs="Times New Roman"/>
          <w:sz w:val="32"/>
          <w:szCs w:val="32"/>
        </w:rPr>
      </w:pPr>
      <w:r>
        <w:rPr>
          <w:rFonts w:hint="eastAsia" w:ascii="Times New Roman" w:hAnsi="Times New Roman" w:eastAsia="方正楷体_GBK" w:cs="Times New Roman"/>
          <w:sz w:val="32"/>
          <w:szCs w:val="32"/>
        </w:rPr>
        <w:t>（四）政府采购支出情况说明</w:t>
      </w:r>
    </w:p>
    <w:p w14:paraId="5528382F">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shd w:val="clear" w:color="auto" w:fill="FFFFFF"/>
          <w:lang w:val="en-US" w:eastAsia="zh-CN" w:bidi="ar-SA"/>
        </w:rPr>
      </w:pPr>
      <w:r>
        <w:rPr>
          <w:rFonts w:hint="eastAsia" w:ascii="Times New Roman" w:hAnsi="Times New Roman" w:eastAsia="方正仿宋_GBK" w:cs="Times New Roman"/>
          <w:sz w:val="32"/>
          <w:szCs w:val="32"/>
          <w:shd w:val="clear" w:color="auto" w:fill="FFFFFF"/>
          <w:lang w:val="en-US" w:eastAsia="zh-CN" w:bidi="ar-SA"/>
        </w:rPr>
        <w:t>2024年度我单位未发生政府采购事项，无相关经费支出。</w:t>
      </w:r>
    </w:p>
    <w:p w14:paraId="0B4DF431">
      <w:pPr>
        <w:keepNext w:val="0"/>
        <w:keepLines w:val="0"/>
        <w:pageBreakBefore w:val="0"/>
        <w:widowControl w:val="0"/>
        <w:kinsoku/>
        <w:wordWrap/>
        <w:overflowPunct/>
        <w:topLinePunct w:val="0"/>
        <w:autoSpaceDN/>
        <w:bidi w:val="0"/>
        <w:snapToGrid w:val="0"/>
        <w:spacing w:line="600" w:lineRule="exact"/>
        <w:ind w:firstLine="640" w:firstLineChars="200"/>
        <w:jc w:val="both"/>
        <w:textAlignment w:val="auto"/>
        <w:rPr>
          <w:rFonts w:hint="eastAsia" w:ascii="Times New Roman" w:hAnsi="Times New Roman" w:eastAsia="方正黑体_GBK" w:cs="Times New Roman"/>
          <w:bCs/>
          <w:sz w:val="32"/>
          <w:szCs w:val="20"/>
        </w:rPr>
      </w:pPr>
      <w:r>
        <w:rPr>
          <w:rFonts w:hint="eastAsia" w:ascii="Times New Roman" w:hAnsi="Times New Roman" w:eastAsia="方正黑体_GBK" w:cs="Times New Roman"/>
          <w:bCs/>
          <w:sz w:val="32"/>
          <w:szCs w:val="20"/>
        </w:rPr>
        <w:t>五、预算绩效管理情况说明</w:t>
      </w:r>
    </w:p>
    <w:p w14:paraId="3EDF0E34">
      <w:pPr>
        <w:keepNext w:val="0"/>
        <w:keepLines w:val="0"/>
        <w:pageBreakBefore w:val="0"/>
        <w:widowControl w:val="0"/>
        <w:kinsoku/>
        <w:wordWrap/>
        <w:overflowPunct/>
        <w:topLinePunct w:val="0"/>
        <w:autoSpaceDN/>
        <w:bidi w:val="0"/>
        <w:adjustRightInd w:val="0"/>
        <w:snapToGrid w:val="0"/>
        <w:spacing w:line="600" w:lineRule="exact"/>
        <w:ind w:left="1120" w:leftChars="200" w:hanging="640" w:hangingChars="200"/>
        <w:jc w:val="both"/>
        <w:textAlignment w:val="auto"/>
        <w:rPr>
          <w:rFonts w:hint="eastAsia" w:ascii="Times New Roman" w:hAnsi="Times New Roman" w:eastAsia="方正楷体_GBK" w:cs="Times New Roman"/>
          <w:bCs/>
          <w:sz w:val="32"/>
          <w:szCs w:val="20"/>
        </w:rPr>
      </w:pPr>
      <w:r>
        <w:rPr>
          <w:rFonts w:hint="eastAsia" w:ascii="Times New Roman" w:hAnsi="Times New Roman" w:eastAsia="方正楷体_GBK" w:cs="Times New Roman"/>
          <w:bCs/>
          <w:sz w:val="32"/>
          <w:szCs w:val="20"/>
        </w:rPr>
        <w:t>（一）单位自评情况</w:t>
      </w:r>
    </w:p>
    <w:p w14:paraId="6111D781">
      <w:pPr>
        <w:keepNext w:val="0"/>
        <w:keepLines w:val="0"/>
        <w:pageBreakBefore w:val="0"/>
        <w:widowControl w:val="0"/>
        <w:tabs>
          <w:tab w:val="center" w:pos="4153"/>
          <w:tab w:val="left" w:pos="7275"/>
        </w:tabs>
        <w:kinsoku/>
        <w:wordWrap/>
        <w:overflowPunct/>
        <w:topLinePunct w:val="0"/>
        <w:autoSpaceDN/>
        <w:bidi w:val="0"/>
        <w:spacing w:line="600" w:lineRule="exact"/>
        <w:ind w:firstLine="640" w:firstLineChars="200"/>
        <w:jc w:val="both"/>
        <w:textAlignment w:val="auto"/>
        <w:rPr>
          <w:rFonts w:hint="eastAsia"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根据预算绩效管理要求，我单位对</w:t>
      </w:r>
      <w:r>
        <w:rPr>
          <w:rFonts w:hint="eastAsia" w:ascii="Times New Roman" w:hAnsi="Times New Roman" w:eastAsia="方正仿宋_GBK" w:cs="宋体"/>
          <w:kern w:val="0"/>
          <w:sz w:val="32"/>
          <w:szCs w:val="32"/>
          <w:lang w:val="en-US" w:eastAsia="zh-CN"/>
        </w:rPr>
        <w:t>1</w:t>
      </w:r>
      <w:r>
        <w:rPr>
          <w:rFonts w:hint="eastAsia" w:ascii="Times New Roman" w:hAnsi="Times New Roman" w:eastAsia="方正仿宋_GBK" w:cs="宋体"/>
          <w:kern w:val="0"/>
          <w:sz w:val="32"/>
          <w:szCs w:val="32"/>
        </w:rPr>
        <w:t>个项目开展了绩效自评，涉及财政拨款项目支出</w:t>
      </w:r>
      <w:r>
        <w:rPr>
          <w:rFonts w:hint="eastAsia" w:ascii="Times New Roman" w:hAnsi="Times New Roman" w:eastAsia="方正仿宋_GBK" w:cs="宋体"/>
          <w:kern w:val="0"/>
          <w:sz w:val="32"/>
          <w:szCs w:val="32"/>
          <w:lang w:val="en-US" w:eastAsia="zh-CN"/>
        </w:rPr>
        <w:t>0.30</w:t>
      </w:r>
      <w:r>
        <w:rPr>
          <w:rFonts w:hint="eastAsia" w:ascii="Times New Roman" w:hAnsi="Times New Roman" w:eastAsia="方正仿宋_GBK" w:cs="宋体"/>
          <w:kern w:val="0"/>
          <w:sz w:val="32"/>
          <w:szCs w:val="32"/>
        </w:rPr>
        <w:t>万元。</w:t>
      </w:r>
    </w:p>
    <w:p w14:paraId="67FA5587">
      <w:pPr>
        <w:keepNext w:val="0"/>
        <w:keepLines w:val="0"/>
        <w:pageBreakBefore w:val="0"/>
        <w:widowControl w:val="0"/>
        <w:kinsoku/>
        <w:wordWrap/>
        <w:overflowPunct/>
        <w:topLinePunct w:val="0"/>
        <w:autoSpaceDN/>
        <w:bidi w:val="0"/>
        <w:adjustRightInd w:val="0"/>
        <w:snapToGrid w:val="0"/>
        <w:spacing w:line="600" w:lineRule="exact"/>
        <w:jc w:val="center"/>
        <w:textAlignment w:val="auto"/>
        <w:rPr>
          <w:rFonts w:hint="eastAsia" w:ascii="方正黑体_GBK" w:hAnsi="方正黑体_GBK" w:eastAsia="方正黑体_GBK" w:cs="方正黑体_GBK"/>
          <w:kern w:val="0"/>
          <w:sz w:val="28"/>
          <w:szCs w:val="28"/>
          <w:lang w:bidi="ar"/>
        </w:rPr>
      </w:pPr>
      <w:r>
        <w:rPr>
          <w:rFonts w:hint="eastAsia" w:ascii="方正黑体_GBK" w:hAnsi="方正黑体_GBK" w:eastAsia="方正黑体_GBK" w:cs="方正黑体_GBK"/>
          <w:kern w:val="0"/>
          <w:sz w:val="28"/>
          <w:szCs w:val="28"/>
          <w:lang w:val="en-US" w:eastAsia="zh-CN" w:bidi="ar"/>
        </w:rPr>
        <w:t>重庆市九龙坡区和平小学校</w:t>
      </w:r>
      <w:r>
        <w:rPr>
          <w:rFonts w:hint="eastAsia" w:ascii="方正黑体_GBK" w:hAnsi="方正黑体_GBK" w:eastAsia="方正黑体_GBK" w:cs="方正黑体_GBK"/>
          <w:kern w:val="0"/>
          <w:sz w:val="28"/>
          <w:szCs w:val="28"/>
          <w:lang w:bidi="ar"/>
        </w:rPr>
        <w:t>2024年度项目支出绩效自评表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
        <w:gridCol w:w="750"/>
        <w:gridCol w:w="1521"/>
        <w:gridCol w:w="654"/>
        <w:gridCol w:w="682"/>
        <w:gridCol w:w="682"/>
        <w:gridCol w:w="695"/>
        <w:gridCol w:w="941"/>
        <w:gridCol w:w="723"/>
        <w:gridCol w:w="654"/>
        <w:gridCol w:w="708"/>
      </w:tblGrid>
      <w:tr w14:paraId="448A6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blHeader/>
          <w:jc w:val="center"/>
        </w:trPr>
        <w:tc>
          <w:tcPr>
            <w:tcW w:w="552" w:type="dxa"/>
            <w:tcBorders>
              <w:top w:val="single" w:color="auto" w:sz="4" w:space="0"/>
            </w:tcBorders>
            <w:noWrap w:val="0"/>
            <w:vAlign w:val="center"/>
          </w:tcPr>
          <w:p w14:paraId="2CD0862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eastAsia="方正黑体_GBK" w:cs="方正黑体_GBK"/>
                <w:sz w:val="22"/>
              </w:rPr>
            </w:pPr>
            <w:r>
              <w:rPr>
                <w:rFonts w:hint="eastAsia" w:eastAsia="方正黑体_GBK" w:cs="方正黑体_GBK"/>
                <w:kern w:val="0"/>
                <w:sz w:val="22"/>
                <w:lang w:bidi="ar"/>
              </w:rPr>
              <w:t>序号</w:t>
            </w:r>
          </w:p>
        </w:tc>
        <w:tc>
          <w:tcPr>
            <w:tcW w:w="750" w:type="dxa"/>
            <w:tcBorders>
              <w:top w:val="single" w:color="auto" w:sz="4" w:space="0"/>
            </w:tcBorders>
            <w:noWrap w:val="0"/>
            <w:vAlign w:val="center"/>
          </w:tcPr>
          <w:p w14:paraId="0836A5B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eastAsia="方正黑体_GBK" w:cs="方正黑体_GBK"/>
                <w:sz w:val="22"/>
              </w:rPr>
            </w:pPr>
            <w:r>
              <w:rPr>
                <w:rFonts w:hint="eastAsia" w:eastAsia="方正黑体_GBK" w:cs="方正黑体_GBK"/>
                <w:kern w:val="0"/>
                <w:sz w:val="22"/>
                <w:lang w:bidi="ar"/>
              </w:rPr>
              <w:t>项目名称</w:t>
            </w:r>
          </w:p>
        </w:tc>
        <w:tc>
          <w:tcPr>
            <w:tcW w:w="1521" w:type="dxa"/>
            <w:tcBorders>
              <w:top w:val="single" w:color="auto" w:sz="4" w:space="0"/>
            </w:tcBorders>
            <w:noWrap w:val="0"/>
            <w:vAlign w:val="center"/>
          </w:tcPr>
          <w:p w14:paraId="1BADC0C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eastAsia="方正黑体_GBK" w:cs="方正黑体_GBK"/>
                <w:sz w:val="22"/>
              </w:rPr>
            </w:pPr>
            <w:r>
              <w:rPr>
                <w:rFonts w:hint="eastAsia" w:eastAsia="方正黑体_GBK" w:cs="方正黑体_GBK"/>
                <w:kern w:val="0"/>
                <w:sz w:val="22"/>
                <w:lang w:bidi="ar"/>
              </w:rPr>
              <w:t>指标名称</w:t>
            </w:r>
          </w:p>
        </w:tc>
        <w:tc>
          <w:tcPr>
            <w:tcW w:w="654" w:type="dxa"/>
            <w:tcBorders>
              <w:top w:val="single" w:color="auto" w:sz="4" w:space="0"/>
            </w:tcBorders>
            <w:noWrap w:val="0"/>
            <w:vAlign w:val="center"/>
          </w:tcPr>
          <w:p w14:paraId="5FA3188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eastAsia="方正黑体_GBK" w:cs="方正黑体_GBK"/>
                <w:sz w:val="22"/>
              </w:rPr>
            </w:pPr>
            <w:r>
              <w:rPr>
                <w:rFonts w:hint="eastAsia" w:eastAsia="方正黑体_GBK" w:cs="方正黑体_GBK"/>
                <w:kern w:val="0"/>
                <w:sz w:val="22"/>
                <w:lang w:bidi="ar"/>
              </w:rPr>
              <w:t>指标性质</w:t>
            </w:r>
          </w:p>
        </w:tc>
        <w:tc>
          <w:tcPr>
            <w:tcW w:w="682" w:type="dxa"/>
            <w:tcBorders>
              <w:top w:val="single" w:color="auto" w:sz="4" w:space="0"/>
            </w:tcBorders>
            <w:noWrap w:val="0"/>
            <w:vAlign w:val="center"/>
          </w:tcPr>
          <w:p w14:paraId="7DA237F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eastAsia="方正黑体_GBK" w:cs="方正黑体_GBK"/>
                <w:sz w:val="22"/>
              </w:rPr>
            </w:pPr>
            <w:r>
              <w:rPr>
                <w:rFonts w:hint="eastAsia" w:eastAsia="方正黑体_GBK" w:cs="方正黑体_GBK"/>
                <w:kern w:val="0"/>
                <w:sz w:val="22"/>
                <w:lang w:bidi="ar"/>
              </w:rPr>
              <w:t>指标值</w:t>
            </w:r>
          </w:p>
        </w:tc>
        <w:tc>
          <w:tcPr>
            <w:tcW w:w="682" w:type="dxa"/>
            <w:tcBorders>
              <w:top w:val="single" w:color="auto" w:sz="4" w:space="0"/>
            </w:tcBorders>
            <w:noWrap w:val="0"/>
            <w:vAlign w:val="center"/>
          </w:tcPr>
          <w:p w14:paraId="4932302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eastAsia="方正黑体_GBK" w:cs="方正黑体_GBK"/>
                <w:sz w:val="22"/>
              </w:rPr>
            </w:pPr>
            <w:r>
              <w:rPr>
                <w:rFonts w:hint="eastAsia" w:eastAsia="方正黑体_GBK" w:cs="方正黑体_GBK"/>
                <w:kern w:val="0"/>
                <w:sz w:val="22"/>
                <w:lang w:bidi="ar"/>
              </w:rPr>
              <w:t>计量单位</w:t>
            </w:r>
          </w:p>
        </w:tc>
        <w:tc>
          <w:tcPr>
            <w:tcW w:w="695" w:type="dxa"/>
            <w:tcBorders>
              <w:top w:val="single" w:color="auto" w:sz="4" w:space="0"/>
            </w:tcBorders>
            <w:noWrap w:val="0"/>
            <w:vAlign w:val="center"/>
          </w:tcPr>
          <w:p w14:paraId="2338860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eastAsia="方正黑体_GBK" w:cs="方正黑体_GBK"/>
                <w:sz w:val="22"/>
              </w:rPr>
            </w:pPr>
            <w:r>
              <w:rPr>
                <w:rFonts w:hint="eastAsia" w:eastAsia="方正黑体_GBK" w:cs="方正黑体_GBK"/>
                <w:kern w:val="0"/>
                <w:sz w:val="22"/>
                <w:lang w:bidi="ar"/>
              </w:rPr>
              <w:t>指标权重</w:t>
            </w:r>
          </w:p>
        </w:tc>
        <w:tc>
          <w:tcPr>
            <w:tcW w:w="941" w:type="dxa"/>
            <w:tcBorders>
              <w:top w:val="single" w:color="auto" w:sz="4" w:space="0"/>
            </w:tcBorders>
            <w:noWrap w:val="0"/>
            <w:vAlign w:val="center"/>
          </w:tcPr>
          <w:p w14:paraId="76B66AC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eastAsia="方正黑体_GBK" w:cs="方正黑体_GBK"/>
                <w:sz w:val="22"/>
              </w:rPr>
            </w:pPr>
            <w:r>
              <w:rPr>
                <w:rFonts w:hint="eastAsia" w:eastAsia="方正黑体_GBK" w:cs="方正黑体_GBK"/>
                <w:kern w:val="0"/>
                <w:sz w:val="22"/>
                <w:lang w:bidi="ar"/>
              </w:rPr>
              <w:t>全年完成值</w:t>
            </w:r>
          </w:p>
        </w:tc>
        <w:tc>
          <w:tcPr>
            <w:tcW w:w="723" w:type="dxa"/>
            <w:tcBorders>
              <w:top w:val="single" w:color="auto" w:sz="4" w:space="0"/>
            </w:tcBorders>
            <w:noWrap w:val="0"/>
            <w:vAlign w:val="center"/>
          </w:tcPr>
          <w:p w14:paraId="23A607F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eastAsia="方正黑体_GBK" w:cs="方正黑体_GBK"/>
                <w:sz w:val="22"/>
              </w:rPr>
            </w:pPr>
            <w:r>
              <w:rPr>
                <w:rFonts w:hint="eastAsia" w:eastAsia="方正黑体_GBK" w:cs="方正黑体_GBK"/>
                <w:kern w:val="0"/>
                <w:sz w:val="22"/>
                <w:lang w:bidi="ar"/>
              </w:rPr>
              <w:t>指标得分</w:t>
            </w:r>
          </w:p>
        </w:tc>
        <w:tc>
          <w:tcPr>
            <w:tcW w:w="654" w:type="dxa"/>
            <w:tcBorders>
              <w:top w:val="single" w:color="auto" w:sz="4" w:space="0"/>
            </w:tcBorders>
            <w:noWrap w:val="0"/>
            <w:vAlign w:val="center"/>
          </w:tcPr>
          <w:p w14:paraId="3C514F9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eastAsia="方正黑体_GBK" w:cs="方正黑体_GBK"/>
                <w:sz w:val="22"/>
              </w:rPr>
            </w:pPr>
            <w:r>
              <w:rPr>
                <w:rFonts w:hint="eastAsia" w:eastAsia="方正黑体_GBK" w:cs="方正黑体_GBK"/>
                <w:kern w:val="0"/>
                <w:sz w:val="22"/>
                <w:lang w:bidi="ar"/>
              </w:rPr>
              <w:t>说明</w:t>
            </w:r>
          </w:p>
        </w:tc>
        <w:tc>
          <w:tcPr>
            <w:tcW w:w="708" w:type="dxa"/>
            <w:tcBorders>
              <w:top w:val="single" w:color="auto" w:sz="4" w:space="0"/>
            </w:tcBorders>
            <w:noWrap w:val="0"/>
            <w:vAlign w:val="center"/>
          </w:tcPr>
          <w:p w14:paraId="77514F3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eastAsia="方正黑体_GBK" w:cs="方正黑体_GBK"/>
                <w:sz w:val="22"/>
              </w:rPr>
            </w:pPr>
            <w:r>
              <w:rPr>
                <w:rFonts w:hint="eastAsia" w:eastAsia="方正黑体_GBK" w:cs="方正黑体_GBK"/>
                <w:kern w:val="0"/>
                <w:sz w:val="22"/>
                <w:lang w:bidi="ar"/>
              </w:rPr>
              <w:t>自评得分</w:t>
            </w:r>
          </w:p>
        </w:tc>
      </w:tr>
      <w:tr w14:paraId="34E7C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52" w:type="dxa"/>
            <w:vMerge w:val="restart"/>
            <w:noWrap/>
            <w:vAlign w:val="center"/>
          </w:tcPr>
          <w:p w14:paraId="6D4668D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sz w:val="20"/>
                <w:szCs w:val="20"/>
              </w:rPr>
            </w:pPr>
            <w:r>
              <w:rPr>
                <w:rFonts w:hint="eastAsia" w:ascii="方正仿宋_GBK" w:hAnsi="方正仿宋_GBK" w:eastAsia="方正仿宋_GBK" w:cs="方正仿宋_GBK"/>
                <w:kern w:val="0"/>
                <w:sz w:val="20"/>
                <w:szCs w:val="20"/>
                <w:lang w:bidi="ar"/>
              </w:rPr>
              <w:t>1</w:t>
            </w:r>
          </w:p>
        </w:tc>
        <w:tc>
          <w:tcPr>
            <w:tcW w:w="750" w:type="dxa"/>
            <w:vMerge w:val="restart"/>
            <w:noWrap/>
            <w:vAlign w:val="center"/>
          </w:tcPr>
          <w:p w14:paraId="3456D16F">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0"/>
                <w:szCs w:val="20"/>
              </w:rPr>
            </w:pPr>
            <w:r>
              <w:rPr>
                <w:rFonts w:hint="eastAsia" w:ascii="方正仿宋_GBK" w:hAnsi="方正仿宋_GBK" w:eastAsia="方正仿宋_GBK" w:cs="方正仿宋_GBK"/>
                <w:sz w:val="20"/>
                <w:szCs w:val="20"/>
              </w:rPr>
              <w:t>学前教育专项经费（固）</w:t>
            </w:r>
          </w:p>
        </w:tc>
        <w:tc>
          <w:tcPr>
            <w:tcW w:w="1521" w:type="dxa"/>
            <w:noWrap/>
            <w:vAlign w:val="center"/>
          </w:tcPr>
          <w:p w14:paraId="76AAC151">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0"/>
                <w:szCs w:val="20"/>
              </w:rPr>
            </w:pPr>
            <w:r>
              <w:rPr>
                <w:rFonts w:hint="eastAsia" w:ascii="方正仿宋_GBK" w:hAnsi="方正仿宋_GBK" w:eastAsia="方正仿宋_GBK" w:cs="方正仿宋_GBK"/>
                <w:sz w:val="20"/>
                <w:szCs w:val="20"/>
              </w:rPr>
              <w:t>动态评选学科骨干教师、学科名师、学科带头人、九龙名师</w:t>
            </w:r>
          </w:p>
        </w:tc>
        <w:tc>
          <w:tcPr>
            <w:tcW w:w="654" w:type="dxa"/>
            <w:noWrap/>
            <w:vAlign w:val="center"/>
          </w:tcPr>
          <w:p w14:paraId="1B810EA2">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0"/>
                <w:szCs w:val="20"/>
              </w:rPr>
            </w:pPr>
            <w:r>
              <w:rPr>
                <w:rFonts w:hint="eastAsia" w:ascii="方正仿宋_GBK" w:hAnsi="方正仿宋_GBK" w:eastAsia="方正仿宋_GBK" w:cs="方正仿宋_GBK"/>
                <w:sz w:val="20"/>
                <w:szCs w:val="20"/>
              </w:rPr>
              <w:t>＝</w:t>
            </w:r>
          </w:p>
        </w:tc>
        <w:tc>
          <w:tcPr>
            <w:tcW w:w="682" w:type="dxa"/>
            <w:noWrap/>
            <w:vAlign w:val="center"/>
          </w:tcPr>
          <w:p w14:paraId="430A5CAD">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0"/>
                <w:szCs w:val="20"/>
                <w:lang w:val="en-US" w:eastAsia="zh-CN"/>
              </w:rPr>
            </w:pPr>
            <w:r>
              <w:rPr>
                <w:rFonts w:hint="eastAsia" w:ascii="方正仿宋_GBK" w:hAnsi="方正仿宋_GBK" w:eastAsia="方正仿宋_GBK" w:cs="方正仿宋_GBK"/>
                <w:sz w:val="20"/>
                <w:szCs w:val="20"/>
                <w:lang w:val="en-US" w:eastAsia="zh-CN"/>
              </w:rPr>
              <w:t>1</w:t>
            </w:r>
          </w:p>
        </w:tc>
        <w:tc>
          <w:tcPr>
            <w:tcW w:w="682" w:type="dxa"/>
            <w:noWrap/>
            <w:vAlign w:val="center"/>
          </w:tcPr>
          <w:p w14:paraId="33A9EA1F">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0"/>
                <w:szCs w:val="20"/>
                <w:lang w:val="en-US" w:eastAsia="zh-CN"/>
              </w:rPr>
            </w:pPr>
            <w:r>
              <w:rPr>
                <w:rFonts w:hint="eastAsia" w:ascii="方正仿宋_GBK" w:hAnsi="方正仿宋_GBK" w:eastAsia="方正仿宋_GBK" w:cs="方正仿宋_GBK"/>
                <w:sz w:val="20"/>
                <w:szCs w:val="20"/>
                <w:lang w:val="en-US" w:eastAsia="zh-CN"/>
              </w:rPr>
              <w:t>人</w:t>
            </w:r>
          </w:p>
        </w:tc>
        <w:tc>
          <w:tcPr>
            <w:tcW w:w="695" w:type="dxa"/>
            <w:noWrap/>
            <w:vAlign w:val="center"/>
          </w:tcPr>
          <w:p w14:paraId="185C8ACF">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0"/>
                <w:szCs w:val="20"/>
                <w:lang w:val="en-US" w:eastAsia="zh-CN"/>
              </w:rPr>
            </w:pPr>
            <w:r>
              <w:rPr>
                <w:rFonts w:hint="eastAsia" w:ascii="方正仿宋_GBK" w:hAnsi="方正仿宋_GBK" w:eastAsia="方正仿宋_GBK" w:cs="方正仿宋_GBK"/>
                <w:sz w:val="20"/>
                <w:szCs w:val="20"/>
                <w:lang w:val="en-US" w:eastAsia="zh-CN"/>
              </w:rPr>
              <w:t>20</w:t>
            </w:r>
          </w:p>
        </w:tc>
        <w:tc>
          <w:tcPr>
            <w:tcW w:w="941" w:type="dxa"/>
            <w:noWrap/>
            <w:vAlign w:val="center"/>
          </w:tcPr>
          <w:p w14:paraId="23EAF3C8">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0"/>
                <w:szCs w:val="20"/>
                <w:lang w:val="en-US" w:eastAsia="zh-CN"/>
              </w:rPr>
            </w:pPr>
            <w:r>
              <w:rPr>
                <w:rFonts w:hint="eastAsia" w:ascii="方正仿宋_GBK" w:hAnsi="方正仿宋_GBK" w:eastAsia="方正仿宋_GBK" w:cs="方正仿宋_GBK"/>
                <w:sz w:val="20"/>
                <w:szCs w:val="20"/>
                <w:lang w:val="en-US" w:eastAsia="zh-CN"/>
              </w:rPr>
              <w:t>1</w:t>
            </w:r>
          </w:p>
        </w:tc>
        <w:tc>
          <w:tcPr>
            <w:tcW w:w="723" w:type="dxa"/>
            <w:noWrap/>
            <w:vAlign w:val="center"/>
          </w:tcPr>
          <w:p w14:paraId="17C151E3">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0"/>
                <w:szCs w:val="20"/>
                <w:lang w:val="en-US" w:eastAsia="zh-CN"/>
              </w:rPr>
            </w:pPr>
            <w:r>
              <w:rPr>
                <w:rFonts w:hint="eastAsia" w:ascii="方正仿宋_GBK" w:hAnsi="方正仿宋_GBK" w:eastAsia="方正仿宋_GBK" w:cs="方正仿宋_GBK"/>
                <w:sz w:val="20"/>
                <w:szCs w:val="20"/>
                <w:lang w:val="en-US" w:eastAsia="zh-CN"/>
              </w:rPr>
              <w:t>20</w:t>
            </w:r>
          </w:p>
        </w:tc>
        <w:tc>
          <w:tcPr>
            <w:tcW w:w="654" w:type="dxa"/>
            <w:noWrap/>
            <w:vAlign w:val="center"/>
          </w:tcPr>
          <w:p w14:paraId="00A0E578">
            <w:pPr>
              <w:keepNext w:val="0"/>
              <w:keepLines w:val="0"/>
              <w:pageBreakBefore w:val="0"/>
              <w:widowControl/>
              <w:kinsoku/>
              <w:wordWrap/>
              <w:overflowPunct/>
              <w:topLinePunct w:val="0"/>
              <w:autoSpaceDE/>
              <w:autoSpaceDN/>
              <w:bidi w:val="0"/>
              <w:adjustRightInd/>
              <w:snapToGrid/>
              <w:spacing w:line="300" w:lineRule="exact"/>
              <w:rPr>
                <w:rFonts w:hint="eastAsia" w:ascii="方正仿宋_GBK" w:hAnsi="方正仿宋_GBK" w:eastAsia="方正仿宋_GBK" w:cs="方正仿宋_GBK"/>
                <w:sz w:val="20"/>
                <w:szCs w:val="20"/>
              </w:rPr>
            </w:pPr>
          </w:p>
        </w:tc>
        <w:tc>
          <w:tcPr>
            <w:tcW w:w="708" w:type="dxa"/>
            <w:vMerge w:val="restart"/>
            <w:noWrap/>
            <w:vAlign w:val="center"/>
          </w:tcPr>
          <w:p w14:paraId="0FB9EC3B">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0"/>
                <w:szCs w:val="20"/>
                <w:lang w:val="en-US" w:eastAsia="zh-CN"/>
              </w:rPr>
            </w:pPr>
            <w:r>
              <w:rPr>
                <w:rFonts w:hint="eastAsia" w:ascii="方正仿宋_GBK" w:hAnsi="方正仿宋_GBK" w:eastAsia="方正仿宋_GBK" w:cs="方正仿宋_GBK"/>
                <w:sz w:val="20"/>
                <w:szCs w:val="20"/>
                <w:lang w:val="en-US" w:eastAsia="zh-CN"/>
              </w:rPr>
              <w:t>100</w:t>
            </w:r>
          </w:p>
        </w:tc>
      </w:tr>
      <w:tr w14:paraId="01F30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52" w:type="dxa"/>
            <w:vMerge w:val="continue"/>
            <w:noWrap/>
            <w:vAlign w:val="center"/>
          </w:tcPr>
          <w:p w14:paraId="5D5F81E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sz w:val="20"/>
                <w:szCs w:val="20"/>
              </w:rPr>
            </w:pPr>
          </w:p>
        </w:tc>
        <w:tc>
          <w:tcPr>
            <w:tcW w:w="750" w:type="dxa"/>
            <w:vMerge w:val="continue"/>
            <w:noWrap/>
            <w:vAlign w:val="center"/>
          </w:tcPr>
          <w:p w14:paraId="4911C6F6">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0"/>
                <w:szCs w:val="20"/>
              </w:rPr>
            </w:pPr>
          </w:p>
        </w:tc>
        <w:tc>
          <w:tcPr>
            <w:tcW w:w="1521" w:type="dxa"/>
            <w:noWrap/>
            <w:vAlign w:val="center"/>
          </w:tcPr>
          <w:p w14:paraId="20B65892">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0"/>
                <w:szCs w:val="20"/>
              </w:rPr>
            </w:pPr>
            <w:r>
              <w:rPr>
                <w:rFonts w:hint="eastAsia" w:ascii="方正仿宋_GBK" w:hAnsi="方正仿宋_GBK" w:eastAsia="方正仿宋_GBK" w:cs="方正仿宋_GBK"/>
                <w:sz w:val="20"/>
                <w:szCs w:val="20"/>
              </w:rPr>
              <w:t>奖励金额</w:t>
            </w:r>
          </w:p>
        </w:tc>
        <w:tc>
          <w:tcPr>
            <w:tcW w:w="654" w:type="dxa"/>
            <w:noWrap/>
            <w:vAlign w:val="center"/>
          </w:tcPr>
          <w:p w14:paraId="573E337C">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val="en-US" w:eastAsia="zh-CN"/>
              </w:rPr>
              <w:t>=</w:t>
            </w:r>
          </w:p>
        </w:tc>
        <w:tc>
          <w:tcPr>
            <w:tcW w:w="682" w:type="dxa"/>
            <w:noWrap/>
            <w:vAlign w:val="center"/>
          </w:tcPr>
          <w:p w14:paraId="4448EEF6">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0"/>
                <w:szCs w:val="20"/>
                <w:lang w:val="en-US" w:eastAsia="zh-CN"/>
              </w:rPr>
            </w:pPr>
            <w:r>
              <w:rPr>
                <w:rFonts w:hint="eastAsia" w:ascii="方正仿宋_GBK" w:hAnsi="方正仿宋_GBK" w:eastAsia="方正仿宋_GBK" w:cs="方正仿宋_GBK"/>
                <w:sz w:val="20"/>
                <w:szCs w:val="20"/>
                <w:lang w:val="en-US" w:eastAsia="zh-CN"/>
              </w:rPr>
              <w:t>3000</w:t>
            </w:r>
          </w:p>
        </w:tc>
        <w:tc>
          <w:tcPr>
            <w:tcW w:w="682" w:type="dxa"/>
            <w:noWrap/>
            <w:vAlign w:val="center"/>
          </w:tcPr>
          <w:p w14:paraId="3DC33CC1">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0"/>
                <w:szCs w:val="20"/>
                <w:lang w:eastAsia="zh-CN"/>
              </w:rPr>
            </w:pPr>
            <w:r>
              <w:rPr>
                <w:rFonts w:hint="eastAsia" w:ascii="方正仿宋_GBK" w:hAnsi="方正仿宋_GBK" w:eastAsia="方正仿宋_GBK" w:cs="方正仿宋_GBK"/>
                <w:sz w:val="20"/>
                <w:szCs w:val="20"/>
                <w:lang w:val="en-US" w:eastAsia="zh-CN"/>
              </w:rPr>
              <w:t>元</w:t>
            </w:r>
          </w:p>
        </w:tc>
        <w:tc>
          <w:tcPr>
            <w:tcW w:w="695" w:type="dxa"/>
            <w:noWrap/>
            <w:vAlign w:val="center"/>
          </w:tcPr>
          <w:p w14:paraId="47754921">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0"/>
                <w:szCs w:val="20"/>
                <w:lang w:val="en-US" w:eastAsia="zh-CN"/>
              </w:rPr>
            </w:pPr>
            <w:r>
              <w:rPr>
                <w:rFonts w:hint="eastAsia" w:ascii="方正仿宋_GBK" w:hAnsi="方正仿宋_GBK" w:eastAsia="方正仿宋_GBK" w:cs="方正仿宋_GBK"/>
                <w:sz w:val="20"/>
                <w:szCs w:val="20"/>
                <w:lang w:val="en-US" w:eastAsia="zh-CN"/>
              </w:rPr>
              <w:t>15</w:t>
            </w:r>
          </w:p>
        </w:tc>
        <w:tc>
          <w:tcPr>
            <w:tcW w:w="941" w:type="dxa"/>
            <w:noWrap/>
            <w:vAlign w:val="center"/>
          </w:tcPr>
          <w:p w14:paraId="4C15B198">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0"/>
                <w:szCs w:val="20"/>
                <w:lang w:val="en-US" w:eastAsia="zh-CN"/>
              </w:rPr>
            </w:pPr>
            <w:r>
              <w:rPr>
                <w:rFonts w:hint="eastAsia" w:ascii="方正仿宋_GBK" w:hAnsi="方正仿宋_GBK" w:eastAsia="方正仿宋_GBK" w:cs="方正仿宋_GBK"/>
                <w:sz w:val="20"/>
                <w:szCs w:val="20"/>
                <w:lang w:val="en-US" w:eastAsia="zh-CN"/>
              </w:rPr>
              <w:t>3000</w:t>
            </w:r>
          </w:p>
        </w:tc>
        <w:tc>
          <w:tcPr>
            <w:tcW w:w="723" w:type="dxa"/>
            <w:noWrap/>
            <w:vAlign w:val="center"/>
          </w:tcPr>
          <w:p w14:paraId="3F6EDD04">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0"/>
                <w:szCs w:val="20"/>
                <w:lang w:val="en-US" w:eastAsia="zh-CN"/>
              </w:rPr>
            </w:pPr>
            <w:r>
              <w:rPr>
                <w:rFonts w:hint="eastAsia" w:ascii="方正仿宋_GBK" w:hAnsi="方正仿宋_GBK" w:eastAsia="方正仿宋_GBK" w:cs="方正仿宋_GBK"/>
                <w:sz w:val="20"/>
                <w:szCs w:val="20"/>
                <w:lang w:val="en-US" w:eastAsia="zh-CN"/>
              </w:rPr>
              <w:t>15</w:t>
            </w:r>
          </w:p>
        </w:tc>
        <w:tc>
          <w:tcPr>
            <w:tcW w:w="654" w:type="dxa"/>
            <w:noWrap/>
            <w:vAlign w:val="center"/>
          </w:tcPr>
          <w:p w14:paraId="4D5C5D65">
            <w:pPr>
              <w:keepNext w:val="0"/>
              <w:keepLines w:val="0"/>
              <w:pageBreakBefore w:val="0"/>
              <w:widowControl/>
              <w:kinsoku/>
              <w:wordWrap/>
              <w:overflowPunct/>
              <w:topLinePunct w:val="0"/>
              <w:autoSpaceDE/>
              <w:autoSpaceDN/>
              <w:bidi w:val="0"/>
              <w:adjustRightInd/>
              <w:snapToGrid/>
              <w:spacing w:line="300" w:lineRule="exact"/>
              <w:rPr>
                <w:rFonts w:hint="eastAsia" w:ascii="方正仿宋_GBK" w:hAnsi="方正仿宋_GBK" w:eastAsia="方正仿宋_GBK" w:cs="方正仿宋_GBK"/>
                <w:sz w:val="20"/>
                <w:szCs w:val="20"/>
              </w:rPr>
            </w:pPr>
          </w:p>
        </w:tc>
        <w:tc>
          <w:tcPr>
            <w:tcW w:w="708" w:type="dxa"/>
            <w:vMerge w:val="continue"/>
            <w:noWrap/>
            <w:vAlign w:val="center"/>
          </w:tcPr>
          <w:p w14:paraId="3F4DF793">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0"/>
                <w:szCs w:val="20"/>
              </w:rPr>
            </w:pPr>
          </w:p>
        </w:tc>
      </w:tr>
      <w:tr w14:paraId="0E4D3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52" w:type="dxa"/>
            <w:vMerge w:val="continue"/>
            <w:noWrap/>
            <w:vAlign w:val="center"/>
          </w:tcPr>
          <w:p w14:paraId="206354C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sz w:val="20"/>
                <w:szCs w:val="20"/>
              </w:rPr>
            </w:pPr>
          </w:p>
        </w:tc>
        <w:tc>
          <w:tcPr>
            <w:tcW w:w="750" w:type="dxa"/>
            <w:vMerge w:val="continue"/>
            <w:noWrap/>
            <w:vAlign w:val="center"/>
          </w:tcPr>
          <w:p w14:paraId="5D845C65">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0"/>
                <w:szCs w:val="20"/>
              </w:rPr>
            </w:pPr>
          </w:p>
        </w:tc>
        <w:tc>
          <w:tcPr>
            <w:tcW w:w="1521" w:type="dxa"/>
            <w:noWrap/>
            <w:vAlign w:val="center"/>
          </w:tcPr>
          <w:p w14:paraId="29A97D34">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0"/>
                <w:szCs w:val="20"/>
              </w:rPr>
            </w:pPr>
            <w:r>
              <w:rPr>
                <w:rFonts w:hint="eastAsia" w:ascii="方正仿宋_GBK" w:hAnsi="方正仿宋_GBK" w:eastAsia="方正仿宋_GBK" w:cs="方正仿宋_GBK"/>
                <w:sz w:val="20"/>
                <w:szCs w:val="20"/>
              </w:rPr>
              <w:t>在全区、全市享有声望</w:t>
            </w:r>
          </w:p>
        </w:tc>
        <w:tc>
          <w:tcPr>
            <w:tcW w:w="654" w:type="dxa"/>
            <w:noWrap/>
            <w:vAlign w:val="center"/>
          </w:tcPr>
          <w:p w14:paraId="1AE37476">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0"/>
                <w:szCs w:val="20"/>
                <w:lang w:val="en-US" w:eastAsia="zh-CN"/>
              </w:rPr>
            </w:pPr>
            <w:r>
              <w:rPr>
                <w:rFonts w:hint="eastAsia" w:ascii="方正仿宋_GBK" w:hAnsi="方正仿宋_GBK" w:eastAsia="方正仿宋_GBK" w:cs="方正仿宋_GBK"/>
                <w:sz w:val="20"/>
                <w:szCs w:val="20"/>
                <w:lang w:val="en-US" w:eastAsia="zh-CN"/>
              </w:rPr>
              <w:t>无</w:t>
            </w:r>
          </w:p>
        </w:tc>
        <w:tc>
          <w:tcPr>
            <w:tcW w:w="682" w:type="dxa"/>
            <w:noWrap/>
            <w:vAlign w:val="center"/>
          </w:tcPr>
          <w:p w14:paraId="3C4A656E">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0"/>
                <w:szCs w:val="20"/>
                <w:lang w:val="en-US" w:eastAsia="zh-CN"/>
              </w:rPr>
            </w:pPr>
            <w:r>
              <w:rPr>
                <w:rFonts w:hint="eastAsia" w:ascii="方正仿宋_GBK" w:hAnsi="方正仿宋_GBK" w:eastAsia="方正仿宋_GBK" w:cs="方正仿宋_GBK"/>
                <w:sz w:val="20"/>
                <w:szCs w:val="20"/>
                <w:lang w:val="en-US" w:eastAsia="zh-CN"/>
              </w:rPr>
              <w:t>好</w:t>
            </w:r>
          </w:p>
        </w:tc>
        <w:tc>
          <w:tcPr>
            <w:tcW w:w="682" w:type="dxa"/>
            <w:noWrap/>
            <w:vAlign w:val="center"/>
          </w:tcPr>
          <w:p w14:paraId="5EBC5C6D">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0"/>
                <w:szCs w:val="20"/>
                <w:lang w:val="en-US" w:eastAsia="zh-CN"/>
              </w:rPr>
            </w:pPr>
            <w:r>
              <w:rPr>
                <w:rFonts w:hint="eastAsia" w:ascii="方正仿宋_GBK" w:hAnsi="方正仿宋_GBK" w:eastAsia="方正仿宋_GBK" w:cs="方正仿宋_GBK"/>
                <w:sz w:val="20"/>
                <w:szCs w:val="20"/>
                <w:lang w:val="en-US" w:eastAsia="zh-CN"/>
              </w:rPr>
              <w:t>无</w:t>
            </w:r>
          </w:p>
        </w:tc>
        <w:tc>
          <w:tcPr>
            <w:tcW w:w="695" w:type="dxa"/>
            <w:noWrap/>
            <w:vAlign w:val="center"/>
          </w:tcPr>
          <w:p w14:paraId="1C15B6E0">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0"/>
                <w:szCs w:val="20"/>
                <w:lang w:val="en-US" w:eastAsia="zh-CN"/>
              </w:rPr>
            </w:pPr>
            <w:r>
              <w:rPr>
                <w:rFonts w:hint="eastAsia" w:ascii="方正仿宋_GBK" w:hAnsi="方正仿宋_GBK" w:eastAsia="方正仿宋_GBK" w:cs="方正仿宋_GBK"/>
                <w:sz w:val="20"/>
                <w:szCs w:val="20"/>
                <w:lang w:val="en-US" w:eastAsia="zh-CN"/>
              </w:rPr>
              <w:t>15</w:t>
            </w:r>
          </w:p>
        </w:tc>
        <w:tc>
          <w:tcPr>
            <w:tcW w:w="941" w:type="dxa"/>
            <w:noWrap/>
            <w:vAlign w:val="center"/>
          </w:tcPr>
          <w:p w14:paraId="4EE78501">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0"/>
                <w:szCs w:val="20"/>
                <w:lang w:val="en-US" w:eastAsia="zh-CN"/>
              </w:rPr>
            </w:pPr>
            <w:r>
              <w:rPr>
                <w:rFonts w:hint="eastAsia" w:ascii="方正仿宋_GBK" w:hAnsi="方正仿宋_GBK" w:eastAsia="方正仿宋_GBK" w:cs="方正仿宋_GBK"/>
                <w:sz w:val="20"/>
                <w:szCs w:val="20"/>
                <w:lang w:val="en-US" w:eastAsia="zh-CN"/>
              </w:rPr>
              <w:t>好</w:t>
            </w:r>
          </w:p>
        </w:tc>
        <w:tc>
          <w:tcPr>
            <w:tcW w:w="723" w:type="dxa"/>
            <w:noWrap/>
            <w:vAlign w:val="center"/>
          </w:tcPr>
          <w:p w14:paraId="4E745768">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0"/>
                <w:szCs w:val="20"/>
                <w:lang w:val="en-US" w:eastAsia="zh-CN"/>
              </w:rPr>
            </w:pPr>
            <w:r>
              <w:rPr>
                <w:rFonts w:hint="eastAsia" w:ascii="方正仿宋_GBK" w:hAnsi="方正仿宋_GBK" w:eastAsia="方正仿宋_GBK" w:cs="方正仿宋_GBK"/>
                <w:sz w:val="20"/>
                <w:szCs w:val="20"/>
                <w:lang w:val="en-US" w:eastAsia="zh-CN"/>
              </w:rPr>
              <w:t>15</w:t>
            </w:r>
          </w:p>
        </w:tc>
        <w:tc>
          <w:tcPr>
            <w:tcW w:w="654" w:type="dxa"/>
            <w:noWrap/>
            <w:vAlign w:val="center"/>
          </w:tcPr>
          <w:p w14:paraId="4638CD27">
            <w:pPr>
              <w:keepNext w:val="0"/>
              <w:keepLines w:val="0"/>
              <w:pageBreakBefore w:val="0"/>
              <w:widowControl/>
              <w:kinsoku/>
              <w:wordWrap/>
              <w:overflowPunct/>
              <w:topLinePunct w:val="0"/>
              <w:autoSpaceDE/>
              <w:autoSpaceDN/>
              <w:bidi w:val="0"/>
              <w:adjustRightInd/>
              <w:snapToGrid/>
              <w:spacing w:line="300" w:lineRule="exact"/>
              <w:rPr>
                <w:rFonts w:hint="eastAsia" w:ascii="方正仿宋_GBK" w:hAnsi="方正仿宋_GBK" w:eastAsia="方正仿宋_GBK" w:cs="方正仿宋_GBK"/>
                <w:sz w:val="20"/>
                <w:szCs w:val="20"/>
              </w:rPr>
            </w:pPr>
          </w:p>
        </w:tc>
        <w:tc>
          <w:tcPr>
            <w:tcW w:w="708" w:type="dxa"/>
            <w:vMerge w:val="continue"/>
            <w:noWrap/>
            <w:vAlign w:val="center"/>
          </w:tcPr>
          <w:p w14:paraId="291FAC94">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0"/>
                <w:szCs w:val="20"/>
              </w:rPr>
            </w:pPr>
          </w:p>
        </w:tc>
      </w:tr>
      <w:tr w14:paraId="210D7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52" w:type="dxa"/>
            <w:vMerge w:val="continue"/>
            <w:noWrap/>
            <w:vAlign w:val="center"/>
          </w:tcPr>
          <w:p w14:paraId="2C6FEFD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sz w:val="20"/>
                <w:szCs w:val="20"/>
              </w:rPr>
            </w:pPr>
          </w:p>
        </w:tc>
        <w:tc>
          <w:tcPr>
            <w:tcW w:w="750" w:type="dxa"/>
            <w:vMerge w:val="continue"/>
            <w:noWrap/>
            <w:vAlign w:val="center"/>
          </w:tcPr>
          <w:p w14:paraId="2ACBF5D0">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0"/>
                <w:szCs w:val="20"/>
              </w:rPr>
            </w:pPr>
          </w:p>
        </w:tc>
        <w:tc>
          <w:tcPr>
            <w:tcW w:w="1521" w:type="dxa"/>
            <w:noWrap/>
            <w:vAlign w:val="center"/>
          </w:tcPr>
          <w:p w14:paraId="70412125">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0"/>
                <w:szCs w:val="20"/>
              </w:rPr>
            </w:pPr>
            <w:r>
              <w:rPr>
                <w:rFonts w:hint="eastAsia" w:ascii="方正仿宋_GBK" w:hAnsi="方正仿宋_GBK" w:eastAsia="方正仿宋_GBK" w:cs="方正仿宋_GBK"/>
                <w:sz w:val="20"/>
                <w:szCs w:val="20"/>
              </w:rPr>
              <w:t>激励教师的积极性和创造性</w:t>
            </w:r>
          </w:p>
        </w:tc>
        <w:tc>
          <w:tcPr>
            <w:tcW w:w="654" w:type="dxa"/>
            <w:noWrap/>
            <w:vAlign w:val="center"/>
          </w:tcPr>
          <w:p w14:paraId="168497CC">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0"/>
                <w:szCs w:val="20"/>
              </w:rPr>
            </w:pPr>
            <w:r>
              <w:rPr>
                <w:rFonts w:hint="eastAsia" w:ascii="方正仿宋_GBK" w:hAnsi="方正仿宋_GBK" w:eastAsia="方正仿宋_GBK" w:cs="方正仿宋_GBK"/>
                <w:sz w:val="20"/>
                <w:szCs w:val="20"/>
              </w:rPr>
              <w:t>≥</w:t>
            </w:r>
          </w:p>
        </w:tc>
        <w:tc>
          <w:tcPr>
            <w:tcW w:w="682" w:type="dxa"/>
            <w:noWrap/>
            <w:vAlign w:val="center"/>
          </w:tcPr>
          <w:p w14:paraId="377870CC">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0"/>
                <w:szCs w:val="20"/>
                <w:lang w:val="en-US" w:eastAsia="zh-CN"/>
              </w:rPr>
            </w:pPr>
            <w:r>
              <w:rPr>
                <w:rFonts w:hint="eastAsia" w:ascii="方正仿宋_GBK" w:hAnsi="方正仿宋_GBK" w:eastAsia="方正仿宋_GBK" w:cs="方正仿宋_GBK"/>
                <w:sz w:val="20"/>
                <w:szCs w:val="20"/>
                <w:lang w:val="en-US" w:eastAsia="zh-CN"/>
              </w:rPr>
              <w:t>50</w:t>
            </w:r>
          </w:p>
        </w:tc>
        <w:tc>
          <w:tcPr>
            <w:tcW w:w="682" w:type="dxa"/>
            <w:noWrap/>
            <w:vAlign w:val="center"/>
          </w:tcPr>
          <w:p w14:paraId="72F6A189">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0"/>
                <w:szCs w:val="20"/>
              </w:rPr>
            </w:pPr>
            <w:r>
              <w:rPr>
                <w:rFonts w:hint="eastAsia" w:ascii="方正仿宋_GBK" w:hAnsi="方正仿宋_GBK" w:eastAsia="方正仿宋_GBK" w:cs="方正仿宋_GBK"/>
                <w:sz w:val="20"/>
                <w:szCs w:val="20"/>
              </w:rPr>
              <w:t>%</w:t>
            </w:r>
          </w:p>
        </w:tc>
        <w:tc>
          <w:tcPr>
            <w:tcW w:w="695" w:type="dxa"/>
            <w:noWrap/>
            <w:vAlign w:val="center"/>
          </w:tcPr>
          <w:p w14:paraId="247E536F">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0"/>
                <w:szCs w:val="20"/>
                <w:lang w:val="en-US" w:eastAsia="zh-CN"/>
              </w:rPr>
            </w:pPr>
            <w:r>
              <w:rPr>
                <w:rFonts w:hint="eastAsia" w:ascii="方正仿宋_GBK" w:hAnsi="方正仿宋_GBK" w:eastAsia="方正仿宋_GBK" w:cs="方正仿宋_GBK"/>
                <w:sz w:val="20"/>
                <w:szCs w:val="20"/>
                <w:lang w:val="en-US" w:eastAsia="zh-CN"/>
              </w:rPr>
              <w:t>15</w:t>
            </w:r>
          </w:p>
        </w:tc>
        <w:tc>
          <w:tcPr>
            <w:tcW w:w="941" w:type="dxa"/>
            <w:noWrap/>
            <w:vAlign w:val="center"/>
          </w:tcPr>
          <w:p w14:paraId="78FE7CCB">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0"/>
                <w:szCs w:val="20"/>
                <w:lang w:val="en-US" w:eastAsia="zh-CN"/>
              </w:rPr>
            </w:pPr>
            <w:r>
              <w:rPr>
                <w:rFonts w:hint="eastAsia" w:ascii="方正仿宋_GBK" w:hAnsi="方正仿宋_GBK" w:eastAsia="方正仿宋_GBK" w:cs="方正仿宋_GBK"/>
                <w:sz w:val="20"/>
                <w:szCs w:val="20"/>
                <w:lang w:val="en-US" w:eastAsia="zh-CN"/>
              </w:rPr>
              <w:t>50</w:t>
            </w:r>
          </w:p>
        </w:tc>
        <w:tc>
          <w:tcPr>
            <w:tcW w:w="723" w:type="dxa"/>
            <w:noWrap/>
            <w:vAlign w:val="center"/>
          </w:tcPr>
          <w:p w14:paraId="7DB5042D">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0"/>
                <w:szCs w:val="20"/>
                <w:lang w:val="en-US" w:eastAsia="zh-CN"/>
              </w:rPr>
            </w:pPr>
            <w:r>
              <w:rPr>
                <w:rFonts w:hint="eastAsia" w:ascii="方正仿宋_GBK" w:hAnsi="方正仿宋_GBK" w:eastAsia="方正仿宋_GBK" w:cs="方正仿宋_GBK"/>
                <w:sz w:val="20"/>
                <w:szCs w:val="20"/>
                <w:lang w:val="en-US" w:eastAsia="zh-CN"/>
              </w:rPr>
              <w:t>15</w:t>
            </w:r>
          </w:p>
        </w:tc>
        <w:tc>
          <w:tcPr>
            <w:tcW w:w="654" w:type="dxa"/>
            <w:noWrap/>
            <w:vAlign w:val="center"/>
          </w:tcPr>
          <w:p w14:paraId="3BCD4651">
            <w:pPr>
              <w:keepNext w:val="0"/>
              <w:keepLines w:val="0"/>
              <w:pageBreakBefore w:val="0"/>
              <w:widowControl/>
              <w:kinsoku/>
              <w:wordWrap/>
              <w:overflowPunct/>
              <w:topLinePunct w:val="0"/>
              <w:autoSpaceDE/>
              <w:autoSpaceDN/>
              <w:bidi w:val="0"/>
              <w:adjustRightInd/>
              <w:snapToGrid/>
              <w:spacing w:line="300" w:lineRule="exact"/>
              <w:rPr>
                <w:rFonts w:hint="eastAsia" w:ascii="方正仿宋_GBK" w:hAnsi="方正仿宋_GBK" w:eastAsia="方正仿宋_GBK" w:cs="方正仿宋_GBK"/>
                <w:sz w:val="20"/>
                <w:szCs w:val="20"/>
              </w:rPr>
            </w:pPr>
          </w:p>
        </w:tc>
        <w:tc>
          <w:tcPr>
            <w:tcW w:w="708" w:type="dxa"/>
            <w:vMerge w:val="continue"/>
            <w:noWrap/>
            <w:vAlign w:val="center"/>
          </w:tcPr>
          <w:p w14:paraId="4CADF608">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0"/>
                <w:szCs w:val="20"/>
              </w:rPr>
            </w:pPr>
          </w:p>
        </w:tc>
      </w:tr>
      <w:tr w14:paraId="012FA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52" w:type="dxa"/>
            <w:vMerge w:val="continue"/>
            <w:noWrap/>
            <w:vAlign w:val="center"/>
          </w:tcPr>
          <w:p w14:paraId="3EBCFD6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sz w:val="20"/>
                <w:szCs w:val="20"/>
              </w:rPr>
            </w:pPr>
          </w:p>
        </w:tc>
        <w:tc>
          <w:tcPr>
            <w:tcW w:w="750" w:type="dxa"/>
            <w:vMerge w:val="continue"/>
            <w:noWrap/>
            <w:vAlign w:val="center"/>
          </w:tcPr>
          <w:p w14:paraId="48E7F9B5">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0"/>
                <w:szCs w:val="20"/>
              </w:rPr>
            </w:pPr>
          </w:p>
        </w:tc>
        <w:tc>
          <w:tcPr>
            <w:tcW w:w="1521" w:type="dxa"/>
            <w:noWrap/>
            <w:vAlign w:val="center"/>
          </w:tcPr>
          <w:p w14:paraId="55DBA61F">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0"/>
                <w:szCs w:val="20"/>
              </w:rPr>
            </w:pPr>
            <w:r>
              <w:rPr>
                <w:rFonts w:hint="eastAsia" w:ascii="方正仿宋_GBK" w:hAnsi="方正仿宋_GBK" w:eastAsia="方正仿宋_GBK" w:cs="方正仿宋_GBK"/>
                <w:sz w:val="20"/>
                <w:szCs w:val="20"/>
              </w:rPr>
              <w:t>培养高素质教师队伍</w:t>
            </w:r>
          </w:p>
        </w:tc>
        <w:tc>
          <w:tcPr>
            <w:tcW w:w="654" w:type="dxa"/>
            <w:noWrap/>
            <w:vAlign w:val="center"/>
          </w:tcPr>
          <w:p w14:paraId="5934E9FE">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0"/>
                <w:szCs w:val="20"/>
                <w:lang w:val="en-US" w:eastAsia="zh-CN"/>
              </w:rPr>
            </w:pPr>
            <w:r>
              <w:rPr>
                <w:rFonts w:hint="eastAsia" w:ascii="方正仿宋_GBK" w:hAnsi="方正仿宋_GBK" w:eastAsia="方正仿宋_GBK" w:cs="方正仿宋_GBK"/>
                <w:sz w:val="20"/>
                <w:szCs w:val="20"/>
              </w:rPr>
              <w:t>≥</w:t>
            </w:r>
          </w:p>
        </w:tc>
        <w:tc>
          <w:tcPr>
            <w:tcW w:w="682" w:type="dxa"/>
            <w:noWrap/>
            <w:vAlign w:val="center"/>
          </w:tcPr>
          <w:p w14:paraId="0C8B136D">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0"/>
                <w:szCs w:val="20"/>
                <w:lang w:val="en-US" w:eastAsia="zh-CN"/>
              </w:rPr>
            </w:pPr>
            <w:r>
              <w:rPr>
                <w:rFonts w:hint="eastAsia" w:ascii="方正仿宋_GBK" w:hAnsi="方正仿宋_GBK" w:eastAsia="方正仿宋_GBK" w:cs="方正仿宋_GBK"/>
                <w:sz w:val="20"/>
                <w:szCs w:val="20"/>
                <w:lang w:val="en-US" w:eastAsia="zh-CN"/>
              </w:rPr>
              <w:t>25</w:t>
            </w:r>
          </w:p>
        </w:tc>
        <w:tc>
          <w:tcPr>
            <w:tcW w:w="682" w:type="dxa"/>
            <w:noWrap/>
            <w:vAlign w:val="center"/>
          </w:tcPr>
          <w:p w14:paraId="15FD2F7A">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0"/>
                <w:szCs w:val="20"/>
                <w:lang w:val="en-US" w:eastAsia="zh-CN"/>
              </w:rPr>
            </w:pPr>
            <w:r>
              <w:rPr>
                <w:rFonts w:hint="eastAsia" w:ascii="方正仿宋_GBK" w:hAnsi="方正仿宋_GBK" w:eastAsia="方正仿宋_GBK" w:cs="方正仿宋_GBK"/>
                <w:sz w:val="20"/>
                <w:szCs w:val="20"/>
              </w:rPr>
              <w:t>%</w:t>
            </w:r>
          </w:p>
        </w:tc>
        <w:tc>
          <w:tcPr>
            <w:tcW w:w="695" w:type="dxa"/>
            <w:noWrap/>
            <w:vAlign w:val="center"/>
          </w:tcPr>
          <w:p w14:paraId="6F80D426">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0"/>
                <w:szCs w:val="20"/>
                <w:lang w:val="en-US" w:eastAsia="zh-CN"/>
              </w:rPr>
            </w:pPr>
            <w:r>
              <w:rPr>
                <w:rFonts w:hint="eastAsia" w:ascii="方正仿宋_GBK" w:hAnsi="方正仿宋_GBK" w:eastAsia="方正仿宋_GBK" w:cs="方正仿宋_GBK"/>
                <w:sz w:val="20"/>
                <w:szCs w:val="20"/>
                <w:lang w:val="en-US" w:eastAsia="zh-CN"/>
              </w:rPr>
              <w:t>15</w:t>
            </w:r>
          </w:p>
        </w:tc>
        <w:tc>
          <w:tcPr>
            <w:tcW w:w="941" w:type="dxa"/>
            <w:noWrap/>
            <w:vAlign w:val="center"/>
          </w:tcPr>
          <w:p w14:paraId="3BC5AC82">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0"/>
                <w:szCs w:val="20"/>
                <w:lang w:val="en-US" w:eastAsia="zh-CN"/>
              </w:rPr>
            </w:pPr>
            <w:r>
              <w:rPr>
                <w:rFonts w:hint="eastAsia" w:ascii="方正仿宋_GBK" w:hAnsi="方正仿宋_GBK" w:eastAsia="方正仿宋_GBK" w:cs="方正仿宋_GBK"/>
                <w:sz w:val="20"/>
                <w:szCs w:val="20"/>
                <w:lang w:val="en-US" w:eastAsia="zh-CN"/>
              </w:rPr>
              <w:t>25</w:t>
            </w:r>
          </w:p>
        </w:tc>
        <w:tc>
          <w:tcPr>
            <w:tcW w:w="723" w:type="dxa"/>
            <w:noWrap/>
            <w:vAlign w:val="center"/>
          </w:tcPr>
          <w:p w14:paraId="16934CCB">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0"/>
                <w:szCs w:val="20"/>
                <w:lang w:val="en-US" w:eastAsia="zh-CN"/>
              </w:rPr>
            </w:pPr>
            <w:r>
              <w:rPr>
                <w:rFonts w:hint="eastAsia" w:ascii="方正仿宋_GBK" w:hAnsi="方正仿宋_GBK" w:eastAsia="方正仿宋_GBK" w:cs="方正仿宋_GBK"/>
                <w:sz w:val="20"/>
                <w:szCs w:val="20"/>
                <w:lang w:val="en-US" w:eastAsia="zh-CN"/>
              </w:rPr>
              <w:t>15</w:t>
            </w:r>
          </w:p>
        </w:tc>
        <w:tc>
          <w:tcPr>
            <w:tcW w:w="654" w:type="dxa"/>
            <w:noWrap/>
            <w:vAlign w:val="center"/>
          </w:tcPr>
          <w:p w14:paraId="6C5CE082">
            <w:pPr>
              <w:keepNext w:val="0"/>
              <w:keepLines w:val="0"/>
              <w:pageBreakBefore w:val="0"/>
              <w:widowControl/>
              <w:kinsoku/>
              <w:wordWrap/>
              <w:overflowPunct/>
              <w:topLinePunct w:val="0"/>
              <w:autoSpaceDE/>
              <w:autoSpaceDN/>
              <w:bidi w:val="0"/>
              <w:adjustRightInd/>
              <w:snapToGrid/>
              <w:spacing w:line="300" w:lineRule="exact"/>
              <w:rPr>
                <w:rFonts w:hint="eastAsia" w:ascii="方正仿宋_GBK" w:hAnsi="方正仿宋_GBK" w:eastAsia="方正仿宋_GBK" w:cs="方正仿宋_GBK"/>
                <w:sz w:val="20"/>
                <w:szCs w:val="20"/>
              </w:rPr>
            </w:pPr>
          </w:p>
        </w:tc>
        <w:tc>
          <w:tcPr>
            <w:tcW w:w="708" w:type="dxa"/>
            <w:vMerge w:val="continue"/>
            <w:noWrap/>
            <w:vAlign w:val="center"/>
          </w:tcPr>
          <w:p w14:paraId="526CFC54">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0"/>
                <w:szCs w:val="20"/>
              </w:rPr>
            </w:pPr>
          </w:p>
        </w:tc>
      </w:tr>
      <w:tr w14:paraId="54E38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52" w:type="dxa"/>
            <w:vMerge w:val="continue"/>
            <w:noWrap/>
            <w:vAlign w:val="center"/>
          </w:tcPr>
          <w:p w14:paraId="56844D2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sz w:val="20"/>
                <w:szCs w:val="20"/>
              </w:rPr>
            </w:pPr>
          </w:p>
        </w:tc>
        <w:tc>
          <w:tcPr>
            <w:tcW w:w="750" w:type="dxa"/>
            <w:vMerge w:val="continue"/>
            <w:noWrap/>
            <w:vAlign w:val="center"/>
          </w:tcPr>
          <w:p w14:paraId="3A611932">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0"/>
                <w:szCs w:val="20"/>
              </w:rPr>
            </w:pPr>
          </w:p>
        </w:tc>
        <w:tc>
          <w:tcPr>
            <w:tcW w:w="1521" w:type="dxa"/>
            <w:noWrap/>
            <w:vAlign w:val="center"/>
          </w:tcPr>
          <w:p w14:paraId="2FFC9339">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0"/>
                <w:szCs w:val="20"/>
              </w:rPr>
            </w:pPr>
            <w:r>
              <w:rPr>
                <w:rFonts w:hint="eastAsia" w:ascii="方正仿宋_GBK" w:hAnsi="方正仿宋_GBK" w:eastAsia="方正仿宋_GBK" w:cs="方正仿宋_GBK"/>
                <w:sz w:val="20"/>
                <w:szCs w:val="20"/>
              </w:rPr>
              <w:t>学生、家长满意度</w:t>
            </w:r>
          </w:p>
        </w:tc>
        <w:tc>
          <w:tcPr>
            <w:tcW w:w="654" w:type="dxa"/>
            <w:shd w:val="clear" w:color="auto" w:fill="auto"/>
            <w:noWrap/>
            <w:vAlign w:val="center"/>
          </w:tcPr>
          <w:p w14:paraId="35E1EFFD">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0"/>
                <w:szCs w:val="20"/>
                <w:lang w:val="en-US" w:eastAsia="zh-CN" w:bidi="ar-SA"/>
              </w:rPr>
            </w:pPr>
            <w:r>
              <w:rPr>
                <w:rFonts w:hint="eastAsia" w:ascii="方正仿宋_GBK" w:hAnsi="方正仿宋_GBK" w:eastAsia="方正仿宋_GBK" w:cs="方正仿宋_GBK"/>
                <w:sz w:val="20"/>
                <w:szCs w:val="20"/>
              </w:rPr>
              <w:t>≥</w:t>
            </w:r>
          </w:p>
        </w:tc>
        <w:tc>
          <w:tcPr>
            <w:tcW w:w="682" w:type="dxa"/>
            <w:shd w:val="clear" w:color="auto" w:fill="auto"/>
            <w:noWrap/>
            <w:vAlign w:val="center"/>
          </w:tcPr>
          <w:p w14:paraId="4AA8F0CE">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0"/>
                <w:szCs w:val="20"/>
                <w:lang w:val="en-US" w:eastAsia="zh-CN" w:bidi="ar-SA"/>
              </w:rPr>
            </w:pPr>
            <w:r>
              <w:rPr>
                <w:rFonts w:hint="eastAsia" w:ascii="方正仿宋_GBK" w:hAnsi="方正仿宋_GBK" w:eastAsia="方正仿宋_GBK" w:cs="方正仿宋_GBK"/>
                <w:sz w:val="20"/>
                <w:szCs w:val="20"/>
                <w:lang w:val="en-US" w:eastAsia="zh-CN" w:bidi="ar-SA"/>
              </w:rPr>
              <w:t>90</w:t>
            </w:r>
          </w:p>
        </w:tc>
        <w:tc>
          <w:tcPr>
            <w:tcW w:w="682" w:type="dxa"/>
            <w:shd w:val="clear" w:color="auto" w:fill="auto"/>
            <w:noWrap/>
            <w:vAlign w:val="center"/>
          </w:tcPr>
          <w:p w14:paraId="53F8F3E4">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0"/>
                <w:szCs w:val="20"/>
                <w:lang w:val="en-US" w:eastAsia="zh-CN" w:bidi="ar-SA"/>
              </w:rPr>
            </w:pPr>
            <w:r>
              <w:rPr>
                <w:rFonts w:hint="eastAsia" w:ascii="方正仿宋_GBK" w:hAnsi="方正仿宋_GBK" w:eastAsia="方正仿宋_GBK" w:cs="方正仿宋_GBK"/>
                <w:sz w:val="20"/>
                <w:szCs w:val="20"/>
              </w:rPr>
              <w:t>%</w:t>
            </w:r>
          </w:p>
        </w:tc>
        <w:tc>
          <w:tcPr>
            <w:tcW w:w="695" w:type="dxa"/>
            <w:noWrap/>
            <w:vAlign w:val="center"/>
          </w:tcPr>
          <w:p w14:paraId="440FAEC2">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0"/>
                <w:szCs w:val="20"/>
                <w:lang w:val="en-US" w:eastAsia="zh-CN"/>
              </w:rPr>
            </w:pPr>
            <w:r>
              <w:rPr>
                <w:rFonts w:hint="eastAsia" w:ascii="方正仿宋_GBK" w:hAnsi="方正仿宋_GBK" w:eastAsia="方正仿宋_GBK" w:cs="方正仿宋_GBK"/>
                <w:sz w:val="20"/>
                <w:szCs w:val="20"/>
                <w:lang w:val="en-US" w:eastAsia="zh-CN"/>
              </w:rPr>
              <w:t>10</w:t>
            </w:r>
          </w:p>
        </w:tc>
        <w:tc>
          <w:tcPr>
            <w:tcW w:w="941" w:type="dxa"/>
            <w:noWrap/>
            <w:vAlign w:val="center"/>
          </w:tcPr>
          <w:p w14:paraId="09785E1E">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0"/>
                <w:szCs w:val="20"/>
                <w:lang w:val="en-US" w:eastAsia="zh-CN"/>
              </w:rPr>
            </w:pPr>
            <w:r>
              <w:rPr>
                <w:rFonts w:hint="eastAsia" w:ascii="方正仿宋_GBK" w:hAnsi="方正仿宋_GBK" w:eastAsia="方正仿宋_GBK" w:cs="方正仿宋_GBK"/>
                <w:sz w:val="20"/>
                <w:szCs w:val="20"/>
                <w:lang w:val="en-US" w:eastAsia="zh-CN"/>
              </w:rPr>
              <w:t>90</w:t>
            </w:r>
          </w:p>
        </w:tc>
        <w:tc>
          <w:tcPr>
            <w:tcW w:w="723" w:type="dxa"/>
            <w:noWrap/>
            <w:vAlign w:val="center"/>
          </w:tcPr>
          <w:p w14:paraId="297E5872">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0"/>
                <w:szCs w:val="20"/>
                <w:lang w:val="en-US" w:eastAsia="zh-CN"/>
              </w:rPr>
            </w:pPr>
            <w:r>
              <w:rPr>
                <w:rFonts w:hint="eastAsia" w:ascii="方正仿宋_GBK" w:hAnsi="方正仿宋_GBK" w:eastAsia="方正仿宋_GBK" w:cs="方正仿宋_GBK"/>
                <w:sz w:val="20"/>
                <w:szCs w:val="20"/>
                <w:lang w:val="en-US" w:eastAsia="zh-CN"/>
              </w:rPr>
              <w:t>10</w:t>
            </w:r>
          </w:p>
        </w:tc>
        <w:tc>
          <w:tcPr>
            <w:tcW w:w="654" w:type="dxa"/>
            <w:noWrap/>
            <w:vAlign w:val="center"/>
          </w:tcPr>
          <w:p w14:paraId="41C3A90E">
            <w:pPr>
              <w:keepNext w:val="0"/>
              <w:keepLines w:val="0"/>
              <w:pageBreakBefore w:val="0"/>
              <w:widowControl/>
              <w:kinsoku/>
              <w:wordWrap/>
              <w:overflowPunct/>
              <w:topLinePunct w:val="0"/>
              <w:autoSpaceDE/>
              <w:autoSpaceDN/>
              <w:bidi w:val="0"/>
              <w:adjustRightInd/>
              <w:snapToGrid/>
              <w:spacing w:line="300" w:lineRule="exact"/>
              <w:rPr>
                <w:rFonts w:hint="eastAsia" w:ascii="方正仿宋_GBK" w:hAnsi="方正仿宋_GBK" w:eastAsia="方正仿宋_GBK" w:cs="方正仿宋_GBK"/>
                <w:sz w:val="20"/>
                <w:szCs w:val="20"/>
              </w:rPr>
            </w:pPr>
          </w:p>
        </w:tc>
        <w:tc>
          <w:tcPr>
            <w:tcW w:w="708" w:type="dxa"/>
            <w:vMerge w:val="continue"/>
            <w:noWrap/>
            <w:vAlign w:val="center"/>
          </w:tcPr>
          <w:p w14:paraId="4B868738">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0"/>
                <w:szCs w:val="20"/>
              </w:rPr>
            </w:pPr>
          </w:p>
        </w:tc>
      </w:tr>
      <w:tr w14:paraId="05432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52" w:type="dxa"/>
            <w:vMerge w:val="continue"/>
            <w:noWrap/>
            <w:vAlign w:val="center"/>
          </w:tcPr>
          <w:p w14:paraId="2902082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sz w:val="20"/>
                <w:szCs w:val="20"/>
              </w:rPr>
            </w:pPr>
          </w:p>
        </w:tc>
        <w:tc>
          <w:tcPr>
            <w:tcW w:w="750" w:type="dxa"/>
            <w:vMerge w:val="continue"/>
            <w:noWrap/>
            <w:vAlign w:val="center"/>
          </w:tcPr>
          <w:p w14:paraId="1FB21B37">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0"/>
                <w:szCs w:val="20"/>
              </w:rPr>
            </w:pPr>
          </w:p>
        </w:tc>
        <w:tc>
          <w:tcPr>
            <w:tcW w:w="1521" w:type="dxa"/>
            <w:noWrap/>
            <w:vAlign w:val="center"/>
          </w:tcPr>
          <w:p w14:paraId="54CE69A4">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0"/>
                <w:szCs w:val="20"/>
                <w:lang w:val="en-US" w:eastAsia="zh-CN"/>
              </w:rPr>
            </w:pPr>
            <w:r>
              <w:rPr>
                <w:rFonts w:hint="eastAsia" w:ascii="方正仿宋_GBK" w:hAnsi="方正仿宋_GBK" w:eastAsia="方正仿宋_GBK" w:cs="方正仿宋_GBK"/>
                <w:sz w:val="20"/>
                <w:szCs w:val="20"/>
                <w:lang w:val="en-US" w:eastAsia="zh-CN"/>
              </w:rPr>
              <w:t>执行率</w:t>
            </w:r>
          </w:p>
        </w:tc>
        <w:tc>
          <w:tcPr>
            <w:tcW w:w="654" w:type="dxa"/>
            <w:noWrap/>
            <w:vAlign w:val="center"/>
          </w:tcPr>
          <w:p w14:paraId="664B731F">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0"/>
                <w:szCs w:val="20"/>
                <w:lang w:val="en-US" w:eastAsia="zh-CN"/>
              </w:rPr>
            </w:pPr>
            <w:r>
              <w:rPr>
                <w:rFonts w:hint="eastAsia" w:ascii="方正仿宋_GBK" w:hAnsi="方正仿宋_GBK" w:eastAsia="方正仿宋_GBK" w:cs="方正仿宋_GBK"/>
                <w:sz w:val="20"/>
                <w:szCs w:val="20"/>
                <w:lang w:val="en-US" w:eastAsia="zh-CN"/>
              </w:rPr>
              <w:t>=</w:t>
            </w:r>
          </w:p>
        </w:tc>
        <w:tc>
          <w:tcPr>
            <w:tcW w:w="682" w:type="dxa"/>
            <w:noWrap/>
            <w:vAlign w:val="center"/>
          </w:tcPr>
          <w:p w14:paraId="71735527">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0"/>
                <w:szCs w:val="20"/>
                <w:lang w:val="en-US" w:eastAsia="zh-CN"/>
              </w:rPr>
            </w:pPr>
            <w:r>
              <w:rPr>
                <w:rFonts w:hint="eastAsia" w:ascii="方正仿宋_GBK" w:hAnsi="方正仿宋_GBK" w:eastAsia="方正仿宋_GBK" w:cs="方正仿宋_GBK"/>
                <w:sz w:val="20"/>
                <w:szCs w:val="20"/>
                <w:lang w:val="en-US" w:eastAsia="zh-CN"/>
              </w:rPr>
              <w:t>100</w:t>
            </w:r>
          </w:p>
        </w:tc>
        <w:tc>
          <w:tcPr>
            <w:tcW w:w="682" w:type="dxa"/>
            <w:noWrap/>
            <w:vAlign w:val="center"/>
          </w:tcPr>
          <w:p w14:paraId="5E2B9713">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0"/>
                <w:szCs w:val="20"/>
                <w:lang w:val="en-US" w:eastAsia="zh-CN"/>
              </w:rPr>
            </w:pPr>
            <w:r>
              <w:rPr>
                <w:rFonts w:hint="eastAsia" w:ascii="方正仿宋_GBK" w:hAnsi="方正仿宋_GBK" w:eastAsia="方正仿宋_GBK" w:cs="方正仿宋_GBK"/>
                <w:sz w:val="20"/>
                <w:szCs w:val="20"/>
                <w:lang w:val="en-US" w:eastAsia="zh-CN"/>
              </w:rPr>
              <w:t>%</w:t>
            </w:r>
          </w:p>
        </w:tc>
        <w:tc>
          <w:tcPr>
            <w:tcW w:w="695" w:type="dxa"/>
            <w:noWrap/>
            <w:vAlign w:val="center"/>
          </w:tcPr>
          <w:p w14:paraId="30D910A0">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0"/>
                <w:szCs w:val="20"/>
                <w:lang w:val="en-US" w:eastAsia="zh-CN"/>
              </w:rPr>
            </w:pPr>
            <w:r>
              <w:rPr>
                <w:rFonts w:hint="eastAsia" w:ascii="方正仿宋_GBK" w:hAnsi="方正仿宋_GBK" w:eastAsia="方正仿宋_GBK" w:cs="方正仿宋_GBK"/>
                <w:sz w:val="20"/>
                <w:szCs w:val="20"/>
                <w:lang w:val="en-US" w:eastAsia="zh-CN"/>
              </w:rPr>
              <w:t>10</w:t>
            </w:r>
          </w:p>
        </w:tc>
        <w:tc>
          <w:tcPr>
            <w:tcW w:w="941" w:type="dxa"/>
            <w:noWrap/>
            <w:vAlign w:val="center"/>
          </w:tcPr>
          <w:p w14:paraId="562A50FE">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0"/>
                <w:szCs w:val="20"/>
                <w:lang w:val="en-US" w:eastAsia="zh-CN"/>
              </w:rPr>
            </w:pPr>
            <w:r>
              <w:rPr>
                <w:rFonts w:hint="eastAsia" w:ascii="方正仿宋_GBK" w:hAnsi="方正仿宋_GBK" w:eastAsia="方正仿宋_GBK" w:cs="方正仿宋_GBK"/>
                <w:sz w:val="20"/>
                <w:szCs w:val="20"/>
                <w:lang w:val="en-US" w:eastAsia="zh-CN"/>
              </w:rPr>
              <w:t>100</w:t>
            </w:r>
          </w:p>
        </w:tc>
        <w:tc>
          <w:tcPr>
            <w:tcW w:w="723" w:type="dxa"/>
            <w:noWrap/>
            <w:vAlign w:val="center"/>
          </w:tcPr>
          <w:p w14:paraId="0335980F">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0"/>
                <w:szCs w:val="20"/>
                <w:lang w:val="en-US" w:eastAsia="zh-CN"/>
              </w:rPr>
            </w:pPr>
            <w:r>
              <w:rPr>
                <w:rFonts w:hint="eastAsia" w:ascii="方正仿宋_GBK" w:hAnsi="方正仿宋_GBK" w:eastAsia="方正仿宋_GBK" w:cs="方正仿宋_GBK"/>
                <w:sz w:val="20"/>
                <w:szCs w:val="20"/>
                <w:lang w:val="en-US" w:eastAsia="zh-CN"/>
              </w:rPr>
              <w:t>10</w:t>
            </w:r>
          </w:p>
        </w:tc>
        <w:tc>
          <w:tcPr>
            <w:tcW w:w="654" w:type="dxa"/>
            <w:noWrap/>
            <w:vAlign w:val="center"/>
          </w:tcPr>
          <w:p w14:paraId="3EA3FD33">
            <w:pPr>
              <w:keepNext w:val="0"/>
              <w:keepLines w:val="0"/>
              <w:pageBreakBefore w:val="0"/>
              <w:widowControl/>
              <w:kinsoku/>
              <w:wordWrap/>
              <w:overflowPunct/>
              <w:topLinePunct w:val="0"/>
              <w:autoSpaceDE/>
              <w:autoSpaceDN/>
              <w:bidi w:val="0"/>
              <w:adjustRightInd/>
              <w:snapToGrid/>
              <w:spacing w:line="300" w:lineRule="exact"/>
              <w:rPr>
                <w:rFonts w:hint="eastAsia" w:ascii="方正仿宋_GBK" w:hAnsi="方正仿宋_GBK" w:eastAsia="方正仿宋_GBK" w:cs="方正仿宋_GBK"/>
                <w:sz w:val="20"/>
                <w:szCs w:val="20"/>
              </w:rPr>
            </w:pPr>
          </w:p>
        </w:tc>
        <w:tc>
          <w:tcPr>
            <w:tcW w:w="708" w:type="dxa"/>
            <w:vMerge w:val="continue"/>
            <w:noWrap/>
            <w:vAlign w:val="center"/>
          </w:tcPr>
          <w:p w14:paraId="1605EC98">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0"/>
                <w:szCs w:val="20"/>
              </w:rPr>
            </w:pPr>
          </w:p>
        </w:tc>
      </w:tr>
    </w:tbl>
    <w:p w14:paraId="4310C03D">
      <w:pPr>
        <w:keepNext w:val="0"/>
        <w:keepLines w:val="0"/>
        <w:pageBreakBefore w:val="0"/>
        <w:widowControl w:val="0"/>
        <w:kinsoku/>
        <w:wordWrap/>
        <w:overflowPunct/>
        <w:topLinePunct w:val="0"/>
        <w:autoSpaceDN/>
        <w:bidi w:val="0"/>
        <w:adjustRightInd w:val="0"/>
        <w:snapToGrid w:val="0"/>
        <w:spacing w:line="600" w:lineRule="exact"/>
        <w:ind w:left="1120" w:leftChars="200" w:hanging="640" w:hangingChars="200"/>
        <w:jc w:val="both"/>
        <w:textAlignment w:val="auto"/>
        <w:rPr>
          <w:rFonts w:hint="eastAsia" w:ascii="Times New Roman" w:hAnsi="Times New Roman" w:eastAsia="方正楷体_GBK" w:cs="Times New Roman"/>
          <w:bCs/>
          <w:sz w:val="32"/>
          <w:szCs w:val="20"/>
        </w:rPr>
      </w:pPr>
      <w:r>
        <w:rPr>
          <w:rFonts w:hint="eastAsia" w:ascii="Times New Roman" w:hAnsi="Times New Roman" w:eastAsia="方正楷体_GBK" w:cs="Times New Roman"/>
          <w:bCs/>
          <w:sz w:val="32"/>
          <w:szCs w:val="20"/>
        </w:rPr>
        <w:t>（二）</w:t>
      </w:r>
      <w:r>
        <w:rPr>
          <w:rFonts w:hint="eastAsia" w:ascii="Times New Roman" w:hAnsi="Times New Roman" w:eastAsia="方正楷体_GBK" w:cs="Times New Roman"/>
          <w:bCs/>
          <w:sz w:val="32"/>
          <w:szCs w:val="20"/>
          <w:lang w:val="en-US" w:eastAsia="zh-CN"/>
        </w:rPr>
        <w:t>单位</w:t>
      </w:r>
      <w:r>
        <w:rPr>
          <w:rFonts w:hint="eastAsia" w:ascii="Times New Roman" w:hAnsi="Times New Roman" w:eastAsia="方正楷体_GBK" w:cs="Times New Roman"/>
          <w:bCs/>
          <w:sz w:val="32"/>
          <w:szCs w:val="20"/>
        </w:rPr>
        <w:t>重点绩效评价情况</w:t>
      </w:r>
    </w:p>
    <w:p w14:paraId="0249EB13">
      <w:pPr>
        <w:keepNext w:val="0"/>
        <w:keepLines w:val="0"/>
        <w:pageBreakBefore w:val="0"/>
        <w:widowControl w:val="0"/>
        <w:tabs>
          <w:tab w:val="center" w:pos="4153"/>
          <w:tab w:val="left" w:pos="7275"/>
        </w:tabs>
        <w:kinsoku/>
        <w:wordWrap/>
        <w:overflowPunct/>
        <w:topLinePunct w:val="0"/>
        <w:autoSpaceDN/>
        <w:bidi w:val="0"/>
        <w:spacing w:line="600" w:lineRule="exact"/>
        <w:ind w:firstLine="640" w:firstLineChars="200"/>
        <w:jc w:val="both"/>
        <w:textAlignment w:val="auto"/>
        <w:rPr>
          <w:rFonts w:hint="eastAsia" w:ascii="Times New Roman" w:hAnsi="Times New Roman" w:eastAsia="方正仿宋_GBK" w:cs="宋体"/>
          <w:kern w:val="0"/>
          <w:sz w:val="32"/>
          <w:szCs w:val="32"/>
          <w:lang w:val="en-US" w:eastAsia="zh-CN"/>
        </w:rPr>
      </w:pPr>
      <w:r>
        <w:rPr>
          <w:rFonts w:hint="eastAsia" w:ascii="Times New Roman" w:hAnsi="Times New Roman" w:eastAsia="方正仿宋_GBK" w:cs="宋体"/>
          <w:kern w:val="0"/>
          <w:sz w:val="32"/>
          <w:szCs w:val="32"/>
          <w:lang w:val="en-US" w:eastAsia="zh-CN"/>
        </w:rPr>
        <w:t>我单位2024年度无重点绩效评价。</w:t>
      </w:r>
    </w:p>
    <w:p w14:paraId="684EF1DE">
      <w:pPr>
        <w:keepNext w:val="0"/>
        <w:keepLines w:val="0"/>
        <w:pageBreakBefore w:val="0"/>
        <w:widowControl w:val="0"/>
        <w:kinsoku/>
        <w:wordWrap/>
        <w:overflowPunct/>
        <w:topLinePunct w:val="0"/>
        <w:autoSpaceDN/>
        <w:bidi w:val="0"/>
        <w:adjustRightInd w:val="0"/>
        <w:snapToGrid w:val="0"/>
        <w:spacing w:line="600" w:lineRule="exact"/>
        <w:ind w:left="1120" w:leftChars="200" w:hanging="640" w:hangingChars="200"/>
        <w:jc w:val="both"/>
        <w:textAlignment w:val="auto"/>
        <w:rPr>
          <w:rFonts w:hint="eastAsia" w:ascii="Times New Roman" w:hAnsi="Times New Roman" w:eastAsia="方正楷体_GBK" w:cs="Times New Roman"/>
          <w:bCs/>
          <w:sz w:val="32"/>
          <w:szCs w:val="20"/>
        </w:rPr>
      </w:pPr>
      <w:r>
        <w:rPr>
          <w:rFonts w:hint="eastAsia" w:ascii="Times New Roman" w:hAnsi="Times New Roman" w:eastAsia="方正楷体_GBK" w:cs="Times New Roman"/>
          <w:bCs/>
          <w:sz w:val="32"/>
          <w:szCs w:val="20"/>
        </w:rPr>
        <w:t>（三）财政绩效评价情况</w:t>
      </w:r>
    </w:p>
    <w:p w14:paraId="09123876">
      <w:pPr>
        <w:keepNext w:val="0"/>
        <w:keepLines w:val="0"/>
        <w:pageBreakBefore w:val="0"/>
        <w:tabs>
          <w:tab w:val="center" w:pos="4153"/>
          <w:tab w:val="left" w:pos="7275"/>
        </w:tabs>
        <w:kinsoku/>
        <w:wordWrap/>
        <w:overflowPunct/>
        <w:topLinePunct w:val="0"/>
        <w:autoSpaceDN/>
        <w:bidi w:val="0"/>
        <w:spacing w:line="600" w:lineRule="exact"/>
        <w:ind w:firstLine="640" w:firstLineChars="200"/>
        <w:textAlignment w:val="auto"/>
        <w:rPr>
          <w:rFonts w:hint="eastAsia" w:ascii="Times New Roman" w:hAnsi="Times New Roman" w:eastAsia="方正仿宋_GBK" w:cs="Times New Roman"/>
          <w:sz w:val="32"/>
          <w:szCs w:val="32"/>
          <w:shd w:val="clear" w:color="auto" w:fill="FFFFFF"/>
          <w:lang w:val="en-US" w:eastAsia="zh-CN" w:bidi="ar-SA"/>
        </w:rPr>
      </w:pPr>
      <w:r>
        <w:rPr>
          <w:rFonts w:hint="eastAsia" w:ascii="Times New Roman" w:hAnsi="Times New Roman" w:eastAsia="方正仿宋_GBK" w:cs="宋体"/>
          <w:kern w:val="0"/>
          <w:sz w:val="32"/>
          <w:szCs w:val="32"/>
          <w:lang w:val="en-US" w:eastAsia="zh-CN"/>
        </w:rPr>
        <w:t>财政重点绩效评价由区财政局统一公开。</w:t>
      </w:r>
    </w:p>
    <w:p w14:paraId="375059DE">
      <w:pPr>
        <w:pStyle w:val="8"/>
        <w:keepNext w:val="0"/>
        <w:keepLines w:val="0"/>
        <w:pageBreakBefore w:val="0"/>
        <w:widowControl/>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Style w:val="11"/>
          <w:rFonts w:hint="eastAsia" w:ascii="Times New Roman" w:hAnsi="Times New Roman" w:eastAsia="方正黑体_GBK" w:cs="Times New Roman"/>
          <w:b w:val="0"/>
          <w:sz w:val="32"/>
          <w:szCs w:val="32"/>
          <w:shd w:val="clear" w:color="auto" w:fill="FFFFFF"/>
          <w:lang w:val="en-US" w:eastAsia="zh-CN"/>
        </w:rPr>
      </w:pPr>
      <w:r>
        <w:rPr>
          <w:rStyle w:val="11"/>
          <w:rFonts w:hint="eastAsia" w:ascii="Times New Roman" w:hAnsi="Times New Roman" w:eastAsia="方正黑体_GBK" w:cs="Times New Roman"/>
          <w:b w:val="0"/>
          <w:sz w:val="32"/>
          <w:szCs w:val="32"/>
          <w:shd w:val="clear" w:color="auto" w:fill="FFFFFF"/>
          <w:lang w:val="en-US" w:eastAsia="zh-CN"/>
        </w:rPr>
        <w:t>六、专业名词解释</w:t>
      </w:r>
    </w:p>
    <w:p w14:paraId="644A15FB">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Times New Roman"/>
          <w:sz w:val="32"/>
          <w:szCs w:val="32"/>
          <w:lang w:val="en-US" w:eastAsia="zh-CN" w:bidi="ar-SA"/>
        </w:rPr>
        <w:t>（一）财政拨款收入：</w:t>
      </w:r>
      <w:r>
        <w:rPr>
          <w:rFonts w:hint="eastAsia" w:ascii="Times New Roman" w:hAnsi="Times New Roman" w:eastAsia="方正仿宋_GBK" w:cs="Times New Roman"/>
          <w:sz w:val="32"/>
          <w:szCs w:val="32"/>
          <w:shd w:val="clear" w:color="auto" w:fill="FFFFFF"/>
          <w:lang w:val="en-US" w:eastAsia="zh-CN" w:bidi="ar-SA"/>
        </w:rPr>
        <w:t>指本年度从本级财政单位取得的财政拨款，包括一般公共预算财政拨款和政府性基金预算财政拨款。</w:t>
      </w:r>
    </w:p>
    <w:p w14:paraId="6CAF685F">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Times New Roman"/>
          <w:sz w:val="32"/>
          <w:szCs w:val="32"/>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14:paraId="366A74B2">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Times New Roman"/>
          <w:sz w:val="32"/>
          <w:szCs w:val="32"/>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14:paraId="49321968">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Times New Roman"/>
          <w:sz w:val="32"/>
          <w:szCs w:val="32"/>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w:t>
      </w:r>
      <w:r>
        <w:rPr>
          <w:rFonts w:hint="eastAsia" w:ascii="方正仿宋_GBK" w:hAnsi="方正仿宋_GBK" w:eastAsia="方正仿宋_GBK" w:cs="方正仿宋_GBK"/>
          <w:kern w:val="0"/>
          <w:sz w:val="32"/>
          <w:szCs w:val="32"/>
          <w:shd w:val="clear" w:fill="FFFFFF"/>
          <w:lang w:eastAsia="zh-CN"/>
        </w:rPr>
        <w:t>单位</w:t>
      </w:r>
      <w:r>
        <w:rPr>
          <w:rFonts w:hint="eastAsia" w:ascii="方正仿宋_GBK" w:hAnsi="方正仿宋_GBK" w:eastAsia="方正仿宋_GBK" w:cs="方正仿宋_GBK"/>
          <w:kern w:val="0"/>
          <w:sz w:val="32"/>
          <w:szCs w:val="32"/>
          <w:shd w:val="clear" w:fill="FFFFFF"/>
        </w:rPr>
        <w:t>以外的同级单位取得的经费、从非本级财政</w:t>
      </w:r>
      <w:r>
        <w:rPr>
          <w:rFonts w:hint="eastAsia" w:ascii="方正仿宋_GBK" w:hAnsi="方正仿宋_GBK" w:eastAsia="方正仿宋_GBK" w:cs="方正仿宋_GBK"/>
          <w:kern w:val="0"/>
          <w:sz w:val="32"/>
          <w:szCs w:val="32"/>
          <w:shd w:val="clear" w:fill="FFFFFF"/>
          <w:lang w:eastAsia="zh-CN"/>
        </w:rPr>
        <w:t>单位</w:t>
      </w:r>
      <w:r>
        <w:rPr>
          <w:rFonts w:hint="eastAsia" w:ascii="方正仿宋_GBK" w:hAnsi="方正仿宋_GBK" w:eastAsia="方正仿宋_GBK" w:cs="方正仿宋_GBK"/>
          <w:kern w:val="0"/>
          <w:sz w:val="32"/>
          <w:szCs w:val="32"/>
          <w:shd w:val="clear" w:fill="FFFFFF"/>
        </w:rPr>
        <w:t>取得的经费，以及行政单位收到的财政专户管理资金反映在本项内。</w:t>
      </w:r>
    </w:p>
    <w:p w14:paraId="75DB5853">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Times New Roman"/>
          <w:sz w:val="32"/>
          <w:szCs w:val="32"/>
          <w:lang w:val="en-US" w:eastAsia="zh-CN" w:bidi="ar-SA"/>
        </w:rPr>
        <w:t>（五）使用非财政拨款结余：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66235788">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Times New Roman"/>
          <w:sz w:val="32"/>
          <w:szCs w:val="32"/>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14:paraId="24266CE6">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Times New Roman"/>
          <w:sz w:val="32"/>
          <w:szCs w:val="32"/>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14:paraId="5BB80097">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Times New Roman"/>
          <w:sz w:val="32"/>
          <w:szCs w:val="32"/>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14:paraId="0BCC7AE0">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Times New Roman"/>
          <w:sz w:val="32"/>
          <w:szCs w:val="32"/>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03CD1A43">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Times New Roman"/>
          <w:sz w:val="32"/>
          <w:szCs w:val="32"/>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14:paraId="18B448CB">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Times New Roman"/>
          <w:sz w:val="32"/>
          <w:szCs w:val="32"/>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14:paraId="66BDCFA5">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Times New Roman"/>
          <w:sz w:val="32"/>
          <w:szCs w:val="32"/>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6EC749B9">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Times New Roman"/>
          <w:sz w:val="32"/>
          <w:szCs w:val="32"/>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0CCFB963">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Times New Roman"/>
          <w:sz w:val="32"/>
          <w:szCs w:val="32"/>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14:paraId="188290DC">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Times New Roman"/>
          <w:sz w:val="32"/>
          <w:szCs w:val="32"/>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14:paraId="21120006">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Times New Roman"/>
          <w:sz w:val="32"/>
          <w:szCs w:val="32"/>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14:paraId="62084A82">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Times New Roman"/>
          <w:sz w:val="32"/>
          <w:szCs w:val="32"/>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w:t>
      </w:r>
      <w:r>
        <w:rPr>
          <w:rFonts w:hint="eastAsia" w:ascii="方正仿宋_GBK" w:hAnsi="方正仿宋_GBK" w:eastAsia="方正仿宋_GBK" w:cs="方正仿宋_GBK"/>
          <w:kern w:val="0"/>
          <w:sz w:val="32"/>
          <w:szCs w:val="32"/>
          <w:shd w:val="clear" w:fill="FFFFFF"/>
          <w:lang w:eastAsia="zh-CN"/>
        </w:rPr>
        <w:t>单位</w:t>
      </w:r>
      <w:r>
        <w:rPr>
          <w:rFonts w:hint="eastAsia" w:ascii="方正仿宋_GBK" w:hAnsi="方正仿宋_GBK" w:eastAsia="方正仿宋_GBK" w:cs="方正仿宋_GBK"/>
          <w:kern w:val="0"/>
          <w:sz w:val="32"/>
          <w:szCs w:val="32"/>
          <w:shd w:val="clear" w:fill="FFFFFF"/>
        </w:rPr>
        <w:t>集中安排的用于购置固定资产、战略性和应急性储备、土地和无形资产，以及构建基础设施、大型修缮和财政支持企业更新改造所发生的支出。</w:t>
      </w:r>
    </w:p>
    <w:p w14:paraId="5E172C16">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黑体" w:hAnsi="黑体" w:eastAsia="黑体" w:cs="黑体"/>
          <w:sz w:val="32"/>
          <w:szCs w:val="32"/>
          <w:shd w:val="clear" w:color="auto" w:fill="FFFFFF"/>
          <w:lang w:val="en-US" w:eastAsia="zh-CN" w:bidi="ar-SA"/>
        </w:rPr>
        <w:t>七、决算公开联系方式及信息反馈渠道</w:t>
      </w:r>
    </w:p>
    <w:p w14:paraId="3FEBC540">
      <w:pPr>
        <w:pStyle w:val="8"/>
        <w:keepNext w:val="0"/>
        <w:keepLines w:val="0"/>
        <w:pageBreakBefore w:val="0"/>
        <w:widowControl/>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方正仿宋_GBK" w:eastAsia="方正仿宋_GBK"/>
          <w:sz w:val="32"/>
          <w:szCs w:val="32"/>
          <w:shd w:val="clear" w:color="auto" w:fill="FFFFFF"/>
        </w:rPr>
      </w:pPr>
      <w:r>
        <w:rPr>
          <w:rFonts w:hint="default" w:ascii="Times New Roman" w:hAnsi="方正仿宋_GBK" w:eastAsia="方正仿宋_GBK"/>
          <w:sz w:val="32"/>
          <w:szCs w:val="32"/>
          <w:shd w:val="clear" w:color="auto" w:fill="FFFFFF"/>
        </w:rPr>
        <w:t>本单位决算公开信息反馈和联系方式：</w:t>
      </w:r>
      <w:r>
        <w:rPr>
          <w:rFonts w:hint="default" w:ascii="Times New Roman" w:hAnsi="Times New Roman" w:eastAsia="方正仿宋_GBK"/>
          <w:sz w:val="32"/>
          <w:szCs w:val="32"/>
          <w:shd w:val="clear" w:color="auto" w:fill="FFFFFF"/>
        </w:rPr>
        <w:t>023-68669880</w:t>
      </w:r>
      <w:r>
        <w:rPr>
          <w:rFonts w:hint="default" w:ascii="Times New Roman" w:hAnsi="方正仿宋_GBK" w:eastAsia="方正仿宋_GBK"/>
          <w:sz w:val="32"/>
          <w:szCs w:val="32"/>
          <w:shd w:val="clear" w:color="auto" w:fill="FFFFFF"/>
        </w:rPr>
        <w:t>。</w:t>
      </w:r>
    </w:p>
    <w:p w14:paraId="442A18ED">
      <w:pPr>
        <w:pStyle w:val="8"/>
        <w:keepNext w:val="0"/>
        <w:keepLines w:val="0"/>
        <w:pageBreakBefore w:val="0"/>
        <w:widowControl/>
        <w:kinsoku/>
        <w:wordWrap/>
        <w:overflowPunct/>
        <w:topLinePunct w:val="0"/>
        <w:autoSpaceDN/>
        <w:bidi w:val="0"/>
        <w:adjustRightInd w:val="0"/>
        <w:snapToGrid w:val="0"/>
        <w:spacing w:before="0" w:beforeAutospacing="0" w:after="0" w:afterAutospacing="0" w:line="600" w:lineRule="exact"/>
        <w:jc w:val="both"/>
        <w:textAlignment w:val="auto"/>
        <w:rPr>
          <w:rFonts w:hint="eastAsia" w:ascii="Times New Roman" w:hAnsi="方正仿宋_GBK" w:eastAsia="方正仿宋_GBK"/>
          <w:sz w:val="32"/>
          <w:szCs w:val="32"/>
          <w:shd w:val="clear" w:color="auto" w:fill="FFFFFF"/>
          <w:lang w:val="en-US" w:eastAsia="zh-CN"/>
        </w:rPr>
      </w:pPr>
    </w:p>
    <w:p w14:paraId="0B455698">
      <w:pPr>
        <w:keepNext w:val="0"/>
        <w:keepLines w:val="0"/>
        <w:pageBreakBefore w:val="0"/>
        <w:widowControl/>
        <w:kinsoku/>
        <w:wordWrap/>
        <w:overflowPunct/>
        <w:topLinePunct w:val="0"/>
        <w:autoSpaceDN/>
        <w:bidi w:val="0"/>
        <w:adjustRightInd w:val="0"/>
        <w:snapToGrid w:val="0"/>
        <w:spacing w:line="600" w:lineRule="exact"/>
        <w:ind w:firstLine="640" w:firstLineChars="200"/>
        <w:jc w:val="left"/>
        <w:textAlignment w:val="auto"/>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附件：</w:t>
      </w:r>
      <w:r>
        <w:rPr>
          <w:rFonts w:hint="eastAsia" w:ascii="Times New Roman" w:hAnsi="Times New Roman" w:eastAsia="方正仿宋_GBK" w:cs="Times New Roman"/>
          <w:sz w:val="32"/>
          <w:szCs w:val="32"/>
          <w:lang w:val="en-US" w:eastAsia="zh-CN" w:bidi="ar-SA"/>
        </w:rPr>
        <w:t>1.</w:t>
      </w:r>
      <w:r>
        <w:rPr>
          <w:rFonts w:hint="eastAsia" w:ascii="方正仿宋_GBK" w:hAnsi="方正仿宋_GBK" w:eastAsia="方正仿宋_GBK" w:cs="方正仿宋_GBK"/>
          <w:kern w:val="0"/>
          <w:sz w:val="32"/>
          <w:szCs w:val="32"/>
          <w:shd w:val="clear" w:fill="FFFFFF"/>
          <w:lang w:val="en-US" w:eastAsia="zh-CN" w:bidi="ar-SA"/>
        </w:rPr>
        <w:t>收入支出决算总表</w:t>
      </w:r>
    </w:p>
    <w:p w14:paraId="25DDFE63">
      <w:pPr>
        <w:keepNext w:val="0"/>
        <w:keepLines w:val="0"/>
        <w:pageBreakBefore w:val="0"/>
        <w:widowControl/>
        <w:kinsoku/>
        <w:wordWrap/>
        <w:overflowPunct/>
        <w:topLinePunct w:val="0"/>
        <w:autoSpaceDN/>
        <w:bidi w:val="0"/>
        <w:adjustRightInd w:val="0"/>
        <w:snapToGrid w:val="0"/>
        <w:spacing w:line="600" w:lineRule="exact"/>
        <w:ind w:firstLine="1600" w:firstLineChars="500"/>
        <w:jc w:val="left"/>
        <w:textAlignment w:val="auto"/>
        <w:rPr>
          <w:rFonts w:hint="eastAsia" w:ascii="方正仿宋_GBK" w:hAnsi="方正仿宋_GBK" w:eastAsia="方正仿宋_GBK" w:cs="方正仿宋_GBK"/>
          <w:kern w:val="0"/>
          <w:sz w:val="32"/>
          <w:szCs w:val="32"/>
          <w:shd w:val="clear" w:fill="FFFFFF"/>
          <w:lang w:val="en-US" w:eastAsia="zh-CN" w:bidi="ar-SA"/>
        </w:rPr>
      </w:pPr>
      <w:r>
        <w:rPr>
          <w:rFonts w:hint="eastAsia" w:ascii="Times New Roman" w:hAnsi="Times New Roman" w:eastAsia="方正仿宋_GBK" w:cs="Times New Roman"/>
          <w:sz w:val="32"/>
          <w:szCs w:val="32"/>
          <w:lang w:val="en-US" w:eastAsia="zh-CN" w:bidi="ar-SA"/>
        </w:rPr>
        <w:t>2.</w:t>
      </w:r>
      <w:r>
        <w:rPr>
          <w:rFonts w:hint="eastAsia" w:ascii="方正仿宋_GBK" w:hAnsi="方正仿宋_GBK" w:eastAsia="方正仿宋_GBK" w:cs="方正仿宋_GBK"/>
          <w:kern w:val="0"/>
          <w:sz w:val="32"/>
          <w:szCs w:val="32"/>
          <w:shd w:val="clear" w:fill="FFFFFF"/>
          <w:lang w:val="en-US" w:eastAsia="zh-CN" w:bidi="ar-SA"/>
        </w:rPr>
        <w:t>收入决算表</w:t>
      </w:r>
    </w:p>
    <w:p w14:paraId="404E9CF1">
      <w:pPr>
        <w:keepNext w:val="0"/>
        <w:keepLines w:val="0"/>
        <w:pageBreakBefore w:val="0"/>
        <w:widowControl/>
        <w:kinsoku/>
        <w:wordWrap/>
        <w:overflowPunct/>
        <w:topLinePunct w:val="0"/>
        <w:autoSpaceDN/>
        <w:bidi w:val="0"/>
        <w:adjustRightInd w:val="0"/>
        <w:snapToGrid w:val="0"/>
        <w:spacing w:line="600" w:lineRule="exact"/>
        <w:ind w:firstLine="1600" w:firstLineChars="500"/>
        <w:jc w:val="left"/>
        <w:textAlignment w:val="auto"/>
        <w:rPr>
          <w:rFonts w:hint="eastAsia" w:ascii="方正仿宋_GBK" w:hAnsi="方正仿宋_GBK" w:eastAsia="方正仿宋_GBK" w:cs="方正仿宋_GBK"/>
          <w:kern w:val="0"/>
          <w:sz w:val="32"/>
          <w:szCs w:val="32"/>
          <w:shd w:val="clear" w:fill="FFFFFF"/>
          <w:lang w:val="en-US" w:eastAsia="zh-CN" w:bidi="ar-SA"/>
        </w:rPr>
      </w:pPr>
      <w:r>
        <w:rPr>
          <w:rFonts w:hint="eastAsia" w:ascii="Times New Roman" w:hAnsi="Times New Roman" w:eastAsia="方正仿宋_GBK" w:cs="Times New Roman"/>
          <w:sz w:val="32"/>
          <w:szCs w:val="32"/>
          <w:lang w:val="en-US" w:eastAsia="zh-CN" w:bidi="ar-SA"/>
        </w:rPr>
        <w:t>3.</w:t>
      </w:r>
      <w:r>
        <w:rPr>
          <w:rFonts w:hint="eastAsia" w:ascii="方正仿宋_GBK" w:hAnsi="方正仿宋_GBK" w:eastAsia="方正仿宋_GBK" w:cs="方正仿宋_GBK"/>
          <w:kern w:val="0"/>
          <w:sz w:val="32"/>
          <w:szCs w:val="32"/>
          <w:shd w:val="clear" w:fill="FFFFFF"/>
          <w:lang w:val="en-US" w:eastAsia="zh-CN" w:bidi="ar-SA"/>
        </w:rPr>
        <w:t>支出决算表</w:t>
      </w:r>
    </w:p>
    <w:p w14:paraId="72B31D03">
      <w:pPr>
        <w:keepNext w:val="0"/>
        <w:keepLines w:val="0"/>
        <w:pageBreakBefore w:val="0"/>
        <w:widowControl/>
        <w:kinsoku/>
        <w:wordWrap/>
        <w:overflowPunct/>
        <w:topLinePunct w:val="0"/>
        <w:autoSpaceDN/>
        <w:bidi w:val="0"/>
        <w:adjustRightInd w:val="0"/>
        <w:snapToGrid w:val="0"/>
        <w:spacing w:line="600" w:lineRule="exact"/>
        <w:ind w:firstLine="1600" w:firstLineChars="500"/>
        <w:jc w:val="left"/>
        <w:textAlignment w:val="auto"/>
        <w:rPr>
          <w:rFonts w:hint="eastAsia" w:ascii="方正仿宋_GBK" w:hAnsi="方正仿宋_GBK" w:eastAsia="方正仿宋_GBK" w:cs="方正仿宋_GBK"/>
          <w:kern w:val="0"/>
          <w:sz w:val="32"/>
          <w:szCs w:val="32"/>
          <w:shd w:val="clear" w:fill="FFFFFF"/>
          <w:lang w:val="en-US" w:eastAsia="zh-CN" w:bidi="ar-SA"/>
        </w:rPr>
      </w:pPr>
      <w:r>
        <w:rPr>
          <w:rFonts w:hint="eastAsia" w:ascii="Times New Roman" w:hAnsi="Times New Roman" w:eastAsia="方正仿宋_GBK" w:cs="Times New Roman"/>
          <w:sz w:val="32"/>
          <w:szCs w:val="32"/>
          <w:lang w:val="en-US" w:eastAsia="zh-CN" w:bidi="ar-SA"/>
        </w:rPr>
        <w:t>4.</w:t>
      </w:r>
      <w:r>
        <w:rPr>
          <w:rFonts w:hint="eastAsia" w:ascii="方正仿宋_GBK" w:hAnsi="方正仿宋_GBK" w:eastAsia="方正仿宋_GBK" w:cs="方正仿宋_GBK"/>
          <w:kern w:val="0"/>
          <w:sz w:val="32"/>
          <w:szCs w:val="32"/>
          <w:shd w:val="clear" w:fill="FFFFFF"/>
          <w:lang w:val="en-US" w:eastAsia="zh-CN" w:bidi="ar-SA"/>
        </w:rPr>
        <w:t>财政拨款收入支出决算总表</w:t>
      </w:r>
    </w:p>
    <w:p w14:paraId="53E659E1">
      <w:pPr>
        <w:keepNext w:val="0"/>
        <w:keepLines w:val="0"/>
        <w:pageBreakBefore w:val="0"/>
        <w:widowControl/>
        <w:kinsoku/>
        <w:wordWrap/>
        <w:overflowPunct/>
        <w:topLinePunct w:val="0"/>
        <w:autoSpaceDN/>
        <w:bidi w:val="0"/>
        <w:adjustRightInd w:val="0"/>
        <w:snapToGrid w:val="0"/>
        <w:spacing w:line="600" w:lineRule="exact"/>
        <w:ind w:firstLine="1600" w:firstLineChars="500"/>
        <w:jc w:val="left"/>
        <w:textAlignment w:val="auto"/>
        <w:rPr>
          <w:rFonts w:hint="eastAsia" w:ascii="方正仿宋_GBK" w:hAnsi="方正仿宋_GBK" w:eastAsia="方正仿宋_GBK" w:cs="方正仿宋_GBK"/>
          <w:kern w:val="0"/>
          <w:sz w:val="32"/>
          <w:szCs w:val="32"/>
          <w:shd w:val="clear" w:fill="FFFFFF"/>
          <w:lang w:val="en-US" w:eastAsia="zh-CN" w:bidi="ar-SA"/>
        </w:rPr>
      </w:pPr>
      <w:r>
        <w:rPr>
          <w:rFonts w:hint="eastAsia" w:ascii="Times New Roman" w:hAnsi="Times New Roman" w:eastAsia="方正仿宋_GBK" w:cs="Times New Roman"/>
          <w:sz w:val="32"/>
          <w:szCs w:val="32"/>
          <w:lang w:val="en-US" w:eastAsia="zh-CN" w:bidi="ar-SA"/>
        </w:rPr>
        <w:t>5.</w:t>
      </w:r>
      <w:r>
        <w:rPr>
          <w:rFonts w:hint="eastAsia" w:ascii="方正仿宋_GBK" w:hAnsi="方正仿宋_GBK" w:eastAsia="方正仿宋_GBK" w:cs="方正仿宋_GBK"/>
          <w:kern w:val="0"/>
          <w:sz w:val="32"/>
          <w:szCs w:val="32"/>
          <w:shd w:val="clear" w:fill="FFFFFF"/>
          <w:lang w:val="en-US" w:eastAsia="zh-CN" w:bidi="ar-SA"/>
        </w:rPr>
        <w:t>一般公共预算财政拨款支出决算表</w:t>
      </w:r>
    </w:p>
    <w:p w14:paraId="47E90CC6">
      <w:pPr>
        <w:keepNext w:val="0"/>
        <w:keepLines w:val="0"/>
        <w:pageBreakBefore w:val="0"/>
        <w:widowControl/>
        <w:kinsoku/>
        <w:wordWrap/>
        <w:overflowPunct/>
        <w:topLinePunct w:val="0"/>
        <w:autoSpaceDN/>
        <w:bidi w:val="0"/>
        <w:adjustRightInd w:val="0"/>
        <w:snapToGrid w:val="0"/>
        <w:spacing w:line="600" w:lineRule="exact"/>
        <w:ind w:firstLine="1600" w:firstLineChars="500"/>
        <w:jc w:val="left"/>
        <w:textAlignment w:val="auto"/>
        <w:rPr>
          <w:rFonts w:hint="eastAsia" w:ascii="方正仿宋_GBK" w:hAnsi="方正仿宋_GBK" w:eastAsia="方正仿宋_GBK" w:cs="方正仿宋_GBK"/>
          <w:kern w:val="0"/>
          <w:sz w:val="32"/>
          <w:szCs w:val="32"/>
          <w:shd w:val="clear" w:fill="FFFFFF"/>
          <w:lang w:val="en-US" w:eastAsia="zh-CN" w:bidi="ar-SA"/>
        </w:rPr>
      </w:pPr>
      <w:r>
        <w:rPr>
          <w:rFonts w:hint="eastAsia" w:ascii="Times New Roman" w:hAnsi="Times New Roman" w:eastAsia="方正仿宋_GBK" w:cs="Times New Roman"/>
          <w:sz w:val="32"/>
          <w:szCs w:val="32"/>
          <w:lang w:val="en-US" w:eastAsia="zh-CN" w:bidi="ar-SA"/>
        </w:rPr>
        <w:t>6.</w:t>
      </w:r>
      <w:r>
        <w:rPr>
          <w:rFonts w:hint="eastAsia" w:ascii="方正仿宋_GBK" w:hAnsi="方正仿宋_GBK" w:eastAsia="方正仿宋_GBK" w:cs="方正仿宋_GBK"/>
          <w:kern w:val="0"/>
          <w:sz w:val="32"/>
          <w:szCs w:val="32"/>
          <w:shd w:val="clear" w:fill="FFFFFF"/>
          <w:lang w:val="en-US" w:eastAsia="zh-CN" w:bidi="ar-SA"/>
        </w:rPr>
        <w:t>一般公共预算财政拨款基本支出决算表</w:t>
      </w:r>
    </w:p>
    <w:p w14:paraId="7E991D1F">
      <w:pPr>
        <w:keepNext w:val="0"/>
        <w:keepLines w:val="0"/>
        <w:pageBreakBefore w:val="0"/>
        <w:widowControl/>
        <w:kinsoku/>
        <w:wordWrap/>
        <w:overflowPunct/>
        <w:topLinePunct w:val="0"/>
        <w:autoSpaceDN/>
        <w:bidi w:val="0"/>
        <w:adjustRightInd w:val="0"/>
        <w:snapToGrid w:val="0"/>
        <w:spacing w:line="600" w:lineRule="exact"/>
        <w:jc w:val="left"/>
        <w:textAlignment w:val="auto"/>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 xml:space="preserve">          </w:t>
      </w:r>
      <w:r>
        <w:rPr>
          <w:rFonts w:hint="eastAsia" w:ascii="Times New Roman" w:hAnsi="Times New Roman" w:eastAsia="方正仿宋_GBK" w:cs="Times New Roman"/>
          <w:sz w:val="32"/>
          <w:szCs w:val="32"/>
          <w:lang w:val="en-US" w:eastAsia="zh-CN" w:bidi="ar-SA"/>
        </w:rPr>
        <w:t>7.</w:t>
      </w:r>
      <w:r>
        <w:rPr>
          <w:rFonts w:hint="eastAsia" w:ascii="方正仿宋_GBK" w:hAnsi="方正仿宋_GBK" w:eastAsia="方正仿宋_GBK" w:cs="方正仿宋_GBK"/>
          <w:kern w:val="0"/>
          <w:sz w:val="32"/>
          <w:szCs w:val="32"/>
          <w:shd w:val="clear" w:fill="FFFFFF"/>
          <w:lang w:val="en-US" w:eastAsia="zh-CN" w:bidi="ar-SA"/>
        </w:rPr>
        <w:t>政府性基金预算财政拨款收入支出决算表</w:t>
      </w:r>
    </w:p>
    <w:p w14:paraId="6CAF60A1">
      <w:pPr>
        <w:keepNext w:val="0"/>
        <w:keepLines w:val="0"/>
        <w:pageBreakBefore w:val="0"/>
        <w:widowControl/>
        <w:kinsoku/>
        <w:wordWrap/>
        <w:overflowPunct/>
        <w:topLinePunct w:val="0"/>
        <w:autoSpaceDN/>
        <w:bidi w:val="0"/>
        <w:adjustRightInd w:val="0"/>
        <w:snapToGrid w:val="0"/>
        <w:spacing w:line="600" w:lineRule="exact"/>
        <w:ind w:firstLine="1600" w:firstLineChars="500"/>
        <w:jc w:val="left"/>
        <w:textAlignment w:val="auto"/>
        <w:rPr>
          <w:rFonts w:hint="eastAsia" w:ascii="方正仿宋_GBK" w:hAnsi="方正仿宋_GBK" w:eastAsia="方正仿宋_GBK" w:cs="方正仿宋_GBK"/>
          <w:kern w:val="0"/>
          <w:sz w:val="32"/>
          <w:szCs w:val="32"/>
          <w:shd w:val="clear" w:fill="FFFFFF"/>
          <w:lang w:val="en-US" w:eastAsia="zh-CN" w:bidi="ar-SA"/>
        </w:rPr>
      </w:pPr>
      <w:r>
        <w:rPr>
          <w:rFonts w:hint="eastAsia" w:ascii="Times New Roman" w:hAnsi="Times New Roman" w:eastAsia="方正仿宋_GBK" w:cs="Times New Roman"/>
          <w:sz w:val="32"/>
          <w:szCs w:val="32"/>
          <w:lang w:val="en-US" w:eastAsia="zh-CN" w:bidi="ar-SA"/>
        </w:rPr>
        <w:t>8.</w:t>
      </w:r>
      <w:r>
        <w:rPr>
          <w:rFonts w:hint="eastAsia" w:ascii="方正仿宋_GBK" w:hAnsi="方正仿宋_GBK" w:eastAsia="方正仿宋_GBK" w:cs="方正仿宋_GBK"/>
          <w:kern w:val="0"/>
          <w:sz w:val="32"/>
          <w:szCs w:val="32"/>
          <w:shd w:val="clear" w:fill="FFFFFF"/>
          <w:lang w:val="en-US" w:eastAsia="zh-CN" w:bidi="ar-SA"/>
        </w:rPr>
        <w:t>国有资本经营预算财政拨款支出决算表</w:t>
      </w:r>
    </w:p>
    <w:p w14:paraId="6ECB1A30">
      <w:pPr>
        <w:pStyle w:val="12"/>
        <w:keepNext w:val="0"/>
        <w:keepLines w:val="0"/>
        <w:pageBreakBefore w:val="0"/>
        <w:widowControl/>
        <w:kinsoku/>
        <w:wordWrap/>
        <w:overflowPunct/>
        <w:topLinePunct w:val="0"/>
        <w:autoSpaceDE w:val="0"/>
        <w:autoSpaceDN/>
        <w:bidi w:val="0"/>
        <w:adjustRightInd/>
        <w:snapToGrid/>
        <w:spacing w:beforeAutospacing="0" w:afterAutospacing="0" w:line="600" w:lineRule="exact"/>
        <w:ind w:firstLine="1600" w:firstLineChars="500"/>
        <w:jc w:val="both"/>
        <w:textAlignment w:val="auto"/>
        <w:rPr>
          <w:rFonts w:hint="eastAsia" w:ascii="方正仿宋_GBK" w:hAnsi="方正仿宋_GBK" w:eastAsia="方正仿宋_GBK" w:cs="方正仿宋_GBK"/>
          <w:kern w:val="0"/>
          <w:sz w:val="32"/>
          <w:szCs w:val="32"/>
          <w:shd w:val="clear" w:fill="FFFFFF"/>
          <w:lang w:val="en-US" w:eastAsia="zh-CN" w:bidi="ar-SA"/>
        </w:rPr>
      </w:pPr>
      <w:r>
        <w:rPr>
          <w:rFonts w:hint="eastAsia" w:ascii="Times New Roman" w:hAnsi="Times New Roman" w:eastAsia="方正仿宋_GBK" w:cs="Times New Roman"/>
          <w:sz w:val="32"/>
          <w:szCs w:val="32"/>
          <w:lang w:val="en-US" w:eastAsia="zh-CN" w:bidi="ar-SA"/>
        </w:rPr>
        <w:t>9.</w:t>
      </w:r>
      <w:r>
        <w:rPr>
          <w:rFonts w:hint="eastAsia" w:ascii="方正仿宋_GBK" w:hAnsi="方正仿宋_GBK" w:eastAsia="方正仿宋_GBK" w:cs="方正仿宋_GBK"/>
          <w:kern w:val="0"/>
          <w:sz w:val="32"/>
          <w:szCs w:val="32"/>
          <w:shd w:val="clear" w:fill="FFFFFF"/>
          <w:lang w:val="en-US" w:eastAsia="zh-CN" w:bidi="ar-SA"/>
        </w:rPr>
        <w:t>机构运行信息表</w:t>
      </w:r>
    </w:p>
    <w:p w14:paraId="72D58742">
      <w:pPr>
        <w:pStyle w:val="12"/>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1600" w:firstLineChars="500"/>
        <w:jc w:val="both"/>
        <w:textAlignment w:val="auto"/>
        <w:rPr>
          <w:rFonts w:hint="eastAsia" w:ascii="方正仿宋_GBK" w:hAnsi="方正仿宋_GBK" w:eastAsia="方正仿宋_GBK" w:cs="方正仿宋_GBK"/>
          <w:kern w:val="0"/>
          <w:sz w:val="32"/>
          <w:szCs w:val="32"/>
          <w:shd w:val="clear" w:fill="FFFFFF"/>
          <w:lang w:val="en-US" w:eastAsia="zh-CN" w:bidi="ar-SA"/>
        </w:rPr>
      </w:pPr>
    </w:p>
    <w:p w14:paraId="7D81D58C">
      <w:pPr>
        <w:pStyle w:val="12"/>
        <w:autoSpaceDE w:val="0"/>
        <w:spacing w:line="596" w:lineRule="exact"/>
        <w:ind w:firstLine="640"/>
        <w:jc w:val="both"/>
        <w:rPr>
          <w:rStyle w:val="11"/>
          <w:rFonts w:ascii="方正仿宋_GBK" w:hAnsi="方正仿宋_GBK" w:eastAsia="方正仿宋_GBK" w:cs="方正仿宋_GBK"/>
          <w:sz w:val="32"/>
          <w:szCs w:val="32"/>
          <w:shd w:val="clear" w:color="auto" w:fill="FFFF00"/>
        </w:rPr>
        <w:sectPr>
          <w:footerReference r:id="rId3" w:type="default"/>
          <w:pgSz w:w="11915" w:h="16840"/>
          <w:pgMar w:top="2098" w:right="1531" w:bottom="1984" w:left="1531" w:header="851" w:footer="992" w:gutter="0"/>
          <w:pgNumType w:fmt="numberInDash"/>
          <w:cols w:space="720" w:num="1"/>
          <w:docGrid w:type="lines" w:linePitch="312" w:charSpace="0"/>
        </w:sectPr>
      </w:pPr>
    </w:p>
    <w:tbl>
      <w:tblPr>
        <w:tblStyle w:val="9"/>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2C71E6F8">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42D0006D">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2D0F28B4">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6D4A4C5A">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1DA9C0A7">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4E898FBB">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3FF9C2C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7C7DB3BA">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3B51A73D">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重庆市九龙坡区和平小学校</w:t>
            </w:r>
          </w:p>
        </w:tc>
        <w:tc>
          <w:tcPr>
            <w:tcW w:w="1372" w:type="pct"/>
            <w:tcBorders>
              <w:top w:val="nil"/>
              <w:left w:val="nil"/>
              <w:bottom w:val="nil"/>
              <w:right w:val="nil"/>
            </w:tcBorders>
            <w:shd w:val="clear" w:color="auto" w:fill="auto"/>
            <w:noWrap/>
            <w:tcMar>
              <w:top w:w="15" w:type="dxa"/>
              <w:left w:w="15" w:type="dxa"/>
              <w:right w:w="15" w:type="dxa"/>
            </w:tcMar>
            <w:vAlign w:val="bottom"/>
          </w:tcPr>
          <w:p w14:paraId="212C576B">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57A662C8">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DCF609A">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BE267">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609835D">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0AA41FC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B6E49">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C9BDC8">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85E7B2">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B6FF73">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3B779EA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AF445">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69834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659.14</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5C208C">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3EA6E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EBB891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EDDEF">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88CAC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73C433">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63C2F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F083B5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54C58">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0F461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57C9B4">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DD564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3FA77D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63B38">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1F595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BF2316">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468BD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980685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9E33E">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27662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9EE46E">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E4398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532.14</w:t>
            </w:r>
            <w:r>
              <w:rPr>
                <w:rFonts w:ascii="Times New Roman" w:hAnsi="Times New Roman"/>
                <w:color w:val="000000"/>
                <w:sz w:val="20"/>
                <w:u w:color="auto"/>
              </w:rPr>
              <w:t xml:space="preserve"> </w:t>
            </w:r>
          </w:p>
        </w:tc>
      </w:tr>
      <w:tr w14:paraId="205B922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20B51">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A9773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40D13B">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B2E20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106F3F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4834B">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AE57E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277613">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13B1C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A0DD85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885D7">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70CF4AD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8CE476">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0185C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57.63</w:t>
            </w:r>
            <w:r>
              <w:rPr>
                <w:rFonts w:ascii="Times New Roman" w:hAnsi="Times New Roman"/>
                <w:color w:val="000000"/>
                <w:sz w:val="20"/>
                <w:u w:color="auto"/>
              </w:rPr>
              <w:t xml:space="preserve"> </w:t>
            </w:r>
          </w:p>
        </w:tc>
      </w:tr>
      <w:tr w14:paraId="53794BC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3E5E1">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6D0FCE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34FCF6">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6AFCF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32.66</w:t>
            </w:r>
            <w:r>
              <w:rPr>
                <w:rFonts w:ascii="Times New Roman" w:hAnsi="Times New Roman"/>
                <w:color w:val="000000"/>
                <w:sz w:val="20"/>
                <w:u w:color="auto"/>
              </w:rPr>
              <w:t xml:space="preserve"> </w:t>
            </w:r>
          </w:p>
        </w:tc>
      </w:tr>
      <w:tr w14:paraId="3F6A08F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6F4EB">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57F512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E2F130">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FF4BD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167502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40414">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CE083A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219916">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303EA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B12839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D31A9">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63A9D7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A9F876">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D9839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2812CA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6E65F">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7A16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A7BB95">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230C1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02D19B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7F1E5">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9375E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87DF48">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79989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4FFCE4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50FDD">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09BB9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6352CB">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BC802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BC8BD0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A8FAF">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7349F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404AE5">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73B33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12466C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9B872">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DDA9F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7F1B04">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C13B5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02DCAEF">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0A4BF">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9CE42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D312D6">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52401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71431F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ADC42">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7A409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2C77CB">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7F561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36.72</w:t>
            </w:r>
            <w:r>
              <w:rPr>
                <w:rFonts w:ascii="Times New Roman" w:hAnsi="Times New Roman"/>
                <w:color w:val="000000"/>
                <w:sz w:val="20"/>
                <w:u w:color="auto"/>
              </w:rPr>
              <w:t xml:space="preserve"> </w:t>
            </w:r>
          </w:p>
        </w:tc>
      </w:tr>
      <w:tr w14:paraId="11879FF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D3267">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368C8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A124B7">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392C0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A88E30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51AAE">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200D4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13174D">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EFA69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B26F23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5D291">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75C7B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2EBBF2">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A0AA0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3C15AC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5574C">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01FBD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D04B60">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0ACEF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40CE9D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BE5CD">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FD679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94A081">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C673A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F317CC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2FC01">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7B208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B0AF15">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56B36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147CA2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1B6E0">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3FD85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5A38C6">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EB3C8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0FF0B3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BDE1C">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0F420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659.14</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8E1328">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E4905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659.14</w:t>
            </w:r>
            <w:r>
              <w:rPr>
                <w:rFonts w:ascii="Times New Roman" w:hAnsi="Times New Roman"/>
                <w:color w:val="000000"/>
                <w:sz w:val="20"/>
                <w:u w:color="auto"/>
              </w:rPr>
              <w:t xml:space="preserve"> </w:t>
            </w:r>
          </w:p>
        </w:tc>
      </w:tr>
      <w:tr w14:paraId="710618F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1FD05">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73ED6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69557C">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6E2F7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3107F4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61A35">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DFF4D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E23B8E">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0712FA7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A79618C">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BFDF0">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F849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659.14</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14B6DD4D">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D8739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659.14</w:t>
            </w:r>
            <w:r>
              <w:rPr>
                <w:rFonts w:ascii="Times New Roman" w:hAnsi="Times New Roman"/>
                <w:color w:val="000000"/>
                <w:sz w:val="20"/>
                <w:u w:color="auto"/>
              </w:rPr>
              <w:t xml:space="preserve"> </w:t>
            </w:r>
          </w:p>
        </w:tc>
      </w:tr>
    </w:tbl>
    <w:p w14:paraId="4323EA11">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1AAAAE27">
      <w:pPr>
        <w:rPr>
          <w:rFonts w:hint="default" w:cs="宋体"/>
          <w:sz w:val="21"/>
          <w:szCs w:val="21"/>
        </w:rPr>
      </w:pPr>
    </w:p>
    <w:tbl>
      <w:tblPr>
        <w:tblStyle w:val="9"/>
        <w:tblW w:w="5059" w:type="pct"/>
        <w:tblInd w:w="0" w:type="dxa"/>
        <w:tblLayout w:type="fixed"/>
        <w:tblCellMar>
          <w:top w:w="0" w:type="dxa"/>
          <w:left w:w="0" w:type="dxa"/>
          <w:bottom w:w="0" w:type="dxa"/>
          <w:right w:w="0" w:type="dxa"/>
        </w:tblCellMar>
      </w:tblPr>
      <w:tblGrid>
        <w:gridCol w:w="1430"/>
        <w:gridCol w:w="2917"/>
        <w:gridCol w:w="1583"/>
        <w:gridCol w:w="1451"/>
        <w:gridCol w:w="1255"/>
        <w:gridCol w:w="1440"/>
        <w:gridCol w:w="1458"/>
        <w:gridCol w:w="1296"/>
        <w:gridCol w:w="1351"/>
        <w:gridCol w:w="1322"/>
      </w:tblGrid>
      <w:tr w14:paraId="0C74DFEC">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343968C3">
            <w:pPr>
              <w:jc w:val="center"/>
              <w:textAlignment w:val="bottom"/>
              <w:rPr>
                <w:rFonts w:hint="default" w:cs="宋体"/>
                <w:b/>
                <w:color w:val="000000"/>
                <w:sz w:val="32"/>
                <w:szCs w:val="32"/>
              </w:rPr>
            </w:pPr>
            <w:r>
              <w:rPr>
                <w:rFonts w:cs="宋体"/>
                <w:b/>
                <w:color w:val="000000"/>
                <w:sz w:val="32"/>
                <w:szCs w:val="32"/>
              </w:rPr>
              <w:t>收入决算表</w:t>
            </w:r>
          </w:p>
        </w:tc>
      </w:tr>
      <w:tr w14:paraId="0B6DBE42">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0D9C6EE1">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重庆市九龙坡区和平小学校</w:t>
            </w:r>
          </w:p>
        </w:tc>
        <w:tc>
          <w:tcPr>
            <w:tcW w:w="467" w:type="pct"/>
            <w:tcBorders>
              <w:top w:val="nil"/>
              <w:left w:val="nil"/>
              <w:bottom w:val="nil"/>
              <w:right w:val="nil"/>
            </w:tcBorders>
            <w:shd w:val="clear" w:color="auto" w:fill="auto"/>
            <w:noWrap/>
            <w:tcMar>
              <w:top w:w="15" w:type="dxa"/>
              <w:left w:w="15" w:type="dxa"/>
              <w:right w:w="15" w:type="dxa"/>
            </w:tcMar>
            <w:vAlign w:val="bottom"/>
          </w:tcPr>
          <w:p w14:paraId="36D03AF8">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5DA51AE0">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14DDBB31">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57D7AD9F">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1C15FA27">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7BFF4F3D">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3AC0D20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66B17B3F">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2D418D00">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3ED8F016">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1D9AE11A">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11267C3F">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7DDF1AAA">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497D535B">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5E5DCEBA">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7364CFDA">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F06C786">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1DB68F6B">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608301">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8280BB">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5250C3">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F106340">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716C51">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6DB3E9">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07D6FF">
            <w:pPr>
              <w:jc w:val="center"/>
              <w:textAlignment w:val="center"/>
              <w:rPr>
                <w:rFonts w:hint="default" w:cs="宋体"/>
                <w:b/>
                <w:color w:val="000000"/>
                <w:sz w:val="20"/>
                <w:szCs w:val="20"/>
              </w:rPr>
            </w:pPr>
            <w:r>
              <w:rPr>
                <w:rFonts w:cs="宋体"/>
                <w:b/>
                <w:color w:val="000000"/>
                <w:sz w:val="20"/>
                <w:szCs w:val="20"/>
              </w:rPr>
              <w:t>其他收入</w:t>
            </w:r>
          </w:p>
        </w:tc>
      </w:tr>
      <w:tr w14:paraId="170D60B5">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C7CD1">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56B2FB0E">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E5A9C9">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E9BFED">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87EEBD">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F41044">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B304D4">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30C728">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625E45">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05113">
            <w:pPr>
              <w:jc w:val="center"/>
              <w:rPr>
                <w:rFonts w:hint="default" w:cs="宋体"/>
                <w:b/>
                <w:color w:val="000000"/>
                <w:sz w:val="20"/>
                <w:szCs w:val="20"/>
              </w:rPr>
            </w:pPr>
          </w:p>
        </w:tc>
      </w:tr>
      <w:tr w14:paraId="72108BB4">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23412">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C4C9066">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91BB2B">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DEC94F">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0D399A">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0E5DAA">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F78761">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22A799">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B0B5DB">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99AD8">
            <w:pPr>
              <w:jc w:val="center"/>
              <w:rPr>
                <w:rFonts w:hint="default" w:cs="宋体"/>
                <w:b/>
                <w:color w:val="000000"/>
                <w:sz w:val="20"/>
                <w:szCs w:val="20"/>
              </w:rPr>
            </w:pPr>
          </w:p>
        </w:tc>
      </w:tr>
      <w:tr w14:paraId="3D549830">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A694F">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176332E">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790E86">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B88448">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8981E6">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8FCB25">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3E733">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575755">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271DAA">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A1A7D3">
            <w:pPr>
              <w:jc w:val="center"/>
              <w:rPr>
                <w:rFonts w:hint="default" w:cs="宋体"/>
                <w:b/>
                <w:color w:val="000000"/>
                <w:sz w:val="20"/>
                <w:szCs w:val="20"/>
              </w:rPr>
            </w:pPr>
          </w:p>
        </w:tc>
      </w:tr>
      <w:tr w14:paraId="14843A9D">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53296">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5137E4F">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E2502C">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8665AF">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03FEB9">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345901">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795C05">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650B94">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DA1938">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F4ECDE">
            <w:pPr>
              <w:jc w:val="center"/>
              <w:rPr>
                <w:rFonts w:hint="default" w:cs="宋体"/>
                <w:b/>
                <w:color w:val="000000"/>
                <w:sz w:val="20"/>
                <w:szCs w:val="20"/>
              </w:rPr>
            </w:pPr>
          </w:p>
        </w:tc>
      </w:tr>
      <w:tr w14:paraId="6BD680EA">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9C57E">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A46D8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659.14</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B2A0F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659.14</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AFD53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4A70C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109F2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40E92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E9F2F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D9B77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4FF0A22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01F75">
            <w:pPr>
              <w:textAlignment w:val="center"/>
              <w:rPr>
                <w:rFonts w:hint="default" w:cs="宋体"/>
                <w:color w:val="000000"/>
                <w:sz w:val="20"/>
                <w:szCs w:val="20"/>
              </w:rPr>
            </w:pPr>
            <w:r>
              <w:rPr>
                <w:rFonts w:cs="宋体"/>
                <w:b/>
                <w:color w:val="000000"/>
                <w:sz w:val="20"/>
                <w:szCs w:val="20"/>
              </w:rPr>
              <w:t>205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DF0DD3">
            <w:pPr>
              <w:textAlignment w:val="center"/>
              <w:rPr>
                <w:rFonts w:hint="default" w:cs="宋体"/>
                <w:color w:val="000000"/>
                <w:sz w:val="20"/>
                <w:szCs w:val="20"/>
              </w:rPr>
            </w:pPr>
            <w:r>
              <w:rPr>
                <w:rFonts w:cs="宋体"/>
                <w:b/>
                <w:color w:val="000000"/>
                <w:sz w:val="20"/>
                <w:szCs w:val="20"/>
              </w:rPr>
              <w:t>教育支出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5D6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532.14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FC3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532.14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A89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FB1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068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D29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249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3CA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CCFDC6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BA4D1">
            <w:pPr>
              <w:textAlignment w:val="center"/>
              <w:rPr>
                <w:rFonts w:hint="default" w:cs="宋体"/>
                <w:color w:val="000000"/>
                <w:sz w:val="20"/>
                <w:szCs w:val="20"/>
              </w:rPr>
            </w:pPr>
            <w:r>
              <w:rPr>
                <w:rFonts w:cs="宋体"/>
                <w:b/>
                <w:color w:val="000000"/>
                <w:sz w:val="20"/>
                <w:szCs w:val="20"/>
              </w:rPr>
              <w:t>20502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3DD898">
            <w:pPr>
              <w:textAlignment w:val="center"/>
              <w:rPr>
                <w:rFonts w:hint="default" w:cs="宋体"/>
                <w:color w:val="000000"/>
                <w:sz w:val="20"/>
                <w:szCs w:val="20"/>
              </w:rPr>
            </w:pPr>
            <w:r>
              <w:rPr>
                <w:rFonts w:cs="宋体"/>
                <w:b/>
                <w:color w:val="000000"/>
                <w:sz w:val="20"/>
                <w:szCs w:val="20"/>
              </w:rPr>
              <w:t>普通教育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0F1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532.14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80C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532.14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E53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96D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CF2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427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57C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2DC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682248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6936C">
            <w:pPr>
              <w:textAlignment w:val="center"/>
              <w:rPr>
                <w:rFonts w:hint="default" w:cs="宋体"/>
                <w:color w:val="000000"/>
                <w:sz w:val="20"/>
                <w:szCs w:val="20"/>
              </w:rPr>
            </w:pPr>
            <w:r>
              <w:rPr>
                <w:rFonts w:cs="宋体"/>
                <w:color w:val="000000"/>
                <w:sz w:val="20"/>
                <w:szCs w:val="20"/>
              </w:rPr>
              <w:t>2050202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1E1C4C">
            <w:pPr>
              <w:textAlignment w:val="center"/>
              <w:rPr>
                <w:rFonts w:hint="default" w:cs="宋体"/>
                <w:color w:val="000000"/>
                <w:sz w:val="20"/>
                <w:szCs w:val="20"/>
              </w:rPr>
            </w:pPr>
            <w:r>
              <w:rPr>
                <w:rFonts w:cs="宋体"/>
                <w:color w:val="000000"/>
                <w:sz w:val="20"/>
                <w:szCs w:val="20"/>
              </w:rPr>
              <w:t>小学教育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007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532.14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75F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532.14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78C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8E5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157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42B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170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B4B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3306BE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CC15B">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2FD245">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99D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57.63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2E6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57.63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F5C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0C9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3E4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522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365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C25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72DC8E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732F9">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C49EB6">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57F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57.63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0B1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57.63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344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806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2DF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360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4ED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002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38AFA5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5FD5E">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318918">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A6E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32.42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22C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32.42</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17E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CF5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21C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9DE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75B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63D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3E9FD6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006F7">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433E5D">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160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19.21</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F48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19.21</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991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A5B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26D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E86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BFF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FE7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7E0799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98FC0">
            <w:pPr>
              <w:textAlignment w:val="center"/>
              <w:rPr>
                <w:rFonts w:hint="default"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118215">
            <w:pPr>
              <w:textAlignment w:val="center"/>
              <w:rPr>
                <w:rFonts w:hint="default"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E9E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F81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2B0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2D2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F29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DD9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947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D98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97C84D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7C31B">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85EC57">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C3D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32.66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2BA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32.66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EB3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D79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5F9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D54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40F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DB4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44069D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FD11C">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C615B8">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341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32.66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292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32.66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3C0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034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76B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411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73C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864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B0EE00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B7770">
            <w:pPr>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5C41E9">
            <w:pPr>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3F4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17.99</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99E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17.99</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DF6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3A6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80B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9FB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227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B86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2D8189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4E5A7">
            <w:pPr>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C6F176">
            <w:pPr>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388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14.67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2EF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14.67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5CF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B0F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E79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A75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DD9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528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5DB3CD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BA101">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D5D622">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3EB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36.72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EA7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36.72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B0C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275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139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050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93F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5E5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D4B110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C1E98">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39CE77">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E3D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36.72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CC5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36.72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C16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27F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0B9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CC5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D59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793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7118CE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FD5B2">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6CB3A6">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AB8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33.37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EE1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33.37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91D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7B5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A04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B7E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355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6F0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075A48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13E13">
            <w:pPr>
              <w:textAlignment w:val="center"/>
              <w:rPr>
                <w:rFonts w:hint="default" w:cs="宋体"/>
                <w:color w:val="000000"/>
                <w:sz w:val="20"/>
                <w:szCs w:val="20"/>
              </w:rPr>
            </w:pPr>
            <w:r>
              <w:rPr>
                <w:rFonts w:cs="宋体"/>
                <w:color w:val="000000"/>
                <w:sz w:val="20"/>
                <w:szCs w:val="20"/>
              </w:rPr>
              <w:t>2210203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0C53E4">
            <w:pPr>
              <w:textAlignment w:val="center"/>
              <w:rPr>
                <w:rFonts w:hint="default" w:cs="宋体"/>
                <w:color w:val="000000"/>
                <w:sz w:val="20"/>
                <w:szCs w:val="20"/>
              </w:rPr>
            </w:pPr>
            <w:r>
              <w:rPr>
                <w:rFonts w:cs="宋体"/>
                <w:color w:val="000000"/>
                <w:sz w:val="20"/>
                <w:szCs w:val="20"/>
              </w:rPr>
              <w:t>购房补贴</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D3B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32C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D32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754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4CD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B7B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C5C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6D8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60617A1A">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page"/>
      </w:r>
    </w:p>
    <w:tbl>
      <w:tblPr>
        <w:tblStyle w:val="9"/>
        <w:tblW w:w="5000" w:type="pct"/>
        <w:tblInd w:w="0" w:type="dxa"/>
        <w:tblLayout w:type="fixed"/>
        <w:tblCellMar>
          <w:top w:w="0" w:type="dxa"/>
          <w:left w:w="0" w:type="dxa"/>
          <w:bottom w:w="0" w:type="dxa"/>
          <w:right w:w="0" w:type="dxa"/>
        </w:tblCellMar>
      </w:tblPr>
      <w:tblGrid>
        <w:gridCol w:w="1292"/>
        <w:gridCol w:w="3602"/>
        <w:gridCol w:w="1840"/>
        <w:gridCol w:w="1767"/>
        <w:gridCol w:w="1625"/>
        <w:gridCol w:w="1557"/>
        <w:gridCol w:w="1693"/>
        <w:gridCol w:w="1947"/>
      </w:tblGrid>
      <w:tr w14:paraId="2D5BAB35">
        <w:tblPrEx>
          <w:tblCellMar>
            <w:top w:w="0" w:type="dxa"/>
            <w:left w:w="0" w:type="dxa"/>
            <w:bottom w:w="0" w:type="dxa"/>
            <w:right w:w="0" w:type="dxa"/>
          </w:tblCellMar>
        </w:tblPrEx>
        <w:trPr>
          <w:trHeight w:val="411"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5B59D66E">
            <w:pPr>
              <w:jc w:val="center"/>
              <w:textAlignment w:val="bottom"/>
              <w:rPr>
                <w:rFonts w:hint="default" w:cs="宋体"/>
                <w:b/>
                <w:color w:val="000000"/>
                <w:sz w:val="32"/>
                <w:szCs w:val="32"/>
              </w:rPr>
            </w:pPr>
            <w:r>
              <w:rPr>
                <w:rFonts w:cs="宋体"/>
                <w:b/>
                <w:color w:val="000000"/>
                <w:sz w:val="32"/>
                <w:szCs w:val="32"/>
              </w:rPr>
              <w:t>支出决算表</w:t>
            </w:r>
          </w:p>
        </w:tc>
      </w:tr>
      <w:tr w14:paraId="425225B3">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2BFC84F1">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重庆市九龙坡区和平小学校 </w:t>
            </w:r>
          </w:p>
        </w:tc>
        <w:tc>
          <w:tcPr>
            <w:tcW w:w="575" w:type="pct"/>
            <w:tcBorders>
              <w:top w:val="nil"/>
              <w:left w:val="nil"/>
              <w:bottom w:val="nil"/>
              <w:right w:val="nil"/>
            </w:tcBorders>
            <w:shd w:val="clear" w:color="auto" w:fill="auto"/>
            <w:noWrap/>
            <w:tcMar>
              <w:top w:w="15" w:type="dxa"/>
              <w:left w:w="15" w:type="dxa"/>
              <w:right w:w="15" w:type="dxa"/>
            </w:tcMar>
            <w:vAlign w:val="bottom"/>
          </w:tcPr>
          <w:p w14:paraId="2AAA2152">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55C23F67">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03972694">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58CF190E">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680E83D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02F95CDE">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5C5B7981">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5AC43B0F">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58393A78">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586E17A7">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235AB0BF">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596116D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C7A665C">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A68D159">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5E52B4">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DDC7B">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3D4CC3">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B65830">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87E1B9">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D1D302">
            <w:pPr>
              <w:jc w:val="center"/>
              <w:textAlignment w:val="center"/>
              <w:rPr>
                <w:rFonts w:hint="default" w:cs="宋体"/>
                <w:b/>
                <w:color w:val="000000"/>
                <w:sz w:val="20"/>
                <w:szCs w:val="20"/>
              </w:rPr>
            </w:pPr>
            <w:r>
              <w:rPr>
                <w:rFonts w:cs="宋体"/>
                <w:b/>
                <w:color w:val="000000"/>
                <w:sz w:val="20"/>
                <w:szCs w:val="20"/>
              </w:rPr>
              <w:t>对附属单位补助支出</w:t>
            </w:r>
          </w:p>
        </w:tc>
      </w:tr>
      <w:tr w14:paraId="642D9B80">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38AB2">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4E65D8BF">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C10AD6">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890A4A">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C0CC47">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2AC5E3">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6F736">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9FF952">
            <w:pPr>
              <w:jc w:val="center"/>
              <w:rPr>
                <w:rFonts w:hint="default" w:cs="宋体"/>
                <w:b/>
                <w:color w:val="000000"/>
                <w:sz w:val="20"/>
                <w:szCs w:val="20"/>
              </w:rPr>
            </w:pPr>
          </w:p>
        </w:tc>
      </w:tr>
      <w:tr w14:paraId="366CB355">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FFA30">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7C0BFD7">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5DB0AF">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B73387">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E2C612">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C17203">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CDE4B9">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F3A14E">
            <w:pPr>
              <w:jc w:val="center"/>
              <w:rPr>
                <w:rFonts w:hint="default" w:cs="宋体"/>
                <w:b/>
                <w:color w:val="000000"/>
                <w:sz w:val="20"/>
                <w:szCs w:val="20"/>
              </w:rPr>
            </w:pPr>
          </w:p>
        </w:tc>
      </w:tr>
      <w:tr w14:paraId="67F762BD">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57DAA">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C9D2907">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96271D">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A2FB16">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8D0CA1">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5F2B18">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5CBC06">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6C51DB">
            <w:pPr>
              <w:jc w:val="center"/>
              <w:rPr>
                <w:rFonts w:hint="default" w:cs="宋体"/>
                <w:b/>
                <w:color w:val="000000"/>
                <w:sz w:val="20"/>
                <w:szCs w:val="20"/>
              </w:rPr>
            </w:pPr>
          </w:p>
        </w:tc>
      </w:tr>
      <w:tr w14:paraId="286758F5">
        <w:tblPrEx>
          <w:tblCellMar>
            <w:top w:w="0" w:type="dxa"/>
            <w:left w:w="0" w:type="dxa"/>
            <w:bottom w:w="0" w:type="dxa"/>
            <w:right w:w="0" w:type="dxa"/>
          </w:tblCellMar>
        </w:tblPrEx>
        <w:trPr>
          <w:trHeight w:val="312"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6FCE7">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5CD5613">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AC476D">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345947">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0F163">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0EFD20">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F522C0">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077F96">
            <w:pPr>
              <w:jc w:val="center"/>
              <w:rPr>
                <w:rFonts w:hint="default" w:cs="宋体"/>
                <w:b/>
                <w:color w:val="000000"/>
                <w:sz w:val="20"/>
                <w:szCs w:val="20"/>
              </w:rPr>
            </w:pPr>
          </w:p>
        </w:tc>
      </w:tr>
      <w:tr w14:paraId="46C6C07B">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41F0F">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5118F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659.14</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1B5A9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658.84</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8076C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0.30</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1881D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CC598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246A8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61D79A6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88583">
            <w:pPr>
              <w:textAlignment w:val="center"/>
              <w:rPr>
                <w:rFonts w:hint="default" w:cs="宋体"/>
                <w:color w:val="000000"/>
                <w:sz w:val="20"/>
                <w:szCs w:val="20"/>
              </w:rPr>
            </w:pPr>
            <w:r>
              <w:rPr>
                <w:rFonts w:cs="宋体"/>
                <w:b/>
                <w:color w:val="000000"/>
                <w:sz w:val="20"/>
                <w:szCs w:val="20"/>
              </w:rPr>
              <w:t>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5EA7AB">
            <w:pPr>
              <w:textAlignment w:val="center"/>
              <w:rPr>
                <w:rFonts w:hint="default" w:cs="宋体"/>
                <w:color w:val="000000"/>
                <w:sz w:val="20"/>
                <w:szCs w:val="20"/>
              </w:rPr>
            </w:pPr>
            <w:r>
              <w:rPr>
                <w:rFonts w:cs="宋体"/>
                <w:b/>
                <w:color w:val="000000"/>
                <w:sz w:val="20"/>
                <w:szCs w:val="20"/>
              </w:rPr>
              <w:t>教育支出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661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532.14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E2C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531.84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A1E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03E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387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3A2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FBDE08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19348">
            <w:pPr>
              <w:textAlignment w:val="center"/>
              <w:rPr>
                <w:rFonts w:hint="default" w:cs="宋体"/>
                <w:color w:val="000000"/>
                <w:sz w:val="20"/>
                <w:szCs w:val="20"/>
              </w:rPr>
            </w:pPr>
            <w:r>
              <w:rPr>
                <w:rFonts w:cs="宋体"/>
                <w:b/>
                <w:color w:val="000000"/>
                <w:sz w:val="20"/>
                <w:szCs w:val="20"/>
              </w:rPr>
              <w:t>20502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FAC181">
            <w:pPr>
              <w:textAlignment w:val="center"/>
              <w:rPr>
                <w:rFonts w:hint="default" w:cs="宋体"/>
                <w:color w:val="000000"/>
                <w:sz w:val="20"/>
                <w:szCs w:val="20"/>
              </w:rPr>
            </w:pPr>
            <w:r>
              <w:rPr>
                <w:rFonts w:cs="宋体"/>
                <w:b/>
                <w:color w:val="000000"/>
                <w:sz w:val="20"/>
                <w:szCs w:val="20"/>
              </w:rPr>
              <w:t>普通教育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A99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532.14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FD2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531.84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CB9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331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F27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124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43DFA6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B7559">
            <w:pPr>
              <w:textAlignment w:val="center"/>
              <w:rPr>
                <w:rFonts w:hint="default" w:cs="宋体"/>
                <w:color w:val="000000"/>
                <w:sz w:val="20"/>
                <w:szCs w:val="20"/>
              </w:rPr>
            </w:pPr>
            <w:r>
              <w:rPr>
                <w:rFonts w:cs="宋体"/>
                <w:color w:val="000000"/>
                <w:sz w:val="20"/>
                <w:szCs w:val="20"/>
              </w:rPr>
              <w:t>2050202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DA904C">
            <w:pPr>
              <w:textAlignment w:val="center"/>
              <w:rPr>
                <w:rFonts w:hint="default" w:cs="宋体"/>
                <w:color w:val="000000"/>
                <w:sz w:val="20"/>
                <w:szCs w:val="20"/>
              </w:rPr>
            </w:pPr>
            <w:r>
              <w:rPr>
                <w:rFonts w:cs="宋体"/>
                <w:color w:val="000000"/>
                <w:sz w:val="20"/>
                <w:szCs w:val="20"/>
              </w:rPr>
              <w:t>小学教育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371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532.14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616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531.84</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7C5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1B6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598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893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968898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C521C">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751ECB">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202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57.63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ED2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57.63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319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E82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01E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30B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D68CF0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02C1E">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56211B">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3B4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57.63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8E5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57.63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9F9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3BD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5AC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90A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C784BF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A0A9D">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771EBB">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C43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32.42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606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32.42</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35A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4C6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622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619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29DBEC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32A8D">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E7C49F">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26E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19.21</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A13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19.21</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117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868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800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C38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9A3341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98F88">
            <w:pPr>
              <w:textAlignment w:val="center"/>
              <w:rPr>
                <w:rFonts w:hint="default"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8D007C">
            <w:pPr>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DAA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3FC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671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42F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95D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BC7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B4BD86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310E4">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869C87">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2CE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32.66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157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32.66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35C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245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2E7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E11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F52469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89BD8">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FD396E">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28E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32.66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0D8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32.66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FE8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2C9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86F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688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F5A5B6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E0929">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3441D7">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EE4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E70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17.99</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DDC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DA5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CC2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35C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C32EFB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B81B8">
            <w:pPr>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FA7DD6">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9CE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14.67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559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14.67</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0CE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AEA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082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CD5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91F1D5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91BF2">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63E8A9">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A46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36.72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D74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36.72</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245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8FF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C30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A89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4FDA07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52F6F">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FC26C3">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A0F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36.72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E4A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36.72</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26B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97B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B0B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1B8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1F9783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13259">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FD990B">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8F7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33.37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96B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33.37</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D0F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062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A46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E8D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264574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4F0E2">
            <w:pPr>
              <w:textAlignment w:val="center"/>
              <w:rPr>
                <w:rFonts w:hint="default" w:cs="宋体"/>
                <w:color w:val="000000"/>
                <w:sz w:val="20"/>
                <w:szCs w:val="20"/>
              </w:rPr>
            </w:pPr>
            <w:r>
              <w:rPr>
                <w:rFonts w:cs="宋体"/>
                <w:color w:val="000000"/>
                <w:sz w:val="20"/>
                <w:szCs w:val="20"/>
              </w:rPr>
              <w:t>2210203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432210">
            <w:pPr>
              <w:textAlignment w:val="center"/>
              <w:rPr>
                <w:rFonts w:hint="default" w:cs="宋体"/>
                <w:color w:val="000000"/>
                <w:sz w:val="20"/>
                <w:szCs w:val="20"/>
              </w:rPr>
            </w:pPr>
            <w:r>
              <w:rPr>
                <w:rFonts w:cs="宋体"/>
                <w:color w:val="000000"/>
                <w:sz w:val="20"/>
                <w:szCs w:val="20"/>
              </w:rPr>
              <w:t>购房补贴</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8D0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CA2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3.34</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4EE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604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568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E19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377B2E93">
      <w:pPr>
        <w:rPr>
          <w:rFonts w:hint="default" w:cs="宋体"/>
          <w:sz w:val="21"/>
          <w:szCs w:val="21"/>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1"/>
          <w:szCs w:val="21"/>
        </w:rPr>
        <w:br w:type="page"/>
      </w:r>
    </w:p>
    <w:p w14:paraId="50484D6E">
      <w:pPr>
        <w:rPr>
          <w:rFonts w:hint="default" w:cs="宋体"/>
          <w:sz w:val="21"/>
          <w:szCs w:val="21"/>
        </w:rPr>
      </w:pPr>
    </w:p>
    <w:tbl>
      <w:tblPr>
        <w:tblStyle w:val="9"/>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0457BA60">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1056370A">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493F2564">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5490C614">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重庆市九龙坡区和平小学校</w:t>
            </w:r>
          </w:p>
        </w:tc>
        <w:tc>
          <w:tcPr>
            <w:tcW w:w="577" w:type="pct"/>
            <w:tcBorders>
              <w:top w:val="nil"/>
              <w:left w:val="nil"/>
              <w:bottom w:val="nil"/>
              <w:right w:val="nil"/>
            </w:tcBorders>
            <w:shd w:val="clear" w:color="auto" w:fill="auto"/>
            <w:noWrap/>
            <w:tcMar>
              <w:top w:w="15" w:type="dxa"/>
              <w:left w:w="15" w:type="dxa"/>
              <w:right w:w="15" w:type="dxa"/>
            </w:tcMar>
            <w:vAlign w:val="bottom"/>
          </w:tcPr>
          <w:p w14:paraId="222F9E1B">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1CD7EFE">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46FAE56">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45B5F647">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452C2520">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3F56DC88">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92FD1E7">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5A24EB8">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5359CEC">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76762BA2">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BAAF762">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02BE4">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1A70D">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59B1C68F">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FF3399">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CF85B">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46DDA8">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45FE35">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7BE77A34">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E669D6">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39E8DF">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6952FE">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AF719">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194EA8">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D4CD8">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63B533">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1533AC9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9DB99">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4A99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659.14</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9DF44">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88E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C6A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D204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B275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833E2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96576">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DD9E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F9989">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3D5A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5F38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92FD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D171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B548B6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D7B00">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AAF5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8208A">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0A72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2BF2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CC4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BF93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5EF9A6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49BB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860BB24">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E12F4">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5CE8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3444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F987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5E1E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A59D32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EDA0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7AA3189">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DEF61">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C7C3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532.14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C4B1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532.14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FA5F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D25C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DAD783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2CD5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607B5C7">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A3FB2">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C44C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EF2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8345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E512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8F7DD4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D06F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A061D92">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F305B">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FC6A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1B6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DEC1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A8EB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9E79F9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8E47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58A0582">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BA727">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B78D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57.63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6E30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57.63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9DAD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1BE2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351442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7F2B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7CE4E12">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ACD4C">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4FFB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32.66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2053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32.66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BAD8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DE9E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0B5A18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3D52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0621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153B2">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6F2C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85F3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0DC0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EADD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E086CA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B74D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FABC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FB588">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A7A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370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7F5B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4480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343B1A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D13D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4840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F1CA7">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4F11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1740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7644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1355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51F710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B5D9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BAC5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24AEB">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2D2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CB70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CF1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E5FD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3AC093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0527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4C8C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FB351">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BBD2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2FED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943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9F8C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0014B3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DB3C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5F7E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EE70A">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6322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04B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BD66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2EFC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5A9E62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3166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45DB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42FCF">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3FA1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7C80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77A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1CAF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572DC5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E9D1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7D90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7124E">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C2E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A3EF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650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C10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BB1CCB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74D3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559A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4CFF8">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DD4F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0CA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F9E5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EBFB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CA30CE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7404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A700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6D640">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10EC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36.72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5B17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36.72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E41E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A13C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E36712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8AD7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0054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B09E0">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A6FC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442F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469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8483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D99EE9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7076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160C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8DBFE">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53A2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DA77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495B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0C7F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EA66FC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C9BE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2753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D7B0A">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465D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2F2F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0F75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5A8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FF46A2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C3A2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48DE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14DF7">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0329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17BB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96FE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338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53A80F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01E90E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9FB1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F01C0">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8A7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FD9B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38D1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2EC1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809B40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C2D28F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A635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0BFB1">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C406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BE1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60C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DB4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1E595D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3B6608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9C29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D9F80">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457F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A2B6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E4B4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DDE1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EDB2E2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AAD81">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CF59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659.14</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3D7C4">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4ED7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659.14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62CD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659.14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AF05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E01E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C84C0E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BE8AB">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3EC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2A637">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2531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B373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211F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806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C8DAA0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E446C">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0BBF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4AD1E2C">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41F71DB">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8762CDF">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1821882">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159140A">
            <w:pPr>
              <w:spacing w:line="200" w:lineRule="exact"/>
              <w:rPr>
                <w:rFonts w:hint="default" w:ascii="Times New Roman" w:hAnsi="Times New Roman"/>
                <w:color w:val="000000"/>
                <w:sz w:val="18"/>
                <w:szCs w:val="18"/>
              </w:rPr>
            </w:pPr>
          </w:p>
        </w:tc>
      </w:tr>
      <w:tr w14:paraId="77B1938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11431">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2E89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FC14D">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16419">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E0BA4">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6B327">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05560">
            <w:pPr>
              <w:spacing w:line="200" w:lineRule="exact"/>
              <w:jc w:val="right"/>
              <w:rPr>
                <w:rFonts w:hint="default" w:ascii="Times New Roman" w:hAnsi="Times New Roman"/>
                <w:color w:val="000000"/>
                <w:sz w:val="18"/>
                <w:szCs w:val="18"/>
              </w:rPr>
            </w:pPr>
          </w:p>
        </w:tc>
      </w:tr>
      <w:tr w14:paraId="6DB4E6D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2EFD4">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136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B6AF5">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642D5">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E9DD5">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F40AF">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8B511">
            <w:pPr>
              <w:spacing w:line="200" w:lineRule="exact"/>
              <w:jc w:val="right"/>
              <w:rPr>
                <w:rFonts w:hint="default" w:ascii="Times New Roman" w:hAnsi="Times New Roman"/>
                <w:color w:val="000000"/>
                <w:sz w:val="18"/>
                <w:szCs w:val="18"/>
              </w:rPr>
            </w:pPr>
          </w:p>
        </w:tc>
      </w:tr>
      <w:tr w14:paraId="0844026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A3D40">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4C5B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659.14</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D599E">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1A73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659.14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9576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659.14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2ADB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8CDB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04E04811">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5000" w:type="pct"/>
        <w:tblInd w:w="0" w:type="dxa"/>
        <w:tblLayout w:type="fixed"/>
        <w:tblCellMar>
          <w:top w:w="0" w:type="dxa"/>
          <w:left w:w="0" w:type="dxa"/>
          <w:bottom w:w="0" w:type="dxa"/>
          <w:right w:w="0" w:type="dxa"/>
        </w:tblCellMar>
      </w:tblPr>
      <w:tblGrid>
        <w:gridCol w:w="1305"/>
        <w:gridCol w:w="4073"/>
        <w:gridCol w:w="3307"/>
        <w:gridCol w:w="3296"/>
        <w:gridCol w:w="3341"/>
      </w:tblGrid>
      <w:tr w14:paraId="11BA2C4A">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5A7C5B16">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71C0B6AF">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6D05107E">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重庆市九龙坡区和平小学校</w:t>
            </w:r>
          </w:p>
        </w:tc>
        <w:tc>
          <w:tcPr>
            <w:tcW w:w="1076" w:type="pct"/>
            <w:tcBorders>
              <w:top w:val="nil"/>
              <w:left w:val="nil"/>
              <w:bottom w:val="nil"/>
              <w:right w:val="nil"/>
            </w:tcBorders>
            <w:shd w:val="clear" w:color="auto" w:fill="auto"/>
            <w:noWrap/>
            <w:tcMar>
              <w:top w:w="15" w:type="dxa"/>
              <w:left w:w="15" w:type="dxa"/>
              <w:right w:w="15" w:type="dxa"/>
            </w:tcMar>
            <w:vAlign w:val="bottom"/>
          </w:tcPr>
          <w:p w14:paraId="75C33272">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6DCE41F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048505A1">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455F528C">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0E9C5550">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48194CB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BB20380">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0880B7">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2F25391">
            <w:pPr>
              <w:jc w:val="center"/>
              <w:textAlignment w:val="center"/>
              <w:rPr>
                <w:rFonts w:hint="default" w:cs="宋体"/>
                <w:b/>
                <w:color w:val="000000"/>
                <w:sz w:val="20"/>
                <w:szCs w:val="20"/>
              </w:rPr>
            </w:pPr>
            <w:r>
              <w:rPr>
                <w:rFonts w:cs="宋体"/>
                <w:b/>
                <w:color w:val="000000"/>
                <w:sz w:val="20"/>
                <w:szCs w:val="20"/>
              </w:rPr>
              <w:t>本年支出</w:t>
            </w:r>
          </w:p>
        </w:tc>
      </w:tr>
      <w:tr w14:paraId="3F80410D">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FCC8F1">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192ACE">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FAA2F5">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FF8B46">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898536">
            <w:pPr>
              <w:jc w:val="center"/>
              <w:textAlignment w:val="center"/>
              <w:rPr>
                <w:rFonts w:hint="default" w:cs="宋体"/>
                <w:b/>
                <w:color w:val="000000"/>
                <w:sz w:val="20"/>
                <w:szCs w:val="20"/>
              </w:rPr>
            </w:pPr>
            <w:r>
              <w:rPr>
                <w:rFonts w:cs="宋体"/>
                <w:b/>
                <w:color w:val="000000"/>
                <w:sz w:val="20"/>
                <w:szCs w:val="20"/>
              </w:rPr>
              <w:t>项目支出</w:t>
            </w:r>
          </w:p>
        </w:tc>
      </w:tr>
      <w:tr w14:paraId="08DA2CBC">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322C7">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15EDA6">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B3396D">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320361">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90FDE7">
            <w:pPr>
              <w:jc w:val="center"/>
              <w:rPr>
                <w:rFonts w:hint="default" w:cs="宋体"/>
                <w:b/>
                <w:color w:val="000000"/>
                <w:sz w:val="20"/>
                <w:szCs w:val="20"/>
              </w:rPr>
            </w:pPr>
          </w:p>
        </w:tc>
      </w:tr>
      <w:tr w14:paraId="1FC1C153">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77CB84">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BB9804">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E542A4">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F6389F">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D24D03">
            <w:pPr>
              <w:jc w:val="center"/>
              <w:rPr>
                <w:rFonts w:hint="default" w:cs="宋体"/>
                <w:b/>
                <w:color w:val="000000"/>
                <w:sz w:val="20"/>
                <w:szCs w:val="20"/>
              </w:rPr>
            </w:pPr>
          </w:p>
        </w:tc>
      </w:tr>
      <w:tr w14:paraId="7604EBF7">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C5AC5F">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7E844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659.14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0EFBC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658.84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15EA7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0.30</w:t>
            </w:r>
            <w:r>
              <w:rPr>
                <w:rFonts w:ascii="Times New Roman" w:hAnsi="Times New Roman"/>
                <w:b/>
                <w:color w:val="000000"/>
                <w:sz w:val="20"/>
                <w:u w:color="auto"/>
              </w:rPr>
              <w:t xml:space="preserve"> </w:t>
            </w:r>
          </w:p>
        </w:tc>
      </w:tr>
      <w:tr w14:paraId="432A712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9ED1D">
            <w:pPr>
              <w:textAlignment w:val="center"/>
              <w:rPr>
                <w:rFonts w:hint="default" w:cs="宋体"/>
                <w:color w:val="000000"/>
                <w:sz w:val="20"/>
                <w:szCs w:val="20"/>
              </w:rPr>
            </w:pPr>
            <w:r>
              <w:rPr>
                <w:rFonts w:cs="宋体"/>
                <w:b/>
                <w:color w:val="000000"/>
                <w:sz w:val="20"/>
                <w:szCs w:val="20"/>
              </w:rPr>
              <w:t>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69BC4F">
            <w:pPr>
              <w:textAlignment w:val="center"/>
              <w:rPr>
                <w:rFonts w:hint="default" w:cs="宋体"/>
                <w:color w:val="000000"/>
                <w:sz w:val="20"/>
                <w:szCs w:val="20"/>
              </w:rPr>
            </w:pPr>
            <w:r>
              <w:rPr>
                <w:rFonts w:cs="宋体"/>
                <w:b/>
                <w:color w:val="000000"/>
                <w:sz w:val="20"/>
                <w:szCs w:val="20"/>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D70A0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532.14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52CA1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531.84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FCE0F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u w:color="auto"/>
              </w:rPr>
              <w:t xml:space="preserve"> </w:t>
            </w:r>
          </w:p>
        </w:tc>
      </w:tr>
      <w:tr w14:paraId="179B97E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B18B6">
            <w:pPr>
              <w:textAlignment w:val="center"/>
              <w:rPr>
                <w:rFonts w:hint="default" w:cs="宋体"/>
                <w:color w:val="000000"/>
                <w:sz w:val="20"/>
                <w:szCs w:val="20"/>
              </w:rPr>
            </w:pPr>
            <w:r>
              <w:rPr>
                <w:rFonts w:cs="宋体"/>
                <w:b/>
                <w:color w:val="000000"/>
                <w:sz w:val="20"/>
                <w:szCs w:val="20"/>
              </w:rPr>
              <w:t>20502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7613FA">
            <w:pPr>
              <w:textAlignment w:val="center"/>
              <w:rPr>
                <w:rFonts w:hint="default" w:cs="宋体"/>
                <w:color w:val="000000"/>
                <w:sz w:val="20"/>
                <w:szCs w:val="20"/>
              </w:rPr>
            </w:pPr>
            <w:r>
              <w:rPr>
                <w:rFonts w:cs="宋体"/>
                <w:b/>
                <w:color w:val="000000"/>
                <w:sz w:val="20"/>
                <w:szCs w:val="20"/>
              </w:rPr>
              <w:t>普通教育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4391D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532.14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C45CB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531.84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0B78C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u w:color="auto"/>
              </w:rPr>
              <w:t xml:space="preserve"> </w:t>
            </w:r>
          </w:p>
        </w:tc>
      </w:tr>
      <w:tr w14:paraId="1070C75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60A13">
            <w:pPr>
              <w:textAlignment w:val="center"/>
              <w:rPr>
                <w:rFonts w:hint="default" w:cs="宋体"/>
                <w:color w:val="000000"/>
                <w:sz w:val="20"/>
                <w:szCs w:val="20"/>
              </w:rPr>
            </w:pPr>
            <w:r>
              <w:rPr>
                <w:rFonts w:cs="宋体"/>
                <w:color w:val="000000"/>
                <w:sz w:val="20"/>
                <w:szCs w:val="20"/>
              </w:rPr>
              <w:t>2050202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98CBD8">
            <w:pPr>
              <w:textAlignment w:val="center"/>
              <w:rPr>
                <w:rFonts w:hint="default" w:cs="宋体"/>
                <w:color w:val="000000"/>
                <w:sz w:val="20"/>
                <w:szCs w:val="20"/>
              </w:rPr>
            </w:pPr>
            <w:r>
              <w:rPr>
                <w:rFonts w:cs="宋体"/>
                <w:color w:val="000000"/>
                <w:sz w:val="20"/>
                <w:szCs w:val="20"/>
              </w:rPr>
              <w:t>小学教育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8545A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532.14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94D98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531.84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6B2E1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r>
      <w:tr w14:paraId="1450FC9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8FE53">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3C2BC2">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0E25D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57.63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8448C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57.63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B126F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2966AD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77850">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4F6571">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D77A6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57.63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15EA2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57.63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3B640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BB98D4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CCC53">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D2C55D">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CF813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32.42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41421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32.42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A3690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A71327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D26D6">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328A63">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8741F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19.21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678BD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19.21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975FA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A25585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A5B74">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38BAB8">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48CC3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53CE2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11938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2F967C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F0A54">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00CFD2">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3872A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32.66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F5574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32.66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0F683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88D38E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DFFB1">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B6BEB5">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05F37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32.66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151FB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32.66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0F07E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61903A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A383A">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C84322">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D4BF7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17.99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9146F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17.99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427E1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3D0693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D9F5C">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DD4EC1">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04FD3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14.67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52789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14.67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3121D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A3A83D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0544B">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7DF68C">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25DAF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36.72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5C3D1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36.72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620EA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583AEF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58E2D">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E0440B">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EE59F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36.72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3F2E2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36.72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5636B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16D932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2AAF7">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E29EFA">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21224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33.37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1FB40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33.37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722A8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38C7AA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3A445">
            <w:pPr>
              <w:textAlignment w:val="center"/>
              <w:rPr>
                <w:rFonts w:hint="default" w:cs="宋体"/>
                <w:color w:val="000000"/>
                <w:sz w:val="20"/>
                <w:szCs w:val="20"/>
              </w:rPr>
            </w:pPr>
            <w:r>
              <w:rPr>
                <w:rFonts w:cs="宋体"/>
                <w:color w:val="000000"/>
                <w:sz w:val="20"/>
                <w:szCs w:val="20"/>
              </w:rPr>
              <w:t>2210203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47F5AA">
            <w:pPr>
              <w:textAlignment w:val="center"/>
              <w:rPr>
                <w:rFonts w:hint="default" w:cs="宋体"/>
                <w:color w:val="000000"/>
                <w:sz w:val="20"/>
                <w:szCs w:val="20"/>
              </w:rPr>
            </w:pPr>
            <w:r>
              <w:rPr>
                <w:rFonts w:cs="宋体"/>
                <w:color w:val="000000"/>
                <w:sz w:val="20"/>
                <w:szCs w:val="20"/>
              </w:rPr>
              <w:t>购房补贴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BA03A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39E77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EB5AF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0AE44C17">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56D9E372">
      <w:pPr>
        <w:ind w:firstLine="630" w:firstLineChars="300"/>
        <w:rPr>
          <w:rFonts w:hint="default" w:cs="宋体"/>
          <w:sz w:val="21"/>
          <w:szCs w:val="21"/>
        </w:rPr>
      </w:pPr>
      <w:r>
        <w:rPr>
          <w:rFonts w:cs="宋体"/>
          <w:sz w:val="21"/>
          <w:szCs w:val="21"/>
        </w:rPr>
        <w:br w:type="page"/>
      </w:r>
    </w:p>
    <w:tbl>
      <w:tblPr>
        <w:tblStyle w:val="9"/>
        <w:tblW w:w="4994" w:type="pct"/>
        <w:tblInd w:w="0" w:type="dxa"/>
        <w:tblLayout w:type="fixed"/>
        <w:tblCellMar>
          <w:top w:w="0" w:type="dxa"/>
          <w:left w:w="0" w:type="dxa"/>
          <w:bottom w:w="0" w:type="dxa"/>
          <w:right w:w="0" w:type="dxa"/>
        </w:tblCellMar>
      </w:tblPr>
      <w:tblGrid>
        <w:gridCol w:w="802"/>
        <w:gridCol w:w="2809"/>
        <w:gridCol w:w="1541"/>
        <w:gridCol w:w="873"/>
        <w:gridCol w:w="2031"/>
        <w:gridCol w:w="1417"/>
        <w:gridCol w:w="873"/>
        <w:gridCol w:w="3465"/>
        <w:gridCol w:w="1492"/>
      </w:tblGrid>
      <w:tr w14:paraId="28231728">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61688092">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726BC597">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24F666D7">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重庆市九龙坡区和平小学校</w:t>
            </w:r>
          </w:p>
        </w:tc>
        <w:tc>
          <w:tcPr>
            <w:tcW w:w="463" w:type="pct"/>
            <w:tcBorders>
              <w:top w:val="nil"/>
              <w:left w:val="nil"/>
              <w:bottom w:val="nil"/>
              <w:right w:val="nil"/>
            </w:tcBorders>
            <w:shd w:val="clear" w:color="auto" w:fill="auto"/>
            <w:noWrap/>
            <w:tcMar>
              <w:top w:w="15" w:type="dxa"/>
              <w:left w:w="15" w:type="dxa"/>
              <w:right w:w="15" w:type="dxa"/>
            </w:tcMar>
            <w:vAlign w:val="bottom"/>
          </w:tcPr>
          <w:p w14:paraId="2152EE31">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35E9C41E">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06D80FE7">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49366D2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5A3AC1EC">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55ACF9A7">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33FE5E51">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09DB6D37">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222E4F72">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6879BCC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DE753A0">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166A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BB8C575">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5E970505">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5D263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E6F58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1FFDC5">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4EFB15">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8CC49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050D8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DE653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334F4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8C117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435925D6">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699AE5">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2D47AF">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34E615">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B869B2">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7998B1">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007426">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D64727">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DBD073">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9FA7E4">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14:paraId="7E9D030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319D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2968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F945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405.97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CEF4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C5FF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22D0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64.02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9D08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D1BA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B3BE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DE0FE9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30C5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0D52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9912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106.04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8F05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79F8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7942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CA28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899E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75C0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DF4E60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E0E7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BED5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4F3E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16.77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95CC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BFE7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3E1B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7642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D289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3998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F06A77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2871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AB6D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C30A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9A4A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B73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7941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FC07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8010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1210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EC3137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7EE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877A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180E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8969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7BFD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5802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9A56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4B5D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1740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EDFE0A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5C68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2C7D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1C73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175.53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FEBF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02F6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A115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DDAB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2542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DE5C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ED4E74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F2AF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5988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3CDC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32.42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5EAA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204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3495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1B0E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35E5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4581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2F1831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7161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081C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9AA1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19.21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DC76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74D5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B5C3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13.87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0601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1E44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2E10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4A20A7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90D3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23C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C891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17.11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D8EC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00E3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524D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128C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849B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3922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CE3D7E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33C8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7EED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09C3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483A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C30F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B6F8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11.13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78DF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40D3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A3C1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8310D2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759A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4249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0EEE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536C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1D1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C796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1C3E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8B28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4F3A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28C3DD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F460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F294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6DD2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33.37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8E9B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6841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05F7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2E8D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4AE8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19E2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96AA83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F331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89E3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47CF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1C25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0002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ABEC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A541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60DB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2B8B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FECAD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71CB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DBBA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C53A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9F2F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FF8A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04B3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A8DB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9DE9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831B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BA4893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3AB2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199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390A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188.84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A1FF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8C0E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8452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0FF7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F6C7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B70F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D74E9B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71C5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460D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3CA0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DA21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4BAF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0B1C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4069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07BA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571A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25CD96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8068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EB5F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9A22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2E4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0A0F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4791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4287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5E0F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4CB1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8858B1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E47C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5221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0380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CE58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FDFC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EA7B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4BDA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C4B2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8E91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F5BB74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D2C2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927B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11F1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C5DB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E2B7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CEC6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0104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D36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9367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7CB6E8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26ED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2A80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2C67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172.04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F08A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553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44B6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A5BE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DA37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9C50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8A3284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8281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CDAD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2F9F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4810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60A7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C3E9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12.18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E57B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6615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52E0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0502D1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0359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221A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0AE7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16.80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84AA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8442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4664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0A8F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6F2A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5D5A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319225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6291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8085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5838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6E79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F1BC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ECB4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9.56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5F8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958DB">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C276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28A093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39A5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9BA5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42D5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AFEB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1FB5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8CE2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F956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45A9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1820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FCFB4E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A58C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391B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13BB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FC44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554F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DF46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E667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5CB3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DB71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522FDF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EB88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ACED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E4AE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719F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C170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DF66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47E2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867E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78FD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3C4AFA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A0EE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133C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BE67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F817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4D5F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0F48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BD96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2BDA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081E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4EFA44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3F5E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D935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80D126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A647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921B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FE4D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3E0D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C117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8730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4C826A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AA2C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8998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5711FF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096B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CAD5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BFEF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41F6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F538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80A9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106BA8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C97C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1EF3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58CC97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B5AE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48BF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2A7B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C583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FACE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F074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558758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366D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CA64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E3CD50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4C89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B6D1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9E8D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2748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DC25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DFEF1">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3ABD588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52CD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DCFA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4FAE5B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223B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2D19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511D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A047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10B5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98FE9">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0E1766CB">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A545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9037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FC15F6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C3B9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42B5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DF9C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ABF9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6163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83A24">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71D000AA">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B6245">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38A435C">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594.81</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4A6DE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2BEB8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64.02</w:t>
            </w:r>
            <w:r>
              <w:rPr>
                <w:rFonts w:ascii="Times New Roman" w:hAnsi="Times New Roman"/>
                <w:color w:val="000000"/>
                <w:sz w:val="18"/>
                <w:u w:color="auto"/>
              </w:rPr>
              <w:t xml:space="preserve"> </w:t>
            </w:r>
          </w:p>
        </w:tc>
      </w:tr>
    </w:tbl>
    <w:p w14:paraId="70416CC4">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5000" w:type="pct"/>
        <w:tblInd w:w="0" w:type="dxa"/>
        <w:tblLayout w:type="fixed"/>
        <w:tblCellMar>
          <w:top w:w="0" w:type="dxa"/>
          <w:left w:w="0" w:type="dxa"/>
          <w:bottom w:w="0" w:type="dxa"/>
          <w:right w:w="0" w:type="dxa"/>
        </w:tblCellMar>
      </w:tblPr>
      <w:tblGrid>
        <w:gridCol w:w="1320"/>
        <w:gridCol w:w="3595"/>
        <w:gridCol w:w="1701"/>
        <w:gridCol w:w="1701"/>
        <w:gridCol w:w="1701"/>
        <w:gridCol w:w="1701"/>
        <w:gridCol w:w="1766"/>
        <w:gridCol w:w="1838"/>
      </w:tblGrid>
      <w:tr w14:paraId="26F77ECD">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55BB8919">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28A8E457">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4807D477">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重庆市九龙坡区和平小学校</w:t>
            </w:r>
          </w:p>
        </w:tc>
        <w:tc>
          <w:tcPr>
            <w:tcW w:w="555" w:type="pct"/>
            <w:tcBorders>
              <w:top w:val="nil"/>
              <w:left w:val="nil"/>
              <w:bottom w:val="nil"/>
              <w:right w:val="nil"/>
            </w:tcBorders>
            <w:shd w:val="clear" w:color="auto" w:fill="auto"/>
            <w:noWrap/>
            <w:tcMar>
              <w:top w:w="15" w:type="dxa"/>
              <w:left w:w="15" w:type="dxa"/>
              <w:right w:w="15" w:type="dxa"/>
            </w:tcMar>
            <w:vAlign w:val="bottom"/>
          </w:tcPr>
          <w:p w14:paraId="7322436A">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540D8B7">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42BDB41">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0A4D796B">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7B737EA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45DAB798">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34E30F1A">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19F48C2">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28FA13B">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D86FC62">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73B5AF50">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479DAEC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583AE03">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6BADC">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AA33C92">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AB1665">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037391B">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E2DA5C">
            <w:pPr>
              <w:jc w:val="center"/>
              <w:textAlignment w:val="center"/>
              <w:rPr>
                <w:rFonts w:hint="default" w:cs="宋体"/>
                <w:b/>
                <w:color w:val="000000"/>
                <w:sz w:val="20"/>
                <w:szCs w:val="20"/>
              </w:rPr>
            </w:pPr>
            <w:r>
              <w:rPr>
                <w:rFonts w:cs="宋体"/>
                <w:b/>
                <w:color w:val="000000"/>
                <w:sz w:val="20"/>
                <w:szCs w:val="20"/>
              </w:rPr>
              <w:t>年末结转和结余</w:t>
            </w:r>
          </w:p>
        </w:tc>
      </w:tr>
      <w:tr w14:paraId="032F7A7C">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88A896">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E4C0D8">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1A33659">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1B33A6">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02D691">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79D395">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19DA69">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D85998">
            <w:pPr>
              <w:jc w:val="center"/>
              <w:rPr>
                <w:rFonts w:hint="default" w:cs="宋体"/>
                <w:b/>
                <w:color w:val="000000"/>
                <w:sz w:val="20"/>
                <w:szCs w:val="20"/>
              </w:rPr>
            </w:pPr>
          </w:p>
        </w:tc>
      </w:tr>
      <w:tr w14:paraId="7470ECC4">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5BC793">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4E89D6">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D3E394F">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448EB">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75EE2F">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161145">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B06E41">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9F0C16">
            <w:pPr>
              <w:jc w:val="center"/>
              <w:rPr>
                <w:rFonts w:hint="default" w:cs="宋体"/>
                <w:b/>
                <w:color w:val="000000"/>
                <w:sz w:val="20"/>
                <w:szCs w:val="20"/>
              </w:rPr>
            </w:pPr>
          </w:p>
        </w:tc>
      </w:tr>
      <w:tr w14:paraId="5AE187CD">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CCCC07">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90DE25">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317BBE8">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D77D4A">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2B79EF">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00EC84">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8FE7C9">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E95EBC">
            <w:pPr>
              <w:jc w:val="center"/>
              <w:rPr>
                <w:rFonts w:hint="default" w:cs="宋体"/>
                <w:b/>
                <w:color w:val="000000"/>
                <w:sz w:val="20"/>
                <w:szCs w:val="20"/>
              </w:rPr>
            </w:pPr>
          </w:p>
        </w:tc>
      </w:tr>
      <w:tr w14:paraId="7822FF05">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765E14">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45120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D1780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05156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F57FF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428FD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B8E38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789BFFCF">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89937">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2AC6BB">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7ADD1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8F653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7F8F0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ED4B4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AD265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46F58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202B990E">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4245FEF4">
      <w:pPr>
        <w:rPr>
          <w:rFonts w:hint="default" w:cs="宋体"/>
          <w:sz w:val="21"/>
          <w:szCs w:val="21"/>
        </w:rPr>
      </w:pPr>
      <w:r>
        <w:rPr>
          <w:rFonts w:cs="宋体"/>
          <w:sz w:val="21"/>
          <w:szCs w:val="21"/>
        </w:rPr>
        <w:br w:type="page"/>
      </w:r>
    </w:p>
    <w:tbl>
      <w:tblPr>
        <w:tblStyle w:val="9"/>
        <w:tblW w:w="5000" w:type="pct"/>
        <w:tblInd w:w="0" w:type="dxa"/>
        <w:tblLayout w:type="fixed"/>
        <w:tblCellMar>
          <w:top w:w="0" w:type="dxa"/>
          <w:left w:w="0" w:type="dxa"/>
          <w:bottom w:w="0" w:type="dxa"/>
          <w:right w:w="0" w:type="dxa"/>
        </w:tblCellMar>
      </w:tblPr>
      <w:tblGrid>
        <w:gridCol w:w="1295"/>
        <w:gridCol w:w="3617"/>
        <w:gridCol w:w="3274"/>
        <w:gridCol w:w="189"/>
        <w:gridCol w:w="3462"/>
        <w:gridCol w:w="85"/>
        <w:gridCol w:w="3400"/>
      </w:tblGrid>
      <w:tr w14:paraId="245FE5A0">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1396A9F2">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1ACED09D">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7CC90547">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重庆市九龙坡区和平小学校</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00B913CD">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57C8CAF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40DF60FD">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383A9D47">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59A9C96B">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0D2B069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51D6C94">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A689EB6">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C22AA98">
            <w:pPr>
              <w:jc w:val="center"/>
              <w:textAlignment w:val="bottom"/>
              <w:rPr>
                <w:rFonts w:hint="default" w:cs="宋体"/>
                <w:b/>
                <w:color w:val="000000"/>
                <w:sz w:val="20"/>
                <w:szCs w:val="20"/>
              </w:rPr>
            </w:pPr>
            <w:r>
              <w:rPr>
                <w:rFonts w:cs="宋体"/>
                <w:b/>
                <w:color w:val="000000"/>
                <w:sz w:val="20"/>
                <w:szCs w:val="20"/>
              </w:rPr>
              <w:t>本年支出</w:t>
            </w:r>
          </w:p>
        </w:tc>
      </w:tr>
      <w:tr w14:paraId="60588E20">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D0D46D">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541A47">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D91FB7">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9D1E13">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C6F205">
            <w:pPr>
              <w:jc w:val="center"/>
              <w:textAlignment w:val="center"/>
              <w:rPr>
                <w:rFonts w:hint="default" w:cs="宋体"/>
                <w:b/>
                <w:color w:val="000000"/>
                <w:sz w:val="20"/>
                <w:szCs w:val="20"/>
              </w:rPr>
            </w:pPr>
            <w:r>
              <w:rPr>
                <w:rFonts w:cs="宋体"/>
                <w:b/>
                <w:color w:val="000000"/>
                <w:sz w:val="20"/>
                <w:szCs w:val="20"/>
              </w:rPr>
              <w:t>项目支出</w:t>
            </w:r>
          </w:p>
        </w:tc>
      </w:tr>
      <w:tr w14:paraId="75869BF1">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8244AE">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12F394">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1D6F41">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1AB0E2">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0544DB">
            <w:pPr>
              <w:jc w:val="center"/>
              <w:rPr>
                <w:rFonts w:hint="default" w:cs="宋体"/>
                <w:b/>
                <w:color w:val="000000"/>
                <w:sz w:val="20"/>
                <w:szCs w:val="20"/>
              </w:rPr>
            </w:pPr>
          </w:p>
        </w:tc>
      </w:tr>
      <w:tr w14:paraId="3D6A3470">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BEF470">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DD965D">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588B7B">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B0CC61">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D24F36">
            <w:pPr>
              <w:jc w:val="center"/>
              <w:rPr>
                <w:rFonts w:hint="default" w:cs="宋体"/>
                <w:b/>
                <w:color w:val="000000"/>
                <w:sz w:val="20"/>
                <w:szCs w:val="20"/>
              </w:rPr>
            </w:pPr>
          </w:p>
        </w:tc>
      </w:tr>
      <w:tr w14:paraId="789D7FC3">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C3F2BA">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5061EA">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3FAE41">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5846A3">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07E44E">
            <w:pPr>
              <w:jc w:val="center"/>
              <w:rPr>
                <w:rFonts w:hint="default" w:cs="宋体"/>
                <w:b/>
                <w:color w:val="000000"/>
                <w:sz w:val="20"/>
                <w:szCs w:val="20"/>
              </w:rPr>
            </w:pPr>
          </w:p>
        </w:tc>
      </w:tr>
      <w:tr w14:paraId="514E7F6C">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4FE44">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FC637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C86819">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49174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70F7C90D">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4E66E">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C4E633">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22A2C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F417AE">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FC9D9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23670B45">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742D3826">
      <w:pPr>
        <w:rPr>
          <w:rFonts w:hint="default" w:cs="宋体"/>
          <w:sz w:val="21"/>
          <w:szCs w:val="21"/>
        </w:rPr>
      </w:pPr>
      <w:r>
        <w:rPr>
          <w:rFonts w:hint="default" w:cs="宋体"/>
          <w:sz w:val="21"/>
          <w:szCs w:val="21"/>
        </w:rPr>
        <w:br w:type="page"/>
      </w:r>
    </w:p>
    <w:tbl>
      <w:tblPr>
        <w:tblStyle w:val="9"/>
        <w:tblW w:w="4611" w:type="pct"/>
        <w:tblInd w:w="0" w:type="dxa"/>
        <w:tblLayout w:type="fixed"/>
        <w:tblCellMar>
          <w:top w:w="0" w:type="dxa"/>
          <w:left w:w="170" w:type="dxa"/>
          <w:bottom w:w="0" w:type="dxa"/>
          <w:right w:w="170" w:type="dxa"/>
        </w:tblCellMar>
      </w:tblPr>
      <w:tblGrid>
        <w:gridCol w:w="3179"/>
        <w:gridCol w:w="2415"/>
        <w:gridCol w:w="2376"/>
        <w:gridCol w:w="3674"/>
        <w:gridCol w:w="2486"/>
      </w:tblGrid>
      <w:tr w14:paraId="7F469A5A">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78CBEA04">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20826612">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08DA0D7B">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1CFF74A5">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5869F656">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1074CD7A">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64526B1D">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37EAE5B5">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6DA871D8">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重庆市九龙坡区和平小学校</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576C9634">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1DF33AD9">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257DB8CC">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3FE49DD7">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DBC14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162A9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B7F2C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E4ADE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DF33F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20A74D17">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D7BCC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DB9C1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30FF3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36018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CC30A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EB3C5B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908DA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9CBD03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9AE6E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C9E5D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454E7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6DAFA0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0E2D8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CD136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86571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5E6AF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B89F8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4D83C7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3C81C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2D4A1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7E616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8021F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FB7AA9">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7F4004E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5572B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83A08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DE1EF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9853E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6670B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93B86D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B6122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75D01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6EB84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277C1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D68E5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5F7522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DBBED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CB3E9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1EB19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6DCE2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F51E3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048BB7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6A023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85B5C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53532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D5613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E4BC1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FD8665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A3992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E7FC6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15083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61ACC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070F30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502637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DE62D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DD781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0176E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547FF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6C329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75A0D4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43D1E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1EA6B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6DCE6E">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B7F45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9D81E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EFE4B0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A7DBA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8D52A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39F4B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16130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DBAA2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97D4DC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D7A2F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C9B6A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9FA68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8D021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7829A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DDF7C8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2CDEC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D5B8D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84015D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1C6A8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0928F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D187A7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369E7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7783C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10731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6C42F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16328A">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6C71861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4925A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7F697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A3468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A3394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D26CB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7D0DD4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27917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D47FE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5D578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F6E97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F5B65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7138C1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53069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155C1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23D83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49EB5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36432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A59649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ECA36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E48E1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6412A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B289A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C8E38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0F04BD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BC5E8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8DF90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58BA6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9FAE4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31551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1E7196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9C381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FD504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0AA20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99B55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E4A65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00B4D53">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793F0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2E97E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2AB6F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AE13BC">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E76DCA">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4F7A94FD">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82C10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29F6E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5ED5C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0.77</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810FB8">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246656">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7820E2C8">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6BE1B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934EB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09A62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0.83</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C98E70">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4CB1E8">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4D4CBF16">
      <w:pPr>
        <w:rPr>
          <w:rFonts w:hint="default" w:ascii="方正仿宋_GBK" w:hAnsi="方正仿宋_GBK" w:eastAsia="方正仿宋_GBK" w:cs="方正仿宋_GBK"/>
          <w:kern w:val="0"/>
          <w:sz w:val="32"/>
          <w:szCs w:val="32"/>
          <w:shd w:val="clear" w:fill="FFFFFF"/>
          <w:lang w:val="en-US" w:eastAsia="zh-CN" w:bidi="ar-SA"/>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55802EC-746F-4EF3-AF94-02B2D5E961A9}"/>
  </w:font>
  <w:font w:name="黑体">
    <w:panose1 w:val="02010609060101010101"/>
    <w:charset w:val="86"/>
    <w:family w:val="auto"/>
    <w:pitch w:val="default"/>
    <w:sig w:usb0="800002BF" w:usb1="38CF7CFA" w:usb2="00000016" w:usb3="00000000" w:csb0="00040001" w:csb1="00000000"/>
    <w:embedRegular r:id="rId2" w:fontKey="{E74BAB3F-6AFC-4362-BE6A-D942616170F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embedRegular r:id="rId3" w:fontKey="{BAC4243E-BE8A-43EB-A278-87424DAD76C7}"/>
  </w:font>
  <w:font w:name="方正黑体_GBK">
    <w:panose1 w:val="03000509000000000000"/>
    <w:charset w:val="86"/>
    <w:family w:val="script"/>
    <w:pitch w:val="default"/>
    <w:sig w:usb0="00000001" w:usb1="080E0000" w:usb2="00000000" w:usb3="00000000" w:csb0="00040000" w:csb1="00000000"/>
    <w:embedRegular r:id="rId4" w:fontKey="{03DD4FF7-D84F-4093-8940-4691CAFE6DD2}"/>
  </w:font>
  <w:font w:name="方正楷体_GBK">
    <w:panose1 w:val="03000509000000000000"/>
    <w:charset w:val="86"/>
    <w:family w:val="script"/>
    <w:pitch w:val="default"/>
    <w:sig w:usb0="00000001" w:usb1="080E0000" w:usb2="00000000" w:usb3="00000000" w:csb0="00040000" w:csb1="00000000"/>
    <w:embedRegular r:id="rId5" w:fontKey="{9341D504-6261-4F3E-9EFF-953BA240FC1E}"/>
  </w:font>
  <w:font w:name="方正仿宋_GBK">
    <w:panose1 w:val="03000509000000000000"/>
    <w:charset w:val="86"/>
    <w:family w:val="script"/>
    <w:pitch w:val="default"/>
    <w:sig w:usb0="00000001" w:usb1="080E0000" w:usb2="00000000" w:usb3="00000000" w:csb0="00040000" w:csb1="00000000"/>
    <w:embedRegular r:id="rId6" w:fontKey="{04AB8941-E425-453E-9687-C44BCA02A5AE}"/>
  </w:font>
  <w:font w:name="楷体">
    <w:panose1 w:val="02010609060101010101"/>
    <w:charset w:val="86"/>
    <w:family w:val="auto"/>
    <w:pitch w:val="default"/>
    <w:sig w:usb0="800002BF" w:usb1="38CF7CFA" w:usb2="00000016" w:usb3="00000000" w:csb0="00040001" w:csb1="00000000"/>
    <w:embedRegular r:id="rId7" w:fontKey="{492801CC-7CDB-450E-B86F-6BB2870D373D}"/>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6684E">
    <w:pPr>
      <w:pStyle w:val="4"/>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2D50765">
                          <w:pPr>
                            <w:pStyle w:val="4"/>
                            <w:rPr>
                              <w:rFonts w:hint="default"/>
                            </w:rPr>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12D50765">
                    <w:pPr>
                      <w:pStyle w:val="4"/>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2DF09">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B832DDC">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3B832DDC">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126C4DAA">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126C4DAA">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76096">
    <w:pPr>
      <w:pStyle w:val="5"/>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D45510"/>
    <w:multiLevelType w:val="singleLevel"/>
    <w:tmpl w:val="74D45510"/>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63"/>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4ZDExMmU1MWUxYzMyMTJmOGZmYTcxOGEzMDM5YTcifQ=="/>
  </w:docVars>
  <w:rsids>
    <w:rsidRoot w:val="00B03CCD"/>
    <w:rsid w:val="000D7BCC"/>
    <w:rsid w:val="00550ABE"/>
    <w:rsid w:val="007B419D"/>
    <w:rsid w:val="009B67B8"/>
    <w:rsid w:val="00B03CCD"/>
    <w:rsid w:val="01474EBF"/>
    <w:rsid w:val="019020B1"/>
    <w:rsid w:val="01F3521E"/>
    <w:rsid w:val="02056D00"/>
    <w:rsid w:val="03A52548"/>
    <w:rsid w:val="03E3214F"/>
    <w:rsid w:val="04446191"/>
    <w:rsid w:val="044C50BA"/>
    <w:rsid w:val="0536621F"/>
    <w:rsid w:val="05E71467"/>
    <w:rsid w:val="06247E33"/>
    <w:rsid w:val="06A2550B"/>
    <w:rsid w:val="06F80EE2"/>
    <w:rsid w:val="07001CCA"/>
    <w:rsid w:val="075321D2"/>
    <w:rsid w:val="075678DB"/>
    <w:rsid w:val="07932335"/>
    <w:rsid w:val="08051BCA"/>
    <w:rsid w:val="080A21BB"/>
    <w:rsid w:val="08BA052C"/>
    <w:rsid w:val="08DB07BA"/>
    <w:rsid w:val="092211F1"/>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25DDB"/>
    <w:rsid w:val="0DDA54E4"/>
    <w:rsid w:val="0E3A5F83"/>
    <w:rsid w:val="0E9478E1"/>
    <w:rsid w:val="0F836721"/>
    <w:rsid w:val="103645A3"/>
    <w:rsid w:val="107B59E5"/>
    <w:rsid w:val="10AA219D"/>
    <w:rsid w:val="11003CB0"/>
    <w:rsid w:val="11051DD9"/>
    <w:rsid w:val="11124E18"/>
    <w:rsid w:val="111445C7"/>
    <w:rsid w:val="1158083A"/>
    <w:rsid w:val="11F03528"/>
    <w:rsid w:val="12771554"/>
    <w:rsid w:val="129973FF"/>
    <w:rsid w:val="12C921C4"/>
    <w:rsid w:val="12DA353E"/>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B10093"/>
    <w:rsid w:val="1B501DE7"/>
    <w:rsid w:val="1B6F15B6"/>
    <w:rsid w:val="1B7966EB"/>
    <w:rsid w:val="1BAA2EDC"/>
    <w:rsid w:val="1BBB0703"/>
    <w:rsid w:val="1BC027C5"/>
    <w:rsid w:val="1CC57360"/>
    <w:rsid w:val="1CE157EE"/>
    <w:rsid w:val="1D014A01"/>
    <w:rsid w:val="1D022362"/>
    <w:rsid w:val="1D091B60"/>
    <w:rsid w:val="1D6D1692"/>
    <w:rsid w:val="1D794AE5"/>
    <w:rsid w:val="1DD26311"/>
    <w:rsid w:val="1DE57DAF"/>
    <w:rsid w:val="1EF67CA4"/>
    <w:rsid w:val="1F213FD9"/>
    <w:rsid w:val="1FCD26AF"/>
    <w:rsid w:val="20642787"/>
    <w:rsid w:val="20C83310"/>
    <w:rsid w:val="20EC77A3"/>
    <w:rsid w:val="21556F04"/>
    <w:rsid w:val="216838F8"/>
    <w:rsid w:val="21E26A9D"/>
    <w:rsid w:val="22403BD3"/>
    <w:rsid w:val="24AB78AE"/>
    <w:rsid w:val="24AF1021"/>
    <w:rsid w:val="24B92327"/>
    <w:rsid w:val="24D3717D"/>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4104F9"/>
    <w:rsid w:val="2B8209DE"/>
    <w:rsid w:val="2C6762A3"/>
    <w:rsid w:val="2D5F4C37"/>
    <w:rsid w:val="2D8D7A26"/>
    <w:rsid w:val="2FE029D7"/>
    <w:rsid w:val="2FF06E00"/>
    <w:rsid w:val="315F0B22"/>
    <w:rsid w:val="31BE24D6"/>
    <w:rsid w:val="31D84415"/>
    <w:rsid w:val="32285F6F"/>
    <w:rsid w:val="32770556"/>
    <w:rsid w:val="329C0913"/>
    <w:rsid w:val="3337290D"/>
    <w:rsid w:val="334B0167"/>
    <w:rsid w:val="35076329"/>
    <w:rsid w:val="352930DB"/>
    <w:rsid w:val="35573069"/>
    <w:rsid w:val="358C217E"/>
    <w:rsid w:val="359E7284"/>
    <w:rsid w:val="359F188C"/>
    <w:rsid w:val="36C9128A"/>
    <w:rsid w:val="37841E99"/>
    <w:rsid w:val="379C594F"/>
    <w:rsid w:val="37BF1123"/>
    <w:rsid w:val="37C85E36"/>
    <w:rsid w:val="38BC1135"/>
    <w:rsid w:val="38BE4696"/>
    <w:rsid w:val="39B82A39"/>
    <w:rsid w:val="39F33306"/>
    <w:rsid w:val="3ADC3D9A"/>
    <w:rsid w:val="3B1705E5"/>
    <w:rsid w:val="3B18334B"/>
    <w:rsid w:val="3B36794F"/>
    <w:rsid w:val="3B544954"/>
    <w:rsid w:val="3B793FF0"/>
    <w:rsid w:val="3B97076E"/>
    <w:rsid w:val="3B9F72A2"/>
    <w:rsid w:val="3C5A5928"/>
    <w:rsid w:val="3C6A5B02"/>
    <w:rsid w:val="3D2757A1"/>
    <w:rsid w:val="3D3D4FC4"/>
    <w:rsid w:val="3DDF3AB1"/>
    <w:rsid w:val="3DE60B7E"/>
    <w:rsid w:val="3E1D0952"/>
    <w:rsid w:val="3E42660A"/>
    <w:rsid w:val="3E7555B1"/>
    <w:rsid w:val="3EA72472"/>
    <w:rsid w:val="3EDE1208"/>
    <w:rsid w:val="3F0527E5"/>
    <w:rsid w:val="3F16459E"/>
    <w:rsid w:val="3F4A6687"/>
    <w:rsid w:val="4004000C"/>
    <w:rsid w:val="411B6CE5"/>
    <w:rsid w:val="412070D7"/>
    <w:rsid w:val="41314E40"/>
    <w:rsid w:val="415C674B"/>
    <w:rsid w:val="426C1EA8"/>
    <w:rsid w:val="42E86A87"/>
    <w:rsid w:val="43136432"/>
    <w:rsid w:val="443A3B12"/>
    <w:rsid w:val="44487B36"/>
    <w:rsid w:val="44EF6BE8"/>
    <w:rsid w:val="45A30364"/>
    <w:rsid w:val="465B470D"/>
    <w:rsid w:val="469D6AD4"/>
    <w:rsid w:val="46F65201"/>
    <w:rsid w:val="47674801"/>
    <w:rsid w:val="47BE6D02"/>
    <w:rsid w:val="48225EF7"/>
    <w:rsid w:val="48A36D47"/>
    <w:rsid w:val="495C4A24"/>
    <w:rsid w:val="49A21DF3"/>
    <w:rsid w:val="49C811E4"/>
    <w:rsid w:val="4A216E30"/>
    <w:rsid w:val="4B7951CB"/>
    <w:rsid w:val="4B7C315C"/>
    <w:rsid w:val="4B9300D7"/>
    <w:rsid w:val="4B99567B"/>
    <w:rsid w:val="4BAB7F90"/>
    <w:rsid w:val="4BD53EDA"/>
    <w:rsid w:val="4BE11807"/>
    <w:rsid w:val="4C484CE5"/>
    <w:rsid w:val="4DAC4ACA"/>
    <w:rsid w:val="4DD06F63"/>
    <w:rsid w:val="4E043596"/>
    <w:rsid w:val="4E7C3473"/>
    <w:rsid w:val="4E9B0C57"/>
    <w:rsid w:val="4EA8523F"/>
    <w:rsid w:val="4F186D58"/>
    <w:rsid w:val="4F224836"/>
    <w:rsid w:val="4F231B40"/>
    <w:rsid w:val="4FAD015F"/>
    <w:rsid w:val="51760217"/>
    <w:rsid w:val="51E36677"/>
    <w:rsid w:val="51F01F7D"/>
    <w:rsid w:val="522F6E0C"/>
    <w:rsid w:val="52463BA1"/>
    <w:rsid w:val="529F078E"/>
    <w:rsid w:val="53990623"/>
    <w:rsid w:val="53C0244D"/>
    <w:rsid w:val="53DD4D4E"/>
    <w:rsid w:val="53E578CE"/>
    <w:rsid w:val="53EA10F5"/>
    <w:rsid w:val="541768A0"/>
    <w:rsid w:val="543B029D"/>
    <w:rsid w:val="54977029"/>
    <w:rsid w:val="554E5773"/>
    <w:rsid w:val="555A3CBC"/>
    <w:rsid w:val="55EF4EA6"/>
    <w:rsid w:val="56530F5D"/>
    <w:rsid w:val="56EE372E"/>
    <w:rsid w:val="570D735E"/>
    <w:rsid w:val="5842572D"/>
    <w:rsid w:val="598A28E2"/>
    <w:rsid w:val="5A6279C1"/>
    <w:rsid w:val="5AD563E4"/>
    <w:rsid w:val="5C1336B7"/>
    <w:rsid w:val="5C263CE4"/>
    <w:rsid w:val="5C5D2777"/>
    <w:rsid w:val="5C722D7F"/>
    <w:rsid w:val="5D290C69"/>
    <w:rsid w:val="5DC17CC6"/>
    <w:rsid w:val="5EFA176D"/>
    <w:rsid w:val="5F0247F9"/>
    <w:rsid w:val="5F2D4A41"/>
    <w:rsid w:val="601C34ED"/>
    <w:rsid w:val="60A511FB"/>
    <w:rsid w:val="61025A59"/>
    <w:rsid w:val="613D5BBC"/>
    <w:rsid w:val="61536C39"/>
    <w:rsid w:val="616D60F9"/>
    <w:rsid w:val="62944DD7"/>
    <w:rsid w:val="629F08EF"/>
    <w:rsid w:val="634265E1"/>
    <w:rsid w:val="63497036"/>
    <w:rsid w:val="63C1619B"/>
    <w:rsid w:val="63C25DC5"/>
    <w:rsid w:val="63C62057"/>
    <w:rsid w:val="63C73832"/>
    <w:rsid w:val="64192A39"/>
    <w:rsid w:val="64754794"/>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0737CC"/>
    <w:rsid w:val="6C560CAE"/>
    <w:rsid w:val="6CD15296"/>
    <w:rsid w:val="6D903FF5"/>
    <w:rsid w:val="6DA955B8"/>
    <w:rsid w:val="6DE346AB"/>
    <w:rsid w:val="6FFB2E76"/>
    <w:rsid w:val="70AB70D6"/>
    <w:rsid w:val="70DE5507"/>
    <w:rsid w:val="71C34D91"/>
    <w:rsid w:val="71ED38AA"/>
    <w:rsid w:val="723F3B65"/>
    <w:rsid w:val="72DB435C"/>
    <w:rsid w:val="738549F4"/>
    <w:rsid w:val="74ED1B1B"/>
    <w:rsid w:val="750837F0"/>
    <w:rsid w:val="762A73EF"/>
    <w:rsid w:val="7631412E"/>
    <w:rsid w:val="764F62AB"/>
    <w:rsid w:val="765C45EC"/>
    <w:rsid w:val="768A7619"/>
    <w:rsid w:val="7714640F"/>
    <w:rsid w:val="77EA362A"/>
    <w:rsid w:val="77F35CA4"/>
    <w:rsid w:val="780E2ADE"/>
    <w:rsid w:val="7875383E"/>
    <w:rsid w:val="78E7627C"/>
    <w:rsid w:val="796D60A4"/>
    <w:rsid w:val="79A031D5"/>
    <w:rsid w:val="79A52681"/>
    <w:rsid w:val="7A1525F7"/>
    <w:rsid w:val="7A3E6CB6"/>
    <w:rsid w:val="7A99799F"/>
    <w:rsid w:val="7AAB4252"/>
    <w:rsid w:val="7B420052"/>
    <w:rsid w:val="7B7D43A1"/>
    <w:rsid w:val="7BD06A28"/>
    <w:rsid w:val="7C0C5586"/>
    <w:rsid w:val="7C1E4CD7"/>
    <w:rsid w:val="7C3A7C0B"/>
    <w:rsid w:val="7C5248E4"/>
    <w:rsid w:val="7C566698"/>
    <w:rsid w:val="7CE56AF6"/>
    <w:rsid w:val="7CF02E5B"/>
    <w:rsid w:val="7D213FB2"/>
    <w:rsid w:val="7D9615AC"/>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99"/>
    <w:rPr>
      <w:rFonts w:hint="eastAsia" w:ascii="宋体" w:hAnsi="宋体" w:eastAsia="宋体" w:cs="Times New Roman"/>
      <w:sz w:val="24"/>
      <w:szCs w:val="24"/>
      <w:lang w:val="en-US" w:eastAsia="zh-CN" w:bidi="ar-SA"/>
    </w:rPr>
  </w:style>
  <w:style w:type="character" w:default="1" w:styleId="10">
    <w:name w:val="Default Paragraph Font"/>
    <w:autoRedefine/>
    <w:unhideWhenUsed/>
    <w:qFormat/>
    <w:uiPriority w:val="1"/>
  </w:style>
  <w:style w:type="table" w:default="1" w:styleId="9">
    <w:name w:val="Normal Table"/>
    <w:autoRedefine/>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footer"/>
    <w:basedOn w:val="1"/>
    <w:autoRedefine/>
    <w:qFormat/>
    <w:uiPriority w:val="0"/>
    <w:pPr>
      <w:tabs>
        <w:tab w:val="center" w:pos="4153"/>
        <w:tab w:val="right" w:pos="8306"/>
      </w:tabs>
      <w:snapToGrid w:val="0"/>
    </w:pPr>
    <w:rPr>
      <w:sz w:val="18"/>
      <w:szCs w:val="18"/>
    </w:rPr>
  </w:style>
  <w:style w:type="paragraph" w:styleId="5">
    <w:name w:val="header"/>
    <w:basedOn w:val="1"/>
    <w:autoRedefine/>
    <w:qFormat/>
    <w:uiPriority w:val="0"/>
    <w:pPr>
      <w:tabs>
        <w:tab w:val="center" w:pos="4153"/>
        <w:tab w:val="right" w:pos="8306"/>
      </w:tabs>
      <w:snapToGrid w:val="0"/>
      <w:jc w:val="center"/>
    </w:pPr>
    <w:rPr>
      <w:sz w:val="18"/>
      <w:szCs w:val="18"/>
    </w:rPr>
  </w:style>
  <w:style w:type="paragraph" w:styleId="6">
    <w:name w:val="footnote text"/>
    <w:basedOn w:val="1"/>
    <w:next w:val="3"/>
    <w:semiHidden/>
    <w:qFormat/>
    <w:uiPriority w:val="0"/>
    <w:pPr>
      <w:snapToGrid w:val="0"/>
      <w:jc w:val="left"/>
    </w:pPr>
    <w:rPr>
      <w:sz w:val="18"/>
      <w:szCs w:val="18"/>
    </w:rPr>
  </w:style>
  <w:style w:type="paragraph" w:styleId="7">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autoRedefine/>
    <w:unhideWhenUsed/>
    <w:qFormat/>
    <w:uiPriority w:val="0"/>
    <w:pPr>
      <w:spacing w:before="100" w:beforeAutospacing="1" w:after="100" w:afterAutospacing="1"/>
    </w:pPr>
  </w:style>
  <w:style w:type="character" w:styleId="11">
    <w:name w:val="Strong"/>
    <w:autoRedefine/>
    <w:qFormat/>
    <w:uiPriority w:val="0"/>
    <w:rPr>
      <w:b/>
    </w:rPr>
  </w:style>
  <w:style w:type="paragraph" w:customStyle="1" w:styleId="12">
    <w:name w:val="列出段落1"/>
    <w:basedOn w:val="1"/>
    <w:autoRedefine/>
    <w:qFormat/>
    <w:uiPriority w:val="99"/>
    <w:pPr>
      <w:ind w:firstLine="420" w:firstLineChars="200"/>
    </w:pPr>
    <w:rPr>
      <w:rFonts w:hint="default"/>
    </w:rPr>
  </w:style>
  <w:style w:type="paragraph" w:customStyle="1" w:styleId="13">
    <w:name w:val="普通(网站) Char"/>
    <w:autoRedefine/>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autoRedefine/>
    <w:qFormat/>
    <w:uiPriority w:val="0"/>
    <w:rPr>
      <w:rFonts w:hint="default" w:ascii="Wingdings" w:hAnsi="Wingdings" w:cs="Wingdings"/>
      <w:b/>
      <w:bCs/>
    </w:rPr>
  </w:style>
  <w:style w:type="paragraph" w:customStyle="1" w:styleId="15">
    <w:name w:val="List Paragraph"/>
    <w:basedOn w:val="1"/>
    <w:autoRedefine/>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4812</Words>
  <Characters>5287</Characters>
  <Lines>161</Lines>
  <Paragraphs>45</Paragraphs>
  <TotalTime>5</TotalTime>
  <ScaleCrop>false</ScaleCrop>
  <LinksUpToDate>false</LinksUpToDate>
  <CharactersWithSpaces>5348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Yan</cp:lastModifiedBy>
  <dcterms:modified xsi:type="dcterms:W3CDTF">2025-10-23T04:51:01Z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BB46EABDBB2749749395447164B066B3_12</vt:lpwstr>
  </property>
  <property fmtid="{D5CDD505-2E9C-101B-9397-08002B2CF9AE}" pid="4" name="KSOTemplateDocerSaveRecord">
    <vt:lpwstr>eyJoZGlkIjoiZWYxYTQ2NjMyMTNkMWU5MDEzOWUyOTUzM2EyMjNjZjEiLCJ1c2VySWQiOiIxMTM5Mjk4OTE4In0=</vt:lpwstr>
  </property>
</Properties>
</file>