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5CB8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重庆市九龙坡区共和小学校</w:t>
      </w:r>
    </w:p>
    <w:p w14:paraId="62A4E3D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4</w:t>
      </w:r>
      <w:r>
        <w:rPr>
          <w:rFonts w:hint="eastAsia" w:ascii="方正小标宋_GBK" w:hAnsi="方正小标宋_GBK" w:eastAsia="方正小标宋_GBK" w:cs="方正小标宋_GBK"/>
          <w:sz w:val="44"/>
          <w:szCs w:val="44"/>
        </w:rPr>
        <w:t>年度</w:t>
      </w:r>
      <w:r>
        <w:rPr>
          <w:rFonts w:hint="eastAsia" w:ascii="方正小标宋_GBK" w:hAnsi="方正小标宋_GBK" w:eastAsia="方正小标宋_GBK" w:cs="方正小标宋_GBK"/>
          <w:sz w:val="44"/>
          <w:szCs w:val="44"/>
          <w:lang w:val="en-US" w:eastAsia="zh-CN"/>
        </w:rPr>
        <w:t>单位决算情况</w:t>
      </w:r>
      <w:r>
        <w:rPr>
          <w:rFonts w:hint="eastAsia" w:ascii="方正小标宋_GBK" w:hAnsi="方正小标宋_GBK" w:eastAsia="方正小标宋_GBK" w:cs="方正小标宋_GBK"/>
          <w:sz w:val="44"/>
          <w:szCs w:val="44"/>
        </w:rPr>
        <w:t>说明</w:t>
      </w:r>
    </w:p>
    <w:p w14:paraId="104278C5">
      <w:pPr>
        <w:widowControl w:val="0"/>
        <w:spacing w:line="600" w:lineRule="exact"/>
        <w:ind w:firstLine="640" w:firstLineChars="200"/>
        <w:jc w:val="both"/>
        <w:rPr>
          <w:rFonts w:hint="eastAsia" w:ascii="Times New Roman" w:hAnsi="Times New Roman" w:eastAsia="方正黑体_GBK" w:cs="宋体"/>
          <w:bCs/>
          <w:kern w:val="0"/>
          <w:sz w:val="32"/>
          <w:szCs w:val="20"/>
        </w:rPr>
      </w:pPr>
    </w:p>
    <w:p w14:paraId="581075A6">
      <w:pPr>
        <w:widowControl w:val="0"/>
        <w:spacing w:line="600" w:lineRule="exact"/>
        <w:ind w:firstLine="640" w:firstLineChars="200"/>
        <w:jc w:val="both"/>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一、单位基本情况</w:t>
      </w:r>
    </w:p>
    <w:p w14:paraId="795762C7">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（一）职能职责</w:t>
      </w:r>
    </w:p>
    <w:p w14:paraId="6231E2A7">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实施普通小学义务教育，促进学生全面发展。开展教育教学工作，开展学校德育工作；开展学校体育、卫生、艺术工作；负责学校行政管理工作；开展对外交流工作；维护校园安全，提供后勤保障；按政策规定开展学前教育。</w:t>
      </w:r>
    </w:p>
    <w:p w14:paraId="661E8DD3">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（二）机构设置</w:t>
      </w:r>
    </w:p>
    <w:p w14:paraId="44206D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宋体"/>
          <w:kern w:val="0"/>
          <w:sz w:val="32"/>
          <w:szCs w:val="32"/>
        </w:rPr>
        <w:t>学校共设有党支部办公室、行政办公室、</w:t>
      </w:r>
      <w:r>
        <w:rPr>
          <w:rFonts w:hint="eastAsia" w:ascii="Times New Roman" w:hAnsi="Times New Roman" w:eastAsia="方正仿宋_GBK" w:cs="宋体"/>
          <w:kern w:val="0"/>
          <w:sz w:val="32"/>
          <w:szCs w:val="32"/>
          <w:lang w:eastAsia="zh-CN"/>
        </w:rPr>
        <w:t>教育教学管理中心</w:t>
      </w: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eastAsia="zh-CN"/>
        </w:rPr>
        <w:t>学生发展中心</w:t>
      </w:r>
      <w:r>
        <w:rPr>
          <w:rFonts w:hint="eastAsia" w:ascii="Times New Roman" w:hAnsi="Times New Roman" w:eastAsia="方正仿宋_GBK" w:cs="宋体"/>
          <w:kern w:val="0"/>
          <w:sz w:val="32"/>
          <w:szCs w:val="32"/>
        </w:rPr>
        <w:t>、安全后勤</w:t>
      </w:r>
      <w:r>
        <w:rPr>
          <w:rFonts w:hint="eastAsia" w:ascii="Times New Roman" w:hAnsi="Times New Roman" w:eastAsia="方正仿宋_GBK" w:cs="宋体"/>
          <w:kern w:val="0"/>
          <w:sz w:val="32"/>
          <w:szCs w:val="32"/>
          <w:lang w:eastAsia="zh-CN"/>
        </w:rPr>
        <w:t>服务中心</w:t>
      </w:r>
      <w:r>
        <w:rPr>
          <w:rFonts w:hint="eastAsia" w:ascii="Times New Roman" w:hAnsi="Times New Roman" w:eastAsia="方正仿宋_GBK" w:cs="宋体"/>
          <w:kern w:val="0"/>
          <w:sz w:val="32"/>
          <w:szCs w:val="32"/>
        </w:rPr>
        <w:t>等</w:t>
      </w:r>
      <w:r>
        <w:rPr>
          <w:rFonts w:hint="default" w:ascii="Times New Roman" w:hAnsi="Times New Roman" w:eastAsia="方正仿宋_GBK" w:cs="宋体"/>
          <w:kern w:val="0"/>
          <w:sz w:val="32"/>
          <w:szCs w:val="32"/>
          <w:lang w:val="en-US" w:eastAsia="zh-CN"/>
        </w:rPr>
        <w:t>5</w:t>
      </w:r>
      <w:r>
        <w:rPr>
          <w:rFonts w:hint="eastAsia" w:ascii="Times New Roman" w:hAnsi="Times New Roman" w:eastAsia="方正仿宋_GBK" w:cs="宋体"/>
          <w:kern w:val="0"/>
          <w:sz w:val="32"/>
          <w:szCs w:val="32"/>
        </w:rPr>
        <w:t>个</w:t>
      </w:r>
      <w:r>
        <w:rPr>
          <w:rFonts w:hint="eastAsia" w:ascii="Times New Roman" w:hAnsi="Times New Roman" w:eastAsia="方正仿宋_GBK" w:cs="宋体"/>
          <w:kern w:val="0"/>
          <w:sz w:val="32"/>
          <w:szCs w:val="32"/>
          <w:lang w:eastAsia="zh-CN"/>
        </w:rPr>
        <w:t>职能办公室</w:t>
      </w:r>
      <w:r>
        <w:rPr>
          <w:rFonts w:hint="eastAsia" w:ascii="Times New Roman" w:hAnsi="Times New Roman" w:eastAsia="方正仿宋_GBK" w:cs="宋体"/>
          <w:kern w:val="0"/>
          <w:sz w:val="32"/>
          <w:szCs w:val="32"/>
        </w:rPr>
        <w:t>。</w:t>
      </w:r>
    </w:p>
    <w:p w14:paraId="11611A69">
      <w:pPr>
        <w:widowControl w:val="0"/>
        <w:spacing w:line="600" w:lineRule="exact"/>
        <w:ind w:firstLine="640" w:firstLineChars="200"/>
        <w:jc w:val="both"/>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二、单位决算情况说明</w:t>
      </w:r>
    </w:p>
    <w:p w14:paraId="57C310E5">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lang w:val="en-US" w:eastAsia="zh-CN"/>
        </w:rPr>
        <w:t>（一）收入支出决算总体情况说明</w:t>
      </w:r>
    </w:p>
    <w:p w14:paraId="55F3EA1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宋体"/>
          <w:kern w:val="0"/>
          <w:sz w:val="32"/>
          <w:szCs w:val="32"/>
          <w:lang w:eastAsia="zh-CN"/>
        </w:rPr>
      </w:pPr>
      <w:r>
        <w:rPr>
          <w:rFonts w:hint="eastAsia" w:ascii="Times New Roman" w:hAnsi="Times New Roman" w:eastAsia="方正仿宋_GBK" w:cs="宋体"/>
          <w:b/>
          <w:bCs/>
          <w:kern w:val="0"/>
          <w:sz w:val="32"/>
          <w:szCs w:val="20"/>
        </w:rPr>
        <w:t>1.总体情况。</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度收入总计1203.39万元，支出总计1203.39万元。收、支与2023年度相比，增加90.06万元，增长8.1%，主要原因是</w:t>
      </w:r>
      <w:r>
        <w:rPr>
          <w:rFonts w:hint="eastAsia" w:ascii="Times New Roman" w:hAnsi="Times New Roman" w:eastAsia="方正仿宋_GBK" w:cs="宋体"/>
          <w:kern w:val="0"/>
          <w:sz w:val="32"/>
          <w:szCs w:val="32"/>
          <w:lang w:eastAsia="zh-CN"/>
        </w:rPr>
        <w:t>增加人员经费，退休人员费用增加，增加维修项目等。</w:t>
      </w:r>
    </w:p>
    <w:p w14:paraId="52BA9EF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宋体"/>
          <w:kern w:val="0"/>
          <w:sz w:val="32"/>
          <w:szCs w:val="32"/>
          <w:lang w:eastAsia="zh-CN"/>
        </w:rPr>
      </w:pPr>
      <w:r>
        <w:rPr>
          <w:rFonts w:hint="eastAsia" w:ascii="Times New Roman" w:hAnsi="Times New Roman" w:eastAsia="方正仿宋_GBK" w:cs="宋体"/>
          <w:b/>
          <w:bCs/>
          <w:kern w:val="0"/>
          <w:sz w:val="32"/>
          <w:szCs w:val="20"/>
        </w:rPr>
        <w:t>2.收入情况。</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度收入合计1203.39万元，与2023年度相比，增加90.06万元，增长8.1%，主要原因是</w:t>
      </w:r>
      <w:r>
        <w:rPr>
          <w:rFonts w:hint="eastAsia" w:ascii="Times New Roman" w:hAnsi="Times New Roman" w:eastAsia="方正仿宋_GBK" w:cs="宋体"/>
          <w:kern w:val="0"/>
          <w:sz w:val="32"/>
          <w:szCs w:val="32"/>
          <w:lang w:eastAsia="zh-CN"/>
        </w:rPr>
        <w:t>增加人员经费，退休人员费用增加，增加维修项目等。</w:t>
      </w:r>
      <w:r>
        <w:rPr>
          <w:rFonts w:hint="eastAsia" w:ascii="Times New Roman" w:hAnsi="Times New Roman" w:eastAsia="方正仿宋_GBK" w:cs="宋体"/>
          <w:kern w:val="0"/>
          <w:sz w:val="32"/>
          <w:szCs w:val="32"/>
        </w:rPr>
        <w:t>其中：财政拨款收入1203.39万元，占100.00%</w:t>
      </w:r>
      <w:r>
        <w:rPr>
          <w:rFonts w:hint="eastAsia" w:ascii="Times New Roman" w:hAnsi="Times New Roman" w:eastAsia="方正仿宋_GBK" w:cs="宋体"/>
          <w:kern w:val="0"/>
          <w:sz w:val="32"/>
          <w:szCs w:val="32"/>
          <w:lang w:eastAsia="zh-CN"/>
        </w:rPr>
        <w:t>。</w:t>
      </w:r>
    </w:p>
    <w:p w14:paraId="4A03AAA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3.支出情况。</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度支出合计1203.39万元，与2023年度相比，增加90.06万元，增长8.1%，主要原因是</w:t>
      </w:r>
      <w:r>
        <w:rPr>
          <w:rFonts w:hint="eastAsia" w:ascii="Times New Roman" w:hAnsi="Times New Roman" w:eastAsia="方正仿宋_GBK" w:cs="宋体"/>
          <w:kern w:val="0"/>
          <w:sz w:val="32"/>
          <w:szCs w:val="32"/>
          <w:lang w:eastAsia="zh-CN"/>
        </w:rPr>
        <w:t>增加人员经费，退休人员费用增加，增加维修项目等。</w:t>
      </w:r>
      <w:r>
        <w:rPr>
          <w:rFonts w:hint="eastAsia" w:ascii="Times New Roman" w:hAnsi="Times New Roman" w:eastAsia="方正仿宋_GBK" w:cs="宋体"/>
          <w:kern w:val="0"/>
          <w:sz w:val="32"/>
          <w:szCs w:val="32"/>
        </w:rPr>
        <w:t>其中：基本支出1029.90万元，占85.58%；项目支出173.49万元，占14.42%；</w:t>
      </w:r>
    </w:p>
    <w:p w14:paraId="4A53107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4.结转结余情况。</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度年末结转和结余0.00万元，与2023年度相比，无增减，主要原因是学校按进度完成预算，无结转、结余。</w:t>
      </w:r>
    </w:p>
    <w:p w14:paraId="132BD1BC">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（二）财政拨款收入支出决算总体情况说明</w:t>
      </w:r>
    </w:p>
    <w:p w14:paraId="3469EA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度财政拨款收、支总计1203.39万元。与202</w:t>
      </w:r>
      <w:r>
        <w:rPr>
          <w:rFonts w:hint="eastAsia" w:ascii="Times New Roman" w:hAnsi="Times New Roman" w:eastAsia="方正仿宋_GBK" w:cs="宋体"/>
          <w:kern w:val="0"/>
          <w:sz w:val="32"/>
          <w:szCs w:val="32"/>
          <w:lang w:val="en-US" w:eastAsia="zh-CN"/>
        </w:rPr>
        <w:t>3</w:t>
      </w:r>
      <w:r>
        <w:rPr>
          <w:rFonts w:hint="eastAsia" w:ascii="Times New Roman" w:hAnsi="Times New Roman" w:eastAsia="方正仿宋_GBK" w:cs="宋体"/>
          <w:kern w:val="0"/>
          <w:sz w:val="32"/>
          <w:szCs w:val="32"/>
        </w:rPr>
        <w:t>年相比，财政拨款收、支总计各增加90.06万元，增长8.1%。主要原因是</w:t>
      </w:r>
      <w:r>
        <w:rPr>
          <w:rFonts w:hint="eastAsia" w:ascii="Times New Roman" w:hAnsi="Times New Roman" w:eastAsia="方正仿宋_GBK" w:cs="宋体"/>
          <w:kern w:val="0"/>
          <w:sz w:val="32"/>
          <w:szCs w:val="32"/>
          <w:lang w:eastAsia="zh-CN"/>
        </w:rPr>
        <w:t>增加人员经费，退休人员费用增加，增加维修项目等。</w:t>
      </w:r>
    </w:p>
    <w:p w14:paraId="715A1F35">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（三）一般公共预算财政拨款收入支出决算情况说明</w:t>
      </w:r>
    </w:p>
    <w:p w14:paraId="464BB34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1.收入情况。</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度一般公共预算财政拨款收入1203.39万元，与2023年度相比，增加90.06万元，增长8.1%。主要原因是</w:t>
      </w:r>
      <w:r>
        <w:rPr>
          <w:rFonts w:hint="eastAsia" w:ascii="Times New Roman" w:hAnsi="Times New Roman" w:eastAsia="方正仿宋_GBK" w:cs="宋体"/>
          <w:kern w:val="0"/>
          <w:sz w:val="32"/>
          <w:szCs w:val="32"/>
          <w:lang w:eastAsia="zh-CN"/>
        </w:rPr>
        <w:t>增加人员经费，退休人员费用增加，增加维修项目等。</w:t>
      </w:r>
      <w:r>
        <w:rPr>
          <w:rFonts w:hint="eastAsia" w:ascii="Times New Roman" w:hAnsi="Times New Roman" w:eastAsia="方正仿宋_GBK" w:cs="宋体"/>
          <w:kern w:val="0"/>
          <w:sz w:val="32"/>
          <w:szCs w:val="32"/>
        </w:rPr>
        <w:t>较年初预算数增加149.02万元，增长14.1%。主要原因是</w:t>
      </w:r>
      <w:r>
        <w:rPr>
          <w:rFonts w:hint="eastAsia" w:ascii="Times New Roman" w:hAnsi="Times New Roman" w:eastAsia="方正仿宋_GBK" w:cs="宋体"/>
          <w:kern w:val="0"/>
          <w:sz w:val="32"/>
          <w:szCs w:val="32"/>
          <w:lang w:eastAsia="zh-CN"/>
        </w:rPr>
        <w:t>增加人员经费，退休人员费用增加，增加维修项目等。</w:t>
      </w:r>
      <w:r>
        <w:rPr>
          <w:rFonts w:hint="eastAsia" w:ascii="Times New Roman" w:hAnsi="Times New Roman" w:eastAsia="方正仿宋_GBK" w:cs="宋体"/>
          <w:kern w:val="0"/>
          <w:sz w:val="32"/>
          <w:szCs w:val="32"/>
        </w:rPr>
        <w:t>此外，年初财政拨款结转和结余0.00万元。</w:t>
      </w:r>
    </w:p>
    <w:p w14:paraId="381D01AD">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2.支出情况。</w:t>
      </w:r>
      <w:r>
        <w:rPr>
          <w:rFonts w:hint="eastAsia" w:ascii="Times New Roman" w:hAnsi="Times New Roman" w:eastAsia="方正仿宋_GBK" w:cs="宋体"/>
          <w:kern w:val="0"/>
          <w:sz w:val="32"/>
          <w:szCs w:val="32"/>
          <w:lang w:val="en-US" w:eastAsia="zh-CN" w:bidi="ar-SA"/>
        </w:rPr>
        <w:t>2024年度一般公共预算财政拨款支出1203.39万元，与2023年度相比，增加90.06万元，增长8.1%。主要原因是增加人员经费，退休人员费用增加，增加维修项目等。较年初预算数增加149.02万元，增长14.1%。主要原因是增加人员经费，退休人员费用增加，增加维修项目等。</w:t>
      </w:r>
    </w:p>
    <w:p w14:paraId="13393D7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3.结转结余情况。</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度年末一般公共预算财政拨款结转和结余0.00万元，与2023年度相比，无增减，主要原因是学校按进度完成预算，无结转、结余。</w:t>
      </w:r>
    </w:p>
    <w:p w14:paraId="53C65138">
      <w:pPr>
        <w:widowControl w:val="0"/>
        <w:spacing w:line="600" w:lineRule="exact"/>
        <w:ind w:firstLine="630"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4.比较情况。</w:t>
      </w:r>
      <w:r>
        <w:rPr>
          <w:rFonts w:hint="eastAsia" w:ascii="Times New Roman" w:hAnsi="Times New Roman" w:eastAsia="方正仿宋_GBK" w:cs="宋体"/>
          <w:kern w:val="0"/>
          <w:sz w:val="32"/>
          <w:szCs w:val="32"/>
        </w:rPr>
        <w:t>本单位</w:t>
      </w:r>
      <w:r>
        <w:rPr>
          <w:rFonts w:hint="eastAsia" w:ascii="Times New Roman" w:hAnsi="Times New Roman" w:eastAsia="方正仿宋_GBK" w:cs="宋体"/>
          <w:kern w:val="0"/>
          <w:sz w:val="32"/>
          <w:szCs w:val="32"/>
          <w:lang w:val="en-US" w:eastAsia="zh-CN"/>
        </w:rPr>
        <w:t>2023</w:t>
      </w:r>
      <w:r>
        <w:rPr>
          <w:rFonts w:hint="eastAsia" w:ascii="Times New Roman" w:hAnsi="Times New Roman" w:eastAsia="方正仿宋_GBK" w:cs="宋体"/>
          <w:kern w:val="0"/>
          <w:sz w:val="32"/>
          <w:szCs w:val="32"/>
        </w:rPr>
        <w:t>年度一般公共预算财政拨款支出主要用于以下几个方面：</w:t>
      </w:r>
    </w:p>
    <w:p w14:paraId="1636A0FB">
      <w:pPr>
        <w:widowControl w:val="0"/>
        <w:spacing w:line="600" w:lineRule="exact"/>
        <w:ind w:firstLine="627" w:firstLineChars="196"/>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val="en-US" w:eastAsia="zh-CN"/>
        </w:rPr>
        <w:t>1</w:t>
      </w:r>
      <w:r>
        <w:rPr>
          <w:rFonts w:hint="eastAsia" w:ascii="Times New Roman" w:hAnsi="Times New Roman" w:eastAsia="方正仿宋_GBK" w:cs="宋体"/>
          <w:kern w:val="0"/>
          <w:sz w:val="32"/>
          <w:szCs w:val="32"/>
        </w:rPr>
        <w:t>）教育支出958.45万元，占79.65%，较年初预算数增加204.73万元，增长27.2%，主要原因是</w:t>
      </w:r>
      <w:r>
        <w:rPr>
          <w:rFonts w:hint="eastAsia" w:ascii="Times New Roman" w:hAnsi="Times New Roman" w:eastAsia="方正仿宋_GBK" w:cs="宋体"/>
          <w:kern w:val="0"/>
          <w:sz w:val="32"/>
          <w:szCs w:val="32"/>
          <w:lang w:eastAsia="zh-CN"/>
        </w:rPr>
        <w:t>增加人员经费，退休人员费用增加，增加维修项目等。</w:t>
      </w:r>
    </w:p>
    <w:p w14:paraId="28A9F73E">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val="en-US" w:eastAsia="zh-CN"/>
        </w:rPr>
        <w:t>2</w:t>
      </w:r>
      <w:r>
        <w:rPr>
          <w:rFonts w:hint="eastAsia" w:ascii="Times New Roman" w:hAnsi="Times New Roman" w:eastAsia="方正仿宋_GBK" w:cs="宋体"/>
          <w:kern w:val="0"/>
          <w:sz w:val="32"/>
          <w:szCs w:val="32"/>
        </w:rPr>
        <w:t>）社会保障与就业支出122.06万元，占10.14%，较年初预算数减少58.53万元，下降32.4%，主要原因是</w:t>
      </w:r>
      <w:r>
        <w:rPr>
          <w:rFonts w:hint="eastAsia" w:ascii="Times New Roman" w:hAnsi="Times New Roman" w:eastAsia="方正仿宋_GBK" w:cs="宋体"/>
          <w:kern w:val="0"/>
          <w:sz w:val="32"/>
          <w:szCs w:val="32"/>
          <w:lang w:val="en-US" w:eastAsia="zh-CN"/>
        </w:rPr>
        <w:t>政策性调整</w:t>
      </w:r>
      <w:r>
        <w:rPr>
          <w:rFonts w:hint="eastAsia" w:ascii="Times New Roman" w:hAnsi="Times New Roman" w:eastAsia="方正仿宋_GBK" w:cs="宋体"/>
          <w:kern w:val="0"/>
          <w:sz w:val="32"/>
          <w:szCs w:val="32"/>
        </w:rPr>
        <w:t>。</w:t>
      </w:r>
    </w:p>
    <w:p w14:paraId="357C6527">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val="en-US" w:eastAsia="zh-CN"/>
        </w:rPr>
        <w:t>3</w:t>
      </w:r>
      <w:r>
        <w:rPr>
          <w:rFonts w:hint="eastAsia" w:ascii="Times New Roman" w:hAnsi="Times New Roman" w:eastAsia="方正仿宋_GBK" w:cs="宋体"/>
          <w:kern w:val="0"/>
          <w:sz w:val="32"/>
          <w:szCs w:val="32"/>
        </w:rPr>
        <w:t>）卫生健康支出47.66万元，占3.96%，较年初预算数增加1.28万元，增长2.8%，主要原因是</w:t>
      </w:r>
      <w:r>
        <w:rPr>
          <w:rFonts w:hint="eastAsia" w:ascii="Times New Roman" w:hAnsi="Times New Roman" w:eastAsia="方正仿宋_GBK" w:cs="宋体"/>
          <w:kern w:val="0"/>
          <w:sz w:val="32"/>
          <w:szCs w:val="32"/>
          <w:lang w:eastAsia="zh-CN"/>
        </w:rPr>
        <w:t>教师工资增加，社会保险费用增加，调整社会保险基数</w:t>
      </w:r>
      <w:r>
        <w:rPr>
          <w:rFonts w:hint="eastAsia" w:ascii="Times New Roman" w:hAnsi="Times New Roman" w:eastAsia="方正仿宋_GBK" w:cs="宋体"/>
          <w:kern w:val="0"/>
          <w:sz w:val="32"/>
          <w:szCs w:val="32"/>
        </w:rPr>
        <w:t>。</w:t>
      </w:r>
    </w:p>
    <w:p w14:paraId="25C63560">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val="en-US" w:eastAsia="zh-CN"/>
        </w:rPr>
        <w:t>4</w:t>
      </w:r>
      <w:r>
        <w:rPr>
          <w:rFonts w:hint="eastAsia" w:ascii="Times New Roman" w:hAnsi="Times New Roman" w:eastAsia="方正仿宋_GBK" w:cs="宋体"/>
          <w:kern w:val="0"/>
          <w:sz w:val="32"/>
          <w:szCs w:val="32"/>
        </w:rPr>
        <w:t>）住房保障支出75.22万元，占6.25%，较年初预算数增加1.54万元，增长2.1%，主要原因是</w:t>
      </w:r>
      <w:r>
        <w:rPr>
          <w:rFonts w:hint="eastAsia" w:ascii="Times New Roman" w:hAnsi="Times New Roman" w:eastAsia="方正仿宋_GBK" w:cs="宋体"/>
          <w:kern w:val="0"/>
          <w:sz w:val="32"/>
          <w:szCs w:val="32"/>
          <w:lang w:eastAsia="zh-CN"/>
        </w:rPr>
        <w:t>教师工资增加，住房公积金费用增加，调整公积金缴费基数</w:t>
      </w:r>
      <w:r>
        <w:rPr>
          <w:rFonts w:hint="eastAsia" w:ascii="Times New Roman" w:hAnsi="Times New Roman" w:eastAsia="方正仿宋_GBK" w:cs="宋体"/>
          <w:kern w:val="0"/>
          <w:sz w:val="32"/>
          <w:szCs w:val="32"/>
        </w:rPr>
        <w:t>。</w:t>
      </w:r>
    </w:p>
    <w:p w14:paraId="1AD79BCB">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（四）一般公共预算财政拨款基本支出决算情况说明</w:t>
      </w:r>
    </w:p>
    <w:p w14:paraId="2B867819">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一般公共财政拨款基本支出1029.90万元。其中：人员经费922.64万元，与2023年度相比，增加63.01万元，增长7.3%，主要原因是增加人员经费，退休人员费用增加，增加维修项目等。人员经费用途主要包括基本工资、津补贴、基本绩效工资、绩效奖金、社会保障等。公用经费107.26万元，与2023年度相比，增加3.18万元，增长3.1%，主要原因是人员经费增加，相应的公用经费增加。公用经费用途主要包括水电费、劳务费、培训费、印刷费、差旅费、专用材料费、办公费等。</w:t>
      </w:r>
    </w:p>
    <w:p w14:paraId="18974D7F">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（五）政府性基金预算收支决算情况说明</w:t>
      </w:r>
    </w:p>
    <w:p w14:paraId="2DF41213">
      <w:pPr>
        <w:widowControl w:val="0"/>
        <w:spacing w:line="600" w:lineRule="exact"/>
        <w:ind w:firstLine="627" w:firstLineChars="196"/>
        <w:jc w:val="both"/>
        <w:rPr>
          <w:rFonts w:hint="eastAsia" w:ascii="方正仿宋_GBK" w:hAnsi="方正仿宋_GBK" w:eastAsia="方正仿宋_GBK" w:cs="方正仿宋_GBK"/>
          <w:color w:val="auto"/>
          <w:sz w:val="32"/>
          <w:szCs w:val="32"/>
          <w:lang w:eastAsia="zh-CN"/>
        </w:rPr>
      </w:pPr>
      <w:r>
        <w:rPr>
          <w:rFonts w:hint="eastAsia" w:ascii="Times New Roman" w:hAnsi="Times New Roman" w:eastAsia="方正仿宋_GBK" w:cs="宋体"/>
          <w:kern w:val="0"/>
          <w:sz w:val="32"/>
          <w:szCs w:val="32"/>
        </w:rPr>
        <w:t>本单位</w:t>
      </w:r>
      <w:r>
        <w:rPr>
          <w:rFonts w:hint="eastAsia" w:ascii="Times New Roman" w:hAnsi="Times New Roman" w:eastAsia="方正仿宋_GBK" w:cs="宋体"/>
          <w:kern w:val="0"/>
          <w:sz w:val="32"/>
          <w:szCs w:val="32"/>
          <w:lang w:val="en-US" w:eastAsia="zh-CN"/>
        </w:rPr>
        <w:t>2024</w:t>
      </w:r>
      <w:r>
        <w:rPr>
          <w:rFonts w:hint="eastAsia" w:ascii="Times New Roman" w:hAnsi="Times New Roman" w:eastAsia="方正仿宋_GBK" w:cs="宋体"/>
          <w:kern w:val="0"/>
          <w:sz w:val="32"/>
          <w:szCs w:val="32"/>
        </w:rPr>
        <w:t>年度无政府性基金预算财政拨款收支。</w:t>
      </w:r>
    </w:p>
    <w:p w14:paraId="70DB8C58">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（六）国有资本经营预算财政拨款支出决算情况说明</w:t>
      </w:r>
    </w:p>
    <w:p w14:paraId="165E6B57">
      <w:pPr>
        <w:widowControl w:val="0"/>
        <w:spacing w:line="600" w:lineRule="exact"/>
        <w:ind w:firstLine="627" w:firstLineChars="196"/>
        <w:jc w:val="both"/>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方正仿宋_GBK" w:cs="宋体"/>
          <w:kern w:val="0"/>
          <w:sz w:val="32"/>
          <w:szCs w:val="32"/>
        </w:rPr>
        <w:t>本单位</w:t>
      </w:r>
      <w:r>
        <w:rPr>
          <w:rFonts w:hint="eastAsia" w:ascii="Times New Roman" w:hAnsi="Times New Roman" w:eastAsia="方正仿宋_GBK" w:cs="宋体"/>
          <w:kern w:val="0"/>
          <w:sz w:val="32"/>
          <w:szCs w:val="32"/>
          <w:lang w:val="en-US" w:eastAsia="zh-CN"/>
        </w:rPr>
        <w:t>2024年</w:t>
      </w:r>
      <w:r>
        <w:rPr>
          <w:rFonts w:hint="eastAsia" w:ascii="Times New Roman" w:hAnsi="Times New Roman" w:eastAsia="方正仿宋_GBK" w:cs="宋体"/>
          <w:kern w:val="0"/>
          <w:sz w:val="32"/>
          <w:szCs w:val="32"/>
        </w:rPr>
        <w:t>度无国有资本经营预算财政拨款支出。</w:t>
      </w:r>
    </w:p>
    <w:p w14:paraId="6BFD69E3">
      <w:pPr>
        <w:widowControl w:val="0"/>
        <w:spacing w:line="600" w:lineRule="exact"/>
        <w:ind w:firstLine="640" w:firstLineChars="200"/>
        <w:jc w:val="both"/>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三、“三公”经费情况说明</w:t>
      </w:r>
    </w:p>
    <w:p w14:paraId="3EC6C9D4">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（一）“三公”经费支出总体情况说明</w:t>
      </w:r>
    </w:p>
    <w:p w14:paraId="31E339B4">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lang w:val="en-US" w:eastAsia="zh-CN"/>
        </w:rPr>
        <w:t>2024年</w:t>
      </w:r>
      <w:r>
        <w:rPr>
          <w:rFonts w:hint="eastAsia" w:ascii="Times New Roman" w:hAnsi="Times New Roman" w:eastAsia="方正仿宋_GBK" w:cs="宋体"/>
          <w:kern w:val="0"/>
          <w:sz w:val="32"/>
          <w:szCs w:val="32"/>
        </w:rPr>
        <w:t>度“三公”经费支出共计</w:t>
      </w:r>
      <w:r>
        <w:rPr>
          <w:rFonts w:hint="eastAsia" w:ascii="Times New Roman" w:hAnsi="Times New Roman" w:eastAsia="方正仿宋_GBK" w:cs="宋体"/>
          <w:kern w:val="0"/>
          <w:sz w:val="32"/>
          <w:szCs w:val="32"/>
          <w:lang w:val="en-US" w:eastAsia="zh-CN"/>
        </w:rPr>
        <w:t>0.00</w:t>
      </w:r>
      <w:r>
        <w:rPr>
          <w:rFonts w:hint="eastAsia" w:ascii="Times New Roman" w:hAnsi="Times New Roman" w:eastAsia="方正仿宋_GBK" w:cs="宋体"/>
          <w:kern w:val="0"/>
          <w:sz w:val="32"/>
          <w:szCs w:val="32"/>
        </w:rPr>
        <w:t>万元，较年初预算数无增减</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较上年支出数无增减</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主要原因是本单位202</w:t>
      </w:r>
      <w:r>
        <w:rPr>
          <w:rFonts w:hint="eastAsia" w:ascii="Times New Roman" w:hAnsi="Times New Roman" w:eastAsia="方正仿宋_GBK" w:cs="宋体"/>
          <w:kern w:val="0"/>
          <w:sz w:val="32"/>
          <w:szCs w:val="32"/>
          <w:lang w:val="en-US" w:eastAsia="zh-CN"/>
        </w:rPr>
        <w:t>4</w:t>
      </w:r>
      <w:r>
        <w:rPr>
          <w:rFonts w:hint="eastAsia" w:ascii="Times New Roman" w:hAnsi="Times New Roman" w:eastAsia="方正仿宋_GBK" w:cs="宋体"/>
          <w:kern w:val="0"/>
          <w:sz w:val="32"/>
          <w:szCs w:val="32"/>
        </w:rPr>
        <w:t>年度未发生“三公”经费支出，与上年决算数持平。</w:t>
      </w:r>
    </w:p>
    <w:p w14:paraId="2B202EF4">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（二）“三公”经费分项支出情况</w:t>
      </w:r>
    </w:p>
    <w:p w14:paraId="7A9ED657">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lang w:val="en-US" w:eastAsia="zh-CN"/>
        </w:rPr>
        <w:t>2024</w:t>
      </w:r>
      <w:r>
        <w:rPr>
          <w:rFonts w:hint="eastAsia" w:ascii="Times New Roman" w:hAnsi="Times New Roman" w:eastAsia="方正仿宋_GBK" w:cs="宋体"/>
          <w:kern w:val="0"/>
          <w:sz w:val="32"/>
          <w:szCs w:val="32"/>
        </w:rPr>
        <w:t>年度本单位因公出国（境）费用</w:t>
      </w:r>
      <w:r>
        <w:rPr>
          <w:rFonts w:hint="eastAsia" w:ascii="Times New Roman" w:hAnsi="Times New Roman" w:eastAsia="方正仿宋_GBK" w:cs="宋体"/>
          <w:kern w:val="0"/>
          <w:sz w:val="32"/>
          <w:szCs w:val="32"/>
          <w:lang w:val="en-US" w:eastAsia="zh-CN"/>
        </w:rPr>
        <w:t>0.00</w:t>
      </w:r>
      <w:r>
        <w:rPr>
          <w:rFonts w:hint="eastAsia" w:ascii="Times New Roman" w:hAnsi="Times New Roman" w:eastAsia="方正仿宋_GBK" w:cs="宋体"/>
          <w:kern w:val="0"/>
          <w:sz w:val="32"/>
          <w:szCs w:val="32"/>
        </w:rPr>
        <w:t>万元</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费用支出较年初预算数无增减</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较上年支出数无增减</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主要原因是本单位</w:t>
      </w:r>
      <w:r>
        <w:rPr>
          <w:rFonts w:hint="eastAsia" w:ascii="Times New Roman" w:hAnsi="Times New Roman" w:eastAsia="方正仿宋_GBK" w:cs="宋体"/>
          <w:kern w:val="0"/>
          <w:sz w:val="32"/>
          <w:szCs w:val="32"/>
          <w:lang w:val="en-US" w:eastAsia="zh-CN"/>
        </w:rPr>
        <w:t>2024</w:t>
      </w:r>
      <w:r>
        <w:rPr>
          <w:rFonts w:hint="eastAsia" w:ascii="Times New Roman" w:hAnsi="Times New Roman" w:eastAsia="方正仿宋_GBK" w:cs="宋体"/>
          <w:kern w:val="0"/>
          <w:sz w:val="32"/>
          <w:szCs w:val="32"/>
        </w:rPr>
        <w:t>年度未发生“三公”经费支出，与上年决算数持平。</w:t>
      </w:r>
    </w:p>
    <w:p w14:paraId="650716D5">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公务车购置费</w:t>
      </w:r>
      <w:r>
        <w:rPr>
          <w:rFonts w:hint="eastAsia" w:ascii="Times New Roman" w:hAnsi="Times New Roman" w:eastAsia="方正仿宋_GBK" w:cs="宋体"/>
          <w:kern w:val="0"/>
          <w:sz w:val="32"/>
          <w:szCs w:val="32"/>
          <w:lang w:val="en-US" w:eastAsia="zh-CN"/>
        </w:rPr>
        <w:t>0.00</w:t>
      </w:r>
      <w:r>
        <w:rPr>
          <w:rFonts w:hint="eastAsia" w:ascii="Times New Roman" w:hAnsi="Times New Roman" w:eastAsia="方正仿宋_GBK" w:cs="宋体"/>
          <w:kern w:val="0"/>
          <w:sz w:val="32"/>
          <w:szCs w:val="32"/>
        </w:rPr>
        <w:t>万元。费用支出较年初预算数无增减。较上年支出数无增减</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主要原因是我校未购置公务车，与上年决算数持平。</w:t>
      </w:r>
    </w:p>
    <w:p w14:paraId="25453436">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公务车运行维护费</w:t>
      </w:r>
      <w:r>
        <w:rPr>
          <w:rFonts w:hint="eastAsia" w:ascii="Times New Roman" w:hAnsi="Times New Roman" w:eastAsia="方正仿宋_GBK" w:cs="宋体"/>
          <w:kern w:val="0"/>
          <w:sz w:val="32"/>
          <w:szCs w:val="32"/>
          <w:lang w:val="en-US" w:eastAsia="zh-CN"/>
        </w:rPr>
        <w:t>0.00</w:t>
      </w:r>
      <w:r>
        <w:rPr>
          <w:rFonts w:hint="eastAsia" w:ascii="Times New Roman" w:hAnsi="Times New Roman" w:eastAsia="方正仿宋_GBK" w:cs="宋体"/>
          <w:kern w:val="0"/>
          <w:sz w:val="32"/>
          <w:szCs w:val="32"/>
        </w:rPr>
        <w:t>万元</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费用支出较年初预算数无增减</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较上年支出数无增减</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主要原因是我校未购置公务车，与上年决算数持平。</w:t>
      </w:r>
    </w:p>
    <w:p w14:paraId="17AD4173">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公务接待费</w:t>
      </w:r>
      <w:r>
        <w:rPr>
          <w:rFonts w:hint="eastAsia" w:ascii="Times New Roman" w:hAnsi="Times New Roman" w:eastAsia="方正仿宋_GBK" w:cs="宋体"/>
          <w:kern w:val="0"/>
          <w:sz w:val="32"/>
          <w:szCs w:val="32"/>
          <w:lang w:val="en-US" w:eastAsia="zh-CN"/>
        </w:rPr>
        <w:t>0.00</w:t>
      </w:r>
      <w:r>
        <w:rPr>
          <w:rFonts w:hint="eastAsia" w:ascii="Times New Roman" w:hAnsi="Times New Roman" w:eastAsia="方正仿宋_GBK" w:cs="宋体"/>
          <w:kern w:val="0"/>
          <w:sz w:val="32"/>
          <w:szCs w:val="32"/>
        </w:rPr>
        <w:t>万元</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费用支出较年初预算数无增减</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较上年支出数无增减</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主要原因是我校无公务接待费，与上年决算数持平。</w:t>
      </w:r>
    </w:p>
    <w:p w14:paraId="21ED1452">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（三）“三公”经费实物量情况</w:t>
      </w:r>
    </w:p>
    <w:p w14:paraId="7148E2BE">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lang w:val="en-US" w:eastAsia="zh-CN"/>
        </w:rPr>
        <w:t>2024</w:t>
      </w:r>
      <w:r>
        <w:rPr>
          <w:rFonts w:hint="eastAsia" w:ascii="Times New Roman" w:hAnsi="Times New Roman" w:eastAsia="方正仿宋_GBK" w:cs="宋体"/>
          <w:kern w:val="0"/>
          <w:sz w:val="32"/>
          <w:szCs w:val="32"/>
        </w:rPr>
        <w:t>年度本单位因公出国（境）共计</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个团组，</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人；公务用车购置</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辆，公务车保有量为</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辆；国内公务接待</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批次</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人，其中：国内外事接待</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批次，</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人；国（境）外公务接待</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批次，</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人。</w:t>
      </w:r>
      <w:r>
        <w:rPr>
          <w:rFonts w:hint="eastAsia" w:ascii="Times New Roman" w:hAnsi="Times New Roman" w:eastAsia="方正仿宋_GBK" w:cs="宋体"/>
          <w:kern w:val="0"/>
          <w:sz w:val="32"/>
          <w:szCs w:val="32"/>
          <w:lang w:val="en-US" w:eastAsia="zh-CN"/>
        </w:rPr>
        <w:t>2024</w:t>
      </w:r>
      <w:r>
        <w:rPr>
          <w:rFonts w:hint="eastAsia" w:ascii="Times New Roman" w:hAnsi="Times New Roman" w:eastAsia="方正仿宋_GBK" w:cs="宋体"/>
          <w:kern w:val="0"/>
          <w:sz w:val="32"/>
          <w:szCs w:val="32"/>
        </w:rPr>
        <w:t>年本单位人均接待费</w:t>
      </w:r>
      <w:r>
        <w:rPr>
          <w:rFonts w:hint="eastAsia" w:ascii="Times New Roman" w:hAnsi="Times New Roman" w:eastAsia="方正仿宋_GBK" w:cs="宋体"/>
          <w:kern w:val="0"/>
          <w:sz w:val="32"/>
          <w:szCs w:val="32"/>
          <w:lang w:val="en-US" w:eastAsia="zh-CN"/>
        </w:rPr>
        <w:t>0.00</w:t>
      </w:r>
      <w:r>
        <w:rPr>
          <w:rFonts w:hint="eastAsia" w:ascii="Times New Roman" w:hAnsi="Times New Roman" w:eastAsia="方正仿宋_GBK" w:cs="宋体"/>
          <w:kern w:val="0"/>
          <w:sz w:val="32"/>
          <w:szCs w:val="32"/>
        </w:rPr>
        <w:t>元，车均购置费</w:t>
      </w:r>
      <w:r>
        <w:rPr>
          <w:rFonts w:hint="eastAsia" w:ascii="Times New Roman" w:hAnsi="Times New Roman" w:eastAsia="方正仿宋_GBK" w:cs="宋体"/>
          <w:kern w:val="0"/>
          <w:sz w:val="32"/>
          <w:szCs w:val="32"/>
          <w:lang w:val="en-US" w:eastAsia="zh-CN"/>
        </w:rPr>
        <w:t>0.00</w:t>
      </w:r>
      <w:r>
        <w:rPr>
          <w:rFonts w:hint="eastAsia" w:ascii="Times New Roman" w:hAnsi="Times New Roman" w:eastAsia="方正仿宋_GBK" w:cs="宋体"/>
          <w:kern w:val="0"/>
          <w:sz w:val="32"/>
          <w:szCs w:val="32"/>
        </w:rPr>
        <w:t>万元，车均维护费</w:t>
      </w:r>
      <w:r>
        <w:rPr>
          <w:rFonts w:hint="eastAsia" w:ascii="Times New Roman" w:hAnsi="Times New Roman" w:eastAsia="方正仿宋_GBK" w:cs="宋体"/>
          <w:kern w:val="0"/>
          <w:sz w:val="32"/>
          <w:szCs w:val="32"/>
          <w:lang w:val="en-US" w:eastAsia="zh-CN"/>
        </w:rPr>
        <w:t>0.00</w:t>
      </w:r>
      <w:r>
        <w:rPr>
          <w:rFonts w:hint="eastAsia" w:ascii="Times New Roman" w:hAnsi="Times New Roman" w:eastAsia="方正仿宋_GBK" w:cs="宋体"/>
          <w:kern w:val="0"/>
          <w:sz w:val="32"/>
          <w:szCs w:val="32"/>
        </w:rPr>
        <w:t>万元。</w:t>
      </w:r>
    </w:p>
    <w:p w14:paraId="0C3860B7">
      <w:pPr>
        <w:widowControl w:val="0"/>
        <w:spacing w:line="600" w:lineRule="exact"/>
        <w:ind w:firstLine="640" w:firstLineChars="200"/>
        <w:jc w:val="both"/>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四、其他需要说明的事项</w:t>
      </w:r>
    </w:p>
    <w:p w14:paraId="69B19BDE">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lang w:val="en-US" w:eastAsia="zh-CN"/>
        </w:rPr>
        <w:t>（一）财政拨款会议费和培训费情况说明</w:t>
      </w:r>
    </w:p>
    <w:p w14:paraId="533E67AC">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本年度会议费支出</w:t>
      </w:r>
      <w:r>
        <w:rPr>
          <w:rFonts w:hint="eastAsia" w:ascii="Times New Roman" w:hAnsi="Times New Roman" w:eastAsia="方正仿宋_GBK" w:cs="宋体"/>
          <w:kern w:val="0"/>
          <w:sz w:val="32"/>
          <w:szCs w:val="32"/>
          <w:lang w:val="en-US" w:eastAsia="zh-CN"/>
        </w:rPr>
        <w:t>0.00</w:t>
      </w:r>
      <w:r>
        <w:rPr>
          <w:rFonts w:hint="eastAsia" w:ascii="Times New Roman" w:hAnsi="Times New Roman" w:eastAsia="方正仿宋_GBK" w:cs="宋体"/>
          <w:kern w:val="0"/>
          <w:sz w:val="32"/>
          <w:szCs w:val="32"/>
        </w:rPr>
        <w:t>万元，较上年决算数无增减，主要原因是本年度未举办大型会议。本年度培训费支出7.50万元，与2023年度相比，增加2.27万元，增长43.4%，主要原因是</w:t>
      </w:r>
      <w:r>
        <w:rPr>
          <w:rFonts w:hint="eastAsia" w:ascii="Times New Roman" w:hAnsi="Times New Roman" w:eastAsia="方正仿宋_GBK" w:cs="宋体"/>
          <w:kern w:val="0"/>
          <w:sz w:val="32"/>
          <w:szCs w:val="32"/>
          <w:lang w:eastAsia="zh-CN"/>
        </w:rPr>
        <w:t>为建设高质量教师队伍，增加教师外出培训场次</w:t>
      </w:r>
      <w:r>
        <w:rPr>
          <w:rFonts w:hint="eastAsia" w:ascii="Times New Roman" w:hAnsi="Times New Roman" w:eastAsia="方正仿宋_GBK" w:cs="宋体"/>
          <w:kern w:val="0"/>
          <w:sz w:val="32"/>
          <w:szCs w:val="32"/>
        </w:rPr>
        <w:t>。</w:t>
      </w:r>
    </w:p>
    <w:p w14:paraId="77861A94">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（二）机关运行经费情况说明</w:t>
      </w:r>
    </w:p>
    <w:p w14:paraId="50266F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宋体"/>
          <w:kern w:val="0"/>
          <w:sz w:val="32"/>
          <w:szCs w:val="32"/>
        </w:rPr>
        <w:t>按照部门决算列报口径，我单位不在机关运行经费统计范围之内。</w:t>
      </w:r>
    </w:p>
    <w:p w14:paraId="65BBFD61">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（三）国有资产占用情况说明</w:t>
      </w:r>
    </w:p>
    <w:p w14:paraId="39862FBA">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截至</w:t>
      </w:r>
      <w:r>
        <w:rPr>
          <w:rFonts w:hint="eastAsia" w:ascii="Times New Roman" w:hAnsi="Times New Roman" w:eastAsia="方正仿宋_GBK" w:cs="宋体"/>
          <w:kern w:val="0"/>
          <w:sz w:val="32"/>
          <w:szCs w:val="32"/>
          <w:lang w:val="en-US" w:eastAsia="zh-CN"/>
        </w:rPr>
        <w:t>2023</w:t>
      </w:r>
      <w:r>
        <w:rPr>
          <w:rFonts w:hint="eastAsia" w:ascii="Times New Roman" w:hAnsi="Times New Roman" w:eastAsia="方正仿宋_GBK" w:cs="宋体"/>
          <w:kern w:val="0"/>
          <w:sz w:val="32"/>
          <w:szCs w:val="32"/>
        </w:rPr>
        <w:t>年12月31日，本单位共有车辆</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辆，其中，副部（省）级及以上领导用车</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辆、主要负责人用车</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辆、机要通信用车</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辆、应急保障用车</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辆、执法执勤用车</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辆，特种专业技术用车</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辆，离退休干部用车</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辆。单价</w:t>
      </w:r>
      <w:r>
        <w:rPr>
          <w:rFonts w:hint="eastAsia" w:ascii="Times New Roman" w:hAnsi="Times New Roman" w:eastAsia="方正仿宋_GBK" w:cs="宋体"/>
          <w:kern w:val="0"/>
          <w:sz w:val="32"/>
          <w:szCs w:val="32"/>
          <w:lang w:val="en-US" w:eastAsia="zh-CN"/>
        </w:rPr>
        <w:t>100</w:t>
      </w:r>
      <w:r>
        <w:rPr>
          <w:rFonts w:hint="eastAsia" w:ascii="Times New Roman" w:hAnsi="Times New Roman" w:eastAsia="方正仿宋_GBK" w:cs="宋体"/>
          <w:kern w:val="0"/>
          <w:sz w:val="32"/>
          <w:szCs w:val="32"/>
        </w:rPr>
        <w:t>万元（含）以上专用设备</w:t>
      </w:r>
      <w:r>
        <w:rPr>
          <w:rFonts w:hint="eastAsia" w:ascii="Times New Roman" w:hAnsi="Times New Roman" w:eastAsia="方正仿宋_GBK" w:cs="宋体"/>
          <w:kern w:val="0"/>
          <w:sz w:val="32"/>
          <w:szCs w:val="32"/>
          <w:lang w:val="en-US" w:eastAsia="zh-CN"/>
        </w:rPr>
        <w:t>0</w:t>
      </w:r>
      <w:r>
        <w:rPr>
          <w:rFonts w:hint="eastAsia" w:ascii="Times New Roman" w:hAnsi="Times New Roman" w:eastAsia="方正仿宋_GBK" w:cs="宋体"/>
          <w:kern w:val="0"/>
          <w:sz w:val="32"/>
          <w:szCs w:val="32"/>
        </w:rPr>
        <w:t>台（套）。</w:t>
      </w:r>
    </w:p>
    <w:p w14:paraId="711FDDC4">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（四）政府采购支出情况说明</w:t>
      </w:r>
    </w:p>
    <w:p w14:paraId="21601728">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度本</w:t>
      </w:r>
      <w:r>
        <w:rPr>
          <w:rFonts w:hint="eastAsia" w:ascii="Times New Roman" w:hAnsi="Times New Roman" w:eastAsia="方正仿宋_GBK" w:cs="宋体"/>
          <w:kern w:val="0"/>
          <w:sz w:val="32"/>
          <w:szCs w:val="32"/>
          <w:lang w:eastAsia="zh-CN"/>
        </w:rPr>
        <w:t>单位</w:t>
      </w:r>
      <w:r>
        <w:rPr>
          <w:rFonts w:hint="eastAsia" w:ascii="Times New Roman" w:hAnsi="Times New Roman" w:eastAsia="方正仿宋_GBK" w:cs="宋体"/>
          <w:kern w:val="0"/>
          <w:sz w:val="32"/>
          <w:szCs w:val="32"/>
        </w:rPr>
        <w:t>政府采购支出总额1.52万元，其中：政府采购货物支出1.52万元、政府采购工程支出0.00万元、政府采购服务支出0.00万元。授予中小企业合同金额1.52万元，占政府采购支出总额的100.00%，其中：授予小微企业合同金额1.52万元，占政府采购支出总额的100.00 %。主要用于</w:t>
      </w:r>
      <w:r>
        <w:rPr>
          <w:rFonts w:hint="eastAsia" w:ascii="Times New Roman" w:hAnsi="Times New Roman" w:eastAsia="方正仿宋_GBK" w:cs="宋体"/>
          <w:kern w:val="0"/>
          <w:sz w:val="32"/>
          <w:szCs w:val="32"/>
          <w:lang w:eastAsia="zh-CN"/>
        </w:rPr>
        <w:t>采购复印纸。</w:t>
      </w:r>
    </w:p>
    <w:p w14:paraId="1514E0CA">
      <w:pPr>
        <w:widowControl w:val="0"/>
        <w:spacing w:line="600" w:lineRule="exact"/>
        <w:ind w:firstLine="640" w:firstLineChars="200"/>
        <w:jc w:val="both"/>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lang w:val="en-US" w:eastAsia="zh-CN"/>
        </w:rPr>
        <w:t>五、</w:t>
      </w:r>
      <w:r>
        <w:rPr>
          <w:rFonts w:hint="eastAsia" w:ascii="Times New Roman" w:hAnsi="Times New Roman" w:eastAsia="方正黑体_GBK" w:cs="宋体"/>
          <w:bCs/>
          <w:kern w:val="0"/>
          <w:sz w:val="32"/>
          <w:szCs w:val="20"/>
        </w:rPr>
        <w:t>预算绩效管理情况说明</w:t>
      </w:r>
    </w:p>
    <w:p w14:paraId="143D45FC">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w:t>
      </w:r>
      <w:r>
        <w:rPr>
          <w:rFonts w:hint="eastAsia" w:ascii="Times New Roman" w:hAnsi="Times New Roman" w:eastAsia="方正楷体_GBK" w:cs="宋体"/>
          <w:bCs/>
          <w:kern w:val="0"/>
          <w:sz w:val="32"/>
          <w:szCs w:val="20"/>
          <w:lang w:val="en-US" w:eastAsia="zh-CN"/>
        </w:rPr>
        <w:t>单位自评</w:t>
      </w:r>
      <w:r>
        <w:rPr>
          <w:rFonts w:hint="eastAsia" w:ascii="Times New Roman" w:hAnsi="Times New Roman" w:eastAsia="方正楷体_GBK" w:cs="宋体"/>
          <w:bCs/>
          <w:kern w:val="0"/>
          <w:sz w:val="32"/>
          <w:szCs w:val="20"/>
        </w:rPr>
        <w:t>情况</w:t>
      </w:r>
    </w:p>
    <w:p w14:paraId="60116382">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根据预算绩效管理要求，我</w:t>
      </w:r>
      <w:r>
        <w:rPr>
          <w:rFonts w:hint="eastAsia" w:ascii="Times New Roman" w:hAnsi="Times New Roman" w:eastAsia="方正仿宋_GBK" w:cs="宋体"/>
          <w:kern w:val="0"/>
          <w:sz w:val="32"/>
          <w:szCs w:val="32"/>
          <w:lang w:val="en-US" w:eastAsia="zh-CN"/>
        </w:rPr>
        <w:t>单位</w:t>
      </w:r>
      <w:r>
        <w:rPr>
          <w:rFonts w:hint="eastAsia" w:ascii="Times New Roman" w:hAnsi="Times New Roman" w:eastAsia="方正仿宋_GBK" w:cs="宋体"/>
          <w:kern w:val="0"/>
          <w:sz w:val="32"/>
          <w:szCs w:val="32"/>
        </w:rPr>
        <w:t>对1</w:t>
      </w:r>
      <w:r>
        <w:rPr>
          <w:rFonts w:hint="eastAsia" w:ascii="Times New Roman" w:hAnsi="Times New Roman" w:eastAsia="方正仿宋_GBK" w:cs="宋体"/>
          <w:kern w:val="0"/>
          <w:sz w:val="32"/>
          <w:szCs w:val="32"/>
          <w:lang w:val="en-US" w:eastAsia="zh-CN"/>
        </w:rPr>
        <w:t>2</w:t>
      </w:r>
      <w:r>
        <w:rPr>
          <w:rFonts w:hint="eastAsia" w:ascii="Times New Roman" w:hAnsi="Times New Roman" w:eastAsia="方正仿宋_GBK" w:cs="宋体"/>
          <w:kern w:val="0"/>
          <w:sz w:val="32"/>
          <w:szCs w:val="32"/>
        </w:rPr>
        <w:t>个项目开展了绩效自评，涉及财政拨款项目支出</w:t>
      </w:r>
      <w:r>
        <w:rPr>
          <w:rFonts w:hint="eastAsia" w:ascii="Times New Roman" w:hAnsi="Times New Roman" w:eastAsia="方正仿宋_GBK" w:cs="宋体"/>
          <w:kern w:val="0"/>
          <w:sz w:val="32"/>
          <w:szCs w:val="32"/>
          <w:lang w:val="en-US" w:eastAsia="zh-CN"/>
        </w:rPr>
        <w:t>173.49</w:t>
      </w:r>
      <w:r>
        <w:rPr>
          <w:rFonts w:hint="eastAsia" w:ascii="Times New Roman" w:hAnsi="Times New Roman" w:eastAsia="方正仿宋_GBK" w:cs="宋体"/>
          <w:kern w:val="0"/>
          <w:sz w:val="32"/>
          <w:szCs w:val="32"/>
        </w:rPr>
        <w:t>万元。</w:t>
      </w:r>
    </w:p>
    <w:p w14:paraId="0DABDE96">
      <w:pPr>
        <w:adjustRightInd w:val="0"/>
        <w:snapToGrid w:val="0"/>
        <w:spacing w:line="600" w:lineRule="exact"/>
        <w:jc w:val="center"/>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kern w:val="0"/>
          <w:sz w:val="28"/>
          <w:szCs w:val="28"/>
          <w:lang w:val="en-US" w:eastAsia="zh-CN" w:bidi="ar"/>
        </w:rPr>
        <w:t>重庆市九龙坡区共和小学校</w:t>
      </w:r>
      <w:r>
        <w:rPr>
          <w:rFonts w:hint="eastAsia" w:ascii="方正黑体_GBK" w:hAnsi="方正黑体_GBK" w:eastAsia="方正黑体_GBK" w:cs="方正黑体_GBK"/>
          <w:kern w:val="0"/>
          <w:sz w:val="28"/>
          <w:szCs w:val="28"/>
          <w:lang w:bidi="ar"/>
        </w:rPr>
        <w:t>2024年度项目支出绩效自评表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802"/>
        <w:gridCol w:w="1214"/>
        <w:gridCol w:w="831"/>
        <w:gridCol w:w="805"/>
        <w:gridCol w:w="791"/>
        <w:gridCol w:w="695"/>
        <w:gridCol w:w="914"/>
        <w:gridCol w:w="723"/>
        <w:gridCol w:w="668"/>
        <w:gridCol w:w="712"/>
      </w:tblGrid>
      <w:tr w14:paraId="6B18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483" w:type="dxa"/>
            <w:tcBorders>
              <w:top w:val="single" w:color="auto" w:sz="4" w:space="0"/>
            </w:tcBorders>
            <w:noWrap w:val="0"/>
            <w:vAlign w:val="center"/>
          </w:tcPr>
          <w:p w14:paraId="3F806834">
            <w:pPr>
              <w:widowControl/>
              <w:jc w:val="center"/>
              <w:textAlignment w:val="center"/>
              <w:rPr>
                <w:rFonts w:eastAsia="方正黑体_GBK" w:cs="方正黑体_GBK"/>
                <w:sz w:val="20"/>
                <w:szCs w:val="20"/>
              </w:rPr>
            </w:pPr>
            <w:r>
              <w:rPr>
                <w:rFonts w:hint="eastAsia" w:eastAsia="方正黑体_GBK" w:cs="方正黑体_GBK"/>
                <w:kern w:val="0"/>
                <w:sz w:val="20"/>
                <w:szCs w:val="20"/>
                <w:lang w:bidi="ar"/>
              </w:rPr>
              <w:t>序号</w:t>
            </w:r>
          </w:p>
        </w:tc>
        <w:tc>
          <w:tcPr>
            <w:tcW w:w="802" w:type="dxa"/>
            <w:tcBorders>
              <w:top w:val="single" w:color="auto" w:sz="4" w:space="0"/>
            </w:tcBorders>
            <w:noWrap w:val="0"/>
            <w:vAlign w:val="center"/>
          </w:tcPr>
          <w:p w14:paraId="13A8687A">
            <w:pPr>
              <w:widowControl/>
              <w:jc w:val="center"/>
              <w:textAlignment w:val="center"/>
              <w:rPr>
                <w:rFonts w:eastAsia="方正黑体_GBK" w:cs="方正黑体_GBK"/>
                <w:sz w:val="20"/>
                <w:szCs w:val="20"/>
              </w:rPr>
            </w:pPr>
            <w:r>
              <w:rPr>
                <w:rFonts w:hint="eastAsia" w:eastAsia="方正黑体_GBK" w:cs="方正黑体_GBK"/>
                <w:kern w:val="0"/>
                <w:sz w:val="20"/>
                <w:szCs w:val="20"/>
                <w:lang w:bidi="ar"/>
              </w:rPr>
              <w:t>项目名称</w:t>
            </w:r>
          </w:p>
        </w:tc>
        <w:tc>
          <w:tcPr>
            <w:tcW w:w="1214" w:type="dxa"/>
            <w:tcBorders>
              <w:top w:val="single" w:color="auto" w:sz="4" w:space="0"/>
            </w:tcBorders>
            <w:noWrap w:val="0"/>
            <w:vAlign w:val="center"/>
          </w:tcPr>
          <w:p w14:paraId="145ADB58">
            <w:pPr>
              <w:widowControl/>
              <w:jc w:val="center"/>
              <w:textAlignment w:val="center"/>
              <w:rPr>
                <w:rFonts w:eastAsia="方正黑体_GBK" w:cs="方正黑体_GBK"/>
                <w:sz w:val="20"/>
                <w:szCs w:val="20"/>
              </w:rPr>
            </w:pPr>
            <w:r>
              <w:rPr>
                <w:rFonts w:hint="eastAsia" w:eastAsia="方正黑体_GBK" w:cs="方正黑体_GBK"/>
                <w:kern w:val="0"/>
                <w:sz w:val="20"/>
                <w:szCs w:val="20"/>
                <w:lang w:bidi="ar"/>
              </w:rPr>
              <w:t>指标名称</w:t>
            </w:r>
          </w:p>
        </w:tc>
        <w:tc>
          <w:tcPr>
            <w:tcW w:w="831" w:type="dxa"/>
            <w:tcBorders>
              <w:top w:val="single" w:color="auto" w:sz="4" w:space="0"/>
            </w:tcBorders>
            <w:noWrap w:val="0"/>
            <w:vAlign w:val="center"/>
          </w:tcPr>
          <w:p w14:paraId="00C813E8">
            <w:pPr>
              <w:widowControl/>
              <w:jc w:val="center"/>
              <w:textAlignment w:val="center"/>
              <w:rPr>
                <w:rFonts w:eastAsia="方正黑体_GBK" w:cs="方正黑体_GBK"/>
                <w:sz w:val="20"/>
                <w:szCs w:val="20"/>
              </w:rPr>
            </w:pPr>
            <w:r>
              <w:rPr>
                <w:rFonts w:hint="eastAsia" w:eastAsia="方正黑体_GBK" w:cs="方正黑体_GBK"/>
                <w:kern w:val="0"/>
                <w:sz w:val="20"/>
                <w:szCs w:val="20"/>
                <w:lang w:bidi="ar"/>
              </w:rPr>
              <w:t>指标性质</w:t>
            </w:r>
          </w:p>
        </w:tc>
        <w:tc>
          <w:tcPr>
            <w:tcW w:w="805" w:type="dxa"/>
            <w:tcBorders>
              <w:top w:val="single" w:color="auto" w:sz="4" w:space="0"/>
            </w:tcBorders>
            <w:noWrap w:val="0"/>
            <w:vAlign w:val="center"/>
          </w:tcPr>
          <w:p w14:paraId="3B1603C0">
            <w:pPr>
              <w:widowControl/>
              <w:jc w:val="center"/>
              <w:textAlignment w:val="center"/>
              <w:rPr>
                <w:rFonts w:eastAsia="方正黑体_GBK" w:cs="方正黑体_GBK"/>
                <w:sz w:val="20"/>
                <w:szCs w:val="20"/>
              </w:rPr>
            </w:pPr>
            <w:r>
              <w:rPr>
                <w:rFonts w:hint="eastAsia" w:eastAsia="方正黑体_GBK" w:cs="方正黑体_GBK"/>
                <w:kern w:val="0"/>
                <w:sz w:val="20"/>
                <w:szCs w:val="20"/>
                <w:lang w:bidi="ar"/>
              </w:rPr>
              <w:t>指标值</w:t>
            </w:r>
          </w:p>
        </w:tc>
        <w:tc>
          <w:tcPr>
            <w:tcW w:w="791" w:type="dxa"/>
            <w:tcBorders>
              <w:top w:val="single" w:color="auto" w:sz="4" w:space="0"/>
            </w:tcBorders>
            <w:noWrap w:val="0"/>
            <w:vAlign w:val="center"/>
          </w:tcPr>
          <w:p w14:paraId="7AB37D96">
            <w:pPr>
              <w:widowControl/>
              <w:jc w:val="center"/>
              <w:textAlignment w:val="center"/>
              <w:rPr>
                <w:rFonts w:eastAsia="方正黑体_GBK" w:cs="方正黑体_GBK"/>
                <w:sz w:val="20"/>
                <w:szCs w:val="20"/>
              </w:rPr>
            </w:pPr>
            <w:r>
              <w:rPr>
                <w:rFonts w:hint="eastAsia" w:eastAsia="方正黑体_GBK" w:cs="方正黑体_GBK"/>
                <w:kern w:val="0"/>
                <w:sz w:val="20"/>
                <w:szCs w:val="20"/>
                <w:lang w:bidi="ar"/>
              </w:rPr>
              <w:t>计量单位</w:t>
            </w:r>
          </w:p>
        </w:tc>
        <w:tc>
          <w:tcPr>
            <w:tcW w:w="695" w:type="dxa"/>
            <w:tcBorders>
              <w:top w:val="single" w:color="auto" w:sz="4" w:space="0"/>
            </w:tcBorders>
            <w:noWrap w:val="0"/>
            <w:vAlign w:val="center"/>
          </w:tcPr>
          <w:p w14:paraId="27777657">
            <w:pPr>
              <w:widowControl/>
              <w:jc w:val="center"/>
              <w:textAlignment w:val="center"/>
              <w:rPr>
                <w:rFonts w:eastAsia="方正黑体_GBK" w:cs="方正黑体_GBK"/>
                <w:sz w:val="20"/>
                <w:szCs w:val="20"/>
              </w:rPr>
            </w:pPr>
            <w:r>
              <w:rPr>
                <w:rFonts w:hint="eastAsia" w:eastAsia="方正黑体_GBK" w:cs="方正黑体_GBK"/>
                <w:kern w:val="0"/>
                <w:sz w:val="20"/>
                <w:szCs w:val="20"/>
                <w:lang w:bidi="ar"/>
              </w:rPr>
              <w:t>指标权重</w:t>
            </w:r>
          </w:p>
        </w:tc>
        <w:tc>
          <w:tcPr>
            <w:tcW w:w="914" w:type="dxa"/>
            <w:tcBorders>
              <w:top w:val="single" w:color="auto" w:sz="4" w:space="0"/>
            </w:tcBorders>
            <w:noWrap w:val="0"/>
            <w:vAlign w:val="center"/>
          </w:tcPr>
          <w:p w14:paraId="39A1C22F">
            <w:pPr>
              <w:widowControl/>
              <w:jc w:val="center"/>
              <w:textAlignment w:val="center"/>
              <w:rPr>
                <w:rFonts w:eastAsia="方正黑体_GBK" w:cs="方正黑体_GBK"/>
                <w:sz w:val="20"/>
                <w:szCs w:val="20"/>
              </w:rPr>
            </w:pPr>
            <w:r>
              <w:rPr>
                <w:rFonts w:hint="eastAsia" w:eastAsia="方正黑体_GBK" w:cs="方正黑体_GBK"/>
                <w:kern w:val="0"/>
                <w:sz w:val="20"/>
                <w:szCs w:val="20"/>
                <w:lang w:bidi="ar"/>
              </w:rPr>
              <w:t>全年完成值</w:t>
            </w:r>
          </w:p>
        </w:tc>
        <w:tc>
          <w:tcPr>
            <w:tcW w:w="723" w:type="dxa"/>
            <w:tcBorders>
              <w:top w:val="single" w:color="auto" w:sz="4" w:space="0"/>
            </w:tcBorders>
            <w:noWrap w:val="0"/>
            <w:vAlign w:val="center"/>
          </w:tcPr>
          <w:p w14:paraId="4CFDB0C4">
            <w:pPr>
              <w:widowControl/>
              <w:jc w:val="center"/>
              <w:textAlignment w:val="center"/>
              <w:rPr>
                <w:rFonts w:eastAsia="方正黑体_GBK" w:cs="方正黑体_GBK"/>
                <w:sz w:val="20"/>
                <w:szCs w:val="20"/>
              </w:rPr>
            </w:pPr>
            <w:r>
              <w:rPr>
                <w:rFonts w:hint="eastAsia" w:eastAsia="方正黑体_GBK" w:cs="方正黑体_GBK"/>
                <w:kern w:val="0"/>
                <w:sz w:val="20"/>
                <w:szCs w:val="20"/>
                <w:lang w:bidi="ar"/>
              </w:rPr>
              <w:t>指标得分</w:t>
            </w:r>
          </w:p>
        </w:tc>
        <w:tc>
          <w:tcPr>
            <w:tcW w:w="668" w:type="dxa"/>
            <w:tcBorders>
              <w:top w:val="single" w:color="auto" w:sz="4" w:space="0"/>
            </w:tcBorders>
            <w:noWrap w:val="0"/>
            <w:vAlign w:val="center"/>
          </w:tcPr>
          <w:p w14:paraId="73F19D80">
            <w:pPr>
              <w:widowControl/>
              <w:jc w:val="center"/>
              <w:textAlignment w:val="center"/>
              <w:rPr>
                <w:rFonts w:eastAsia="方正黑体_GBK" w:cs="方正黑体_GBK"/>
                <w:sz w:val="20"/>
                <w:szCs w:val="20"/>
              </w:rPr>
            </w:pPr>
            <w:r>
              <w:rPr>
                <w:rFonts w:hint="eastAsia" w:eastAsia="方正黑体_GBK" w:cs="方正黑体_GBK"/>
                <w:kern w:val="0"/>
                <w:sz w:val="20"/>
                <w:szCs w:val="20"/>
                <w:lang w:bidi="ar"/>
              </w:rPr>
              <w:t>说明</w:t>
            </w:r>
          </w:p>
        </w:tc>
        <w:tc>
          <w:tcPr>
            <w:tcW w:w="712" w:type="dxa"/>
            <w:tcBorders>
              <w:top w:val="single" w:color="auto" w:sz="4" w:space="0"/>
            </w:tcBorders>
            <w:noWrap w:val="0"/>
            <w:vAlign w:val="center"/>
          </w:tcPr>
          <w:p w14:paraId="54C81626">
            <w:pPr>
              <w:widowControl/>
              <w:jc w:val="center"/>
              <w:textAlignment w:val="center"/>
              <w:rPr>
                <w:rFonts w:eastAsia="方正黑体_GBK" w:cs="方正黑体_GBK"/>
                <w:sz w:val="20"/>
                <w:szCs w:val="20"/>
              </w:rPr>
            </w:pPr>
            <w:r>
              <w:rPr>
                <w:rFonts w:hint="eastAsia" w:eastAsia="方正黑体_GBK" w:cs="方正黑体_GBK"/>
                <w:kern w:val="0"/>
                <w:sz w:val="20"/>
                <w:szCs w:val="20"/>
                <w:lang w:bidi="ar"/>
              </w:rPr>
              <w:t>自评得分</w:t>
            </w:r>
          </w:p>
        </w:tc>
      </w:tr>
      <w:tr w14:paraId="59D2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3" w:type="dxa"/>
            <w:vMerge w:val="restart"/>
            <w:noWrap/>
            <w:vAlign w:val="center"/>
          </w:tcPr>
          <w:p w14:paraId="24EEA8CF">
            <w:pPr>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w:t>
            </w:r>
          </w:p>
        </w:tc>
        <w:tc>
          <w:tcPr>
            <w:tcW w:w="802" w:type="dxa"/>
            <w:vMerge w:val="restart"/>
            <w:noWrap/>
            <w:vAlign w:val="center"/>
          </w:tcPr>
          <w:p w14:paraId="0564BB48">
            <w:pPr>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2024年非寄宿制困难学生生活补助</w:t>
            </w:r>
          </w:p>
        </w:tc>
        <w:tc>
          <w:tcPr>
            <w:tcW w:w="1214" w:type="dxa"/>
            <w:noWrap/>
            <w:vAlign w:val="center"/>
          </w:tcPr>
          <w:p w14:paraId="3473E58B">
            <w:pPr>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资助学生数量</w:t>
            </w:r>
          </w:p>
        </w:tc>
        <w:tc>
          <w:tcPr>
            <w:tcW w:w="831" w:type="dxa"/>
            <w:noWrap/>
            <w:vAlign w:val="center"/>
          </w:tcPr>
          <w:p w14:paraId="363887B1">
            <w:pPr>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auto"/>
                <w:kern w:val="0"/>
                <w:sz w:val="20"/>
                <w:szCs w:val="20"/>
                <w:u w:val="none"/>
                <w:lang w:val="en-US" w:eastAsia="zh-CN" w:bidi="ar"/>
              </w:rPr>
              <w:t>＝</w:t>
            </w:r>
          </w:p>
        </w:tc>
        <w:tc>
          <w:tcPr>
            <w:tcW w:w="805" w:type="dxa"/>
            <w:noWrap/>
            <w:vAlign w:val="center"/>
          </w:tcPr>
          <w:p w14:paraId="68179817">
            <w:pPr>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35</w:t>
            </w:r>
          </w:p>
        </w:tc>
        <w:tc>
          <w:tcPr>
            <w:tcW w:w="791" w:type="dxa"/>
            <w:noWrap/>
            <w:vAlign w:val="center"/>
          </w:tcPr>
          <w:p w14:paraId="02B89BB0">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人次</w:t>
            </w:r>
          </w:p>
        </w:tc>
        <w:tc>
          <w:tcPr>
            <w:tcW w:w="695" w:type="dxa"/>
            <w:noWrap/>
            <w:vAlign w:val="center"/>
          </w:tcPr>
          <w:p w14:paraId="3BE324E1">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20</w:t>
            </w:r>
          </w:p>
        </w:tc>
        <w:tc>
          <w:tcPr>
            <w:tcW w:w="914" w:type="dxa"/>
            <w:noWrap/>
            <w:vAlign w:val="center"/>
          </w:tcPr>
          <w:p w14:paraId="26C24948">
            <w:pPr>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35</w:t>
            </w:r>
          </w:p>
        </w:tc>
        <w:tc>
          <w:tcPr>
            <w:tcW w:w="723" w:type="dxa"/>
            <w:noWrap/>
            <w:vAlign w:val="center"/>
          </w:tcPr>
          <w:p w14:paraId="7E80C2F0">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20</w:t>
            </w:r>
          </w:p>
        </w:tc>
        <w:tc>
          <w:tcPr>
            <w:tcW w:w="668" w:type="dxa"/>
            <w:noWrap/>
            <w:vAlign w:val="center"/>
          </w:tcPr>
          <w:p w14:paraId="5325C6F5">
            <w:pPr>
              <w:rPr>
                <w:rFonts w:hint="eastAsia" w:ascii="方正仿宋_GBK" w:hAnsi="方正仿宋_GBK" w:eastAsia="方正仿宋_GBK" w:cs="方正仿宋_GBK"/>
                <w:sz w:val="20"/>
                <w:szCs w:val="20"/>
              </w:rPr>
            </w:pPr>
          </w:p>
        </w:tc>
        <w:tc>
          <w:tcPr>
            <w:tcW w:w="712" w:type="dxa"/>
            <w:vMerge w:val="restart"/>
            <w:noWrap/>
            <w:vAlign w:val="center"/>
          </w:tcPr>
          <w:p w14:paraId="6D3088D3">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100</w:t>
            </w:r>
          </w:p>
        </w:tc>
      </w:tr>
      <w:tr w14:paraId="1306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3" w:type="dxa"/>
            <w:vMerge w:val="continue"/>
            <w:noWrap/>
            <w:vAlign w:val="center"/>
          </w:tcPr>
          <w:p w14:paraId="340773E7">
            <w:pPr>
              <w:jc w:val="center"/>
              <w:textAlignment w:val="center"/>
              <w:rPr>
                <w:rFonts w:hint="eastAsia" w:ascii="方正仿宋_GBK" w:hAnsi="方正仿宋_GBK" w:eastAsia="方正仿宋_GBK" w:cs="方正仿宋_GBK"/>
                <w:sz w:val="20"/>
                <w:szCs w:val="20"/>
              </w:rPr>
            </w:pPr>
          </w:p>
        </w:tc>
        <w:tc>
          <w:tcPr>
            <w:tcW w:w="802" w:type="dxa"/>
            <w:vMerge w:val="continue"/>
            <w:noWrap/>
            <w:vAlign w:val="center"/>
          </w:tcPr>
          <w:p w14:paraId="12558FF4">
            <w:pPr>
              <w:jc w:val="center"/>
              <w:rPr>
                <w:rFonts w:hint="eastAsia" w:ascii="方正仿宋_GBK" w:hAnsi="方正仿宋_GBK" w:eastAsia="方正仿宋_GBK" w:cs="方正仿宋_GBK"/>
                <w:sz w:val="20"/>
                <w:szCs w:val="20"/>
              </w:rPr>
            </w:pPr>
          </w:p>
        </w:tc>
        <w:tc>
          <w:tcPr>
            <w:tcW w:w="1214" w:type="dxa"/>
            <w:noWrap/>
            <w:vAlign w:val="center"/>
          </w:tcPr>
          <w:p w14:paraId="4A22E66A">
            <w:pPr>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下达时间</w:t>
            </w:r>
          </w:p>
        </w:tc>
        <w:tc>
          <w:tcPr>
            <w:tcW w:w="831" w:type="dxa"/>
            <w:noWrap/>
            <w:vAlign w:val="center"/>
          </w:tcPr>
          <w:p w14:paraId="1A617370">
            <w:pPr>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auto"/>
                <w:kern w:val="0"/>
                <w:sz w:val="20"/>
                <w:szCs w:val="20"/>
                <w:u w:val="none"/>
                <w:lang w:val="en-US" w:eastAsia="zh-CN" w:bidi="ar"/>
              </w:rPr>
              <w:t>＝</w:t>
            </w:r>
          </w:p>
        </w:tc>
        <w:tc>
          <w:tcPr>
            <w:tcW w:w="805" w:type="dxa"/>
            <w:noWrap/>
            <w:vAlign w:val="center"/>
          </w:tcPr>
          <w:p w14:paraId="5C6B47D2">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2024</w:t>
            </w:r>
          </w:p>
        </w:tc>
        <w:tc>
          <w:tcPr>
            <w:tcW w:w="791" w:type="dxa"/>
            <w:noWrap/>
            <w:vAlign w:val="center"/>
          </w:tcPr>
          <w:p w14:paraId="34CC2B16">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年</w:t>
            </w:r>
          </w:p>
        </w:tc>
        <w:tc>
          <w:tcPr>
            <w:tcW w:w="695" w:type="dxa"/>
            <w:noWrap/>
            <w:vAlign w:val="center"/>
          </w:tcPr>
          <w:p w14:paraId="5F341DF1">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w:t>
            </w:r>
          </w:p>
        </w:tc>
        <w:tc>
          <w:tcPr>
            <w:tcW w:w="914" w:type="dxa"/>
            <w:noWrap/>
            <w:vAlign w:val="center"/>
          </w:tcPr>
          <w:p w14:paraId="5AAF88D6">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2024</w:t>
            </w:r>
          </w:p>
        </w:tc>
        <w:tc>
          <w:tcPr>
            <w:tcW w:w="723" w:type="dxa"/>
            <w:noWrap/>
            <w:vAlign w:val="center"/>
          </w:tcPr>
          <w:p w14:paraId="7F7F3876">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w:t>
            </w:r>
          </w:p>
        </w:tc>
        <w:tc>
          <w:tcPr>
            <w:tcW w:w="668" w:type="dxa"/>
            <w:noWrap/>
            <w:vAlign w:val="center"/>
          </w:tcPr>
          <w:p w14:paraId="44FD8766">
            <w:pPr>
              <w:rPr>
                <w:rFonts w:hint="eastAsia" w:ascii="方正仿宋_GBK" w:hAnsi="方正仿宋_GBK" w:eastAsia="方正仿宋_GBK" w:cs="方正仿宋_GBK"/>
                <w:sz w:val="20"/>
                <w:szCs w:val="20"/>
              </w:rPr>
            </w:pPr>
          </w:p>
        </w:tc>
        <w:tc>
          <w:tcPr>
            <w:tcW w:w="712" w:type="dxa"/>
            <w:vMerge w:val="continue"/>
            <w:noWrap/>
            <w:vAlign w:val="center"/>
          </w:tcPr>
          <w:p w14:paraId="1D2439B8">
            <w:pPr>
              <w:jc w:val="center"/>
              <w:rPr>
                <w:rFonts w:hint="eastAsia" w:ascii="方正仿宋_GBK" w:hAnsi="方正仿宋_GBK" w:eastAsia="方正仿宋_GBK" w:cs="方正仿宋_GBK"/>
                <w:sz w:val="20"/>
                <w:szCs w:val="20"/>
              </w:rPr>
            </w:pPr>
          </w:p>
        </w:tc>
      </w:tr>
      <w:tr w14:paraId="7E9E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3" w:type="dxa"/>
            <w:vMerge w:val="continue"/>
            <w:noWrap/>
            <w:vAlign w:val="center"/>
          </w:tcPr>
          <w:p w14:paraId="281A1165">
            <w:pPr>
              <w:jc w:val="center"/>
              <w:textAlignment w:val="center"/>
              <w:rPr>
                <w:rFonts w:hint="eastAsia" w:ascii="方正仿宋_GBK" w:hAnsi="方正仿宋_GBK" w:eastAsia="方正仿宋_GBK" w:cs="方正仿宋_GBK"/>
                <w:sz w:val="20"/>
                <w:szCs w:val="20"/>
              </w:rPr>
            </w:pPr>
          </w:p>
        </w:tc>
        <w:tc>
          <w:tcPr>
            <w:tcW w:w="802" w:type="dxa"/>
            <w:vMerge w:val="continue"/>
            <w:noWrap/>
            <w:vAlign w:val="center"/>
          </w:tcPr>
          <w:p w14:paraId="5E9CCADC">
            <w:pPr>
              <w:jc w:val="center"/>
              <w:rPr>
                <w:rFonts w:hint="eastAsia" w:ascii="方正仿宋_GBK" w:hAnsi="方正仿宋_GBK" w:eastAsia="方正仿宋_GBK" w:cs="方正仿宋_GBK"/>
                <w:sz w:val="20"/>
                <w:szCs w:val="20"/>
              </w:rPr>
            </w:pPr>
          </w:p>
        </w:tc>
        <w:tc>
          <w:tcPr>
            <w:tcW w:w="1214" w:type="dxa"/>
            <w:noWrap/>
            <w:vAlign w:val="center"/>
          </w:tcPr>
          <w:p w14:paraId="74EA6623">
            <w:pPr>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补助金额</w:t>
            </w:r>
          </w:p>
        </w:tc>
        <w:tc>
          <w:tcPr>
            <w:tcW w:w="831" w:type="dxa"/>
            <w:noWrap/>
            <w:vAlign w:val="center"/>
          </w:tcPr>
          <w:p w14:paraId="58CAF6CD">
            <w:pPr>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auto"/>
                <w:kern w:val="0"/>
                <w:sz w:val="20"/>
                <w:szCs w:val="20"/>
                <w:u w:val="none"/>
                <w:lang w:val="en-US" w:eastAsia="zh-CN" w:bidi="ar"/>
              </w:rPr>
              <w:t>＝</w:t>
            </w:r>
          </w:p>
        </w:tc>
        <w:tc>
          <w:tcPr>
            <w:tcW w:w="805" w:type="dxa"/>
            <w:noWrap/>
            <w:vAlign w:val="center"/>
          </w:tcPr>
          <w:p w14:paraId="7EC4D702">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39600</w:t>
            </w:r>
          </w:p>
        </w:tc>
        <w:tc>
          <w:tcPr>
            <w:tcW w:w="791" w:type="dxa"/>
            <w:noWrap/>
            <w:vAlign w:val="center"/>
          </w:tcPr>
          <w:p w14:paraId="0EEC37D0">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元</w:t>
            </w:r>
          </w:p>
        </w:tc>
        <w:tc>
          <w:tcPr>
            <w:tcW w:w="695" w:type="dxa"/>
            <w:noWrap/>
            <w:vAlign w:val="center"/>
          </w:tcPr>
          <w:p w14:paraId="76D4FBDA">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20</w:t>
            </w:r>
          </w:p>
        </w:tc>
        <w:tc>
          <w:tcPr>
            <w:tcW w:w="914" w:type="dxa"/>
            <w:noWrap/>
            <w:vAlign w:val="center"/>
          </w:tcPr>
          <w:p w14:paraId="2F9175EC">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39600</w:t>
            </w:r>
          </w:p>
        </w:tc>
        <w:tc>
          <w:tcPr>
            <w:tcW w:w="723" w:type="dxa"/>
            <w:noWrap/>
            <w:vAlign w:val="center"/>
          </w:tcPr>
          <w:p w14:paraId="4E59D8E9">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20</w:t>
            </w:r>
          </w:p>
        </w:tc>
        <w:tc>
          <w:tcPr>
            <w:tcW w:w="668" w:type="dxa"/>
            <w:noWrap/>
            <w:vAlign w:val="center"/>
          </w:tcPr>
          <w:p w14:paraId="2380FE57">
            <w:pPr>
              <w:rPr>
                <w:rFonts w:hint="eastAsia" w:ascii="方正仿宋_GBK" w:hAnsi="方正仿宋_GBK" w:eastAsia="方正仿宋_GBK" w:cs="方正仿宋_GBK"/>
                <w:sz w:val="20"/>
                <w:szCs w:val="20"/>
              </w:rPr>
            </w:pPr>
          </w:p>
        </w:tc>
        <w:tc>
          <w:tcPr>
            <w:tcW w:w="712" w:type="dxa"/>
            <w:vMerge w:val="continue"/>
            <w:noWrap/>
            <w:vAlign w:val="center"/>
          </w:tcPr>
          <w:p w14:paraId="196A4C2E">
            <w:pPr>
              <w:jc w:val="center"/>
              <w:rPr>
                <w:rFonts w:hint="eastAsia" w:ascii="方正仿宋_GBK" w:hAnsi="方正仿宋_GBK" w:eastAsia="方正仿宋_GBK" w:cs="方正仿宋_GBK"/>
                <w:sz w:val="20"/>
                <w:szCs w:val="20"/>
              </w:rPr>
            </w:pPr>
          </w:p>
        </w:tc>
      </w:tr>
      <w:tr w14:paraId="62C4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3" w:type="dxa"/>
            <w:vMerge w:val="continue"/>
            <w:noWrap/>
            <w:vAlign w:val="center"/>
          </w:tcPr>
          <w:p w14:paraId="4B8442C1">
            <w:pPr>
              <w:jc w:val="center"/>
              <w:textAlignment w:val="center"/>
              <w:rPr>
                <w:rFonts w:hint="eastAsia" w:ascii="方正仿宋_GBK" w:hAnsi="方正仿宋_GBK" w:eastAsia="方正仿宋_GBK" w:cs="方正仿宋_GBK"/>
                <w:sz w:val="20"/>
                <w:szCs w:val="20"/>
              </w:rPr>
            </w:pPr>
          </w:p>
        </w:tc>
        <w:tc>
          <w:tcPr>
            <w:tcW w:w="802" w:type="dxa"/>
            <w:vMerge w:val="continue"/>
            <w:noWrap/>
            <w:vAlign w:val="center"/>
          </w:tcPr>
          <w:p w14:paraId="46C6E734">
            <w:pPr>
              <w:jc w:val="center"/>
              <w:rPr>
                <w:rFonts w:hint="eastAsia" w:ascii="方正仿宋_GBK" w:hAnsi="方正仿宋_GBK" w:eastAsia="方正仿宋_GBK" w:cs="方正仿宋_GBK"/>
                <w:sz w:val="20"/>
                <w:szCs w:val="20"/>
              </w:rPr>
            </w:pPr>
          </w:p>
        </w:tc>
        <w:tc>
          <w:tcPr>
            <w:tcW w:w="1214" w:type="dxa"/>
            <w:noWrap/>
            <w:vAlign w:val="center"/>
          </w:tcPr>
          <w:p w14:paraId="7BE11901">
            <w:pPr>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困难学生覆盖率</w:t>
            </w:r>
          </w:p>
        </w:tc>
        <w:tc>
          <w:tcPr>
            <w:tcW w:w="831" w:type="dxa"/>
            <w:noWrap/>
            <w:vAlign w:val="center"/>
          </w:tcPr>
          <w:p w14:paraId="6C78BD5E">
            <w:pPr>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auto"/>
                <w:kern w:val="0"/>
                <w:sz w:val="20"/>
                <w:szCs w:val="20"/>
                <w:u w:val="none"/>
                <w:lang w:val="en-US" w:eastAsia="zh-CN" w:bidi="ar"/>
              </w:rPr>
              <w:t>＝</w:t>
            </w:r>
          </w:p>
        </w:tc>
        <w:tc>
          <w:tcPr>
            <w:tcW w:w="805" w:type="dxa"/>
            <w:noWrap/>
            <w:vAlign w:val="center"/>
          </w:tcPr>
          <w:p w14:paraId="0F3F41F7">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100</w:t>
            </w:r>
          </w:p>
        </w:tc>
        <w:tc>
          <w:tcPr>
            <w:tcW w:w="791" w:type="dxa"/>
            <w:noWrap/>
            <w:vAlign w:val="center"/>
          </w:tcPr>
          <w:p w14:paraId="62B4D6F1">
            <w:pPr>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w:t>
            </w:r>
          </w:p>
        </w:tc>
        <w:tc>
          <w:tcPr>
            <w:tcW w:w="695" w:type="dxa"/>
            <w:noWrap/>
            <w:vAlign w:val="center"/>
          </w:tcPr>
          <w:p w14:paraId="1A8C9685">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15</w:t>
            </w:r>
          </w:p>
        </w:tc>
        <w:tc>
          <w:tcPr>
            <w:tcW w:w="914" w:type="dxa"/>
            <w:noWrap/>
            <w:vAlign w:val="center"/>
          </w:tcPr>
          <w:p w14:paraId="7FC31D97">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100</w:t>
            </w:r>
          </w:p>
        </w:tc>
        <w:tc>
          <w:tcPr>
            <w:tcW w:w="723" w:type="dxa"/>
            <w:noWrap/>
            <w:vAlign w:val="center"/>
          </w:tcPr>
          <w:p w14:paraId="21AD757F">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15</w:t>
            </w:r>
          </w:p>
        </w:tc>
        <w:tc>
          <w:tcPr>
            <w:tcW w:w="668" w:type="dxa"/>
            <w:noWrap/>
            <w:vAlign w:val="center"/>
          </w:tcPr>
          <w:p w14:paraId="23C390A8">
            <w:pPr>
              <w:rPr>
                <w:rFonts w:hint="eastAsia" w:ascii="方正仿宋_GBK" w:hAnsi="方正仿宋_GBK" w:eastAsia="方正仿宋_GBK" w:cs="方正仿宋_GBK"/>
                <w:sz w:val="20"/>
                <w:szCs w:val="20"/>
              </w:rPr>
            </w:pPr>
          </w:p>
        </w:tc>
        <w:tc>
          <w:tcPr>
            <w:tcW w:w="712" w:type="dxa"/>
            <w:vMerge w:val="continue"/>
            <w:noWrap/>
            <w:vAlign w:val="center"/>
          </w:tcPr>
          <w:p w14:paraId="5EE32B3E">
            <w:pPr>
              <w:jc w:val="center"/>
              <w:rPr>
                <w:rFonts w:hint="eastAsia" w:ascii="方正仿宋_GBK" w:hAnsi="方正仿宋_GBK" w:eastAsia="方正仿宋_GBK" w:cs="方正仿宋_GBK"/>
                <w:sz w:val="20"/>
                <w:szCs w:val="20"/>
              </w:rPr>
            </w:pPr>
          </w:p>
        </w:tc>
      </w:tr>
      <w:tr w14:paraId="6A2F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3" w:type="dxa"/>
            <w:vMerge w:val="continue"/>
            <w:noWrap/>
            <w:vAlign w:val="center"/>
          </w:tcPr>
          <w:p w14:paraId="0D462B9C">
            <w:pPr>
              <w:jc w:val="center"/>
              <w:textAlignment w:val="center"/>
              <w:rPr>
                <w:rFonts w:hint="eastAsia" w:ascii="方正仿宋_GBK" w:hAnsi="方正仿宋_GBK" w:eastAsia="方正仿宋_GBK" w:cs="方正仿宋_GBK"/>
                <w:sz w:val="20"/>
                <w:szCs w:val="20"/>
              </w:rPr>
            </w:pPr>
          </w:p>
        </w:tc>
        <w:tc>
          <w:tcPr>
            <w:tcW w:w="802" w:type="dxa"/>
            <w:vMerge w:val="continue"/>
            <w:noWrap/>
            <w:vAlign w:val="center"/>
          </w:tcPr>
          <w:p w14:paraId="1A9DFE37">
            <w:pPr>
              <w:jc w:val="center"/>
              <w:rPr>
                <w:rFonts w:hint="eastAsia" w:ascii="方正仿宋_GBK" w:hAnsi="方正仿宋_GBK" w:eastAsia="方正仿宋_GBK" w:cs="方正仿宋_GBK"/>
                <w:sz w:val="20"/>
                <w:szCs w:val="20"/>
              </w:rPr>
            </w:pPr>
          </w:p>
        </w:tc>
        <w:tc>
          <w:tcPr>
            <w:tcW w:w="1214" w:type="dxa"/>
            <w:noWrap/>
            <w:vAlign w:val="center"/>
          </w:tcPr>
          <w:p w14:paraId="02671D32">
            <w:pPr>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促进少年儿童健康成长</w:t>
            </w:r>
          </w:p>
        </w:tc>
        <w:tc>
          <w:tcPr>
            <w:tcW w:w="831" w:type="dxa"/>
            <w:noWrap/>
            <w:vAlign w:val="center"/>
          </w:tcPr>
          <w:p w14:paraId="46675BF3">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定性</w:t>
            </w:r>
          </w:p>
        </w:tc>
        <w:tc>
          <w:tcPr>
            <w:tcW w:w="805" w:type="dxa"/>
            <w:noWrap/>
            <w:vAlign w:val="center"/>
          </w:tcPr>
          <w:p w14:paraId="2002268A">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长期</w:t>
            </w:r>
          </w:p>
        </w:tc>
        <w:tc>
          <w:tcPr>
            <w:tcW w:w="791" w:type="dxa"/>
            <w:noWrap/>
            <w:vAlign w:val="center"/>
          </w:tcPr>
          <w:p w14:paraId="4D69E672">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无</w:t>
            </w:r>
          </w:p>
        </w:tc>
        <w:tc>
          <w:tcPr>
            <w:tcW w:w="695" w:type="dxa"/>
            <w:noWrap/>
            <w:vAlign w:val="center"/>
          </w:tcPr>
          <w:p w14:paraId="2EE63E51">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15</w:t>
            </w:r>
          </w:p>
        </w:tc>
        <w:tc>
          <w:tcPr>
            <w:tcW w:w="914" w:type="dxa"/>
            <w:noWrap/>
            <w:vAlign w:val="center"/>
          </w:tcPr>
          <w:p w14:paraId="260E7AE2">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长期</w:t>
            </w:r>
          </w:p>
        </w:tc>
        <w:tc>
          <w:tcPr>
            <w:tcW w:w="723" w:type="dxa"/>
            <w:noWrap/>
            <w:vAlign w:val="center"/>
          </w:tcPr>
          <w:p w14:paraId="010DA0B0">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15</w:t>
            </w:r>
          </w:p>
        </w:tc>
        <w:tc>
          <w:tcPr>
            <w:tcW w:w="668" w:type="dxa"/>
            <w:noWrap/>
            <w:vAlign w:val="center"/>
          </w:tcPr>
          <w:p w14:paraId="012F51C9">
            <w:pPr>
              <w:rPr>
                <w:rFonts w:hint="eastAsia" w:ascii="方正仿宋_GBK" w:hAnsi="方正仿宋_GBK" w:eastAsia="方正仿宋_GBK" w:cs="方正仿宋_GBK"/>
                <w:sz w:val="20"/>
                <w:szCs w:val="20"/>
              </w:rPr>
            </w:pPr>
          </w:p>
        </w:tc>
        <w:tc>
          <w:tcPr>
            <w:tcW w:w="712" w:type="dxa"/>
            <w:vMerge w:val="continue"/>
            <w:noWrap/>
            <w:vAlign w:val="center"/>
          </w:tcPr>
          <w:p w14:paraId="46D19826">
            <w:pPr>
              <w:jc w:val="center"/>
              <w:rPr>
                <w:rFonts w:hint="eastAsia" w:ascii="方正仿宋_GBK" w:hAnsi="方正仿宋_GBK" w:eastAsia="方正仿宋_GBK" w:cs="方正仿宋_GBK"/>
                <w:sz w:val="20"/>
                <w:szCs w:val="20"/>
              </w:rPr>
            </w:pPr>
          </w:p>
        </w:tc>
      </w:tr>
      <w:tr w14:paraId="5449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3" w:type="dxa"/>
            <w:vMerge w:val="continue"/>
            <w:noWrap/>
            <w:vAlign w:val="center"/>
          </w:tcPr>
          <w:p w14:paraId="53BCD5B1">
            <w:pPr>
              <w:jc w:val="center"/>
              <w:textAlignment w:val="center"/>
              <w:rPr>
                <w:rFonts w:hint="eastAsia" w:ascii="方正仿宋_GBK" w:hAnsi="方正仿宋_GBK" w:eastAsia="方正仿宋_GBK" w:cs="方正仿宋_GBK"/>
                <w:sz w:val="20"/>
                <w:szCs w:val="20"/>
              </w:rPr>
            </w:pPr>
          </w:p>
        </w:tc>
        <w:tc>
          <w:tcPr>
            <w:tcW w:w="802" w:type="dxa"/>
            <w:vMerge w:val="continue"/>
            <w:noWrap/>
            <w:vAlign w:val="center"/>
          </w:tcPr>
          <w:p w14:paraId="2A784C9C">
            <w:pPr>
              <w:jc w:val="center"/>
              <w:rPr>
                <w:rFonts w:hint="eastAsia" w:ascii="方正仿宋_GBK" w:hAnsi="方正仿宋_GBK" w:eastAsia="方正仿宋_GBK" w:cs="方正仿宋_GBK"/>
                <w:sz w:val="20"/>
                <w:szCs w:val="20"/>
              </w:rPr>
            </w:pPr>
          </w:p>
        </w:tc>
        <w:tc>
          <w:tcPr>
            <w:tcW w:w="1214" w:type="dxa"/>
            <w:noWrap/>
            <w:vAlign w:val="center"/>
          </w:tcPr>
          <w:p w14:paraId="6A1F264C">
            <w:pPr>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受助学生满意率</w:t>
            </w:r>
          </w:p>
        </w:tc>
        <w:tc>
          <w:tcPr>
            <w:tcW w:w="831" w:type="dxa"/>
            <w:noWrap/>
            <w:vAlign w:val="center"/>
          </w:tcPr>
          <w:p w14:paraId="4532FC68">
            <w:pPr>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val="en-US" w:eastAsia="zh-CN"/>
              </w:rPr>
              <w:t>≥</w:t>
            </w:r>
          </w:p>
        </w:tc>
        <w:tc>
          <w:tcPr>
            <w:tcW w:w="805" w:type="dxa"/>
            <w:noWrap/>
            <w:vAlign w:val="center"/>
          </w:tcPr>
          <w:p w14:paraId="3F626FDF">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95</w:t>
            </w:r>
          </w:p>
        </w:tc>
        <w:tc>
          <w:tcPr>
            <w:tcW w:w="791" w:type="dxa"/>
            <w:noWrap/>
            <w:vAlign w:val="center"/>
          </w:tcPr>
          <w:p w14:paraId="40FAD8E0">
            <w:pPr>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w:t>
            </w:r>
          </w:p>
        </w:tc>
        <w:tc>
          <w:tcPr>
            <w:tcW w:w="695" w:type="dxa"/>
            <w:noWrap/>
            <w:vAlign w:val="center"/>
          </w:tcPr>
          <w:p w14:paraId="2E328D04">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w:t>
            </w:r>
          </w:p>
        </w:tc>
        <w:tc>
          <w:tcPr>
            <w:tcW w:w="914" w:type="dxa"/>
            <w:noWrap/>
            <w:vAlign w:val="center"/>
          </w:tcPr>
          <w:p w14:paraId="17FB2F37">
            <w:pPr>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w:t>
            </w:r>
          </w:p>
        </w:tc>
        <w:tc>
          <w:tcPr>
            <w:tcW w:w="723" w:type="dxa"/>
            <w:noWrap/>
            <w:vAlign w:val="center"/>
          </w:tcPr>
          <w:p w14:paraId="2216D66F">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w:t>
            </w:r>
          </w:p>
        </w:tc>
        <w:tc>
          <w:tcPr>
            <w:tcW w:w="668" w:type="dxa"/>
            <w:noWrap/>
            <w:vAlign w:val="center"/>
          </w:tcPr>
          <w:p w14:paraId="1B5FDF11">
            <w:pPr>
              <w:rPr>
                <w:rFonts w:hint="eastAsia" w:ascii="方正仿宋_GBK" w:hAnsi="方正仿宋_GBK" w:eastAsia="方正仿宋_GBK" w:cs="方正仿宋_GBK"/>
                <w:sz w:val="20"/>
                <w:szCs w:val="20"/>
              </w:rPr>
            </w:pPr>
          </w:p>
        </w:tc>
        <w:tc>
          <w:tcPr>
            <w:tcW w:w="712" w:type="dxa"/>
            <w:vMerge w:val="continue"/>
            <w:noWrap/>
            <w:vAlign w:val="center"/>
          </w:tcPr>
          <w:p w14:paraId="6AE23088">
            <w:pPr>
              <w:jc w:val="center"/>
              <w:rPr>
                <w:rFonts w:hint="eastAsia" w:ascii="方正仿宋_GBK" w:hAnsi="方正仿宋_GBK" w:eastAsia="方正仿宋_GBK" w:cs="方正仿宋_GBK"/>
                <w:sz w:val="20"/>
                <w:szCs w:val="20"/>
              </w:rPr>
            </w:pPr>
          </w:p>
        </w:tc>
      </w:tr>
      <w:tr w14:paraId="3D8A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3" w:type="dxa"/>
            <w:vMerge w:val="continue"/>
            <w:noWrap/>
            <w:vAlign w:val="center"/>
          </w:tcPr>
          <w:p w14:paraId="0DED6608">
            <w:pPr>
              <w:jc w:val="center"/>
              <w:textAlignment w:val="center"/>
              <w:rPr>
                <w:rFonts w:hint="eastAsia" w:ascii="方正仿宋_GBK" w:hAnsi="方正仿宋_GBK" w:eastAsia="方正仿宋_GBK" w:cs="方正仿宋_GBK"/>
                <w:sz w:val="20"/>
                <w:szCs w:val="20"/>
              </w:rPr>
            </w:pPr>
          </w:p>
        </w:tc>
        <w:tc>
          <w:tcPr>
            <w:tcW w:w="802" w:type="dxa"/>
            <w:vMerge w:val="continue"/>
            <w:noWrap/>
            <w:vAlign w:val="center"/>
          </w:tcPr>
          <w:p w14:paraId="11B3449D">
            <w:pPr>
              <w:jc w:val="center"/>
              <w:rPr>
                <w:rFonts w:hint="eastAsia" w:ascii="方正仿宋_GBK" w:hAnsi="方正仿宋_GBK" w:eastAsia="方正仿宋_GBK" w:cs="方正仿宋_GBK"/>
                <w:sz w:val="20"/>
                <w:szCs w:val="20"/>
              </w:rPr>
            </w:pPr>
          </w:p>
        </w:tc>
        <w:tc>
          <w:tcPr>
            <w:tcW w:w="1214" w:type="dxa"/>
            <w:noWrap/>
            <w:vAlign w:val="center"/>
          </w:tcPr>
          <w:p w14:paraId="7130D7F4">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执行率</w:t>
            </w:r>
          </w:p>
        </w:tc>
        <w:tc>
          <w:tcPr>
            <w:tcW w:w="831" w:type="dxa"/>
            <w:noWrap/>
            <w:vAlign w:val="center"/>
          </w:tcPr>
          <w:p w14:paraId="2DDD276C">
            <w:pPr>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auto"/>
                <w:kern w:val="0"/>
                <w:sz w:val="20"/>
                <w:szCs w:val="20"/>
                <w:u w:val="none"/>
                <w:lang w:val="en-US" w:eastAsia="zh-CN" w:bidi="ar"/>
              </w:rPr>
              <w:t>＝</w:t>
            </w:r>
          </w:p>
        </w:tc>
        <w:tc>
          <w:tcPr>
            <w:tcW w:w="805" w:type="dxa"/>
            <w:noWrap/>
            <w:vAlign w:val="center"/>
          </w:tcPr>
          <w:p w14:paraId="3F63A769">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100</w:t>
            </w:r>
          </w:p>
        </w:tc>
        <w:tc>
          <w:tcPr>
            <w:tcW w:w="791" w:type="dxa"/>
            <w:noWrap/>
            <w:vAlign w:val="center"/>
          </w:tcPr>
          <w:p w14:paraId="2846F84A">
            <w:pPr>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w:t>
            </w:r>
          </w:p>
        </w:tc>
        <w:tc>
          <w:tcPr>
            <w:tcW w:w="695" w:type="dxa"/>
            <w:noWrap/>
            <w:vAlign w:val="center"/>
          </w:tcPr>
          <w:p w14:paraId="53A501A9">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w:t>
            </w:r>
          </w:p>
        </w:tc>
        <w:tc>
          <w:tcPr>
            <w:tcW w:w="914" w:type="dxa"/>
            <w:noWrap/>
            <w:vAlign w:val="center"/>
          </w:tcPr>
          <w:p w14:paraId="12022191">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100</w:t>
            </w:r>
          </w:p>
        </w:tc>
        <w:tc>
          <w:tcPr>
            <w:tcW w:w="723" w:type="dxa"/>
            <w:noWrap/>
            <w:vAlign w:val="center"/>
          </w:tcPr>
          <w:p w14:paraId="01EF8A01">
            <w:pPr>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w:t>
            </w:r>
          </w:p>
        </w:tc>
        <w:tc>
          <w:tcPr>
            <w:tcW w:w="668" w:type="dxa"/>
            <w:noWrap/>
            <w:vAlign w:val="center"/>
          </w:tcPr>
          <w:p w14:paraId="470087F3">
            <w:pPr>
              <w:rPr>
                <w:rFonts w:hint="eastAsia" w:ascii="方正仿宋_GBK" w:hAnsi="方正仿宋_GBK" w:eastAsia="方正仿宋_GBK" w:cs="方正仿宋_GBK"/>
                <w:sz w:val="20"/>
                <w:szCs w:val="20"/>
              </w:rPr>
            </w:pPr>
          </w:p>
        </w:tc>
        <w:tc>
          <w:tcPr>
            <w:tcW w:w="712" w:type="dxa"/>
            <w:vMerge w:val="continue"/>
            <w:noWrap/>
            <w:vAlign w:val="center"/>
          </w:tcPr>
          <w:p w14:paraId="6B5E21CE">
            <w:pPr>
              <w:jc w:val="center"/>
              <w:rPr>
                <w:rFonts w:hint="eastAsia" w:ascii="方正仿宋_GBK" w:hAnsi="方正仿宋_GBK" w:eastAsia="方正仿宋_GBK" w:cs="方正仿宋_GBK"/>
                <w:sz w:val="20"/>
                <w:szCs w:val="20"/>
              </w:rPr>
            </w:pPr>
          </w:p>
        </w:tc>
      </w:tr>
    </w:tbl>
    <w:p w14:paraId="4310C03D">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w:t>
      </w:r>
      <w:r>
        <w:rPr>
          <w:rFonts w:hint="eastAsia" w:ascii="Times New Roman" w:hAnsi="Times New Roman" w:eastAsia="方正楷体_GBK" w:cs="宋体"/>
          <w:bCs/>
          <w:kern w:val="0"/>
          <w:sz w:val="32"/>
          <w:szCs w:val="20"/>
          <w:lang w:val="en-US" w:eastAsia="zh-CN"/>
        </w:rPr>
        <w:t>单位</w:t>
      </w:r>
      <w:r>
        <w:rPr>
          <w:rFonts w:hint="eastAsia" w:ascii="Times New Roman" w:hAnsi="Times New Roman" w:eastAsia="方正楷体_GBK" w:cs="宋体"/>
          <w:bCs/>
          <w:kern w:val="0"/>
          <w:sz w:val="32"/>
          <w:szCs w:val="20"/>
        </w:rPr>
        <w:t>重点绩效评价情况</w:t>
      </w:r>
    </w:p>
    <w:p w14:paraId="0249EB13">
      <w:pPr>
        <w:widowControl w:val="0"/>
        <w:spacing w:line="600" w:lineRule="exact"/>
        <w:ind w:firstLine="627" w:firstLineChars="196"/>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我单位2024年度无重点绩效评价。</w:t>
      </w:r>
    </w:p>
    <w:p w14:paraId="684EF1DE">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（三）财政绩效评价情况</w:t>
      </w:r>
    </w:p>
    <w:p w14:paraId="6BECB470">
      <w:pPr>
        <w:widowControl w:val="0"/>
        <w:spacing w:line="600" w:lineRule="exact"/>
        <w:ind w:firstLine="627" w:firstLineChars="196"/>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财政重点绩效评价由区财政局统一公开。</w:t>
      </w:r>
    </w:p>
    <w:p w14:paraId="316216F2">
      <w:pPr>
        <w:widowControl w:val="0"/>
        <w:spacing w:line="600" w:lineRule="exact"/>
        <w:ind w:firstLine="640" w:firstLineChars="200"/>
        <w:jc w:val="both"/>
        <w:rPr>
          <w:rFonts w:hint="eastAsia" w:ascii="Times New Roman" w:hAnsi="Times New Roman" w:eastAsia="方正黑体_GBK" w:cs="宋体"/>
          <w:bCs/>
          <w:kern w:val="0"/>
          <w:sz w:val="32"/>
          <w:szCs w:val="32"/>
        </w:rPr>
      </w:pPr>
      <w:r>
        <w:rPr>
          <w:rFonts w:hint="eastAsia" w:ascii="Times New Roman" w:hAnsi="Times New Roman" w:eastAsia="方正黑体_GBK" w:cs="宋体"/>
          <w:bCs/>
          <w:kern w:val="0"/>
          <w:sz w:val="32"/>
          <w:szCs w:val="32"/>
          <w:lang w:eastAsia="zh-CN"/>
        </w:rPr>
        <w:t>六、专业名词解释</w:t>
      </w:r>
    </w:p>
    <w:p w14:paraId="121682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lang w:val="en-US" w:eastAsia="zh-CN"/>
        </w:rPr>
        <w:t>（一）财政拨款收入：</w:t>
      </w:r>
      <w:r>
        <w:rPr>
          <w:rFonts w:hint="eastAsia" w:ascii="方正仿宋_GBK" w:hAnsi="方正仿宋_GBK" w:eastAsia="方正仿宋_GBK" w:cs="方正仿宋_GBK"/>
          <w:color w:val="auto"/>
          <w:sz w:val="32"/>
          <w:szCs w:val="32"/>
        </w:rPr>
        <w:t>指本年度从本级财政部门取得的财政拨款，包括一般公共预算财政拨款和政府性基金预算财政拨款。</w:t>
      </w:r>
    </w:p>
    <w:p w14:paraId="5B6AED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lang w:val="en-US" w:eastAsia="zh-CN"/>
        </w:rPr>
        <w:t>（二）事业收入：</w:t>
      </w:r>
      <w:r>
        <w:rPr>
          <w:rFonts w:hint="eastAsia" w:ascii="方正仿宋_GBK" w:hAnsi="方正仿宋_GBK" w:eastAsia="方正仿宋_GBK" w:cs="方正仿宋_GBK"/>
          <w:color w:val="auto"/>
          <w:sz w:val="32"/>
          <w:szCs w:val="32"/>
        </w:rPr>
        <w:t>指事业单位开展专业业务活动及其辅助活动取得的现金流入；事业单位收到的财政专户实际核拨的教育收费等资金在此反映。</w:t>
      </w:r>
    </w:p>
    <w:p w14:paraId="03FEB0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lang w:val="en-US" w:eastAsia="zh-CN"/>
        </w:rPr>
        <w:t>（三）经营收入：</w:t>
      </w:r>
      <w:r>
        <w:rPr>
          <w:rFonts w:hint="eastAsia" w:ascii="方正仿宋_GBK" w:hAnsi="方正仿宋_GBK" w:eastAsia="方正仿宋_GBK" w:cs="方正仿宋_GBK"/>
          <w:color w:val="auto"/>
          <w:sz w:val="32"/>
          <w:szCs w:val="32"/>
        </w:rPr>
        <w:t>指事业单位在专业业务活动及其辅助活动之外开展非独立核算经营活动取得的现金流入。</w:t>
      </w:r>
    </w:p>
    <w:p w14:paraId="4517DB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lang w:val="en-US" w:eastAsia="zh-CN"/>
        </w:rPr>
        <w:t>（四）其他收入：</w:t>
      </w:r>
      <w:r>
        <w:rPr>
          <w:rFonts w:hint="eastAsia" w:ascii="方正仿宋_GBK" w:hAnsi="方正仿宋_GBK" w:eastAsia="方正仿宋_GBK" w:cs="方正仿宋_GBK"/>
          <w:color w:val="auto"/>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386E5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lang w:val="en-US" w:eastAsia="zh-CN"/>
        </w:rPr>
        <w:t>（五）使用非财政拨款结余：</w:t>
      </w:r>
      <w:r>
        <w:rPr>
          <w:rFonts w:hint="eastAsia" w:ascii="方正仿宋_GBK" w:hAnsi="方正仿宋_GBK" w:eastAsia="方正仿宋_GBK" w:cs="方正仿宋_GBK"/>
          <w:color w:val="auto"/>
          <w:sz w:val="32"/>
          <w:szCs w:val="32"/>
        </w:rPr>
        <w:t>指单位在当年的“财政拨款收入”、“事业收入”、“经营收入”、“其他收入”等不足以安排当年支出的情况下，使用以前年度积累的非财政拨款结余弥补本年度收支缺口的资金。</w:t>
      </w:r>
    </w:p>
    <w:p w14:paraId="488406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lang w:val="en-US" w:eastAsia="zh-CN"/>
        </w:rPr>
        <w:t>（六）年初结转和结余：</w:t>
      </w:r>
      <w:r>
        <w:rPr>
          <w:rFonts w:hint="eastAsia" w:ascii="方正仿宋_GBK" w:hAnsi="方正仿宋_GBK" w:eastAsia="方正仿宋_GBK" w:cs="方正仿宋_GBK"/>
          <w:color w:val="auto"/>
          <w:sz w:val="32"/>
          <w:szCs w:val="32"/>
        </w:rPr>
        <w:t>指单位上年结转本年使用的基本支出结转、项目支出结转和结余、经营结余。</w:t>
      </w:r>
    </w:p>
    <w:p w14:paraId="5408C6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lang w:val="en-US" w:eastAsia="zh-CN"/>
        </w:rPr>
        <w:t>（七）结余分配：</w:t>
      </w:r>
      <w:r>
        <w:rPr>
          <w:rFonts w:hint="eastAsia" w:ascii="方正仿宋_GBK" w:hAnsi="方正仿宋_GBK" w:eastAsia="方正仿宋_GBK" w:cs="方正仿宋_GBK"/>
          <w:color w:val="auto"/>
          <w:sz w:val="32"/>
          <w:szCs w:val="32"/>
        </w:rPr>
        <w:t>指单位按照国家有关规定，缴纳所得税、提取专用基金、转入非财政拨款结余等当年结余的分配情况。</w:t>
      </w:r>
    </w:p>
    <w:p w14:paraId="2E1CD3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lang w:val="en-US" w:eastAsia="zh-CN"/>
        </w:rPr>
        <w:t>（八）年末结转和结余：</w:t>
      </w:r>
      <w:r>
        <w:rPr>
          <w:rFonts w:hint="eastAsia" w:ascii="方正仿宋_GBK" w:hAnsi="方正仿宋_GBK" w:eastAsia="方正仿宋_GBK" w:cs="方正仿宋_GBK"/>
          <w:color w:val="auto"/>
          <w:sz w:val="32"/>
          <w:szCs w:val="32"/>
        </w:rPr>
        <w:t>指单位结转下年的基本支出结转、项目支出结转和结余、经营结余。</w:t>
      </w:r>
    </w:p>
    <w:p w14:paraId="408573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lang w:val="en-US" w:eastAsia="zh-CN"/>
        </w:rPr>
        <w:t>（九）基本支出：</w:t>
      </w:r>
      <w:r>
        <w:rPr>
          <w:rFonts w:hint="eastAsia" w:ascii="方正仿宋_GBK" w:hAnsi="方正仿宋_GBK" w:eastAsia="方正仿宋_GBK" w:cs="方正仿宋_GBK"/>
          <w:color w:val="auto"/>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F543D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lang w:val="en-US" w:eastAsia="zh-CN"/>
        </w:rPr>
        <w:t>（十）项目支出：</w:t>
      </w:r>
      <w:r>
        <w:rPr>
          <w:rFonts w:hint="eastAsia" w:ascii="方正仿宋_GBK" w:hAnsi="方正仿宋_GBK" w:eastAsia="方正仿宋_GBK" w:cs="方正仿宋_GBK"/>
          <w:color w:val="auto"/>
          <w:sz w:val="32"/>
          <w:szCs w:val="32"/>
        </w:rPr>
        <w:t>指在基本支出之外为完成特定行政任务和事业发展目标所发生的支出。</w:t>
      </w:r>
    </w:p>
    <w:p w14:paraId="5C7915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lang w:val="en-US" w:eastAsia="zh-CN"/>
        </w:rPr>
        <w:t>（十一）经营支出：</w:t>
      </w:r>
      <w:r>
        <w:rPr>
          <w:rFonts w:hint="eastAsia" w:ascii="方正仿宋_GBK" w:hAnsi="方正仿宋_GBK" w:eastAsia="方正仿宋_GBK" w:cs="方正仿宋_GBK"/>
          <w:color w:val="auto"/>
          <w:sz w:val="32"/>
          <w:szCs w:val="32"/>
        </w:rPr>
        <w:t>指事业单位在专业业务活动及其辅助活动之外开展非独立核算经营活动发生的支出。</w:t>
      </w:r>
    </w:p>
    <w:p w14:paraId="01D0FA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lang w:val="en-US" w:eastAsia="zh-CN"/>
        </w:rPr>
        <w:t>（十二）“三公”经费：</w:t>
      </w:r>
      <w:r>
        <w:rPr>
          <w:rFonts w:hint="eastAsia" w:ascii="方正仿宋_GBK" w:hAnsi="方正仿宋_GBK" w:eastAsia="方正仿宋_GBK" w:cs="方正仿宋_GBK"/>
          <w:color w:val="auto"/>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A7F35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lang w:val="en-US" w:eastAsia="zh-CN"/>
        </w:rPr>
        <w:t>（十三）机关运行经费：</w:t>
      </w:r>
      <w:r>
        <w:rPr>
          <w:rFonts w:hint="eastAsia" w:ascii="方正仿宋_GBK" w:hAnsi="方正仿宋_GBK" w:eastAsia="方正仿宋_GBK" w:cs="方正仿宋_GBK"/>
          <w:color w:val="auto"/>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49666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（十四）工资福利支出（支出经济分类科目类级）：</w:t>
      </w:r>
      <w:r>
        <w:rPr>
          <w:rFonts w:hint="eastAsia" w:ascii="方正仿宋_GBK" w:hAnsi="方正仿宋_GBK" w:eastAsia="方正仿宋_GBK" w:cs="方正仿宋_GBK"/>
          <w:color w:val="auto"/>
          <w:sz w:val="32"/>
          <w:szCs w:val="32"/>
        </w:rPr>
        <w:t>反映单位开支的在职职工和编制外长期聘用人员的各类劳动报酬，以及为上述人员缴纳的各项社会保险费等。</w:t>
      </w:r>
    </w:p>
    <w:p w14:paraId="070C65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lang w:val="en-US" w:eastAsia="zh-CN"/>
        </w:rPr>
        <w:t>（十五）商品和服务支出（支出经济分类科目类级）：</w:t>
      </w:r>
      <w:r>
        <w:rPr>
          <w:rFonts w:hint="eastAsia" w:ascii="方正仿宋_GBK" w:hAnsi="方正仿宋_GBK" w:eastAsia="方正仿宋_GBK" w:cs="方正仿宋_GBK"/>
          <w:color w:val="auto"/>
          <w:sz w:val="32"/>
          <w:szCs w:val="32"/>
        </w:rPr>
        <w:t>反映单位购买商品和服务的支出（不包括用于购置固定资产的支出、战略性和应急储备支出）。</w:t>
      </w:r>
    </w:p>
    <w:p w14:paraId="324BE2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lang w:val="en-US" w:eastAsia="zh-CN"/>
        </w:rPr>
        <w:t>（十六）对个人和家庭的补助（支出经济分类科目类级）：</w:t>
      </w:r>
      <w:r>
        <w:rPr>
          <w:rFonts w:hint="eastAsia" w:ascii="方正仿宋_GBK" w:hAnsi="方正仿宋_GBK" w:eastAsia="方正仿宋_GBK" w:cs="方正仿宋_GBK"/>
          <w:color w:val="auto"/>
          <w:sz w:val="32"/>
          <w:szCs w:val="32"/>
        </w:rPr>
        <w:t>反映用于对个人和家庭的补助支出。</w:t>
      </w:r>
    </w:p>
    <w:p w14:paraId="6E951B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lang w:val="en-US" w:eastAsia="zh-CN"/>
        </w:rPr>
        <w:t>（十七）其他资本性支出（支出经济分类科目类级）：</w:t>
      </w:r>
      <w:r>
        <w:rPr>
          <w:rFonts w:hint="eastAsia" w:ascii="方正仿宋_GBK" w:hAnsi="方正仿宋_GBK" w:eastAsia="方正仿宋_GBK" w:cs="方正仿宋_GBK"/>
          <w:color w:val="auto"/>
          <w:sz w:val="32"/>
          <w:szCs w:val="32"/>
        </w:rPr>
        <w:t>反映非各级发展与改革部门集中安排的用于购置固定资产、战略性和应急性储备、土地和无形资产，以及构建基础设施、大型修缮和财政支持企业更新改造所发生的支出。</w:t>
      </w:r>
    </w:p>
    <w:p w14:paraId="1B841F17">
      <w:pPr>
        <w:widowControl w:val="0"/>
        <w:spacing w:line="600" w:lineRule="exact"/>
        <w:ind w:firstLine="640" w:firstLineChars="200"/>
        <w:jc w:val="both"/>
        <w:rPr>
          <w:rFonts w:hint="eastAsia" w:ascii="Times New Roman" w:hAnsi="Times New Roman" w:eastAsia="方正黑体_GBK" w:cs="宋体"/>
          <w:bCs/>
          <w:kern w:val="0"/>
          <w:sz w:val="32"/>
          <w:szCs w:val="20"/>
          <w:lang w:eastAsia="zh-CN"/>
        </w:rPr>
      </w:pPr>
      <w:r>
        <w:rPr>
          <w:rFonts w:hint="eastAsia" w:ascii="Times New Roman" w:hAnsi="Times New Roman" w:eastAsia="方正黑体_GBK" w:cs="宋体"/>
          <w:bCs/>
          <w:kern w:val="0"/>
          <w:sz w:val="32"/>
          <w:szCs w:val="20"/>
          <w:lang w:eastAsia="zh-CN"/>
        </w:rPr>
        <w:t>七、决算公开联系方式及信息反馈渠道</w:t>
      </w:r>
    </w:p>
    <w:p w14:paraId="039619A8">
      <w:pPr>
        <w:widowControl w:val="0"/>
        <w:spacing w:line="600" w:lineRule="exact"/>
        <w:ind w:firstLine="627" w:firstLineChars="196"/>
        <w:jc w:val="both"/>
        <w:rPr>
          <w:rFonts w:hint="default"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rPr>
        <w:t>本单位决算公开信息反馈和联系方式：</w:t>
      </w:r>
      <w:r>
        <w:rPr>
          <w:rFonts w:hint="eastAsia" w:ascii="Times New Roman" w:hAnsi="Times New Roman" w:eastAsia="方正仿宋_GBK" w:cs="宋体"/>
          <w:kern w:val="0"/>
          <w:sz w:val="32"/>
          <w:szCs w:val="32"/>
          <w:lang w:val="en-US" w:eastAsia="zh-CN"/>
        </w:rPr>
        <w:t>023-86196126。</w:t>
      </w:r>
    </w:p>
    <w:p w14:paraId="397DB23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eastAsia="方正仿宋_GBK"/>
          <w:color w:val="auto"/>
          <w:sz w:val="32"/>
          <w:szCs w:val="32"/>
        </w:rPr>
      </w:pPr>
    </w:p>
    <w:p w14:paraId="2351C1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方正仿宋_GBK" w:eastAsia="方正仿宋_GBK"/>
          <w:sz w:val="32"/>
          <w:szCs w:val="32"/>
        </w:rPr>
      </w:pPr>
      <w:r>
        <w:rPr>
          <w:rFonts w:hint="eastAsia" w:ascii="方正仿宋_GBK" w:eastAsia="方正仿宋_GBK"/>
          <w:sz w:val="32"/>
          <w:szCs w:val="32"/>
        </w:rPr>
        <w:t>附</w:t>
      </w:r>
      <w:r>
        <w:rPr>
          <w:rFonts w:hint="eastAsia" w:ascii="方正仿宋_GBK" w:eastAsia="方正仿宋_GBK"/>
          <w:sz w:val="32"/>
          <w:szCs w:val="32"/>
          <w:lang w:eastAsia="zh-CN"/>
        </w:rPr>
        <w:t>件</w:t>
      </w:r>
      <w:r>
        <w:rPr>
          <w:rFonts w:hint="eastAsia" w:ascii="方正仿宋_GBK" w:eastAsia="方正仿宋_GBK"/>
          <w:sz w:val="32"/>
          <w:szCs w:val="32"/>
        </w:rPr>
        <w:t>：</w:t>
      </w:r>
      <w:r>
        <w:rPr>
          <w:rFonts w:hint="eastAsia" w:ascii="Times New Roman" w:hAnsi="Times New Roman" w:eastAsia="方正仿宋_GBK" w:cs="Times New Roman"/>
          <w:color w:val="auto"/>
          <w:sz w:val="32"/>
          <w:szCs w:val="32"/>
          <w:lang w:val="en-US" w:eastAsia="zh-CN"/>
        </w:rPr>
        <w:t>1.</w:t>
      </w:r>
      <w:r>
        <w:rPr>
          <w:rFonts w:hint="eastAsia" w:ascii="方正仿宋_GBK" w:eastAsia="方正仿宋_GBK"/>
          <w:sz w:val="32"/>
          <w:szCs w:val="32"/>
        </w:rPr>
        <w:t>收入支出决算总表</w:t>
      </w:r>
    </w:p>
    <w:p w14:paraId="1B76D390">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ascii="方正仿宋_GBK" w:eastAsia="方正仿宋_GBK"/>
          <w:sz w:val="32"/>
          <w:szCs w:val="32"/>
        </w:rPr>
      </w:pPr>
      <w:r>
        <w:rPr>
          <w:rFonts w:hint="eastAsia" w:ascii="Times New Roman" w:hAnsi="Times New Roman" w:eastAsia="方正仿宋_GBK" w:cs="Times New Roman"/>
          <w:color w:val="auto"/>
          <w:sz w:val="32"/>
          <w:szCs w:val="32"/>
          <w:lang w:val="en-US" w:eastAsia="zh-CN"/>
        </w:rPr>
        <w:t>2.</w:t>
      </w:r>
      <w:r>
        <w:rPr>
          <w:rFonts w:hint="eastAsia" w:ascii="方正仿宋_GBK" w:eastAsia="方正仿宋_GBK"/>
          <w:sz w:val="32"/>
          <w:szCs w:val="32"/>
        </w:rPr>
        <w:t>收入决算表</w:t>
      </w:r>
    </w:p>
    <w:p w14:paraId="065038EC">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ascii="方正仿宋_GBK" w:eastAsia="方正仿宋_GBK"/>
          <w:sz w:val="32"/>
          <w:szCs w:val="32"/>
        </w:rPr>
      </w:pPr>
      <w:r>
        <w:rPr>
          <w:rFonts w:hint="eastAsia" w:ascii="Times New Roman" w:hAnsi="Times New Roman" w:eastAsia="方正仿宋_GBK" w:cs="Times New Roman"/>
          <w:color w:val="auto"/>
          <w:sz w:val="32"/>
          <w:szCs w:val="32"/>
          <w:lang w:val="en-US" w:eastAsia="zh-CN"/>
        </w:rPr>
        <w:t>3.</w:t>
      </w:r>
      <w:r>
        <w:rPr>
          <w:rFonts w:hint="eastAsia" w:ascii="方正仿宋_GBK" w:eastAsia="方正仿宋_GBK"/>
          <w:sz w:val="32"/>
          <w:szCs w:val="32"/>
        </w:rPr>
        <w:t>支出决算表</w:t>
      </w:r>
    </w:p>
    <w:p w14:paraId="37BB3D33">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ascii="方正仿宋_GBK" w:eastAsia="方正仿宋_GBK"/>
          <w:sz w:val="32"/>
          <w:szCs w:val="32"/>
        </w:rPr>
      </w:pPr>
      <w:r>
        <w:rPr>
          <w:rFonts w:hint="eastAsia" w:ascii="Times New Roman" w:hAnsi="Times New Roman" w:eastAsia="方正仿宋_GBK" w:cs="Times New Roman"/>
          <w:color w:val="auto"/>
          <w:sz w:val="32"/>
          <w:szCs w:val="32"/>
          <w:lang w:val="en-US" w:eastAsia="zh-CN"/>
        </w:rPr>
        <w:t>4.</w:t>
      </w:r>
      <w:r>
        <w:rPr>
          <w:rFonts w:hint="eastAsia" w:ascii="方正仿宋_GBK" w:eastAsia="方正仿宋_GBK"/>
          <w:sz w:val="32"/>
          <w:szCs w:val="32"/>
        </w:rPr>
        <w:t>财政拨款收入支出决算总表</w:t>
      </w:r>
    </w:p>
    <w:p w14:paraId="6146A1F7">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ascii="方正仿宋_GBK" w:eastAsia="方正仿宋_GBK"/>
          <w:sz w:val="32"/>
          <w:szCs w:val="32"/>
        </w:rPr>
      </w:pPr>
      <w:r>
        <w:rPr>
          <w:rFonts w:hint="eastAsia" w:ascii="Times New Roman" w:hAnsi="Times New Roman" w:eastAsia="方正仿宋_GBK" w:cs="Times New Roman"/>
          <w:color w:val="auto"/>
          <w:sz w:val="32"/>
          <w:szCs w:val="32"/>
          <w:lang w:val="en-US" w:eastAsia="zh-CN"/>
        </w:rPr>
        <w:t>5.</w:t>
      </w:r>
      <w:r>
        <w:rPr>
          <w:rFonts w:hint="eastAsia" w:ascii="方正仿宋_GBK" w:eastAsia="方正仿宋_GBK"/>
          <w:sz w:val="32"/>
          <w:szCs w:val="32"/>
        </w:rPr>
        <w:t>一般公共预算财政拨款支出决算表</w:t>
      </w:r>
    </w:p>
    <w:p w14:paraId="4E2B5B9C">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ascii="方正仿宋_GBK" w:eastAsia="方正仿宋_GBK"/>
          <w:sz w:val="32"/>
          <w:szCs w:val="32"/>
        </w:rPr>
      </w:pPr>
      <w:r>
        <w:rPr>
          <w:rFonts w:hint="eastAsia" w:ascii="Times New Roman" w:hAnsi="Times New Roman" w:eastAsia="方正仿宋_GBK" w:cs="Times New Roman"/>
          <w:color w:val="auto"/>
          <w:sz w:val="32"/>
          <w:szCs w:val="32"/>
          <w:lang w:val="en-US" w:eastAsia="zh-CN"/>
        </w:rPr>
        <w:t>6.</w:t>
      </w:r>
      <w:r>
        <w:rPr>
          <w:rFonts w:hint="eastAsia" w:ascii="方正仿宋_GBK" w:eastAsia="方正仿宋_GBK"/>
          <w:sz w:val="32"/>
          <w:szCs w:val="32"/>
        </w:rPr>
        <w:t>一般公共预算财政拨款基本支出决算表</w:t>
      </w:r>
    </w:p>
    <w:p w14:paraId="2AF234F0">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ascii="方正仿宋_GBK" w:eastAsia="方正仿宋_GBK"/>
          <w:sz w:val="32"/>
          <w:szCs w:val="32"/>
        </w:rPr>
      </w:pPr>
      <w:r>
        <w:rPr>
          <w:rFonts w:hint="eastAsia" w:ascii="Times New Roman" w:hAnsi="Times New Roman" w:eastAsia="方正仿宋_GBK" w:cs="Times New Roman"/>
          <w:color w:val="auto"/>
          <w:sz w:val="32"/>
          <w:szCs w:val="32"/>
          <w:lang w:val="en-US" w:eastAsia="zh-CN"/>
        </w:rPr>
        <w:t>7.</w:t>
      </w:r>
      <w:r>
        <w:rPr>
          <w:rFonts w:hint="eastAsia" w:ascii="方正仿宋_GBK" w:eastAsia="方正仿宋_GBK"/>
          <w:sz w:val="32"/>
          <w:szCs w:val="32"/>
        </w:rPr>
        <w:t>政府性基金预算财政拨款收入支出决算表</w:t>
      </w:r>
    </w:p>
    <w:p w14:paraId="53EB4071">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ascii="方正仿宋_GBK" w:eastAsia="方正仿宋_GBK"/>
          <w:sz w:val="32"/>
          <w:szCs w:val="32"/>
        </w:rPr>
      </w:pPr>
      <w:r>
        <w:rPr>
          <w:rFonts w:hint="eastAsia" w:ascii="Times New Roman" w:hAnsi="Times New Roman" w:eastAsia="方正仿宋_GBK" w:cs="Times New Roman"/>
          <w:color w:val="auto"/>
          <w:sz w:val="32"/>
          <w:szCs w:val="32"/>
          <w:lang w:val="en-US" w:eastAsia="zh-CN"/>
        </w:rPr>
        <w:t>8.</w:t>
      </w:r>
      <w:r>
        <w:rPr>
          <w:rFonts w:hint="eastAsia" w:ascii="方正仿宋_GBK" w:eastAsia="方正仿宋_GBK"/>
          <w:sz w:val="32"/>
          <w:szCs w:val="32"/>
        </w:rPr>
        <w:t>国有资本经营预算财政拨款支出决算表</w:t>
      </w:r>
    </w:p>
    <w:p w14:paraId="2CBD24C8">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方正仿宋_GBK" w:eastAsia="方正仿宋_GBK"/>
          <w:sz w:val="32"/>
          <w:szCs w:val="32"/>
        </w:rPr>
        <w:sectPr>
          <w:footerReference r:id="rId3" w:type="default"/>
          <w:pgSz w:w="11915" w:h="16840"/>
          <w:pgMar w:top="2098" w:right="1531" w:bottom="1984" w:left="1531" w:header="851" w:footer="992" w:gutter="0"/>
          <w:pgBorders>
            <w:top w:val="none" w:sz="0" w:space="0"/>
            <w:left w:val="none" w:sz="0" w:space="0"/>
            <w:bottom w:val="none" w:sz="0" w:space="0"/>
            <w:right w:val="none" w:sz="0" w:space="0"/>
          </w:pgBorders>
          <w:pgNumType w:fmt="numberInDash" w:start="2"/>
          <w:cols w:space="0" w:num="1"/>
          <w:rtlGutter w:val="0"/>
          <w:docGrid w:type="lines" w:linePitch="312" w:charSpace="0"/>
        </w:sectPr>
      </w:pPr>
      <w:r>
        <w:rPr>
          <w:rFonts w:hint="eastAsia" w:ascii="Times New Roman" w:hAnsi="Times New Roman" w:eastAsia="方正仿宋_GBK" w:cs="Times New Roman"/>
          <w:color w:val="auto"/>
          <w:sz w:val="32"/>
          <w:szCs w:val="32"/>
          <w:lang w:val="en-US" w:eastAsia="zh-CN"/>
        </w:rPr>
        <w:t>9.</w:t>
      </w:r>
      <w:r>
        <w:rPr>
          <w:rFonts w:hint="eastAsia" w:ascii="方正仿宋_GBK" w:eastAsia="方正仿宋_GBK"/>
          <w:sz w:val="32"/>
          <w:szCs w:val="32"/>
        </w:rPr>
        <w:t>机构运行信息</w:t>
      </w:r>
      <w:bookmarkEnd w:id="0"/>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F0FD43F">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146A4BF">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8C40668">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1D613E9">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6EDEE5C">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E65297E">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138206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5AA34F7">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5E2B37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重庆市九龙坡区共和小学校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E379F3F">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E4A684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0C1C6DF">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663E">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10464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1AA43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D3E75">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97B41">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1B7E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B2A4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AB158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654FE">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1B6D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1,203.39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EB479">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BD1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B05C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FFEC">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849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36A1D">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C16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A747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B4DF">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211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DD00D">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48D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3360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97916">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2BD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B82D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E26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30C7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8470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294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89AA0">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971F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958.45</w:t>
            </w:r>
            <w:r>
              <w:rPr>
                <w:rFonts w:ascii="Times New Roman" w:hAnsi="Times New Roman"/>
                <w:color w:val="000000"/>
                <w:sz w:val="20"/>
                <w:u w:color="auto"/>
              </w:rPr>
              <w:t xml:space="preserve"> </w:t>
            </w:r>
          </w:p>
        </w:tc>
      </w:tr>
      <w:tr w14:paraId="67A411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0B5A9">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D22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C4216">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85B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AA14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6625">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E9C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86283">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79C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E976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CD4CB">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AEDF3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B4F09">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FD44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122.06</w:t>
            </w:r>
            <w:r>
              <w:rPr>
                <w:rFonts w:ascii="Times New Roman" w:hAnsi="Times New Roman"/>
                <w:color w:val="000000"/>
                <w:sz w:val="20"/>
                <w:u w:color="auto"/>
              </w:rPr>
              <w:t xml:space="preserve"> </w:t>
            </w:r>
          </w:p>
        </w:tc>
      </w:tr>
      <w:tr w14:paraId="3D8726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A29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95F7C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5707B">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3ED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w:t>
            </w:r>
            <w:r>
              <w:rPr>
                <w:rFonts w:ascii="Times New Roman" w:hAnsi="Times New Roman"/>
                <w:color w:val="000000"/>
                <w:sz w:val="20"/>
                <w:u w:color="auto"/>
              </w:rPr>
              <w:t xml:space="preserve"> </w:t>
            </w:r>
          </w:p>
        </w:tc>
      </w:tr>
      <w:tr w14:paraId="7529D8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B21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F0E45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E0734">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E68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4F07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ACA0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2D24F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5E37B">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7B6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8F84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4B63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9CC44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D9BE0">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777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77A2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2E5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2D15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EB4D3">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74C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4BA8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F4A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2A37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EB9F2">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614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269A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F9A4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68AA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C09D6">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AA0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5580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0E6F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BB3C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1E13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1F6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1807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E428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C2E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9CBB0">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C84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A90957">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2B8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003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3D4E9">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5A3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A4DF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5D0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B0A8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883B0">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86F1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75.22</w:t>
            </w:r>
            <w:r>
              <w:rPr>
                <w:rFonts w:ascii="Times New Roman" w:hAnsi="Times New Roman"/>
                <w:color w:val="000000"/>
                <w:sz w:val="20"/>
                <w:u w:color="auto"/>
              </w:rPr>
              <w:t xml:space="preserve"> </w:t>
            </w:r>
          </w:p>
        </w:tc>
      </w:tr>
      <w:tr w14:paraId="768DB3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44DB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ECA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E77BC">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C44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8B98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7B8B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1F1F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EF9AF">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9A7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4A5A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671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613B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EE57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66A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C17D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1E49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8430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AAE21">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452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3ACA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71E78">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F2C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AC8D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B05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A1DA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4E34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489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8E4E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A0F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38BC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E65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7823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5D858">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959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3A66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4193">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CEBD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1,203.39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51AA0">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7FF2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1,203.39</w:t>
            </w:r>
            <w:r>
              <w:rPr>
                <w:rFonts w:ascii="Times New Roman" w:hAnsi="Times New Roman"/>
                <w:color w:val="000000"/>
                <w:sz w:val="20"/>
                <w:u w:color="auto"/>
              </w:rPr>
              <w:t xml:space="preserve"> </w:t>
            </w:r>
          </w:p>
        </w:tc>
      </w:tr>
      <w:tr w14:paraId="520E23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A73A">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45C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CA98F">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49A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5A64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53273">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6E0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4884D">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D21A7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B517E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C81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C77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1,203.39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CF0ADB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BAA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1,203.39</w:t>
            </w:r>
            <w:r>
              <w:rPr>
                <w:rFonts w:ascii="Times New Roman" w:hAnsi="Times New Roman"/>
                <w:color w:val="000000"/>
                <w:sz w:val="20"/>
                <w:u w:color="auto"/>
              </w:rPr>
              <w:t xml:space="preserve"> </w:t>
            </w:r>
          </w:p>
        </w:tc>
      </w:tr>
    </w:tbl>
    <w:p w14:paraId="0D9B311C">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5E3EEA9">
      <w:pPr>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3DE51238">
        <w:tblPrEx>
          <w:tblCellMar>
            <w:top w:w="0" w:type="dxa"/>
            <w:left w:w="0" w:type="dxa"/>
            <w:bottom w:w="0" w:type="dxa"/>
            <w:right w:w="0" w:type="dxa"/>
          </w:tblCellMar>
        </w:tblPrEx>
        <w:trPr>
          <w:trHeight w:val="524"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3453139">
            <w:pPr>
              <w:jc w:val="center"/>
              <w:textAlignment w:val="bottom"/>
              <w:rPr>
                <w:rFonts w:hint="default" w:cs="宋体"/>
                <w:b/>
                <w:color w:val="000000"/>
                <w:sz w:val="32"/>
                <w:szCs w:val="32"/>
              </w:rPr>
            </w:pPr>
            <w:r>
              <w:rPr>
                <w:rFonts w:cs="宋体"/>
                <w:b/>
                <w:color w:val="000000"/>
                <w:sz w:val="32"/>
                <w:szCs w:val="32"/>
              </w:rPr>
              <w:t>收入决算表</w:t>
            </w:r>
          </w:p>
        </w:tc>
      </w:tr>
      <w:tr w14:paraId="7D13A2B3">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4EE7C3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重庆市九龙坡区共和小学校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66853E1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87FE6DA">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95ADFDD">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BF9AE09">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76406BF">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4F4A9DF">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ABC434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5AECBFA">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A931D08">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5EADD2E">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1BBD9A8">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14F8D80">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EBEE57A">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FD75146">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6E25A26">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7A145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ABDED8">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F66DB1D">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632FE">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77CF1">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7ECCD">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CA9A30">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1C5CE">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1BC18">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0EB7A">
            <w:pPr>
              <w:jc w:val="center"/>
              <w:textAlignment w:val="center"/>
              <w:rPr>
                <w:rFonts w:hint="default" w:cs="宋体"/>
                <w:b/>
                <w:color w:val="000000"/>
                <w:sz w:val="20"/>
                <w:szCs w:val="20"/>
              </w:rPr>
            </w:pPr>
            <w:r>
              <w:rPr>
                <w:rFonts w:cs="宋体"/>
                <w:b/>
                <w:color w:val="000000"/>
                <w:sz w:val="20"/>
                <w:szCs w:val="20"/>
              </w:rPr>
              <w:t>其他收入</w:t>
            </w:r>
          </w:p>
        </w:tc>
      </w:tr>
      <w:tr w14:paraId="151A1B3F">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D0BE">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B4B027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0AED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D30D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C4651">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D013F">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06A76">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E279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7EC9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3C5F5">
            <w:pPr>
              <w:jc w:val="center"/>
              <w:rPr>
                <w:rFonts w:hint="default" w:cs="宋体"/>
                <w:b/>
                <w:color w:val="000000"/>
                <w:sz w:val="20"/>
                <w:szCs w:val="20"/>
              </w:rPr>
            </w:pPr>
          </w:p>
        </w:tc>
      </w:tr>
      <w:tr w14:paraId="5ADBF6BE">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30D25">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2CA00A0">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04B7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757B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9B457">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01BB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08F7A">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6FC9F">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D66E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B8422">
            <w:pPr>
              <w:jc w:val="center"/>
              <w:rPr>
                <w:rFonts w:hint="default" w:cs="宋体"/>
                <w:b/>
                <w:color w:val="000000"/>
                <w:sz w:val="20"/>
                <w:szCs w:val="20"/>
              </w:rPr>
            </w:pPr>
          </w:p>
        </w:tc>
      </w:tr>
      <w:tr w14:paraId="37FCEAF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00C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CF4F0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A113F">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7AC5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DEBB7">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DC2D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1D91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3267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2575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8D8C0">
            <w:pPr>
              <w:jc w:val="center"/>
              <w:rPr>
                <w:rFonts w:hint="default" w:cs="宋体"/>
                <w:b/>
                <w:color w:val="000000"/>
                <w:sz w:val="20"/>
                <w:szCs w:val="20"/>
              </w:rPr>
            </w:pPr>
          </w:p>
        </w:tc>
      </w:tr>
      <w:tr w14:paraId="14BF8009">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5DF8">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4CD94A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F012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27EF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3A9D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2CE1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13F1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6C33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611A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95D56">
            <w:pPr>
              <w:jc w:val="center"/>
              <w:rPr>
                <w:rFonts w:hint="default" w:cs="宋体"/>
                <w:b/>
                <w:color w:val="000000"/>
                <w:sz w:val="20"/>
                <w:szCs w:val="20"/>
              </w:rPr>
            </w:pPr>
          </w:p>
        </w:tc>
      </w:tr>
      <w:tr w14:paraId="10541ECC">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5828">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D99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1,203.39</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058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1,203.39</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7D4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4FC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8A7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9F5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04F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990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2EA456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E56C">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62581">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E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958.45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58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958.45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BB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8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2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7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E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C6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418A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1AB95">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F8B21">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B43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958.45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E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958.45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3B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E0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B43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95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C31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98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ED09D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E6BEE">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F2C38">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9B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958.45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268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958.45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18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72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1D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0B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E4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EA7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0A914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62E6C">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A3C5E">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461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64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AA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250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5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E2F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1C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7E7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3ECA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BF635">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67DA7">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DD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3E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37C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3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7D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41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A81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59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6AE8D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D1228">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A261F">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9F2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26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3B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91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A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DBB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D7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D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0C545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1D401">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CF232">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596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CB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10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1F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6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BB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D9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AA5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C612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C797">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09BB5">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8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B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FD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1E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A25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8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F56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A6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290C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9BB34">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58AE4">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973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3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11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A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D9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7D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4A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46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3FD3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454C">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08DF6">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485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C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35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C91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69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7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88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57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07B37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BA586">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E287C">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47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4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B0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7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BD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9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0FA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E0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630A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4C488">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8A432">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8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F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17A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EF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8B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6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F84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9C4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AA93D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3872">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20EED">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83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8F3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57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B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7D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C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F9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C5F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DF07C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2A27B">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F37B9">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30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64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B3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DD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1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E59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00D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4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2E76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330A">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D995B">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48C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6C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CB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66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9A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3C5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1E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F3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9160C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CF725">
            <w:pPr>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09D74">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6E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E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29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85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14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D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5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E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A28C668">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p w14:paraId="310BBD71">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42640AAA">
        <w:tblPrEx>
          <w:tblCellMar>
            <w:top w:w="0" w:type="dxa"/>
            <w:left w:w="0" w:type="dxa"/>
            <w:bottom w:w="0" w:type="dxa"/>
            <w:right w:w="0" w:type="dxa"/>
          </w:tblCellMar>
        </w:tblPrEx>
        <w:trPr>
          <w:trHeight w:val="447"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6B61E6A">
            <w:pPr>
              <w:jc w:val="center"/>
              <w:textAlignment w:val="bottom"/>
              <w:rPr>
                <w:rFonts w:hint="default" w:cs="宋体"/>
                <w:b/>
                <w:color w:val="000000"/>
                <w:sz w:val="32"/>
                <w:szCs w:val="32"/>
              </w:rPr>
            </w:pPr>
            <w:r>
              <w:rPr>
                <w:rFonts w:cs="宋体"/>
                <w:b/>
                <w:color w:val="000000"/>
                <w:sz w:val="32"/>
                <w:szCs w:val="32"/>
              </w:rPr>
              <w:t>支出决算表</w:t>
            </w:r>
          </w:p>
        </w:tc>
      </w:tr>
      <w:tr w14:paraId="595E1F12">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AD2BDC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重庆市九龙坡区共和小学校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DA02DAA">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E1E5CE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CA31352">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B2DF2F5">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857F5B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1355E7C7">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D3152E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1B05CF2">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3B0548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B16DD02">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EA8351">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50CDD9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0F4DF13">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384832">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2EBB5">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17950">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9647D">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BE805">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8D54E">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0F9C8">
            <w:pPr>
              <w:jc w:val="center"/>
              <w:textAlignment w:val="center"/>
              <w:rPr>
                <w:rFonts w:hint="default" w:cs="宋体"/>
                <w:b/>
                <w:color w:val="000000"/>
                <w:sz w:val="20"/>
                <w:szCs w:val="20"/>
              </w:rPr>
            </w:pPr>
            <w:r>
              <w:rPr>
                <w:rFonts w:cs="宋体"/>
                <w:b/>
                <w:color w:val="000000"/>
                <w:sz w:val="20"/>
                <w:szCs w:val="20"/>
              </w:rPr>
              <w:t>对附属单位补助支出</w:t>
            </w:r>
          </w:p>
        </w:tc>
      </w:tr>
      <w:tr w14:paraId="31690268">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9BDD">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5C827C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03C3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D828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449E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8255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422C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5272C">
            <w:pPr>
              <w:jc w:val="center"/>
              <w:rPr>
                <w:rFonts w:hint="default" w:cs="宋体"/>
                <w:b/>
                <w:color w:val="000000"/>
                <w:sz w:val="20"/>
                <w:szCs w:val="20"/>
              </w:rPr>
            </w:pPr>
          </w:p>
        </w:tc>
      </w:tr>
      <w:tr w14:paraId="69D372D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3CF3D">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AB7753">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EBAF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12FE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451C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D3FC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51E9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1836B">
            <w:pPr>
              <w:jc w:val="center"/>
              <w:rPr>
                <w:rFonts w:hint="default" w:cs="宋体"/>
                <w:b/>
                <w:color w:val="000000"/>
                <w:sz w:val="20"/>
                <w:szCs w:val="20"/>
              </w:rPr>
            </w:pPr>
          </w:p>
        </w:tc>
      </w:tr>
      <w:tr w14:paraId="61E71BF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F2B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22DA8F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EFD7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C243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126C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FF1C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48B6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4ED2F">
            <w:pPr>
              <w:jc w:val="center"/>
              <w:rPr>
                <w:rFonts w:hint="default" w:cs="宋体"/>
                <w:b/>
                <w:color w:val="000000"/>
                <w:sz w:val="20"/>
                <w:szCs w:val="20"/>
              </w:rPr>
            </w:pPr>
          </w:p>
        </w:tc>
      </w:tr>
      <w:tr w14:paraId="46D30502">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4D1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68CE7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4CC4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3C93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0F94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F3F1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73A8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3803E">
            <w:pPr>
              <w:jc w:val="center"/>
              <w:rPr>
                <w:rFonts w:hint="default" w:cs="宋体"/>
                <w:b/>
                <w:color w:val="000000"/>
                <w:sz w:val="20"/>
                <w:szCs w:val="20"/>
              </w:rPr>
            </w:pPr>
          </w:p>
        </w:tc>
      </w:tr>
      <w:tr w14:paraId="7A3CFB63">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FB5E2">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46C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1,203.39</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67E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1,029.90</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B32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173.49</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4D0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758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3BD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45709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DE7B9">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3C610">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E4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958.45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B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784.95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25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93E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F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5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88E6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FFE00">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11E1B">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6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958.45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C53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784.95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D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8F2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1B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A6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8E58E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2E482">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7F369">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9C7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958.45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23F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784.95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21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B18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A0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8F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2FBBE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DF057">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F1865">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C2C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4C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122.06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8F4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61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AF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B66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CF5A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5BAA1">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E438E">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15C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4B6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122.06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637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A95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EB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6D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023F0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AD53">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9D776">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97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5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AD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C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0B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F75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F6536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4BE3">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64556">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B7B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A35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A0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CD9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2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9C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DCF12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207F4">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F93F0">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AB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8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3D6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E7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6D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2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FF95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D781">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3BD09">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0F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FC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A6B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2B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54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8F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3CA2A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14B72">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D6C84">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00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DBC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65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C63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13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A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B327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184AD">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097B6">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F8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C0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D4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C5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E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FDD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CAAA9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86C08">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47EC9">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458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C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F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A3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E7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22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21A0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99647">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D0635">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782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95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2D1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9C1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7A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5AC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B371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6FD3">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B34E4">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C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8A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93D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1A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3EB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3D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0529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13E0">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A4BB0">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C97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5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21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363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1B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9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86D6F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F11B9">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F3EC7">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8D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7A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AE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0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05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93E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F6941BC">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p w14:paraId="69565928">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504357F">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91A365A">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7E6DE7E">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2CCE82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重庆市九龙坡区共和小学校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063135B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FCF7C1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4B2D80B">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3CC7EC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909CF9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FB43F9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CF3904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189A79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794AD7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C8E0B20">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A3FEDF2">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4387A">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586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E767DD2">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DABD3">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AD77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E970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0AEC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541E13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F4767">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92936">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664C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55AC">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4C8DB">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A0F2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7DE60">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EC282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9D9F4">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2DD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1,203.39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63B2">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FEC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817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DC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B2E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739B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C811E">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CED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07786">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DF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79D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14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46E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111F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5FF4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9B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918FF">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E0D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E1E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86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05E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E45D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5DEF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CD95F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2D0F">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6AD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E3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08F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9FD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EAD0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226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A3D7D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BDE4">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26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958.45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56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958.45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DC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65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D1DD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948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B4AB8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B600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B63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30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B6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683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C403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32C3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C32E5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1FEE7">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510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62C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1A8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14B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D947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158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98D53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242A9">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47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D28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B0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55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8564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341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3A789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CAA8">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840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087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B5F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43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DA49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E4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FCC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2184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67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14D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5E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8A5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93FF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CD81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52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7C390">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3B3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6C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127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37C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26DF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CCB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DC5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E4DF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4B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A8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88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8B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7329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F08A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18E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3A0C9">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5A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BC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CB4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B04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55DA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4D3B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A74E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A384F">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17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77B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161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066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1956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E23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0C9B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C09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60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2A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4E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A5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20B8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E76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1A05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A8F5">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FCB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ED3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677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454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BF77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B62E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5577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0C3A">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21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F4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E8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A8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062F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588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87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B951C">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144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31C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EA3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F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A9D4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B32B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01E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E38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1EE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92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64F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50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D23B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D821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497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07DC8">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EF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589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43C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854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918A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EB0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1E23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5FDC">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0F2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0AE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5F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7CA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D0C9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926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A63A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6ED12">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03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2BC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F9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EEA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974F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0A4D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607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4FFB4">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FE5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D7C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BB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12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BDEB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4F52E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19D5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8684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D2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DCF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F1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E1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C159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54C7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6057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6A030">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3DB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BBE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4DF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849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38D5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61350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63D4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56E8F">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85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6E5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51B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E6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5457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C0CEF">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D79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1,203.39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DC43">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168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1,203.39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BC8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1,203.39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D5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6F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258E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7B94">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673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D5706">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9D3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9CA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F9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60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3323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A6EA">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997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A51729">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17564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2C8775">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910BDC">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3B00C6">
            <w:pPr>
              <w:spacing w:line="200" w:lineRule="exact"/>
              <w:rPr>
                <w:rFonts w:hint="default" w:ascii="Times New Roman" w:hAnsi="Times New Roman"/>
                <w:color w:val="000000"/>
                <w:sz w:val="18"/>
                <w:szCs w:val="18"/>
              </w:rPr>
            </w:pPr>
          </w:p>
        </w:tc>
      </w:tr>
      <w:tr w14:paraId="6E96A8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A9E0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F85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696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E4D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C97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ABEF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7634D">
            <w:pPr>
              <w:spacing w:line="200" w:lineRule="exact"/>
              <w:jc w:val="right"/>
              <w:rPr>
                <w:rFonts w:hint="default" w:ascii="Times New Roman" w:hAnsi="Times New Roman"/>
                <w:color w:val="000000"/>
                <w:sz w:val="18"/>
                <w:szCs w:val="18"/>
              </w:rPr>
            </w:pPr>
          </w:p>
        </w:tc>
      </w:tr>
      <w:tr w14:paraId="387344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8FCE0">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40A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AE71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052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69D1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BDD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22DF1">
            <w:pPr>
              <w:spacing w:line="200" w:lineRule="exact"/>
              <w:jc w:val="right"/>
              <w:rPr>
                <w:rFonts w:hint="default" w:ascii="Times New Roman" w:hAnsi="Times New Roman"/>
                <w:color w:val="000000"/>
                <w:sz w:val="18"/>
                <w:szCs w:val="18"/>
              </w:rPr>
            </w:pPr>
          </w:p>
        </w:tc>
      </w:tr>
      <w:tr w14:paraId="107E10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B77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60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1,203.39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580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FE2B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1,203.39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6C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1,203.39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B8B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C58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7CA1AB6">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27DF105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1126FE7">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CEED142">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324D4A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重庆市九龙坡区共和小学校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58849E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E68F1F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CA26F38">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99667C0">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72A42D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DEC2DD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1EC733">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F3468">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C70771">
            <w:pPr>
              <w:jc w:val="center"/>
              <w:textAlignment w:val="center"/>
              <w:rPr>
                <w:rFonts w:hint="default" w:cs="宋体"/>
                <w:b/>
                <w:color w:val="000000"/>
                <w:sz w:val="20"/>
                <w:szCs w:val="20"/>
              </w:rPr>
            </w:pPr>
            <w:r>
              <w:rPr>
                <w:rFonts w:cs="宋体"/>
                <w:b/>
                <w:color w:val="000000"/>
                <w:sz w:val="20"/>
                <w:szCs w:val="20"/>
              </w:rPr>
              <w:t>本年支出</w:t>
            </w:r>
          </w:p>
        </w:tc>
      </w:tr>
      <w:tr w14:paraId="799BAC28">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70D09">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70A1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9B748">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4B5A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6C0ED">
            <w:pPr>
              <w:jc w:val="center"/>
              <w:textAlignment w:val="center"/>
              <w:rPr>
                <w:rFonts w:hint="default" w:cs="宋体"/>
                <w:b/>
                <w:color w:val="000000"/>
                <w:sz w:val="20"/>
                <w:szCs w:val="20"/>
              </w:rPr>
            </w:pPr>
            <w:r>
              <w:rPr>
                <w:rFonts w:cs="宋体"/>
                <w:b/>
                <w:color w:val="000000"/>
                <w:sz w:val="20"/>
                <w:szCs w:val="20"/>
              </w:rPr>
              <w:t>项目支出</w:t>
            </w:r>
          </w:p>
        </w:tc>
      </w:tr>
      <w:tr w14:paraId="70B9A4A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B412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06B1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E97E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B9799">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A6A9D">
            <w:pPr>
              <w:jc w:val="center"/>
              <w:rPr>
                <w:rFonts w:hint="default" w:cs="宋体"/>
                <w:b/>
                <w:color w:val="000000"/>
                <w:sz w:val="20"/>
                <w:szCs w:val="20"/>
              </w:rPr>
            </w:pPr>
          </w:p>
        </w:tc>
      </w:tr>
      <w:tr w14:paraId="46042A2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DA62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962F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2E88D">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56572">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A7096">
            <w:pPr>
              <w:jc w:val="center"/>
              <w:rPr>
                <w:rFonts w:hint="default" w:cs="宋体"/>
                <w:b/>
                <w:color w:val="000000"/>
                <w:sz w:val="20"/>
                <w:szCs w:val="20"/>
              </w:rPr>
            </w:pPr>
          </w:p>
        </w:tc>
      </w:tr>
      <w:tr w14:paraId="5169D12D">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146D1">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765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1,203.39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457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1,029.90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2BB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173.49</w:t>
            </w:r>
            <w:r>
              <w:rPr>
                <w:rFonts w:ascii="Times New Roman" w:hAnsi="Times New Roman"/>
                <w:b/>
                <w:color w:val="000000"/>
                <w:sz w:val="20"/>
                <w:u w:color="auto"/>
              </w:rPr>
              <w:t xml:space="preserve"> </w:t>
            </w:r>
          </w:p>
        </w:tc>
      </w:tr>
      <w:tr w14:paraId="7185EA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0509">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D1F60">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9BC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958.45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D08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830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173.49</w:t>
            </w:r>
            <w:r>
              <w:rPr>
                <w:rFonts w:ascii="Times New Roman" w:hAnsi="Times New Roman"/>
                <w:b/>
                <w:color w:val="000000"/>
                <w:sz w:val="20"/>
                <w:u w:color="auto"/>
              </w:rPr>
              <w:t xml:space="preserve"> </w:t>
            </w:r>
          </w:p>
        </w:tc>
      </w:tr>
      <w:tr w14:paraId="15FC88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741DB">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C615E">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32F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958.45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FA2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FD6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173.49</w:t>
            </w:r>
            <w:r>
              <w:rPr>
                <w:rFonts w:ascii="Times New Roman" w:hAnsi="Times New Roman"/>
                <w:b/>
                <w:color w:val="000000"/>
                <w:sz w:val="20"/>
                <w:u w:color="auto"/>
              </w:rPr>
              <w:t xml:space="preserve"> </w:t>
            </w:r>
          </w:p>
        </w:tc>
      </w:tr>
      <w:tr w14:paraId="6C7787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9D1B3">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AE16">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96C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958.45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F6F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784.95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34E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173.49</w:t>
            </w:r>
            <w:r>
              <w:rPr>
                <w:rFonts w:ascii="Times New Roman" w:hAnsi="Times New Roman"/>
                <w:color w:val="000000"/>
                <w:sz w:val="20"/>
                <w:u w:color="auto"/>
              </w:rPr>
              <w:t xml:space="preserve"> </w:t>
            </w:r>
          </w:p>
        </w:tc>
      </w:tr>
      <w:tr w14:paraId="2276B8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68AF3">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6C23D">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311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552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122.06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6D2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1994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79DA4">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54CD6">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299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1BA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122.06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915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45F8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2990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A1BC5">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106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B84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77.35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D03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AC8D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28CA4">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BA734">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67F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660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253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11E8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EDF3">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4EAE6">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E50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544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D14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0E38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DE722">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394BA">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495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E8A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35F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984C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0D7E7">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7CE17">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0A9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366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599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7310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64272">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1359B">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D22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994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35.50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A59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5701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B3F07">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416D9">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4A1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864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61E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FE42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0BEDE">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2E949">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4B6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A46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EEB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F08A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0289">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306EA">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502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195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18D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83DB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ACA88">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387D6">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A7A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68D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67.17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C11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0BD6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28F7E">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544A4">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7F1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6A9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7A1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B95D8E3">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4873144">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559B23B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EE8E910">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86BD0EF">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E8C8EA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重庆市九龙坡区共和小学校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4A29D46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E1E31A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776C4B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EF3073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2E69B5D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8481C5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4ECA0B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039E4C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BE4F66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FAEDF4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156404A">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4535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39373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97339A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ED4A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0F739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C5E2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7E79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00CC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6B85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2154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A45D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51BE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4C87667">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2BDE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0E20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D9C9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4466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43AA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FE7B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48A6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FED1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4213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252D94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FBD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971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7B8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816.19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7E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AD7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D9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D29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546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69C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8.08</w:t>
            </w:r>
            <w:r>
              <w:rPr>
                <w:rFonts w:ascii="Times New Roman" w:hAnsi="Times New Roman"/>
                <w:color w:val="000000"/>
                <w:sz w:val="18"/>
                <w:u w:color="auto"/>
              </w:rPr>
              <w:t xml:space="preserve"> </w:t>
            </w:r>
          </w:p>
        </w:tc>
      </w:tr>
      <w:tr w14:paraId="18571C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8B1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855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35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C4C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FC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3F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751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4A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242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8CF6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E6E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191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116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FA2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6D9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894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3BF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9D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9E7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8.08</w:t>
            </w:r>
            <w:r>
              <w:rPr>
                <w:rFonts w:ascii="Times New Roman" w:hAnsi="Times New Roman"/>
                <w:color w:val="000000"/>
                <w:sz w:val="18"/>
                <w:u w:color="auto"/>
              </w:rPr>
              <w:t xml:space="preserve"> </w:t>
            </w:r>
          </w:p>
        </w:tc>
      </w:tr>
      <w:tr w14:paraId="0140C8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BEE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CE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948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A8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8C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E76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04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0C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0D9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AA6F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753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50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7C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B0F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AC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CAD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761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A67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08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BC29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1CF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34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40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83C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149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CD1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A03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5CF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C6D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1768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0A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DCD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B86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A2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B7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DF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797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CB4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221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63E7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53C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15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6EB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75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11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979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CD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61A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E01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65F9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23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67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330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F00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4A1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22F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4C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17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458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3E58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EBD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D0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657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CA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78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63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C11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32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1B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2FD8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D4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99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012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E2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1E4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1E4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1B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50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D15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F1CE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86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45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8C5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1F9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5BD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B80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42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C57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371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266B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ECE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98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0F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1F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48E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18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57A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8F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4D7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1588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095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67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8E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A2D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B09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CA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5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45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A8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CA52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657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8E2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0D4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3A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A2E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62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92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9F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51F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5F5C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B24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AA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436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619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C0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7EC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34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D91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3D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43B8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29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FD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ED8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93F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E76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DF6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A9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7F4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1AA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6DB6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6A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5B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FB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CD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048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4C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4D9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D82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853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B82C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64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291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45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582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24B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961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AE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E9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C2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339A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E2E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094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99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D5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CB3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A5C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DC9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70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601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8E9A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096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88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41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3ED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AD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68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6C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C2B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2CF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2FAA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AC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FA7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18D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A9C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0FF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AA4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9F4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41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920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64B3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DD7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93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5D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19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2C1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1E1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9C3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0606B">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F01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5403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1F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707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38E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55D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D84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EE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80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22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37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1404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A4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B3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EC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73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46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9F7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AE1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5A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4B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2BE1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E16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2A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55D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5C2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0F9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10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C9F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B38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F17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17E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1D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219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BB8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E34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573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DA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087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B3C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6E6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4B4D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2583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D02F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9C9D7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8FF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2D0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24E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BCF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647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F0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5BA1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F4C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2A1D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8D1D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969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8F9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B51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95B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63A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FE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DED2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98FB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694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88984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163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1F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E7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B4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363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DD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005E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7ACC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7A5F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C402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A65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A3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832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0B7D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9F38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B691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BBC30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B78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423D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4FE1D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466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4C2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E7A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AA28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D42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BD31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F201E89">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601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76B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979C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82D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8E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3E3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BF9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47A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38FB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63FC188">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5457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B149CB">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922.64</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4E11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482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107.26</w:t>
            </w:r>
            <w:r>
              <w:rPr>
                <w:rFonts w:ascii="Times New Roman" w:hAnsi="Times New Roman"/>
                <w:color w:val="000000"/>
                <w:sz w:val="18"/>
                <w:u w:color="auto"/>
              </w:rPr>
              <w:t xml:space="preserve"> </w:t>
            </w:r>
          </w:p>
        </w:tc>
      </w:tr>
    </w:tbl>
    <w:p w14:paraId="2750A1D2">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504BDCC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D14F0D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D9A3FA3">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F49E02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重庆市九龙坡区共和小学校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0266F2D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21DEC1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E05BD8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42990C7">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CC2DB1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7A28CC2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584854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784D51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55F1AA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FC9FC7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68C2EC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B01FD6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C73F123">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E2F77">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C5DD43">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6B011">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91E0CC">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D24F4">
            <w:pPr>
              <w:jc w:val="center"/>
              <w:textAlignment w:val="center"/>
              <w:rPr>
                <w:rFonts w:hint="default" w:cs="宋体"/>
                <w:b/>
                <w:color w:val="000000"/>
                <w:sz w:val="20"/>
                <w:szCs w:val="20"/>
              </w:rPr>
            </w:pPr>
            <w:r>
              <w:rPr>
                <w:rFonts w:cs="宋体"/>
                <w:b/>
                <w:color w:val="000000"/>
                <w:sz w:val="20"/>
                <w:szCs w:val="20"/>
              </w:rPr>
              <w:t>年末结转和结余</w:t>
            </w:r>
          </w:p>
        </w:tc>
      </w:tr>
      <w:tr w14:paraId="43DF7DCB">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2332D">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C6A4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D554F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3A867">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C5C46">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5FCCF">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342FD">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7F01D">
            <w:pPr>
              <w:jc w:val="center"/>
              <w:rPr>
                <w:rFonts w:hint="default" w:cs="宋体"/>
                <w:b/>
                <w:color w:val="000000"/>
                <w:sz w:val="20"/>
                <w:szCs w:val="20"/>
              </w:rPr>
            </w:pPr>
          </w:p>
        </w:tc>
      </w:tr>
      <w:tr w14:paraId="5405B91D">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43AD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84CF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857D1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026D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BEF7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80619">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B8B0D">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9C19C">
            <w:pPr>
              <w:jc w:val="center"/>
              <w:rPr>
                <w:rFonts w:hint="default" w:cs="宋体"/>
                <w:b/>
                <w:color w:val="000000"/>
                <w:sz w:val="20"/>
                <w:szCs w:val="20"/>
              </w:rPr>
            </w:pPr>
          </w:p>
        </w:tc>
      </w:tr>
      <w:tr w14:paraId="5C1E9055">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043CA">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179E6">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DDE27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06CC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C028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40CF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A466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1947B">
            <w:pPr>
              <w:jc w:val="center"/>
              <w:rPr>
                <w:rFonts w:hint="default" w:cs="宋体"/>
                <w:b/>
                <w:color w:val="000000"/>
                <w:sz w:val="20"/>
                <w:szCs w:val="20"/>
              </w:rPr>
            </w:pPr>
          </w:p>
        </w:tc>
      </w:tr>
      <w:tr w14:paraId="38C2E974">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09A75">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E39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4A8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853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227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06B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397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8DE68A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06C1">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6C3C1">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7C8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ACD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959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629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FE1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A74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D87CF2E">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5222C709">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7B427994">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976EE12">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F048C99">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1119DC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重庆市九龙坡区共和小学校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BF4506E">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8639A3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B3D265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A987655">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22D68B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B80C0E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F6851A9">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827CD6">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BEC986">
            <w:pPr>
              <w:jc w:val="center"/>
              <w:textAlignment w:val="bottom"/>
              <w:rPr>
                <w:rFonts w:hint="default" w:cs="宋体"/>
                <w:b/>
                <w:color w:val="000000"/>
                <w:sz w:val="20"/>
                <w:szCs w:val="20"/>
              </w:rPr>
            </w:pPr>
            <w:r>
              <w:rPr>
                <w:rFonts w:cs="宋体"/>
                <w:b/>
                <w:color w:val="000000"/>
                <w:sz w:val="20"/>
                <w:szCs w:val="20"/>
              </w:rPr>
              <w:t>本年支出</w:t>
            </w:r>
          </w:p>
        </w:tc>
      </w:tr>
      <w:tr w14:paraId="758F730A">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A5818">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8E759">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CD477">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FFF85">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996CF">
            <w:pPr>
              <w:jc w:val="center"/>
              <w:textAlignment w:val="center"/>
              <w:rPr>
                <w:rFonts w:hint="default" w:cs="宋体"/>
                <w:b/>
                <w:color w:val="000000"/>
                <w:sz w:val="20"/>
                <w:szCs w:val="20"/>
              </w:rPr>
            </w:pPr>
            <w:r>
              <w:rPr>
                <w:rFonts w:cs="宋体"/>
                <w:b/>
                <w:color w:val="000000"/>
                <w:sz w:val="20"/>
                <w:szCs w:val="20"/>
              </w:rPr>
              <w:t>项目支出</w:t>
            </w:r>
          </w:p>
        </w:tc>
      </w:tr>
      <w:tr w14:paraId="277B4B2A">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1B3B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0E2E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AD9A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25404">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5FDBD">
            <w:pPr>
              <w:jc w:val="center"/>
              <w:rPr>
                <w:rFonts w:hint="default" w:cs="宋体"/>
                <w:b/>
                <w:color w:val="000000"/>
                <w:sz w:val="20"/>
                <w:szCs w:val="20"/>
              </w:rPr>
            </w:pPr>
          </w:p>
        </w:tc>
      </w:tr>
      <w:tr w14:paraId="417E4E7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930CC">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4FD2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EF4D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0220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88163">
            <w:pPr>
              <w:jc w:val="center"/>
              <w:rPr>
                <w:rFonts w:hint="default" w:cs="宋体"/>
                <w:b/>
                <w:color w:val="000000"/>
                <w:sz w:val="20"/>
                <w:szCs w:val="20"/>
              </w:rPr>
            </w:pPr>
          </w:p>
        </w:tc>
      </w:tr>
      <w:tr w14:paraId="24822033">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E497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F980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127B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A628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24571">
            <w:pPr>
              <w:jc w:val="center"/>
              <w:rPr>
                <w:rFonts w:hint="default" w:cs="宋体"/>
                <w:b/>
                <w:color w:val="000000"/>
                <w:sz w:val="20"/>
                <w:szCs w:val="20"/>
              </w:rPr>
            </w:pPr>
          </w:p>
        </w:tc>
      </w:tr>
      <w:tr w14:paraId="60F4FCF1">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0AAB4">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8F3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078BC">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4EF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B1BB58A">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7366F">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71C1A">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AF2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010A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873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995ED63">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EE4003D">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711902A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6E24D79">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EC2012D">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0B7CFC6">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FBD6AE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0DBD4BA">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0E544FB">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E682802">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72DDCE5">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8B9B465">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重庆市九龙坡区共和小学校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40E84CF">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AFC10C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D7F9CF3">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D06F78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7A7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675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B7AE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7DE3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2A8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00A34D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B6F5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0DD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5AC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802D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2E16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DB17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F108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8A09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6FCA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A7C5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DD68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EA421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298C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4B10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FCBA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432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6BE6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2EBA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E30A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E55B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A144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1508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08660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A57C2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2E3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3056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F627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0C1A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15C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0B861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753D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D874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5983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4F2F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4D2F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3AA78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27BD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3752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6A21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804E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7432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ADE60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1FA5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339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D0B1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E620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6E98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4D55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F12C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B171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E98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8767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EA8D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C2E7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8E15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E037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3747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2737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E5F9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AE3B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A3D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A27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36168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0BE8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EE06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609F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A0A1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694B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2BBE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8B7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A782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561C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80B8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1CAD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6923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202B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1E52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3C5A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8575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0E29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F214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36D5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1142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BC49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8E6A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2CAD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0BED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8E02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BC82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BF9BE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BDD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A55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C8BA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1A1A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77A8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1.52</w:t>
            </w:r>
            <w:r>
              <w:rPr>
                <w:rFonts w:ascii="Times New Roman" w:hAnsi="Times New Roman"/>
                <w:color w:val="000000"/>
                <w:sz w:val="18"/>
                <w:u w:color="auto"/>
              </w:rPr>
              <w:t xml:space="preserve"> </w:t>
            </w:r>
          </w:p>
        </w:tc>
      </w:tr>
      <w:tr w14:paraId="1D28AD9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8AD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DBFD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6EB3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A25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BFB3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1.52</w:t>
            </w:r>
            <w:r>
              <w:rPr>
                <w:rFonts w:ascii="Times New Roman" w:hAnsi="Times New Roman"/>
                <w:color w:val="000000"/>
                <w:sz w:val="18"/>
                <w:u w:color="auto"/>
              </w:rPr>
              <w:t xml:space="preserve"> </w:t>
            </w:r>
          </w:p>
        </w:tc>
      </w:tr>
      <w:tr w14:paraId="54235B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9E67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221D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9C23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6E4A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749E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F33D4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4BDA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6E4E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BCA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BB8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EFB0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16F2E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26E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F9E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A1A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F068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D69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1.52</w:t>
            </w:r>
            <w:r>
              <w:rPr>
                <w:rFonts w:ascii="Times New Roman" w:hAnsi="Times New Roman"/>
                <w:color w:val="000000"/>
                <w:sz w:val="18"/>
                <w:u w:color="auto"/>
              </w:rPr>
              <w:t xml:space="preserve"> </w:t>
            </w:r>
          </w:p>
        </w:tc>
      </w:tr>
      <w:tr w14:paraId="65EBE27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7E9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D92A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7F8E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9C77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4C2D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1.52</w:t>
            </w:r>
            <w:r>
              <w:rPr>
                <w:rFonts w:ascii="Times New Roman" w:hAnsi="Times New Roman"/>
                <w:color w:val="000000"/>
                <w:sz w:val="18"/>
                <w:u w:color="auto"/>
              </w:rPr>
              <w:t xml:space="preserve"> </w:t>
            </w:r>
          </w:p>
        </w:tc>
      </w:tr>
      <w:tr w14:paraId="61B8D524">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249E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1E4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7816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E509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60235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2F8B51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4198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FE04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20B6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7.50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88B1B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661A1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E83C07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BBE9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AFE1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0576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71B91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C1F94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BE10E19">
      <w:pPr>
        <w:rPr>
          <w:rFonts w:hint="default"/>
          <w:sz w:val="18"/>
          <w:szCs w:val="18"/>
          <w:lang w:val="en-US" w:eastAsia="zh-CN"/>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4FA5E">
    <w:pPr>
      <w:pStyle w:val="4"/>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-132080</wp:posOffset>
              </wp:positionV>
              <wp:extent cx="416560" cy="2565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16560" cy="256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FF272">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0.4pt;height:20.2pt;width:32.8pt;mso-position-horizontal:outside;mso-position-horizontal-relative:margin;z-index:251661312;mso-width-relative:page;mso-height-relative:page;" filled="f" stroked="f" coordsize="21600,21600" o:gfxdata="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mT5P7UAAAABgEAAA8AAAAAAAAAAQAgAAAAIgAAAGRycy9kb3ducmV2Lnht&#10;bFBLAQIUABQAAAAIAIdO4kCqOulNNgIAAGEEAAAOAAAAAAAAAAEAIAAAACMBAABkcnMvZTJvRG9j&#10;LnhtbFBLBQYAAAAABgAGAFkBAADLBQAAAAA=&#10;">
              <v:fill on="f" focussize="0,0"/>
              <v:stroke on="f" weight="0.5pt"/>
              <v:imagedata o:title=""/>
              <o:lock v:ext="edit" aspectratio="f"/>
              <v:textbox inset="0mm,0mm,0mm,0mm">
                <w:txbxContent>
                  <w:p w14:paraId="0A8FF272">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79B02">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56AC6D">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856AC6D">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910D2E1">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910D2E1">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140C5">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211D5D"/>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010A9F"/>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DE86740"/>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607C2A"/>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5643</Words>
  <Characters>7152</Characters>
  <Lines>161</Lines>
  <Paragraphs>45</Paragraphs>
  <TotalTime>11</TotalTime>
  <ScaleCrop>false</ScaleCrop>
  <LinksUpToDate>false</LinksUpToDate>
  <CharactersWithSpaces>7450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2025-10-28T02:25:25Z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