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CD5F6">
      <w:pPr>
        <w:pStyle w:val="8"/>
        <w:keepNext w:val="0"/>
        <w:keepLines w:val="0"/>
        <w:pageBreakBefore w:val="0"/>
        <w:widowControl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kern w:val="2"/>
          <w:sz w:val="44"/>
          <w:szCs w:val="54"/>
          <w:lang w:val="en-US" w:eastAsia="zh-CN" w:bidi="ar-SA"/>
        </w:rPr>
      </w:pPr>
      <w:r>
        <w:rPr>
          <w:rFonts w:hint="default" w:ascii="Times New Roman" w:hAnsi="Times New Roman" w:eastAsia="方正小标宋_GBK" w:cs="Times New Roman"/>
          <w:kern w:val="2"/>
          <w:sz w:val="44"/>
          <w:szCs w:val="54"/>
          <w:lang w:val="en-US" w:eastAsia="zh-CN" w:bidi="ar-SA"/>
        </w:rPr>
        <w:t>重庆市九龙坡区九龙小学校</w:t>
      </w:r>
      <w:bookmarkStart w:id="0" w:name="_GoBack"/>
      <w:bookmarkEnd w:id="0"/>
    </w:p>
    <w:p w14:paraId="4190D80D">
      <w:pPr>
        <w:pStyle w:val="8"/>
        <w:keepNext w:val="0"/>
        <w:keepLines w:val="0"/>
        <w:pageBreakBefore w:val="0"/>
        <w:widowControl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kern w:val="2"/>
          <w:sz w:val="44"/>
          <w:szCs w:val="54"/>
          <w:lang w:val="en-US" w:eastAsia="zh-CN" w:bidi="ar-SA"/>
        </w:rPr>
        <w:t>2024年度单位决算情况说明</w:t>
      </w:r>
    </w:p>
    <w:p w14:paraId="41C74D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rPr>
      </w:pPr>
    </w:p>
    <w:p w14:paraId="0AE95C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rPr>
      </w:pPr>
      <w:r>
        <w:rPr>
          <w:rFonts w:hint="default" w:ascii="Times New Roman" w:hAnsi="Times New Roman" w:eastAsia="方正黑体_GBK" w:cs="Times New Roman"/>
          <w:kern w:val="2"/>
          <w:sz w:val="32"/>
          <w:szCs w:val="20"/>
        </w:rPr>
        <w:t>一、</w:t>
      </w:r>
      <w:r>
        <w:rPr>
          <w:rFonts w:hint="default" w:ascii="Times New Roman" w:hAnsi="Times New Roman" w:eastAsia="方正黑体_GBK" w:cs="Times New Roman"/>
          <w:kern w:val="2"/>
          <w:sz w:val="32"/>
          <w:szCs w:val="20"/>
          <w:lang w:eastAsia="zh-CN"/>
        </w:rPr>
        <w:t>单位</w:t>
      </w:r>
      <w:r>
        <w:rPr>
          <w:rFonts w:hint="default" w:ascii="Times New Roman" w:hAnsi="Times New Roman" w:eastAsia="方正黑体_GBK" w:cs="Times New Roman"/>
          <w:kern w:val="2"/>
          <w:sz w:val="32"/>
          <w:szCs w:val="20"/>
        </w:rPr>
        <w:t>基本情况</w:t>
      </w:r>
    </w:p>
    <w:p w14:paraId="17C28C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（一）职能职责</w:t>
      </w:r>
    </w:p>
    <w:p w14:paraId="1B3E828A">
      <w:pPr>
        <w:pStyle w:val="13"/>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重庆市九龙坡区九龙小学校是财政全额拨款事业单位，行政隶属于重庆市九龙坡区教育委员会，执行政府会计准则制度，具备独立的法人资格，具体的职能职责如下。</w:t>
      </w:r>
    </w:p>
    <w:p w14:paraId="71E08B9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1</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开展教育教学工作。</w:t>
      </w:r>
      <w:r>
        <w:rPr>
          <w:rFonts w:hint="default" w:ascii="Times New Roman" w:hAnsi="Times New Roman" w:eastAsia="方正仿宋_GBK" w:cs="Times New Roman"/>
          <w:kern w:val="0"/>
          <w:sz w:val="32"/>
          <w:szCs w:val="32"/>
        </w:rPr>
        <w:t>主要包括开展普通小学各类课程教学及管理、教育科研、学籍管理等工作。</w:t>
      </w:r>
    </w:p>
    <w:p w14:paraId="6F943E5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2</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开展学校德育工作。</w:t>
      </w:r>
      <w:r>
        <w:rPr>
          <w:rFonts w:hint="default" w:ascii="Times New Roman" w:hAnsi="Times New Roman" w:eastAsia="方正仿宋_GBK" w:cs="Times New Roman"/>
          <w:kern w:val="0"/>
          <w:sz w:val="32"/>
          <w:szCs w:val="32"/>
        </w:rPr>
        <w:t>主要包括对学生进行思想品德教育，开展课外教育活动、社会实践活动等工作。</w:t>
      </w:r>
    </w:p>
    <w:p w14:paraId="2BB5F3C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3</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开展学校体育、卫生、艺术工作。</w:t>
      </w:r>
      <w:r>
        <w:rPr>
          <w:rFonts w:hint="default" w:ascii="Times New Roman" w:hAnsi="Times New Roman" w:eastAsia="方正仿宋_GBK" w:cs="Times New Roman"/>
          <w:kern w:val="0"/>
          <w:sz w:val="32"/>
          <w:szCs w:val="32"/>
        </w:rPr>
        <w:t>主要包括开展课外体育和艺术活动、课余体育训练与竞赛、艺术展演展评、对传染病及学生常见病的预防和治疗工作。</w:t>
      </w:r>
    </w:p>
    <w:p w14:paraId="48F0DB2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4</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负责学校行政管理工作。</w:t>
      </w:r>
      <w:r>
        <w:rPr>
          <w:rFonts w:hint="default" w:ascii="Times New Roman" w:hAnsi="Times New Roman" w:eastAsia="方正仿宋_GBK" w:cs="Times New Roman"/>
          <w:kern w:val="0"/>
          <w:sz w:val="32"/>
          <w:szCs w:val="32"/>
        </w:rPr>
        <w:t>主要包括人事、财务、档案及后勤管理工作。</w:t>
      </w:r>
    </w:p>
    <w:p w14:paraId="729B078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5</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开展对外交流工作。</w:t>
      </w:r>
      <w:r>
        <w:rPr>
          <w:rFonts w:hint="default" w:ascii="Times New Roman" w:hAnsi="Times New Roman" w:eastAsia="方正仿宋_GBK" w:cs="Times New Roman"/>
          <w:kern w:val="0"/>
          <w:sz w:val="32"/>
          <w:szCs w:val="32"/>
        </w:rPr>
        <w:t>主要包括汉语志愿者派遣、对外文化教育交流、对口支教等工作。</w:t>
      </w:r>
    </w:p>
    <w:p w14:paraId="606E78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6</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维护校园安全，提供后勤保障服务。</w:t>
      </w:r>
      <w:r>
        <w:rPr>
          <w:rFonts w:hint="default" w:ascii="Times New Roman" w:hAnsi="Times New Roman" w:eastAsia="方正仿宋_GBK" w:cs="Times New Roman"/>
          <w:kern w:val="0"/>
          <w:sz w:val="32"/>
          <w:szCs w:val="32"/>
        </w:rPr>
        <w:t>主要包括维护校园安全稳定、提供食堂餐饮服务、物业服务等工作。</w:t>
      </w:r>
    </w:p>
    <w:p w14:paraId="09585A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方正仿宋_GBK" w:cs="Times New Roman"/>
          <w:b/>
          <w:bCs/>
          <w:kern w:val="0"/>
          <w:sz w:val="32"/>
          <w:szCs w:val="32"/>
        </w:rPr>
        <w:t>7</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kern w:val="0"/>
          <w:sz w:val="32"/>
          <w:szCs w:val="32"/>
        </w:rPr>
        <w:t>按政策规定开展学前教育。</w:t>
      </w:r>
      <w:r>
        <w:rPr>
          <w:rFonts w:hint="default" w:ascii="Times New Roman" w:hAnsi="Times New Roman" w:eastAsia="方正仿宋_GBK" w:cs="Times New Roman"/>
          <w:kern w:val="0"/>
          <w:sz w:val="32"/>
          <w:szCs w:val="32"/>
        </w:rPr>
        <w:t>主要包括开展幼儿保教活动与服务。</w:t>
      </w:r>
    </w:p>
    <w:p w14:paraId="745A027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（二）机构设置</w:t>
      </w:r>
    </w:p>
    <w:p w14:paraId="0BFB207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2024年末学校共有29个小学教学班，学生总人数1456人，学校占地9220.6平方米，建筑面积6365.5平方米。学校设有党政办公室、教学科研中心、学生成长中心、后勤保障中心等内部机构。</w:t>
      </w:r>
    </w:p>
    <w:p w14:paraId="3810A8D4">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rPr>
      </w:pPr>
      <w:r>
        <w:rPr>
          <w:rFonts w:hint="default" w:ascii="Times New Roman" w:hAnsi="Times New Roman" w:eastAsia="方正黑体_GBK" w:cs="Times New Roman"/>
          <w:kern w:val="2"/>
          <w:sz w:val="32"/>
          <w:szCs w:val="20"/>
        </w:rPr>
        <w:t>二、</w:t>
      </w:r>
      <w:r>
        <w:rPr>
          <w:rFonts w:hint="default" w:ascii="Times New Roman" w:hAnsi="Times New Roman" w:eastAsia="方正黑体_GBK" w:cs="Times New Roman"/>
          <w:kern w:val="2"/>
          <w:sz w:val="32"/>
          <w:szCs w:val="20"/>
          <w:lang w:eastAsia="zh-CN"/>
        </w:rPr>
        <w:t>单位</w:t>
      </w:r>
      <w:r>
        <w:rPr>
          <w:rFonts w:hint="default" w:ascii="Times New Roman" w:hAnsi="Times New Roman" w:eastAsia="方正黑体_GBK" w:cs="Times New Roman"/>
          <w:kern w:val="2"/>
          <w:sz w:val="32"/>
          <w:szCs w:val="20"/>
        </w:rPr>
        <w:t>决算</w:t>
      </w:r>
      <w:r>
        <w:rPr>
          <w:rFonts w:hint="default" w:ascii="Times New Roman" w:hAnsi="Times New Roman" w:eastAsia="方正黑体_GBK" w:cs="Times New Roman"/>
          <w:kern w:val="2"/>
          <w:sz w:val="32"/>
          <w:szCs w:val="20"/>
          <w:lang w:eastAsia="zh-CN"/>
        </w:rPr>
        <w:t>收支</w:t>
      </w:r>
      <w:r>
        <w:rPr>
          <w:rFonts w:hint="default" w:ascii="Times New Roman" w:hAnsi="Times New Roman" w:eastAsia="方正黑体_GBK" w:cs="Times New Roman"/>
          <w:kern w:val="2"/>
          <w:sz w:val="32"/>
          <w:szCs w:val="20"/>
        </w:rPr>
        <w:t>情况说明</w:t>
      </w:r>
    </w:p>
    <w:p w14:paraId="36C3BC0F">
      <w:pPr>
        <w:pStyle w:val="12"/>
        <w:keepNext w:val="0"/>
        <w:keepLines w:val="0"/>
        <w:pageBreakBefore w:val="0"/>
        <w:widowControl w:val="0"/>
        <w:kinsoku/>
        <w:wordWrap/>
        <w:overflowPunct/>
        <w:topLinePunct w:val="0"/>
        <w:autoSpaceDE w:val="0"/>
        <w:autoSpaceDN/>
        <w:bidi w:val="0"/>
        <w:spacing w:line="600" w:lineRule="exact"/>
        <w:ind w:firstLine="640" w:firstLineChars="200"/>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（一）收入支出决算总体情况说明</w:t>
      </w:r>
    </w:p>
    <w:p w14:paraId="5629443B">
      <w:pPr>
        <w:pStyle w:val="12"/>
        <w:keepNext w:val="0"/>
        <w:keepLines w:val="0"/>
        <w:pageBreakBefore w:val="0"/>
        <w:widowControl w:val="0"/>
        <w:kinsoku/>
        <w:wordWrap/>
        <w:overflowPunct/>
        <w:topLinePunct w:val="0"/>
        <w:autoSpaceDE w:val="0"/>
        <w:autoSpaceDN/>
        <w:bidi w:val="0"/>
        <w:spacing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lang w:val="en-US" w:eastAsia="zh-CN" w:bidi="ar-SA"/>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度收入总计2225.18万元，支出总计</w:t>
      </w:r>
      <w:r>
        <w:rPr>
          <w:rFonts w:hint="default" w:ascii="Times New Roman" w:hAnsi="Times New Roman" w:eastAsia="方正仿宋_GBK" w:cs="Times New Roman"/>
          <w:sz w:val="32"/>
          <w:szCs w:val="32"/>
        </w:rPr>
        <w:t>2225.18</w:t>
      </w:r>
      <w:r>
        <w:rPr>
          <w:rFonts w:hint="default" w:ascii="Times New Roman" w:hAnsi="Times New Roman" w:eastAsia="方正仿宋_GBK" w:cs="Times New Roman"/>
          <w:sz w:val="32"/>
          <w:szCs w:val="32"/>
          <w:shd w:val="clear" w:color="auto" w:fill="FFFFFF"/>
        </w:rPr>
        <w:t>万元。收、支与2023年度相比，增加151.71万元，增长7.3%，</w:t>
      </w:r>
      <w:r>
        <w:rPr>
          <w:rFonts w:hint="default" w:ascii="Times New Roman" w:hAnsi="Times New Roman" w:eastAsia="方正仿宋_GBK" w:cs="Times New Roman"/>
          <w:sz w:val="32"/>
          <w:szCs w:val="32"/>
          <w:shd w:val="clear" w:color="auto" w:fill="FFFFFF"/>
          <w:lang w:val="en-US" w:eastAsia="zh-CN"/>
        </w:rPr>
        <w:t>主要原因是政策性增资、学生人数较去年增加，2024年学校新增功能室、会议室等设施设备采购项目。</w:t>
      </w:r>
    </w:p>
    <w:p w14:paraId="0476E59C">
      <w:pPr>
        <w:keepNext w:val="0"/>
        <w:keepLines w:val="0"/>
        <w:pageBreakBefore w:val="0"/>
        <w:widowControl w:val="0"/>
        <w:kinsoku/>
        <w:wordWrap/>
        <w:overflowPunct/>
        <w:topLinePunct w:val="0"/>
        <w:autoSpaceDN/>
        <w:bidi w:val="0"/>
        <w:spacing w:line="600" w:lineRule="exact"/>
        <w:ind w:firstLine="643"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度收入合计2225.18万元，与2023年度相比，增加151.71万元，增长7.3%，主要原因是政策性增资、学生人数较去年增加，2024年学校新增功能室、会议室等设施设备采购项目。其中：财政拨款收入</w:t>
      </w:r>
      <w:r>
        <w:rPr>
          <w:rFonts w:hint="default" w:ascii="Times New Roman" w:hAnsi="Times New Roman" w:eastAsia="方正仿宋_GBK" w:cs="Times New Roman"/>
          <w:sz w:val="32"/>
          <w:szCs w:val="32"/>
        </w:rPr>
        <w:t>2150.18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96.63</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75.00</w:t>
      </w:r>
      <w:r>
        <w:rPr>
          <w:rFonts w:hint="default" w:ascii="Times New Roman" w:hAnsi="Times New Roman" w:eastAsia="方正仿宋_GBK" w:cs="Times New Roman"/>
          <w:sz w:val="32"/>
          <w:szCs w:val="32"/>
          <w:shd w:val="clear" w:color="auto" w:fill="FFFFFF"/>
        </w:rPr>
        <w:t>万元，占3.37%。</w:t>
      </w:r>
    </w:p>
    <w:p w14:paraId="0FCEAA62">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kern w:val="0"/>
          <w:sz w:val="32"/>
          <w:szCs w:val="32"/>
          <w:lang w:val="en-US" w:eastAsia="zh-CN" w:bidi="ar-SA"/>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2225.18</w:t>
      </w:r>
      <w:r>
        <w:rPr>
          <w:rFonts w:hint="default" w:ascii="Times New Roman" w:hAnsi="Times New Roman" w:eastAsia="方正仿宋_GBK" w:cs="Times New Roman"/>
          <w:sz w:val="32"/>
          <w:szCs w:val="32"/>
          <w:shd w:val="clear" w:color="auto" w:fill="FFFFFF"/>
        </w:rPr>
        <w:t>万元，与2023年度相比，增加151.71万元，增长7.3%，主要原因是政策性增资、学生人数较去年增加，2024年学校新增功能室、会议室等设施设备采购项目。其中：基本支出</w:t>
      </w:r>
      <w:r>
        <w:rPr>
          <w:rFonts w:hint="default" w:ascii="Times New Roman" w:hAnsi="Times New Roman" w:eastAsia="方正仿宋_GBK" w:cs="Times New Roman"/>
          <w:sz w:val="32"/>
          <w:szCs w:val="32"/>
        </w:rPr>
        <w:t>1785.44</w:t>
      </w:r>
      <w:r>
        <w:rPr>
          <w:rFonts w:hint="default" w:ascii="Times New Roman" w:hAnsi="Times New Roman" w:eastAsia="方正仿宋_GBK" w:cs="Times New Roman"/>
          <w:sz w:val="32"/>
          <w:szCs w:val="32"/>
          <w:shd w:val="clear" w:color="auto" w:fill="FFFFFF"/>
        </w:rPr>
        <w:t>万元，占80.24%；项目支出</w:t>
      </w:r>
      <w:r>
        <w:rPr>
          <w:rFonts w:hint="default" w:ascii="Times New Roman" w:hAnsi="Times New Roman" w:eastAsia="方正仿宋_GBK" w:cs="Times New Roman"/>
          <w:sz w:val="32"/>
          <w:szCs w:val="32"/>
        </w:rPr>
        <w:t>439.74</w:t>
      </w:r>
      <w:r>
        <w:rPr>
          <w:rFonts w:hint="default" w:ascii="Times New Roman" w:hAnsi="Times New Roman" w:eastAsia="方正仿宋_GBK" w:cs="Times New Roman"/>
          <w:sz w:val="32"/>
          <w:szCs w:val="32"/>
          <w:shd w:val="clear" w:color="auto" w:fill="FFFFFF"/>
        </w:rPr>
        <w:t>万元，占19.76%</w:t>
      </w:r>
      <w:r>
        <w:rPr>
          <w:rFonts w:hint="default" w:ascii="Times New Roman" w:hAnsi="Times New Roman" w:eastAsia="方正仿宋_GBK" w:cs="Times New Roman"/>
          <w:sz w:val="32"/>
          <w:szCs w:val="32"/>
          <w:shd w:val="clear" w:color="auto" w:fill="FFFFFF"/>
          <w:lang w:eastAsia="zh-CN"/>
        </w:rPr>
        <w:t>。</w:t>
      </w:r>
    </w:p>
    <w:p w14:paraId="2BD13AC8">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kern w:val="0"/>
          <w:sz w:val="32"/>
          <w:szCs w:val="32"/>
          <w:lang w:val="en-US" w:eastAsia="zh-CN" w:bidi="ar-SA"/>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786BDB67">
      <w:pPr>
        <w:pStyle w:val="13"/>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（二）财政拨款收入支出决算总体情况说明</w:t>
      </w:r>
    </w:p>
    <w:p w14:paraId="0D2E9462">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度财政拨款收、支总计2150.18万元。与202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年相比，财政拨款收、支总计各增加178.21万元，增长9.0%。主要原因是学生人数增加，公用经费增加，2024年学校新增功能室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rPr>
        <w:t>设施设备采购项目，同时2024年政策性增资。</w:t>
      </w:r>
    </w:p>
    <w:p w14:paraId="09A6D9B7">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（三）一般公共预算财政拨款收入支出决算情况说明</w:t>
      </w:r>
    </w:p>
    <w:p w14:paraId="034D8C37">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lang w:val="en-US" w:eastAsia="zh-CN" w:bidi="ar-SA"/>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2150.18</w:t>
      </w:r>
      <w:r>
        <w:rPr>
          <w:rFonts w:hint="default" w:ascii="Times New Roman" w:hAnsi="Times New Roman" w:eastAsia="方正仿宋_GBK" w:cs="Times New Roman"/>
          <w:sz w:val="32"/>
          <w:szCs w:val="32"/>
          <w:shd w:val="clear" w:color="auto" w:fill="FFFFFF"/>
        </w:rPr>
        <w:t>万元，与2023年度相比，增加178.21万元，增长9.0%。主要原因是学生人数增加，公用经费增加</w:t>
      </w:r>
      <w:r>
        <w:rPr>
          <w:rFonts w:hint="default" w:ascii="Times New Roman" w:hAnsi="Times New Roman" w:eastAsia="方正仿宋_GBK" w:cs="Times New Roman"/>
          <w:sz w:val="32"/>
          <w:szCs w:val="32"/>
          <w:shd w:val="clear" w:color="auto" w:fill="FFFFFF"/>
          <w:lang w:eastAsia="zh-CN"/>
        </w:rPr>
        <w:t>，2024年学校新增功能室、</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lang w:eastAsia="zh-CN"/>
        </w:rPr>
        <w:t>设施设备采购项目，</w:t>
      </w:r>
      <w:r>
        <w:rPr>
          <w:rFonts w:hint="default" w:ascii="Times New Roman" w:hAnsi="Times New Roman" w:eastAsia="方正仿宋_GBK" w:cs="Times New Roman"/>
          <w:sz w:val="32"/>
          <w:szCs w:val="32"/>
          <w:shd w:val="clear" w:color="auto" w:fill="FFFFFF"/>
        </w:rPr>
        <w:t>同时2024年政策性增资。较年初预算数增加300.56万元，增长16.3%。主要原因是2024年学校新增功能室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rPr>
        <w:t>设施设备采购项目，同时2024年政策性增资。此外，年初财政拨款结转和结余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93BBBAD">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lang w:val="en-US" w:eastAsia="zh-CN" w:bidi="ar-SA"/>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2150.18</w:t>
      </w:r>
      <w:r>
        <w:rPr>
          <w:rFonts w:hint="default" w:ascii="Times New Roman" w:hAnsi="Times New Roman" w:eastAsia="方正仿宋_GBK" w:cs="Times New Roman"/>
          <w:sz w:val="32"/>
          <w:szCs w:val="32"/>
          <w:shd w:val="clear" w:color="auto" w:fill="FFFFFF"/>
        </w:rPr>
        <w:t>万元，与2023年度相比，增加178.21万元，增长9.0%。主要原因是学生人数增加，公用经费增加，2024年学校新增功能室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rPr>
        <w:t>设施设备采购项目，同时2024年政策性增资。较年初预算数增加300.56万元，增长16.3%。主要原因是2024年学校新增功能室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rPr>
        <w:t>设施设备采购项目，同时2024年政策性增资。</w:t>
      </w:r>
    </w:p>
    <w:p w14:paraId="0DFC5208">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kern w:val="0"/>
          <w:sz w:val="32"/>
          <w:szCs w:val="32"/>
          <w:lang w:val="en-US" w:eastAsia="zh-CN" w:bidi="ar-SA"/>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6809EFD7">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lang w:val="en-US" w:eastAsia="zh-CN" w:bidi="ar-SA"/>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31E6F27">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1734.10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80.65</w:t>
      </w:r>
      <w:r>
        <w:rPr>
          <w:rFonts w:hint="default" w:ascii="Times New Roman" w:hAnsi="Times New Roman" w:eastAsia="方正仿宋_GBK" w:cs="Times New Roman"/>
          <w:sz w:val="32"/>
          <w:szCs w:val="32"/>
          <w:shd w:val="clear" w:color="auto" w:fill="FFFFFF"/>
        </w:rPr>
        <w:t>%，较年初预算数增加397.40万元，增长29.7%，主要原因是2024年学校新增功能室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会议室等</w:t>
      </w:r>
      <w:r>
        <w:rPr>
          <w:rFonts w:hint="default" w:ascii="Times New Roman" w:hAnsi="Times New Roman" w:eastAsia="方正仿宋_GBK" w:cs="Times New Roman"/>
          <w:sz w:val="32"/>
          <w:szCs w:val="32"/>
          <w:shd w:val="clear" w:color="auto" w:fill="FFFFFF"/>
        </w:rPr>
        <w:t>设施设备采购项目，同时2024年政策性增资。</w:t>
      </w:r>
    </w:p>
    <w:p w14:paraId="2636658A">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206.86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9.62</w:t>
      </w:r>
      <w:r>
        <w:rPr>
          <w:rFonts w:hint="default" w:ascii="Times New Roman" w:hAnsi="Times New Roman" w:eastAsia="方正仿宋_GBK" w:cs="Times New Roman"/>
          <w:sz w:val="32"/>
          <w:szCs w:val="32"/>
          <w:shd w:val="clear" w:color="auto" w:fill="FFFFFF"/>
        </w:rPr>
        <w:t>%，较年初预算数减少102.10万元，下降33.1%，主要原因是</w:t>
      </w:r>
      <w:r>
        <w:rPr>
          <w:rFonts w:hint="default"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rPr>
        <w:t>。</w:t>
      </w:r>
    </w:p>
    <w:p w14:paraId="44829DFD">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82.46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3.84</w:t>
      </w:r>
      <w:r>
        <w:rPr>
          <w:rFonts w:hint="default" w:ascii="Times New Roman" w:hAnsi="Times New Roman" w:eastAsia="方正仿宋_GBK" w:cs="Times New Roman"/>
          <w:sz w:val="32"/>
          <w:szCs w:val="32"/>
          <w:shd w:val="clear" w:color="auto" w:fill="FFFFFF"/>
        </w:rPr>
        <w:t>%，较年初预算数增加2.50万元，增长3.1%，主要原因是</w:t>
      </w:r>
      <w:r>
        <w:rPr>
          <w:rFonts w:hint="default" w:ascii="Times New Roman" w:hAnsi="Times New Roman" w:eastAsia="方正仿宋_GBK" w:cs="Times New Roman"/>
          <w:sz w:val="32"/>
          <w:szCs w:val="32"/>
          <w:shd w:val="clear" w:color="auto" w:fill="FFFFFF"/>
          <w:lang w:val="en-US" w:eastAsia="zh-CN"/>
        </w:rPr>
        <w:t>缴费基数调整</w:t>
      </w:r>
      <w:r>
        <w:rPr>
          <w:rFonts w:hint="default" w:ascii="Times New Roman" w:hAnsi="Times New Roman" w:eastAsia="方正仿宋_GBK" w:cs="Times New Roman"/>
          <w:kern w:val="0"/>
          <w:sz w:val="32"/>
          <w:szCs w:val="32"/>
          <w:lang w:eastAsia="zh-CN"/>
        </w:rPr>
        <w:t>。</w:t>
      </w:r>
    </w:p>
    <w:p w14:paraId="58F86782">
      <w:pPr>
        <w:keepNext w:val="0"/>
        <w:keepLines w:val="0"/>
        <w:pageBreakBefore w:val="0"/>
        <w:widowControl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住房保障支出126.76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5.90</w:t>
      </w:r>
      <w:r>
        <w:rPr>
          <w:rFonts w:hint="default" w:ascii="Times New Roman" w:hAnsi="Times New Roman" w:eastAsia="方正仿宋_GBK" w:cs="Times New Roman"/>
          <w:sz w:val="32"/>
          <w:szCs w:val="32"/>
          <w:shd w:val="clear" w:color="auto" w:fill="FFFFFF"/>
        </w:rPr>
        <w:t>%，较年初预算数增加2.75万元，增长2.2%，主要原因是</w:t>
      </w:r>
      <w:r>
        <w:rPr>
          <w:rFonts w:hint="default" w:ascii="Times New Roman" w:hAnsi="Times New Roman" w:eastAsia="方正仿宋_GBK" w:cs="Times New Roman"/>
          <w:kern w:val="0"/>
          <w:sz w:val="32"/>
          <w:szCs w:val="32"/>
        </w:rPr>
        <w:t>住房公积金基数调整。</w:t>
      </w:r>
    </w:p>
    <w:p w14:paraId="5A05969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（四）一般公共预算财政拨款基本支出决算情况说明</w:t>
      </w:r>
    </w:p>
    <w:p w14:paraId="0D178F77">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1785.44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1577.77</w:t>
      </w:r>
      <w:r>
        <w:rPr>
          <w:rFonts w:hint="default" w:ascii="Times New Roman" w:hAnsi="Times New Roman" w:eastAsia="方正仿宋_GBK" w:cs="Times New Roman"/>
          <w:sz w:val="32"/>
          <w:szCs w:val="32"/>
          <w:shd w:val="clear" w:color="auto" w:fill="FFFFFF"/>
        </w:rPr>
        <w:t>万元，与2023年度相比，增加132.20万元，增长9.2%，主要原因是2024年政策性增资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人员经费用途主要包括教职工基本工资、津贴补贴、绩效工资、机关事业单位基本养老保险、职业年金缴费、职工基本医疗保险缴费、住房公积金、助学金等。公用经费</w:t>
      </w:r>
      <w:r>
        <w:rPr>
          <w:rFonts w:hint="default" w:ascii="Times New Roman" w:hAnsi="Times New Roman" w:eastAsia="方正仿宋_GBK" w:cs="Times New Roman"/>
          <w:sz w:val="32"/>
          <w:szCs w:val="32"/>
        </w:rPr>
        <w:t>207.67</w:t>
      </w:r>
      <w:r>
        <w:rPr>
          <w:rFonts w:hint="default" w:ascii="Times New Roman" w:hAnsi="Times New Roman" w:eastAsia="方正仿宋_GBK" w:cs="Times New Roman"/>
          <w:sz w:val="32"/>
          <w:szCs w:val="32"/>
          <w:shd w:val="clear" w:color="auto" w:fill="FFFFFF"/>
        </w:rPr>
        <w:t>万元，与2023年度相比，增加6.45万元，增长3.2%，主要原因是学生人数较去年增加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公用经费用途主要包括办公费、印刷费、咨询费、水费、电费、邮电费、物业管理费、差旅费、维修（护）费、培训费、专用材料费、劳务费、其他商品服务支出等。</w:t>
      </w:r>
    </w:p>
    <w:p w14:paraId="52EA5C3B">
      <w:pPr>
        <w:pStyle w:val="12"/>
        <w:keepNext w:val="0"/>
        <w:keepLines w:val="0"/>
        <w:pageBreakBefore w:val="0"/>
        <w:widowControl w:val="0"/>
        <w:kinsoku/>
        <w:wordWrap/>
        <w:overflowPunct/>
        <w:topLinePunct w:val="0"/>
        <w:autoSpaceDE w:val="0"/>
        <w:autoSpaceDN/>
        <w:bidi w:val="0"/>
        <w:spacing w:line="600" w:lineRule="exact"/>
        <w:ind w:firstLine="640" w:firstLineChars="200"/>
        <w:textAlignment w:val="auto"/>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（五）政府性基金预算收支决算情况说明</w:t>
      </w:r>
    </w:p>
    <w:p w14:paraId="6B03AD50">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度无政府性基金预算财政拨款收支。</w:t>
      </w:r>
    </w:p>
    <w:p w14:paraId="308E7917">
      <w:pPr>
        <w:pStyle w:val="12"/>
        <w:keepNext w:val="0"/>
        <w:keepLines w:val="0"/>
        <w:pageBreakBefore w:val="0"/>
        <w:widowControl w:val="0"/>
        <w:kinsoku/>
        <w:wordWrap/>
        <w:overflowPunct/>
        <w:topLinePunct w:val="0"/>
        <w:autoSpaceDE w:val="0"/>
        <w:autoSpaceDN/>
        <w:bidi w:val="0"/>
        <w:spacing w:line="600" w:lineRule="exact"/>
        <w:ind w:firstLine="640" w:firstLineChars="200"/>
        <w:textAlignment w:val="auto"/>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（六）国有资本经营预算财政拨款支出决算情况说明</w:t>
      </w:r>
    </w:p>
    <w:p w14:paraId="22F120C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度无国有资本经营预算财政拨款支出。</w:t>
      </w:r>
    </w:p>
    <w:p w14:paraId="002A67A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三、财政拨款</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三公</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经费情况说明</w:t>
      </w:r>
    </w:p>
    <w:p w14:paraId="0D3B5514">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（一）</w:t>
      </w:r>
      <w:r>
        <w:rPr>
          <w:rFonts w:hint="eastAsia" w:ascii="Times New Roman" w:hAnsi="Times New Roman" w:eastAsia="方正楷体_GBK" w:cs="Times New Roman"/>
          <w:kern w:val="0"/>
          <w:sz w:val="32"/>
          <w:szCs w:val="32"/>
          <w:shd w:val="clear" w:color="auto" w:fill="FFFFFF"/>
          <w:lang w:eastAsia="zh-CN" w:bidi="ar"/>
        </w:rPr>
        <w:t>“</w:t>
      </w:r>
      <w:r>
        <w:rPr>
          <w:rFonts w:hint="default" w:ascii="Times New Roman" w:hAnsi="Times New Roman" w:eastAsia="方正楷体_GBK" w:cs="Times New Roman"/>
          <w:kern w:val="0"/>
          <w:sz w:val="32"/>
          <w:szCs w:val="32"/>
          <w:shd w:val="clear" w:color="auto" w:fill="FFFFFF"/>
          <w:lang w:bidi="ar"/>
        </w:rPr>
        <w:t>三公</w:t>
      </w:r>
      <w:r>
        <w:rPr>
          <w:rFonts w:hint="eastAsia" w:ascii="Times New Roman" w:hAnsi="Times New Roman" w:eastAsia="方正楷体_GBK" w:cs="Times New Roman"/>
          <w:kern w:val="0"/>
          <w:sz w:val="32"/>
          <w:szCs w:val="32"/>
          <w:shd w:val="clear" w:color="auto" w:fill="FFFFFF"/>
          <w:lang w:eastAsia="zh-CN" w:bidi="ar"/>
        </w:rPr>
        <w:t>”</w:t>
      </w:r>
      <w:r>
        <w:rPr>
          <w:rFonts w:hint="default" w:ascii="Times New Roman" w:hAnsi="Times New Roman" w:eastAsia="方正楷体_GBK" w:cs="Times New Roman"/>
          <w:kern w:val="0"/>
          <w:sz w:val="32"/>
          <w:szCs w:val="32"/>
          <w:shd w:val="clear" w:color="auto" w:fill="FFFFFF"/>
          <w:lang w:bidi="ar"/>
        </w:rPr>
        <w:t>经费支出总体情况说明</w:t>
      </w:r>
    </w:p>
    <w:p w14:paraId="26D9F8F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2024年度</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三公</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经费支出共计0.00万元，较年初预算数无增减，较上年支出数无增减，主要原因是本单位2024年度未发生</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三公</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经费支出，与上年决算数持平。</w:t>
      </w:r>
    </w:p>
    <w:p w14:paraId="4ED1884B">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（二）</w:t>
      </w:r>
      <w:r>
        <w:rPr>
          <w:rFonts w:hint="eastAsia" w:ascii="Times New Roman" w:hAnsi="Times New Roman" w:eastAsia="方正楷体_GBK" w:cs="Times New Roman"/>
          <w:kern w:val="0"/>
          <w:sz w:val="32"/>
          <w:szCs w:val="32"/>
          <w:shd w:val="clear" w:color="auto" w:fill="FFFFFF"/>
          <w:lang w:eastAsia="zh-CN" w:bidi="ar"/>
        </w:rPr>
        <w:t>“</w:t>
      </w:r>
      <w:r>
        <w:rPr>
          <w:rFonts w:hint="default" w:ascii="Times New Roman" w:hAnsi="Times New Roman" w:eastAsia="方正楷体_GBK" w:cs="Times New Roman"/>
          <w:kern w:val="0"/>
          <w:sz w:val="32"/>
          <w:szCs w:val="32"/>
          <w:shd w:val="clear" w:color="auto" w:fill="FFFFFF"/>
          <w:lang w:bidi="ar"/>
        </w:rPr>
        <w:t>三公</w:t>
      </w:r>
      <w:r>
        <w:rPr>
          <w:rFonts w:hint="eastAsia" w:ascii="Times New Roman" w:hAnsi="Times New Roman" w:eastAsia="方正楷体_GBK" w:cs="Times New Roman"/>
          <w:kern w:val="0"/>
          <w:sz w:val="32"/>
          <w:szCs w:val="32"/>
          <w:shd w:val="clear" w:color="auto" w:fill="FFFFFF"/>
          <w:lang w:eastAsia="zh-CN" w:bidi="ar"/>
        </w:rPr>
        <w:t>”</w:t>
      </w:r>
      <w:r>
        <w:rPr>
          <w:rFonts w:hint="default" w:ascii="Times New Roman" w:hAnsi="Times New Roman" w:eastAsia="方正楷体_GBK" w:cs="Times New Roman"/>
          <w:kern w:val="0"/>
          <w:sz w:val="32"/>
          <w:szCs w:val="32"/>
          <w:shd w:val="clear" w:color="auto" w:fill="FFFFFF"/>
          <w:lang w:bidi="ar"/>
        </w:rPr>
        <w:t>经费分项支出情况</w:t>
      </w:r>
    </w:p>
    <w:p w14:paraId="5C58BAED">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2024年度本单位因公出国（境）费用0.00万元，费用支出较年初预算数无增减，较上年支出数无增减，主要原因是本单位2024年度未发生因公出国（境）费用支出，与上年决算数持平。</w:t>
      </w:r>
    </w:p>
    <w:p w14:paraId="081E616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公务车购置费0.00万元，费用支出较年初预算数无增减，较上年支出数无增减，主要原因是本单位2024年度未发生公务车购置费支出，与上年决算数持平。</w:t>
      </w:r>
    </w:p>
    <w:p w14:paraId="374A71C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公务车运行维护费0.00万元，费用支出较年初预算数无增减，较上年支出数无增减，主要原因是本单位2024年度未发生公务车运行维护费支出，与上年决算数持平。</w:t>
      </w:r>
    </w:p>
    <w:p w14:paraId="02F6BF9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公务接待费0.00万元，费用支出较年初预算数无增减，较上年支出数无增减，主要原因是本单位2024年度未发生公务接待费支出，与上年决算数持平。</w:t>
      </w:r>
    </w:p>
    <w:p w14:paraId="71429D52">
      <w:pPr>
        <w:pStyle w:val="12"/>
        <w:keepNext w:val="0"/>
        <w:keepLines w:val="0"/>
        <w:pageBreakBefore w:val="0"/>
        <w:widowControl w:val="0"/>
        <w:kinsoku/>
        <w:wordWrap/>
        <w:overflowPunct/>
        <w:topLinePunct w:val="0"/>
        <w:autoSpaceDE w:val="0"/>
        <w:autoSpaceDN/>
        <w:bidi w:val="0"/>
        <w:spacing w:line="600" w:lineRule="exact"/>
        <w:ind w:firstLine="640" w:firstLineChars="200"/>
        <w:textAlignment w:val="auto"/>
        <w:rPr>
          <w:rFonts w:hint="default" w:ascii="Times New Roman" w:hAnsi="Times New Roman" w:eastAsia="方正楷体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（三）</w:t>
      </w:r>
      <w:r>
        <w:rPr>
          <w:rFonts w:hint="eastAsia" w:ascii="Times New Roman" w:hAnsi="Times New Roman" w:eastAsia="方正楷体_GBK" w:cs="Times New Roman"/>
          <w:kern w:val="0"/>
          <w:sz w:val="32"/>
          <w:szCs w:val="32"/>
          <w:shd w:val="clear" w:color="auto" w:fill="FFFFFF"/>
          <w:lang w:val="en-US" w:eastAsia="zh-CN" w:bidi="ar"/>
        </w:rPr>
        <w:t>“</w:t>
      </w:r>
      <w:r>
        <w:rPr>
          <w:rFonts w:hint="default" w:ascii="Times New Roman" w:hAnsi="Times New Roman" w:eastAsia="方正楷体_GBK" w:cs="Times New Roman"/>
          <w:kern w:val="0"/>
          <w:sz w:val="32"/>
          <w:szCs w:val="32"/>
          <w:shd w:val="clear" w:color="auto" w:fill="FFFFFF"/>
          <w:lang w:val="en-US" w:eastAsia="zh-CN" w:bidi="ar"/>
        </w:rPr>
        <w:t>三公</w:t>
      </w:r>
      <w:r>
        <w:rPr>
          <w:rFonts w:hint="eastAsia" w:ascii="Times New Roman" w:hAnsi="Times New Roman" w:eastAsia="方正楷体_GBK" w:cs="Times New Roman"/>
          <w:kern w:val="0"/>
          <w:sz w:val="32"/>
          <w:szCs w:val="32"/>
          <w:shd w:val="clear" w:color="auto" w:fill="FFFFFF"/>
          <w:lang w:val="en-US" w:eastAsia="zh-CN" w:bidi="ar"/>
        </w:rPr>
        <w:t>”</w:t>
      </w:r>
      <w:r>
        <w:rPr>
          <w:rFonts w:hint="default" w:ascii="Times New Roman" w:hAnsi="Times New Roman" w:eastAsia="方正楷体_GBK" w:cs="Times New Roman"/>
          <w:kern w:val="0"/>
          <w:sz w:val="32"/>
          <w:szCs w:val="32"/>
          <w:shd w:val="clear" w:color="auto" w:fill="FFFFFF"/>
          <w:lang w:val="en-US" w:eastAsia="zh-CN" w:bidi="ar"/>
        </w:rPr>
        <w:t>经费实物量情况</w:t>
      </w:r>
    </w:p>
    <w:p w14:paraId="74B3845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5AFACC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114345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（一）财政拨款会议费和培训费情况说明</w:t>
      </w:r>
    </w:p>
    <w:p w14:paraId="6418663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万元，与2023年度相比，无增减，主要原因是本年度未举办大型会议，与上年度持平。本年度培训费支出</w:t>
      </w:r>
      <w:r>
        <w:rPr>
          <w:rFonts w:hint="default" w:ascii="Times New Roman" w:hAnsi="Times New Roman" w:eastAsia="方正仿宋_GBK" w:cs="Times New Roman"/>
          <w:sz w:val="32"/>
          <w:szCs w:val="32"/>
        </w:rPr>
        <w:t>4.94</w:t>
      </w:r>
      <w:r>
        <w:rPr>
          <w:rFonts w:hint="default" w:ascii="Times New Roman" w:hAnsi="Times New Roman" w:eastAsia="方正仿宋_GBK" w:cs="Times New Roman"/>
          <w:sz w:val="32"/>
          <w:szCs w:val="32"/>
          <w:shd w:val="clear" w:color="auto" w:fill="FFFFFF"/>
        </w:rPr>
        <w:t>万元，与2023年度相比，减少10.31万元，下降67.6%，主要原因是2024年外派培训</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p>
    <w:p w14:paraId="5258848B">
      <w:pPr>
        <w:pStyle w:val="13"/>
        <w:keepNext w:val="0"/>
        <w:keepLines w:val="0"/>
        <w:pageBreakBefore w:val="0"/>
        <w:widowControl w:val="0"/>
        <w:numPr>
          <w:ilvl w:val="0"/>
          <w:numId w:val="1"/>
        </w:numPr>
        <w:shd w:val="clear" w:color="auto" w:fill="FFFFFF"/>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机关运行经费情况说明</w:t>
      </w:r>
    </w:p>
    <w:p w14:paraId="2427423E">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300ABF37">
      <w:pPr>
        <w:pStyle w:val="13"/>
        <w:keepNext w:val="0"/>
        <w:keepLines w:val="0"/>
        <w:pageBreakBefore w:val="0"/>
        <w:widowControl w:val="0"/>
        <w:shd w:val="clear" w:color="auto" w:fill="FFFFFF"/>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（三）国有资产占用情况说明</w:t>
      </w:r>
    </w:p>
    <w:p w14:paraId="48B146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color="auto" w:fill="FFFFFF"/>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733CA945">
      <w:pPr>
        <w:pStyle w:val="13"/>
        <w:keepNext w:val="0"/>
        <w:keepLines w:val="0"/>
        <w:pageBreakBefore w:val="0"/>
        <w:widowControl w:val="0"/>
        <w:shd w:val="clear" w:color="auto" w:fill="FFFFFF"/>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（四）政府采购支出情况说明</w:t>
      </w:r>
    </w:p>
    <w:p w14:paraId="21A2744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92.56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92.56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92.56万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92.56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%。主要用于采购2024年学校新增功能室设施设备采购项目</w:t>
      </w:r>
      <w:r>
        <w:rPr>
          <w:rFonts w:hint="default" w:ascii="Times New Roman" w:hAnsi="Times New Roman" w:eastAsia="方正仿宋_GBK" w:cs="Times New Roman"/>
          <w:sz w:val="32"/>
          <w:szCs w:val="32"/>
          <w:shd w:val="clear" w:color="auto" w:fill="FFFFFF"/>
          <w:lang w:eastAsia="zh-CN"/>
        </w:rPr>
        <w:t>。</w:t>
      </w:r>
    </w:p>
    <w:p w14:paraId="64BD657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6080C7C6">
      <w:pPr>
        <w:pStyle w:val="13"/>
        <w:keepNext w:val="0"/>
        <w:keepLines w:val="0"/>
        <w:pageBreakBefore w:val="0"/>
        <w:widowControl w:val="0"/>
        <w:numPr>
          <w:ilvl w:val="0"/>
          <w:numId w:val="2"/>
        </w:numPr>
        <w:suppressLineNumbers w:val="0"/>
        <w:shd w:val="clear" w:color="auto" w:fill="FFFFFF"/>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sz w:val="32"/>
          <w:szCs w:val="32"/>
          <w:shd w:val="clear" w:color="auto" w:fill="FFFFFF"/>
          <w:lang w:bidi="ar"/>
        </w:rPr>
      </w:pPr>
      <w:r>
        <w:rPr>
          <w:rFonts w:hint="default" w:ascii="Times New Roman" w:hAnsi="Times New Roman" w:eastAsia="方正楷体_GBK" w:cs="Times New Roman"/>
          <w:sz w:val="32"/>
          <w:szCs w:val="32"/>
          <w:shd w:val="clear" w:color="auto" w:fill="FFFFFF"/>
          <w:lang w:bidi="ar"/>
        </w:rPr>
        <w:t>预算绩效管理工作开展情况</w:t>
      </w:r>
    </w:p>
    <w:p w14:paraId="40DCCC3A">
      <w:pPr>
        <w:pStyle w:val="13"/>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对</w:t>
      </w:r>
      <w:r>
        <w:rPr>
          <w:rFonts w:hint="default" w:ascii="Times New Roman" w:hAnsi="Times New Roman" w:eastAsia="方正仿宋_GBK" w:cs="Times New Roman"/>
          <w:sz w:val="32"/>
          <w:szCs w:val="32"/>
          <w:shd w:val="clear" w:color="auto" w:fill="FFFFFF"/>
          <w:lang w:val="en-US" w:eastAsia="zh-CN"/>
        </w:rPr>
        <w:t>14</w:t>
      </w:r>
      <w:r>
        <w:rPr>
          <w:rFonts w:hint="default" w:ascii="Times New Roman" w:hAnsi="Times New Roman" w:eastAsia="方正仿宋_GBK" w:cs="Times New Roman"/>
          <w:sz w:val="32"/>
          <w:szCs w:val="32"/>
          <w:shd w:val="clear" w:color="auto" w:fill="FFFFFF"/>
        </w:rPr>
        <w:t>个项目开展了绩效自评，涉及资金</w:t>
      </w:r>
      <w:r>
        <w:rPr>
          <w:rFonts w:hint="default" w:ascii="Times New Roman" w:hAnsi="Times New Roman" w:eastAsia="方正仿宋_GBK" w:cs="Times New Roman"/>
          <w:sz w:val="32"/>
          <w:szCs w:val="32"/>
          <w:lang w:val="en-US" w:eastAsia="zh-CN"/>
        </w:rPr>
        <w:t>364.74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从评价情况来看，整体预算执行情况较好。项目实施管理规范，基本实现年初即定绩效目标。</w:t>
      </w:r>
    </w:p>
    <w:p w14:paraId="4B065349">
      <w:pPr>
        <w:keepNext w:val="0"/>
        <w:keepLines w:val="0"/>
        <w:pageBreakBefore w:val="0"/>
        <w:tabs>
          <w:tab w:val="center" w:pos="4153"/>
          <w:tab w:val="left" w:pos="7275"/>
        </w:tabs>
        <w:kinsoku/>
        <w:wordWrap/>
        <w:overflowPunct/>
        <w:topLinePunct w:val="0"/>
        <w:autoSpaceDN/>
        <w:bidi w:val="0"/>
        <w:spacing w:line="600" w:lineRule="exact"/>
        <w:ind w:firstLine="560" w:firstLineChars="200"/>
        <w:jc w:val="center"/>
        <w:rPr>
          <w:rFonts w:hint="default" w:ascii="Times New Roman" w:hAnsi="Times New Roman" w:eastAsia="方正黑体_GBK" w:cs="Times New Roman"/>
          <w:color w:val="000000"/>
          <w:kern w:val="0"/>
          <w:sz w:val="28"/>
          <w:szCs w:val="28"/>
          <w:lang w:bidi="ar"/>
        </w:rPr>
      </w:pPr>
    </w:p>
    <w:p w14:paraId="39FDC9BE">
      <w:pPr>
        <w:keepNext w:val="0"/>
        <w:keepLines w:val="0"/>
        <w:pageBreakBefore w:val="0"/>
        <w:tabs>
          <w:tab w:val="center" w:pos="4153"/>
          <w:tab w:val="left" w:pos="7275"/>
        </w:tabs>
        <w:kinsoku/>
        <w:wordWrap/>
        <w:overflowPunct/>
        <w:topLinePunct w:val="0"/>
        <w:autoSpaceDN/>
        <w:bidi w:val="0"/>
        <w:spacing w:line="600" w:lineRule="exact"/>
        <w:ind w:firstLine="560" w:firstLineChars="200"/>
        <w:jc w:val="center"/>
        <w:rPr>
          <w:rFonts w:hint="default" w:ascii="Times New Roman" w:hAnsi="Times New Roman" w:eastAsia="方正黑体_GBK" w:cs="Times New Roman"/>
          <w:color w:val="000000"/>
          <w:kern w:val="0"/>
          <w:sz w:val="28"/>
          <w:szCs w:val="28"/>
          <w:lang w:bidi="ar"/>
        </w:rPr>
      </w:pPr>
    </w:p>
    <w:p w14:paraId="49B2C4FB">
      <w:pPr>
        <w:keepNext w:val="0"/>
        <w:keepLines w:val="0"/>
        <w:pageBreakBefore w:val="0"/>
        <w:tabs>
          <w:tab w:val="center" w:pos="4153"/>
          <w:tab w:val="left" w:pos="7275"/>
        </w:tabs>
        <w:kinsoku/>
        <w:wordWrap/>
        <w:overflowPunct/>
        <w:topLinePunct w:val="0"/>
        <w:autoSpaceDN/>
        <w:bidi w:val="0"/>
        <w:spacing w:line="600" w:lineRule="exact"/>
        <w:ind w:firstLine="560" w:firstLineChars="200"/>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bidi="ar"/>
        </w:rPr>
        <w:t>重庆市九龙坡区九龙小学校2024年度项目支出绩效自评表</w:t>
      </w:r>
    </w:p>
    <w:tbl>
      <w:tblPr>
        <w:tblStyle w:val="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104"/>
        <w:gridCol w:w="1604"/>
        <w:gridCol w:w="705"/>
        <w:gridCol w:w="720"/>
        <w:gridCol w:w="658"/>
        <w:gridCol w:w="705"/>
        <w:gridCol w:w="857"/>
        <w:gridCol w:w="780"/>
        <w:gridCol w:w="405"/>
        <w:gridCol w:w="669"/>
      </w:tblGrid>
      <w:tr w14:paraId="273D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49" w:type="dxa"/>
            <w:tcBorders>
              <w:top w:val="single" w:color="auto" w:sz="4" w:space="0"/>
            </w:tcBorders>
            <w:noWrap w:val="0"/>
            <w:vAlign w:val="center"/>
          </w:tcPr>
          <w:p w14:paraId="2D1E5CE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序号</w:t>
            </w:r>
          </w:p>
        </w:tc>
        <w:tc>
          <w:tcPr>
            <w:tcW w:w="1104" w:type="dxa"/>
            <w:tcBorders>
              <w:top w:val="single" w:color="auto" w:sz="4" w:space="0"/>
            </w:tcBorders>
            <w:noWrap w:val="0"/>
            <w:vAlign w:val="center"/>
          </w:tcPr>
          <w:p w14:paraId="22CA73C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项目名称</w:t>
            </w:r>
          </w:p>
        </w:tc>
        <w:tc>
          <w:tcPr>
            <w:tcW w:w="1604" w:type="dxa"/>
            <w:tcBorders>
              <w:top w:val="single" w:color="auto" w:sz="4" w:space="0"/>
            </w:tcBorders>
            <w:noWrap w:val="0"/>
            <w:vAlign w:val="center"/>
          </w:tcPr>
          <w:p w14:paraId="5D7105D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指标名称</w:t>
            </w:r>
          </w:p>
        </w:tc>
        <w:tc>
          <w:tcPr>
            <w:tcW w:w="705" w:type="dxa"/>
            <w:tcBorders>
              <w:top w:val="single" w:color="auto" w:sz="4" w:space="0"/>
            </w:tcBorders>
            <w:noWrap w:val="0"/>
            <w:vAlign w:val="center"/>
          </w:tcPr>
          <w:p w14:paraId="3A47469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指标性质</w:t>
            </w:r>
          </w:p>
        </w:tc>
        <w:tc>
          <w:tcPr>
            <w:tcW w:w="720" w:type="dxa"/>
            <w:tcBorders>
              <w:top w:val="single" w:color="auto" w:sz="4" w:space="0"/>
            </w:tcBorders>
            <w:noWrap w:val="0"/>
            <w:vAlign w:val="center"/>
          </w:tcPr>
          <w:p w14:paraId="21C6163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指标值</w:t>
            </w:r>
          </w:p>
        </w:tc>
        <w:tc>
          <w:tcPr>
            <w:tcW w:w="658" w:type="dxa"/>
            <w:tcBorders>
              <w:top w:val="single" w:color="auto" w:sz="4" w:space="0"/>
            </w:tcBorders>
            <w:noWrap w:val="0"/>
            <w:vAlign w:val="center"/>
          </w:tcPr>
          <w:p w14:paraId="4B5E029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计量单位</w:t>
            </w:r>
          </w:p>
        </w:tc>
        <w:tc>
          <w:tcPr>
            <w:tcW w:w="705" w:type="dxa"/>
            <w:tcBorders>
              <w:top w:val="single" w:color="auto" w:sz="4" w:space="0"/>
            </w:tcBorders>
            <w:noWrap w:val="0"/>
            <w:vAlign w:val="center"/>
          </w:tcPr>
          <w:p w14:paraId="7C68C0D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指标权重</w:t>
            </w:r>
          </w:p>
        </w:tc>
        <w:tc>
          <w:tcPr>
            <w:tcW w:w="857" w:type="dxa"/>
            <w:tcBorders>
              <w:top w:val="single" w:color="auto" w:sz="4" w:space="0"/>
            </w:tcBorders>
            <w:noWrap w:val="0"/>
            <w:vAlign w:val="center"/>
          </w:tcPr>
          <w:p w14:paraId="6C384A1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全年完成值</w:t>
            </w:r>
          </w:p>
        </w:tc>
        <w:tc>
          <w:tcPr>
            <w:tcW w:w="780" w:type="dxa"/>
            <w:tcBorders>
              <w:top w:val="single" w:color="auto" w:sz="4" w:space="0"/>
            </w:tcBorders>
            <w:noWrap w:val="0"/>
            <w:vAlign w:val="center"/>
          </w:tcPr>
          <w:p w14:paraId="3BFCA96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指标得分</w:t>
            </w:r>
          </w:p>
        </w:tc>
        <w:tc>
          <w:tcPr>
            <w:tcW w:w="405" w:type="dxa"/>
            <w:tcBorders>
              <w:top w:val="single" w:color="auto" w:sz="4" w:space="0"/>
            </w:tcBorders>
            <w:noWrap w:val="0"/>
            <w:vAlign w:val="center"/>
          </w:tcPr>
          <w:p w14:paraId="4978E89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说明</w:t>
            </w:r>
          </w:p>
        </w:tc>
        <w:tc>
          <w:tcPr>
            <w:tcW w:w="669" w:type="dxa"/>
            <w:tcBorders>
              <w:top w:val="single" w:color="auto" w:sz="4" w:space="0"/>
            </w:tcBorders>
            <w:noWrap w:val="0"/>
            <w:vAlign w:val="center"/>
          </w:tcPr>
          <w:p w14:paraId="17BBB64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自评得分</w:t>
            </w:r>
          </w:p>
        </w:tc>
      </w:tr>
      <w:tr w14:paraId="6D7F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restart"/>
            <w:noWrap/>
            <w:vAlign w:val="center"/>
          </w:tcPr>
          <w:p w14:paraId="43518A66">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1</w:t>
            </w:r>
          </w:p>
        </w:tc>
        <w:tc>
          <w:tcPr>
            <w:tcW w:w="1104" w:type="dxa"/>
            <w:vMerge w:val="restart"/>
            <w:noWrap/>
            <w:vAlign w:val="center"/>
          </w:tcPr>
          <w:p w14:paraId="744C6474">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2024年学前教育家庭经济困难幼儿资助专项经费</w:t>
            </w:r>
          </w:p>
        </w:tc>
        <w:tc>
          <w:tcPr>
            <w:tcW w:w="1604" w:type="dxa"/>
            <w:noWrap/>
            <w:vAlign w:val="center"/>
          </w:tcPr>
          <w:p w14:paraId="6C34092E">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补助金额</w:t>
            </w:r>
          </w:p>
        </w:tc>
        <w:tc>
          <w:tcPr>
            <w:tcW w:w="705" w:type="dxa"/>
            <w:noWrap/>
            <w:vAlign w:val="center"/>
          </w:tcPr>
          <w:p w14:paraId="3207155F">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0CDD8645">
            <w:pPr>
              <w:jc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sz w:val="20"/>
                <w:szCs w:val="20"/>
                <w:u w:val="none"/>
                <w:lang w:val="en-US" w:eastAsia="zh-CN"/>
              </w:rPr>
              <w:t>4300</w:t>
            </w:r>
          </w:p>
        </w:tc>
        <w:tc>
          <w:tcPr>
            <w:tcW w:w="658" w:type="dxa"/>
            <w:noWrap/>
            <w:vAlign w:val="center"/>
          </w:tcPr>
          <w:p w14:paraId="7FA109F2">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元</w:t>
            </w:r>
          </w:p>
        </w:tc>
        <w:tc>
          <w:tcPr>
            <w:tcW w:w="705" w:type="dxa"/>
            <w:noWrap/>
            <w:vAlign w:val="center"/>
          </w:tcPr>
          <w:p w14:paraId="5F82915A">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20</w:t>
            </w:r>
          </w:p>
        </w:tc>
        <w:tc>
          <w:tcPr>
            <w:tcW w:w="857" w:type="dxa"/>
            <w:noWrap/>
            <w:vAlign w:val="center"/>
          </w:tcPr>
          <w:p w14:paraId="48BC1A47">
            <w:pPr>
              <w:jc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sz w:val="20"/>
                <w:szCs w:val="20"/>
                <w:u w:val="none"/>
                <w:lang w:val="en-US" w:eastAsia="zh-CN"/>
              </w:rPr>
              <w:t>4300</w:t>
            </w:r>
          </w:p>
        </w:tc>
        <w:tc>
          <w:tcPr>
            <w:tcW w:w="780" w:type="dxa"/>
            <w:noWrap/>
            <w:vAlign w:val="center"/>
          </w:tcPr>
          <w:p w14:paraId="5980F79C">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20</w:t>
            </w:r>
          </w:p>
        </w:tc>
        <w:tc>
          <w:tcPr>
            <w:tcW w:w="405" w:type="dxa"/>
            <w:noWrap/>
            <w:vAlign w:val="center"/>
          </w:tcPr>
          <w:p w14:paraId="6F08FA52">
            <w:pPr>
              <w:jc w:val="center"/>
              <w:rPr>
                <w:rFonts w:hint="default" w:ascii="Times New Roman" w:hAnsi="Times New Roman" w:eastAsia="方正仿宋_GBK" w:cs="Times New Roman"/>
                <w:i w:val="0"/>
                <w:iCs w:val="0"/>
                <w:color w:val="000000"/>
                <w:sz w:val="20"/>
                <w:szCs w:val="20"/>
                <w:u w:val="none"/>
              </w:rPr>
            </w:pPr>
          </w:p>
        </w:tc>
        <w:tc>
          <w:tcPr>
            <w:tcW w:w="669" w:type="dxa"/>
            <w:vMerge w:val="restart"/>
            <w:noWrap/>
            <w:vAlign w:val="center"/>
          </w:tcPr>
          <w:p w14:paraId="033D78A6">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仿宋_GBK" w:cs="Times New Roman"/>
                <w:i w:val="0"/>
                <w:iCs w:val="0"/>
                <w:color w:val="000000"/>
                <w:sz w:val="20"/>
                <w:szCs w:val="20"/>
                <w:u w:val="none"/>
                <w:lang w:val="en-US" w:eastAsia="zh-CN"/>
              </w:rPr>
              <w:t>100</w:t>
            </w:r>
          </w:p>
        </w:tc>
      </w:tr>
      <w:tr w14:paraId="3658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2BA65460">
            <w:pPr>
              <w:jc w:val="center"/>
              <w:rPr>
                <w:rFonts w:hint="default" w:ascii="Times New Roman" w:hAnsi="Times New Roman" w:eastAsia="方正仿宋_GBK" w:cs="Times New Roman"/>
                <w:i w:val="0"/>
                <w:iCs w:val="0"/>
                <w:color w:val="000000"/>
                <w:sz w:val="20"/>
                <w:szCs w:val="20"/>
                <w:u w:val="none"/>
              </w:rPr>
            </w:pPr>
          </w:p>
        </w:tc>
        <w:tc>
          <w:tcPr>
            <w:tcW w:w="1104" w:type="dxa"/>
            <w:vMerge w:val="continue"/>
            <w:noWrap/>
            <w:vAlign w:val="center"/>
          </w:tcPr>
          <w:p w14:paraId="68BADF1D">
            <w:pPr>
              <w:jc w:val="center"/>
              <w:rPr>
                <w:rFonts w:hint="default" w:ascii="Times New Roman" w:hAnsi="Times New Roman" w:eastAsia="方正仿宋_GBK" w:cs="Times New Roman"/>
                <w:i w:val="0"/>
                <w:iCs w:val="0"/>
                <w:color w:val="000000"/>
                <w:sz w:val="20"/>
                <w:szCs w:val="20"/>
                <w:u w:val="none"/>
              </w:rPr>
            </w:pPr>
          </w:p>
        </w:tc>
        <w:tc>
          <w:tcPr>
            <w:tcW w:w="1604" w:type="dxa"/>
            <w:noWrap/>
            <w:vAlign w:val="center"/>
          </w:tcPr>
          <w:p w14:paraId="0BB74063">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指标下达时间</w:t>
            </w:r>
          </w:p>
        </w:tc>
        <w:tc>
          <w:tcPr>
            <w:tcW w:w="705" w:type="dxa"/>
            <w:noWrap/>
            <w:vAlign w:val="center"/>
          </w:tcPr>
          <w:p w14:paraId="5C085C04">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0D3A058B">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2024</w:t>
            </w:r>
          </w:p>
        </w:tc>
        <w:tc>
          <w:tcPr>
            <w:tcW w:w="658" w:type="dxa"/>
            <w:noWrap/>
            <w:vAlign w:val="center"/>
          </w:tcPr>
          <w:p w14:paraId="6ED4659B">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年</w:t>
            </w:r>
          </w:p>
        </w:tc>
        <w:tc>
          <w:tcPr>
            <w:tcW w:w="705" w:type="dxa"/>
            <w:noWrap/>
            <w:vAlign w:val="center"/>
          </w:tcPr>
          <w:p w14:paraId="50D0059B">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20</w:t>
            </w:r>
          </w:p>
        </w:tc>
        <w:tc>
          <w:tcPr>
            <w:tcW w:w="857" w:type="dxa"/>
            <w:noWrap/>
            <w:vAlign w:val="center"/>
          </w:tcPr>
          <w:p w14:paraId="77502156">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2024</w:t>
            </w:r>
          </w:p>
        </w:tc>
        <w:tc>
          <w:tcPr>
            <w:tcW w:w="780" w:type="dxa"/>
            <w:noWrap/>
            <w:vAlign w:val="center"/>
          </w:tcPr>
          <w:p w14:paraId="504D19FD">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405" w:type="dxa"/>
            <w:noWrap/>
            <w:vAlign w:val="center"/>
          </w:tcPr>
          <w:p w14:paraId="23F84D49">
            <w:pPr>
              <w:jc w:val="center"/>
              <w:rPr>
                <w:rFonts w:hint="default" w:ascii="Times New Roman" w:hAnsi="Times New Roman" w:eastAsia="方正仿宋_GBK" w:cs="Times New Roman"/>
                <w:i w:val="0"/>
                <w:iCs w:val="0"/>
                <w:color w:val="000000"/>
                <w:sz w:val="20"/>
                <w:szCs w:val="20"/>
                <w:u w:val="none"/>
              </w:rPr>
            </w:pPr>
          </w:p>
        </w:tc>
        <w:tc>
          <w:tcPr>
            <w:tcW w:w="669" w:type="dxa"/>
            <w:vMerge w:val="continue"/>
            <w:noWrap/>
            <w:vAlign w:val="center"/>
          </w:tcPr>
          <w:p w14:paraId="0A1223E6">
            <w:pPr>
              <w:jc w:val="center"/>
              <w:rPr>
                <w:rFonts w:hint="default" w:ascii="Times New Roman" w:hAnsi="Times New Roman" w:eastAsia="宋体" w:cs="Times New Roman"/>
                <w:i w:val="0"/>
                <w:iCs w:val="0"/>
                <w:color w:val="000000"/>
                <w:sz w:val="22"/>
                <w:szCs w:val="22"/>
                <w:u w:val="none"/>
              </w:rPr>
            </w:pPr>
          </w:p>
        </w:tc>
      </w:tr>
      <w:tr w14:paraId="0E00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4C23974B">
            <w:pPr>
              <w:jc w:val="center"/>
              <w:rPr>
                <w:rFonts w:hint="default" w:ascii="Times New Roman" w:hAnsi="Times New Roman" w:eastAsia="方正仿宋_GBK" w:cs="Times New Roman"/>
                <w:i w:val="0"/>
                <w:iCs w:val="0"/>
                <w:color w:val="000000"/>
                <w:sz w:val="20"/>
                <w:szCs w:val="20"/>
                <w:u w:val="none"/>
              </w:rPr>
            </w:pPr>
          </w:p>
        </w:tc>
        <w:tc>
          <w:tcPr>
            <w:tcW w:w="1104" w:type="dxa"/>
            <w:vMerge w:val="continue"/>
            <w:noWrap/>
            <w:vAlign w:val="center"/>
          </w:tcPr>
          <w:p w14:paraId="2E6C5D88">
            <w:pPr>
              <w:jc w:val="center"/>
              <w:rPr>
                <w:rFonts w:hint="default" w:ascii="Times New Roman" w:hAnsi="Times New Roman" w:eastAsia="方正仿宋_GBK" w:cs="Times New Roman"/>
                <w:i w:val="0"/>
                <w:iCs w:val="0"/>
                <w:color w:val="000000"/>
                <w:sz w:val="20"/>
                <w:szCs w:val="20"/>
                <w:u w:val="none"/>
              </w:rPr>
            </w:pPr>
          </w:p>
        </w:tc>
        <w:tc>
          <w:tcPr>
            <w:tcW w:w="1604" w:type="dxa"/>
            <w:noWrap/>
            <w:vAlign w:val="center"/>
          </w:tcPr>
          <w:p w14:paraId="36D8E2EA">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新增学前教育学位数量</w:t>
            </w:r>
          </w:p>
        </w:tc>
        <w:tc>
          <w:tcPr>
            <w:tcW w:w="705" w:type="dxa"/>
            <w:noWrap/>
            <w:vAlign w:val="center"/>
          </w:tcPr>
          <w:p w14:paraId="710057C1">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11840695">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w:t>
            </w:r>
          </w:p>
        </w:tc>
        <w:tc>
          <w:tcPr>
            <w:tcW w:w="658" w:type="dxa"/>
            <w:noWrap/>
            <w:vAlign w:val="center"/>
          </w:tcPr>
          <w:p w14:paraId="704FA7D8">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个</w:t>
            </w:r>
          </w:p>
        </w:tc>
        <w:tc>
          <w:tcPr>
            <w:tcW w:w="705" w:type="dxa"/>
            <w:noWrap/>
            <w:vAlign w:val="center"/>
          </w:tcPr>
          <w:p w14:paraId="55E53933">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857" w:type="dxa"/>
            <w:noWrap/>
            <w:vAlign w:val="center"/>
          </w:tcPr>
          <w:p w14:paraId="2718AF6C">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148</w:t>
            </w:r>
          </w:p>
        </w:tc>
        <w:tc>
          <w:tcPr>
            <w:tcW w:w="780" w:type="dxa"/>
            <w:noWrap/>
            <w:vAlign w:val="center"/>
          </w:tcPr>
          <w:p w14:paraId="271E344A">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20</w:t>
            </w:r>
          </w:p>
        </w:tc>
        <w:tc>
          <w:tcPr>
            <w:tcW w:w="405" w:type="dxa"/>
            <w:noWrap/>
            <w:vAlign w:val="center"/>
          </w:tcPr>
          <w:p w14:paraId="27C14A7A">
            <w:pPr>
              <w:jc w:val="center"/>
              <w:rPr>
                <w:rFonts w:hint="default" w:ascii="Times New Roman" w:hAnsi="Times New Roman" w:eastAsia="方正仿宋_GBK" w:cs="Times New Roman"/>
                <w:i w:val="0"/>
                <w:iCs w:val="0"/>
                <w:color w:val="000000"/>
                <w:sz w:val="20"/>
                <w:szCs w:val="20"/>
                <w:u w:val="none"/>
              </w:rPr>
            </w:pPr>
          </w:p>
        </w:tc>
        <w:tc>
          <w:tcPr>
            <w:tcW w:w="669" w:type="dxa"/>
            <w:vMerge w:val="continue"/>
            <w:noWrap/>
            <w:vAlign w:val="center"/>
          </w:tcPr>
          <w:p w14:paraId="6FABEEB5">
            <w:pPr>
              <w:jc w:val="center"/>
              <w:rPr>
                <w:rFonts w:hint="default" w:ascii="Times New Roman" w:hAnsi="Times New Roman" w:eastAsia="宋体" w:cs="Times New Roman"/>
                <w:i w:val="0"/>
                <w:iCs w:val="0"/>
                <w:color w:val="000000"/>
                <w:sz w:val="22"/>
                <w:szCs w:val="22"/>
                <w:u w:val="none"/>
              </w:rPr>
            </w:pPr>
          </w:p>
        </w:tc>
      </w:tr>
      <w:tr w14:paraId="71C9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0A6BEFE9">
            <w:pPr>
              <w:jc w:val="center"/>
              <w:rPr>
                <w:rFonts w:hint="default" w:ascii="Times New Roman" w:hAnsi="Times New Roman" w:eastAsia="方正仿宋_GBK" w:cs="Times New Roman"/>
                <w:i w:val="0"/>
                <w:iCs w:val="0"/>
                <w:color w:val="000000"/>
                <w:sz w:val="20"/>
                <w:szCs w:val="20"/>
                <w:u w:val="none"/>
              </w:rPr>
            </w:pPr>
          </w:p>
        </w:tc>
        <w:tc>
          <w:tcPr>
            <w:tcW w:w="1104" w:type="dxa"/>
            <w:vMerge w:val="continue"/>
            <w:noWrap/>
            <w:vAlign w:val="center"/>
          </w:tcPr>
          <w:p w14:paraId="31CE1F0C">
            <w:pPr>
              <w:jc w:val="center"/>
              <w:rPr>
                <w:rFonts w:hint="default" w:ascii="Times New Roman" w:hAnsi="Times New Roman" w:eastAsia="方正仿宋_GBK" w:cs="Times New Roman"/>
                <w:i w:val="0"/>
                <w:iCs w:val="0"/>
                <w:color w:val="000000"/>
                <w:sz w:val="20"/>
                <w:szCs w:val="20"/>
                <w:u w:val="none"/>
              </w:rPr>
            </w:pPr>
          </w:p>
        </w:tc>
        <w:tc>
          <w:tcPr>
            <w:tcW w:w="1604" w:type="dxa"/>
            <w:noWrap/>
            <w:vAlign w:val="center"/>
          </w:tcPr>
          <w:p w14:paraId="1B0C4C35">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困难学生覆盖率</w:t>
            </w:r>
          </w:p>
        </w:tc>
        <w:tc>
          <w:tcPr>
            <w:tcW w:w="705" w:type="dxa"/>
            <w:noWrap/>
            <w:vAlign w:val="center"/>
          </w:tcPr>
          <w:p w14:paraId="2F7FA2FD">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54864F4B">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w:t>
            </w:r>
          </w:p>
        </w:tc>
        <w:tc>
          <w:tcPr>
            <w:tcW w:w="658" w:type="dxa"/>
            <w:noWrap/>
            <w:vAlign w:val="center"/>
          </w:tcPr>
          <w:p w14:paraId="243B6C69">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w:t>
            </w:r>
          </w:p>
        </w:tc>
        <w:tc>
          <w:tcPr>
            <w:tcW w:w="705" w:type="dxa"/>
            <w:noWrap/>
            <w:vAlign w:val="center"/>
          </w:tcPr>
          <w:p w14:paraId="7A9DE26C">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15</w:t>
            </w:r>
          </w:p>
        </w:tc>
        <w:tc>
          <w:tcPr>
            <w:tcW w:w="857" w:type="dxa"/>
            <w:noWrap/>
            <w:vAlign w:val="center"/>
          </w:tcPr>
          <w:p w14:paraId="49377EFA">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w:t>
            </w:r>
          </w:p>
        </w:tc>
        <w:tc>
          <w:tcPr>
            <w:tcW w:w="780" w:type="dxa"/>
            <w:noWrap/>
            <w:vAlign w:val="center"/>
          </w:tcPr>
          <w:p w14:paraId="39D6D7CF">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15</w:t>
            </w:r>
          </w:p>
        </w:tc>
        <w:tc>
          <w:tcPr>
            <w:tcW w:w="405" w:type="dxa"/>
            <w:noWrap/>
            <w:vAlign w:val="center"/>
          </w:tcPr>
          <w:p w14:paraId="61818053">
            <w:pPr>
              <w:jc w:val="center"/>
              <w:rPr>
                <w:rFonts w:hint="default" w:ascii="Times New Roman" w:hAnsi="Times New Roman" w:eastAsia="方正仿宋_GBK" w:cs="Times New Roman"/>
                <w:i w:val="0"/>
                <w:iCs w:val="0"/>
                <w:color w:val="000000"/>
                <w:sz w:val="20"/>
                <w:szCs w:val="20"/>
                <w:u w:val="none"/>
              </w:rPr>
            </w:pPr>
          </w:p>
        </w:tc>
        <w:tc>
          <w:tcPr>
            <w:tcW w:w="669" w:type="dxa"/>
            <w:vMerge w:val="continue"/>
            <w:noWrap/>
            <w:vAlign w:val="center"/>
          </w:tcPr>
          <w:p w14:paraId="438B6DAA">
            <w:pPr>
              <w:jc w:val="center"/>
              <w:rPr>
                <w:rFonts w:hint="default" w:ascii="Times New Roman" w:hAnsi="Times New Roman" w:eastAsia="宋体" w:cs="Times New Roman"/>
                <w:i w:val="0"/>
                <w:iCs w:val="0"/>
                <w:color w:val="000000"/>
                <w:sz w:val="22"/>
                <w:szCs w:val="22"/>
                <w:u w:val="none"/>
              </w:rPr>
            </w:pPr>
          </w:p>
        </w:tc>
      </w:tr>
      <w:tr w14:paraId="6DA6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7AAD3248">
            <w:pPr>
              <w:keepNext w:val="0"/>
              <w:keepLines w:val="0"/>
              <w:pageBreakBefore w:val="0"/>
              <w:kinsoku/>
              <w:wordWrap/>
              <w:overflowPunct/>
              <w:topLinePunct w:val="0"/>
              <w:autoSpaceDN/>
              <w:bidi w:val="0"/>
              <w:spacing w:line="600" w:lineRule="exact"/>
              <w:ind w:firstLine="400" w:firstLineChars="200"/>
              <w:jc w:val="center"/>
              <w:textAlignment w:val="center"/>
              <w:rPr>
                <w:rFonts w:hint="default" w:ascii="Times New Roman" w:hAnsi="Times New Roman" w:eastAsia="方正仿宋_GBK" w:cs="Times New Roman"/>
                <w:color w:val="000000"/>
                <w:sz w:val="20"/>
                <w:szCs w:val="21"/>
              </w:rPr>
            </w:pPr>
          </w:p>
        </w:tc>
        <w:tc>
          <w:tcPr>
            <w:tcW w:w="1104" w:type="dxa"/>
            <w:vMerge w:val="continue"/>
            <w:noWrap/>
            <w:vAlign w:val="center"/>
          </w:tcPr>
          <w:p w14:paraId="7C4E1F60">
            <w:pPr>
              <w:keepNext w:val="0"/>
              <w:keepLines w:val="0"/>
              <w:pageBreakBefore w:val="0"/>
              <w:kinsoku/>
              <w:wordWrap/>
              <w:overflowPunct/>
              <w:topLinePunct w:val="0"/>
              <w:autoSpaceDN/>
              <w:bidi w:val="0"/>
              <w:spacing w:line="600" w:lineRule="exact"/>
              <w:ind w:firstLine="400" w:firstLineChars="200"/>
              <w:jc w:val="center"/>
              <w:rPr>
                <w:rFonts w:hint="default" w:ascii="Times New Roman" w:hAnsi="Times New Roman" w:eastAsia="方正仿宋_GBK" w:cs="Times New Roman"/>
                <w:color w:val="000000"/>
                <w:sz w:val="20"/>
                <w:szCs w:val="21"/>
              </w:rPr>
            </w:pPr>
          </w:p>
        </w:tc>
        <w:tc>
          <w:tcPr>
            <w:tcW w:w="1604" w:type="dxa"/>
            <w:noWrap/>
            <w:vAlign w:val="center"/>
          </w:tcPr>
          <w:p w14:paraId="4451EFE8">
            <w:pPr>
              <w:jc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sz w:val="20"/>
                <w:szCs w:val="20"/>
                <w:u w:val="none"/>
                <w:lang w:val="en-US" w:eastAsia="zh-CN"/>
              </w:rPr>
              <w:t>促进少年儿童健康成长</w:t>
            </w:r>
          </w:p>
        </w:tc>
        <w:tc>
          <w:tcPr>
            <w:tcW w:w="705" w:type="dxa"/>
            <w:noWrap/>
            <w:vAlign w:val="center"/>
          </w:tcPr>
          <w:p w14:paraId="273B7DAC">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定性</w:t>
            </w:r>
          </w:p>
        </w:tc>
        <w:tc>
          <w:tcPr>
            <w:tcW w:w="720" w:type="dxa"/>
            <w:noWrap/>
            <w:vAlign w:val="center"/>
          </w:tcPr>
          <w:p w14:paraId="00A328CA">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优</w:t>
            </w:r>
          </w:p>
        </w:tc>
        <w:tc>
          <w:tcPr>
            <w:tcW w:w="658" w:type="dxa"/>
            <w:noWrap/>
            <w:vAlign w:val="center"/>
          </w:tcPr>
          <w:p w14:paraId="7FEC0F97">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w:t>
            </w:r>
          </w:p>
        </w:tc>
        <w:tc>
          <w:tcPr>
            <w:tcW w:w="705" w:type="dxa"/>
            <w:noWrap/>
            <w:vAlign w:val="center"/>
          </w:tcPr>
          <w:p w14:paraId="7C0810F6">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15</w:t>
            </w:r>
          </w:p>
        </w:tc>
        <w:tc>
          <w:tcPr>
            <w:tcW w:w="857" w:type="dxa"/>
            <w:noWrap/>
            <w:vAlign w:val="center"/>
          </w:tcPr>
          <w:p w14:paraId="4FCF34C9">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全部完成</w:t>
            </w:r>
          </w:p>
        </w:tc>
        <w:tc>
          <w:tcPr>
            <w:tcW w:w="780" w:type="dxa"/>
            <w:noWrap/>
            <w:vAlign w:val="center"/>
          </w:tcPr>
          <w:p w14:paraId="135B0526">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15</w:t>
            </w:r>
          </w:p>
        </w:tc>
        <w:tc>
          <w:tcPr>
            <w:tcW w:w="405" w:type="dxa"/>
            <w:noWrap/>
            <w:vAlign w:val="center"/>
          </w:tcPr>
          <w:p w14:paraId="263DF435">
            <w:pPr>
              <w:jc w:val="center"/>
              <w:rPr>
                <w:rFonts w:hint="default" w:ascii="Times New Roman" w:hAnsi="Times New Roman" w:eastAsia="方正仿宋_GBK" w:cs="Times New Roman"/>
                <w:i w:val="0"/>
                <w:iCs w:val="0"/>
                <w:color w:val="000000"/>
                <w:sz w:val="20"/>
                <w:szCs w:val="20"/>
                <w:u w:val="none"/>
              </w:rPr>
            </w:pPr>
          </w:p>
        </w:tc>
        <w:tc>
          <w:tcPr>
            <w:tcW w:w="669" w:type="dxa"/>
            <w:vMerge w:val="continue"/>
            <w:noWrap/>
            <w:vAlign w:val="center"/>
          </w:tcPr>
          <w:p w14:paraId="6F991246">
            <w:pPr>
              <w:jc w:val="center"/>
              <w:rPr>
                <w:rFonts w:hint="default" w:ascii="Times New Roman" w:hAnsi="Times New Roman" w:eastAsia="宋体" w:cs="Times New Roman"/>
                <w:i w:val="0"/>
                <w:iCs w:val="0"/>
                <w:color w:val="000000"/>
                <w:sz w:val="22"/>
                <w:szCs w:val="22"/>
                <w:u w:val="none"/>
              </w:rPr>
            </w:pPr>
          </w:p>
        </w:tc>
      </w:tr>
      <w:tr w14:paraId="254D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39F3D2CA">
            <w:pPr>
              <w:keepNext w:val="0"/>
              <w:keepLines w:val="0"/>
              <w:pageBreakBefore w:val="0"/>
              <w:kinsoku/>
              <w:wordWrap/>
              <w:overflowPunct/>
              <w:topLinePunct w:val="0"/>
              <w:autoSpaceDN/>
              <w:bidi w:val="0"/>
              <w:spacing w:line="600" w:lineRule="exact"/>
              <w:ind w:firstLine="400" w:firstLineChars="200"/>
              <w:jc w:val="center"/>
              <w:textAlignment w:val="center"/>
              <w:rPr>
                <w:rFonts w:hint="default" w:ascii="Times New Roman" w:hAnsi="Times New Roman" w:eastAsia="方正仿宋_GBK" w:cs="Times New Roman"/>
                <w:color w:val="000000"/>
                <w:sz w:val="20"/>
                <w:szCs w:val="21"/>
              </w:rPr>
            </w:pPr>
          </w:p>
        </w:tc>
        <w:tc>
          <w:tcPr>
            <w:tcW w:w="1104" w:type="dxa"/>
            <w:vMerge w:val="continue"/>
            <w:noWrap/>
            <w:vAlign w:val="center"/>
          </w:tcPr>
          <w:p w14:paraId="2F444FD4">
            <w:pPr>
              <w:keepNext w:val="0"/>
              <w:keepLines w:val="0"/>
              <w:pageBreakBefore w:val="0"/>
              <w:kinsoku/>
              <w:wordWrap/>
              <w:overflowPunct/>
              <w:topLinePunct w:val="0"/>
              <w:autoSpaceDN/>
              <w:bidi w:val="0"/>
              <w:spacing w:line="600" w:lineRule="exact"/>
              <w:ind w:firstLine="400" w:firstLineChars="200"/>
              <w:jc w:val="center"/>
              <w:rPr>
                <w:rFonts w:hint="default" w:ascii="Times New Roman" w:hAnsi="Times New Roman" w:eastAsia="方正仿宋_GBK" w:cs="Times New Roman"/>
                <w:color w:val="000000"/>
                <w:sz w:val="20"/>
                <w:szCs w:val="21"/>
              </w:rPr>
            </w:pPr>
          </w:p>
        </w:tc>
        <w:tc>
          <w:tcPr>
            <w:tcW w:w="1604" w:type="dxa"/>
            <w:noWrap/>
            <w:vAlign w:val="center"/>
          </w:tcPr>
          <w:p w14:paraId="5F09176F">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家长学生满意度</w:t>
            </w:r>
          </w:p>
        </w:tc>
        <w:tc>
          <w:tcPr>
            <w:tcW w:w="705" w:type="dxa"/>
            <w:noWrap/>
            <w:vAlign w:val="center"/>
          </w:tcPr>
          <w:p w14:paraId="41C371D7">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393A88AC">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95</w:t>
            </w:r>
          </w:p>
        </w:tc>
        <w:tc>
          <w:tcPr>
            <w:tcW w:w="658" w:type="dxa"/>
            <w:noWrap/>
            <w:vAlign w:val="center"/>
          </w:tcPr>
          <w:p w14:paraId="5411E00B">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w:t>
            </w:r>
          </w:p>
        </w:tc>
        <w:tc>
          <w:tcPr>
            <w:tcW w:w="705" w:type="dxa"/>
            <w:noWrap/>
            <w:vAlign w:val="center"/>
          </w:tcPr>
          <w:p w14:paraId="1D81D8DD">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95</w:t>
            </w:r>
          </w:p>
        </w:tc>
        <w:tc>
          <w:tcPr>
            <w:tcW w:w="857" w:type="dxa"/>
            <w:noWrap/>
            <w:vAlign w:val="center"/>
          </w:tcPr>
          <w:p w14:paraId="59066E97">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95</w:t>
            </w:r>
          </w:p>
        </w:tc>
        <w:tc>
          <w:tcPr>
            <w:tcW w:w="780" w:type="dxa"/>
            <w:noWrap/>
            <w:vAlign w:val="center"/>
          </w:tcPr>
          <w:p w14:paraId="114BDC1F">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405" w:type="dxa"/>
            <w:noWrap/>
            <w:vAlign w:val="center"/>
          </w:tcPr>
          <w:p w14:paraId="732D6973">
            <w:pPr>
              <w:jc w:val="center"/>
              <w:rPr>
                <w:rFonts w:hint="default" w:ascii="Times New Roman" w:hAnsi="Times New Roman" w:eastAsia="方正仿宋_GBK" w:cs="Times New Roman"/>
                <w:i w:val="0"/>
                <w:iCs w:val="0"/>
                <w:color w:val="000000"/>
                <w:sz w:val="20"/>
                <w:szCs w:val="20"/>
                <w:u w:val="none"/>
                <w:lang w:val="en-US" w:eastAsia="zh-CN"/>
              </w:rPr>
            </w:pPr>
          </w:p>
        </w:tc>
        <w:tc>
          <w:tcPr>
            <w:tcW w:w="669" w:type="dxa"/>
            <w:vMerge w:val="continue"/>
            <w:noWrap/>
            <w:vAlign w:val="center"/>
          </w:tcPr>
          <w:p w14:paraId="5E8A1A22">
            <w:pPr>
              <w:keepNext w:val="0"/>
              <w:keepLines w:val="0"/>
              <w:pageBreakBefore w:val="0"/>
              <w:kinsoku/>
              <w:wordWrap/>
              <w:overflowPunct/>
              <w:topLinePunct w:val="0"/>
              <w:autoSpaceDN/>
              <w:bidi w:val="0"/>
              <w:spacing w:line="600" w:lineRule="exact"/>
              <w:ind w:firstLine="440" w:firstLineChars="200"/>
              <w:jc w:val="center"/>
              <w:rPr>
                <w:rFonts w:hint="default" w:ascii="Times New Roman" w:hAnsi="Times New Roman" w:cs="Times New Roman"/>
                <w:color w:val="000000"/>
                <w:sz w:val="22"/>
              </w:rPr>
            </w:pPr>
          </w:p>
        </w:tc>
      </w:tr>
      <w:tr w14:paraId="57FA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9" w:type="dxa"/>
            <w:vMerge w:val="continue"/>
            <w:noWrap/>
            <w:vAlign w:val="center"/>
          </w:tcPr>
          <w:p w14:paraId="7C5DE26C">
            <w:pPr>
              <w:keepNext w:val="0"/>
              <w:keepLines w:val="0"/>
              <w:pageBreakBefore w:val="0"/>
              <w:kinsoku/>
              <w:wordWrap/>
              <w:overflowPunct/>
              <w:topLinePunct w:val="0"/>
              <w:autoSpaceDN/>
              <w:bidi w:val="0"/>
              <w:spacing w:line="600" w:lineRule="exact"/>
              <w:ind w:firstLine="400" w:firstLineChars="200"/>
              <w:jc w:val="center"/>
              <w:textAlignment w:val="center"/>
              <w:rPr>
                <w:rFonts w:hint="default" w:ascii="Times New Roman" w:hAnsi="Times New Roman" w:eastAsia="方正仿宋_GBK" w:cs="Times New Roman"/>
                <w:color w:val="000000"/>
                <w:sz w:val="20"/>
                <w:szCs w:val="21"/>
              </w:rPr>
            </w:pPr>
          </w:p>
        </w:tc>
        <w:tc>
          <w:tcPr>
            <w:tcW w:w="1104" w:type="dxa"/>
            <w:vMerge w:val="continue"/>
            <w:noWrap/>
            <w:vAlign w:val="center"/>
          </w:tcPr>
          <w:p w14:paraId="15B3C457">
            <w:pPr>
              <w:keepNext w:val="0"/>
              <w:keepLines w:val="0"/>
              <w:pageBreakBefore w:val="0"/>
              <w:kinsoku/>
              <w:wordWrap/>
              <w:overflowPunct/>
              <w:topLinePunct w:val="0"/>
              <w:autoSpaceDN/>
              <w:bidi w:val="0"/>
              <w:spacing w:line="600" w:lineRule="exact"/>
              <w:ind w:firstLine="400" w:firstLineChars="200"/>
              <w:jc w:val="center"/>
              <w:rPr>
                <w:rFonts w:hint="default" w:ascii="Times New Roman" w:hAnsi="Times New Roman" w:eastAsia="方正仿宋_GBK" w:cs="Times New Roman"/>
                <w:color w:val="000000"/>
                <w:sz w:val="20"/>
                <w:szCs w:val="21"/>
              </w:rPr>
            </w:pPr>
          </w:p>
        </w:tc>
        <w:tc>
          <w:tcPr>
            <w:tcW w:w="1604" w:type="dxa"/>
            <w:noWrap/>
            <w:vAlign w:val="center"/>
          </w:tcPr>
          <w:p w14:paraId="7D291FD0">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执行率</w:t>
            </w:r>
          </w:p>
        </w:tc>
        <w:tc>
          <w:tcPr>
            <w:tcW w:w="705" w:type="dxa"/>
            <w:noWrap/>
            <w:vAlign w:val="center"/>
          </w:tcPr>
          <w:p w14:paraId="0EE5E0F7">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w:t>
            </w:r>
          </w:p>
        </w:tc>
        <w:tc>
          <w:tcPr>
            <w:tcW w:w="720" w:type="dxa"/>
            <w:noWrap/>
            <w:vAlign w:val="center"/>
          </w:tcPr>
          <w:p w14:paraId="4A55CA32">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w:t>
            </w:r>
          </w:p>
        </w:tc>
        <w:tc>
          <w:tcPr>
            <w:tcW w:w="658" w:type="dxa"/>
            <w:noWrap/>
            <w:vAlign w:val="center"/>
          </w:tcPr>
          <w:p w14:paraId="7BF02F72">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w:t>
            </w:r>
          </w:p>
        </w:tc>
        <w:tc>
          <w:tcPr>
            <w:tcW w:w="705" w:type="dxa"/>
            <w:noWrap/>
            <w:vAlign w:val="center"/>
          </w:tcPr>
          <w:p w14:paraId="269EFF2F">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857" w:type="dxa"/>
            <w:noWrap/>
            <w:vAlign w:val="center"/>
          </w:tcPr>
          <w:p w14:paraId="09FABEC2">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100</w:t>
            </w:r>
          </w:p>
        </w:tc>
        <w:tc>
          <w:tcPr>
            <w:tcW w:w="780" w:type="dxa"/>
            <w:noWrap/>
            <w:vAlign w:val="center"/>
          </w:tcPr>
          <w:p w14:paraId="40CAF26F">
            <w:pPr>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405" w:type="dxa"/>
            <w:noWrap/>
            <w:vAlign w:val="center"/>
          </w:tcPr>
          <w:p w14:paraId="497A9DB1">
            <w:pPr>
              <w:jc w:val="center"/>
              <w:rPr>
                <w:rFonts w:hint="default" w:ascii="Times New Roman" w:hAnsi="Times New Roman" w:eastAsia="方正仿宋_GBK" w:cs="Times New Roman"/>
                <w:i w:val="0"/>
                <w:iCs w:val="0"/>
                <w:color w:val="000000"/>
                <w:sz w:val="20"/>
                <w:szCs w:val="20"/>
                <w:u w:val="none"/>
                <w:lang w:val="en-US" w:eastAsia="zh-CN"/>
              </w:rPr>
            </w:pPr>
          </w:p>
        </w:tc>
        <w:tc>
          <w:tcPr>
            <w:tcW w:w="669" w:type="dxa"/>
            <w:vMerge w:val="continue"/>
            <w:noWrap/>
            <w:vAlign w:val="center"/>
          </w:tcPr>
          <w:p w14:paraId="2BE6BCEC">
            <w:pPr>
              <w:keepNext w:val="0"/>
              <w:keepLines w:val="0"/>
              <w:pageBreakBefore w:val="0"/>
              <w:kinsoku/>
              <w:wordWrap/>
              <w:overflowPunct/>
              <w:topLinePunct w:val="0"/>
              <w:autoSpaceDN/>
              <w:bidi w:val="0"/>
              <w:spacing w:line="600" w:lineRule="exact"/>
              <w:ind w:firstLine="440" w:firstLineChars="200"/>
              <w:jc w:val="center"/>
              <w:rPr>
                <w:rFonts w:hint="default" w:ascii="Times New Roman" w:hAnsi="Times New Roman" w:cs="Times New Roman"/>
                <w:color w:val="000000"/>
                <w:sz w:val="22"/>
              </w:rPr>
            </w:pPr>
          </w:p>
        </w:tc>
      </w:tr>
    </w:tbl>
    <w:p w14:paraId="20C31BAF">
      <w:pPr>
        <w:pStyle w:val="13"/>
        <w:keepNext w:val="0"/>
        <w:keepLines w:val="0"/>
        <w:pageBreakBefore w:val="0"/>
        <w:widowControl w:val="0"/>
        <w:numPr>
          <w:ilvl w:val="0"/>
          <w:numId w:val="2"/>
        </w:numPr>
        <w:suppressLineNumbers w:val="0"/>
        <w:shd w:val="clear" w:color="auto" w:fill="FFFFFF"/>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sz w:val="32"/>
          <w:szCs w:val="32"/>
          <w:shd w:val="clear" w:color="auto" w:fill="FFFFFF"/>
          <w:lang w:bidi="ar"/>
        </w:rPr>
      </w:pPr>
      <w:r>
        <w:rPr>
          <w:rFonts w:hint="default" w:ascii="Times New Roman" w:hAnsi="Times New Roman" w:eastAsia="方正楷体_GBK" w:cs="Times New Roman"/>
          <w:sz w:val="32"/>
          <w:szCs w:val="32"/>
          <w:shd w:val="clear" w:color="auto" w:fill="FFFFFF"/>
          <w:lang w:val="en-US" w:eastAsia="zh-CN" w:bidi="ar"/>
        </w:rPr>
        <w:t>单位</w:t>
      </w:r>
      <w:r>
        <w:rPr>
          <w:rFonts w:hint="default" w:ascii="Times New Roman" w:hAnsi="Times New Roman" w:eastAsia="方正楷体_GBK" w:cs="Times New Roman"/>
          <w:sz w:val="32"/>
          <w:szCs w:val="32"/>
          <w:shd w:val="clear" w:color="auto" w:fill="FFFFFF"/>
          <w:lang w:bidi="ar"/>
        </w:rPr>
        <w:t>重点绩效评价情况</w:t>
      </w:r>
    </w:p>
    <w:p w14:paraId="2E2A55D4">
      <w:pPr>
        <w:pStyle w:val="13"/>
        <w:keepNext w:val="0"/>
        <w:keepLines w:val="0"/>
        <w:pageBreakBefore w:val="0"/>
        <w:widowControl w:val="0"/>
        <w:numPr>
          <w:ilvl w:val="0"/>
          <w:numId w:val="0"/>
        </w:numPr>
        <w:suppressLineNumbers w:val="0"/>
        <w:shd w:val="clear" w:color="auto" w:fill="FFFFFF"/>
        <w:kinsoku/>
        <w:wordWrap/>
        <w:overflowPunct/>
        <w:topLinePunct w:val="0"/>
        <w:autoSpaceDE w:val="0"/>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
        </w:rPr>
        <w:t>我单位对2024年学前教育家庭经济困难幼儿资助专项经费开展了绩效评价，涉及财政拨款项目资金0.43万元，评价得分100分，评价等次为优，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kern w:val="0"/>
          <w:sz w:val="32"/>
          <w:szCs w:val="32"/>
          <w:shd w:val="clear" w:color="auto" w:fill="FFFFFF"/>
          <w:lang w:val="en-US" w:eastAsia="zh-CN" w:bidi="ar"/>
        </w:rPr>
        <w:t>。</w:t>
      </w:r>
    </w:p>
    <w:p w14:paraId="24F6652A">
      <w:pPr>
        <w:pStyle w:val="13"/>
        <w:keepNext w:val="0"/>
        <w:keepLines w:val="0"/>
        <w:pageBreakBefore w:val="0"/>
        <w:widowControl w:val="0"/>
        <w:numPr>
          <w:ilvl w:val="0"/>
          <w:numId w:val="0"/>
        </w:numPr>
        <w:suppressLineNumbers w:val="0"/>
        <w:shd w:val="clear" w:color="auto" w:fill="FFFFFF"/>
        <w:kinsoku/>
        <w:wordWrap/>
        <w:overflowPunct/>
        <w:topLinePunct w:val="0"/>
        <w:autoSpaceDE w:val="0"/>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方正楷体_GBK" w:cs="Times New Roman"/>
          <w:sz w:val="32"/>
          <w:szCs w:val="32"/>
          <w:shd w:val="clear" w:color="auto" w:fill="FFFFFF"/>
          <w:lang w:val="en-US" w:eastAsia="zh-CN" w:bidi="ar"/>
        </w:rPr>
      </w:pPr>
      <w:r>
        <w:rPr>
          <w:rFonts w:hint="default" w:ascii="Times New Roman" w:hAnsi="Times New Roman" w:eastAsia="方正楷体_GBK" w:cs="Times New Roman"/>
          <w:sz w:val="32"/>
          <w:szCs w:val="32"/>
          <w:shd w:val="clear" w:color="auto" w:fill="FFFFFF"/>
          <w:lang w:val="en-US" w:eastAsia="zh-CN" w:bidi="ar"/>
        </w:rPr>
        <w:t>（三）财政绩效评价情况</w:t>
      </w:r>
    </w:p>
    <w:p w14:paraId="5891D38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楷体_GBK" w:cs="Times New Roman"/>
          <w:sz w:val="32"/>
          <w:szCs w:val="32"/>
          <w:shd w:val="clear" w:color="auto"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
        </w:rPr>
        <w:t>财政重点绩效评价由区财政局统一公开。</w:t>
      </w:r>
    </w:p>
    <w:p w14:paraId="0676341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六、专业名词解释</w:t>
      </w:r>
    </w:p>
    <w:p w14:paraId="61A2798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shd w:val="clear" w:color="auto" w:fill="FFFFFF"/>
          <w:lang w:val="en-US" w:eastAsia="zh-CN" w:bidi="ar"/>
        </w:rPr>
        <w:t>（一）财政拨款收入：</w:t>
      </w:r>
      <w:r>
        <w:rPr>
          <w:rFonts w:hint="default" w:ascii="Times New Roman" w:hAnsi="Times New Roman" w:eastAsia="方正仿宋_GBK" w:cs="Times New Roman"/>
          <w:kern w:val="0"/>
          <w:sz w:val="32"/>
          <w:szCs w:val="32"/>
          <w:shd w:val="clear" w:color="auto" w:fill="FFFFFF"/>
          <w:lang w:val="en-US" w:eastAsia="zh-CN" w:bidi="ar"/>
        </w:rPr>
        <w:t>指本年度从本级财政单位取得的财政拨款，包括一般公共预算财政拨款和政府性基金预算财政拨款。</w:t>
      </w:r>
    </w:p>
    <w:p w14:paraId="580734A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（二）事业收入：</w:t>
      </w:r>
      <w:r>
        <w:rPr>
          <w:rFonts w:hint="default" w:ascii="Times New Roman" w:hAnsi="Times New Roman" w:eastAsia="方正仿宋_GBK" w:cs="Times New Roman"/>
          <w:kern w:val="0"/>
          <w:sz w:val="32"/>
          <w:szCs w:val="32"/>
          <w:shd w:val="clear" w:color="auto" w:fill="FFFFFF"/>
          <w:lang w:val="en-US" w:eastAsia="zh-CN" w:bidi="ar"/>
        </w:rPr>
        <w:t>指事业单位开展专业业务活动及其辅助活动取得的现金流入；事业单位收到的财政专户实际核拨的教育收费等资金在此反映。</w:t>
      </w:r>
    </w:p>
    <w:p w14:paraId="48A1995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shd w:val="clear" w:color="auto" w:fill="FFFFFF"/>
          <w:lang w:val="en-US" w:eastAsia="zh-CN" w:bidi="ar"/>
        </w:rPr>
        <w:t>（三）经营收入：</w:t>
      </w:r>
      <w:r>
        <w:rPr>
          <w:rFonts w:hint="default" w:ascii="Times New Roman" w:hAnsi="Times New Roman" w:eastAsia="方正仿宋_GBK" w:cs="Times New Roman"/>
          <w:kern w:val="0"/>
          <w:sz w:val="32"/>
          <w:szCs w:val="32"/>
          <w:shd w:val="clear" w:color="auto" w:fill="FFFFFF"/>
          <w:lang w:val="en-US" w:eastAsia="zh-CN" w:bidi="ar"/>
        </w:rPr>
        <w:t>指事业单位在专业业务活动及其辅助活动之外开展非独立核算经营活动取得的现金流入。</w:t>
      </w:r>
    </w:p>
    <w:p w14:paraId="2797E41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（四）其他收入：</w:t>
      </w:r>
      <w:r>
        <w:rPr>
          <w:rFonts w:hint="default" w:ascii="Times New Roman" w:hAnsi="Times New Roman" w:eastAsia="方正仿宋_GBK" w:cs="Times New Roman"/>
          <w:kern w:val="0"/>
          <w:sz w:val="32"/>
          <w:szCs w:val="32"/>
          <w:shd w:val="clear" w:color="auto" w:fill="FFFFFF"/>
          <w:lang w:val="en-US" w:eastAsia="zh-CN" w:bidi="ar"/>
        </w:rPr>
        <w:t>指单位取得的除</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财政拨款收入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事业收入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经营收入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4A6EAF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（五）使用非财政拨款结余：</w:t>
      </w:r>
      <w:r>
        <w:rPr>
          <w:rFonts w:hint="default" w:ascii="Times New Roman" w:hAnsi="Times New Roman" w:eastAsia="方正仿宋_GBK" w:cs="Times New Roman"/>
          <w:kern w:val="0"/>
          <w:sz w:val="32"/>
          <w:szCs w:val="32"/>
          <w:shd w:val="clear" w:color="auto" w:fill="FFFFFF"/>
          <w:lang w:val="en-US" w:eastAsia="zh-CN" w:bidi="ar"/>
        </w:rPr>
        <w:t>指单位在当年的</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财政拨款收入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事业收入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经营收入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其他收入</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等不足以安排当年支出的情况下，使用以前年度积累的非财政拨款结余弥补本年度收支缺口的资金。</w:t>
      </w:r>
    </w:p>
    <w:p w14:paraId="1801909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shd w:val="clear" w:color="auto" w:fill="FFFFFF"/>
          <w:lang w:val="en-US" w:eastAsia="zh-CN" w:bidi="ar"/>
        </w:rPr>
        <w:t>（六）年初结转和结余：</w:t>
      </w:r>
      <w:r>
        <w:rPr>
          <w:rFonts w:hint="default" w:ascii="Times New Roman" w:hAnsi="Times New Roman" w:eastAsia="方正仿宋_GBK" w:cs="Times New Roman"/>
          <w:kern w:val="0"/>
          <w:sz w:val="32"/>
          <w:szCs w:val="32"/>
          <w:shd w:val="clear" w:color="auto" w:fill="FFFFFF"/>
          <w:lang w:val="en-US" w:eastAsia="zh-CN" w:bidi="ar"/>
        </w:rPr>
        <w:t>指单位上年结转本年使用的基本支出结转、项目支出结转和结余、经营结余。</w:t>
      </w:r>
    </w:p>
    <w:p w14:paraId="12B113E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shd w:val="clear" w:color="auto" w:fill="FFFFFF"/>
          <w:lang w:val="en-US" w:eastAsia="zh-CN" w:bidi="ar"/>
        </w:rPr>
        <w:t>（七）结余分配：</w:t>
      </w:r>
      <w:r>
        <w:rPr>
          <w:rFonts w:hint="default" w:ascii="Times New Roman" w:hAnsi="Times New Roman" w:eastAsia="方正仿宋_GBK" w:cs="Times New Roman"/>
          <w:kern w:val="0"/>
          <w:sz w:val="32"/>
          <w:szCs w:val="32"/>
          <w:shd w:val="clear" w:color="auto" w:fill="FFFFFF"/>
          <w:lang w:val="en-US" w:eastAsia="zh-CN" w:bidi="ar"/>
        </w:rPr>
        <w:t>指单位按照国家有关规定，缴纳所得税、提取专用基金、转入非财政拨款结余等当年结余的分配情况。</w:t>
      </w:r>
    </w:p>
    <w:p w14:paraId="2AADB18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（八）年末结转和结余：</w:t>
      </w:r>
      <w:r>
        <w:rPr>
          <w:rFonts w:hint="default" w:ascii="Times New Roman" w:hAnsi="Times New Roman" w:eastAsia="方正仿宋_GBK" w:cs="Times New Roman"/>
          <w:kern w:val="0"/>
          <w:sz w:val="32"/>
          <w:szCs w:val="32"/>
          <w:shd w:val="clear" w:color="auto" w:fill="FFFFFF"/>
          <w:lang w:val="en-US" w:eastAsia="zh-CN" w:bidi="ar"/>
        </w:rPr>
        <w:t>指单位结转下年的基本支出结转、项目支出结转和结余、经营结余。</w:t>
      </w:r>
    </w:p>
    <w:p w14:paraId="0140C61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（九）基本支出：</w:t>
      </w:r>
      <w:r>
        <w:rPr>
          <w:rFonts w:hint="default" w:ascii="Times New Roman" w:hAnsi="Times New Roman" w:eastAsia="方正仿宋_GBK" w:cs="Times New Roman"/>
          <w:kern w:val="0"/>
          <w:sz w:val="32"/>
          <w:szCs w:val="32"/>
          <w:shd w:val="clear" w:color="auto" w:fill="FFFFFF"/>
          <w:lang w:val="en-US" w:eastAsia="zh-CN" w:bidi="ar"/>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工资福利支出</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和</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对个人和家庭的补助</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；公用经费指政府收支分类经济科目中除</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工资福利支出</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和</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对个人和家庭的补助</w:t>
      </w:r>
      <w:r>
        <w:rPr>
          <w:rFonts w:hint="eastAsia" w:ascii="Times New Roman" w:hAnsi="Times New Roman" w:eastAsia="方正仿宋_GBK" w:cs="Times New Roman"/>
          <w:kern w:val="0"/>
          <w:sz w:val="32"/>
          <w:szCs w:val="32"/>
          <w:shd w:val="clear" w:color="auto"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
        </w:rPr>
        <w:t>外的其他支出。</w:t>
      </w:r>
    </w:p>
    <w:p w14:paraId="19D0451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（十）项目支出：</w:t>
      </w:r>
      <w:r>
        <w:rPr>
          <w:rFonts w:hint="default" w:ascii="Times New Roman" w:hAnsi="Times New Roman" w:eastAsia="方正仿宋_GBK" w:cs="Times New Roman"/>
          <w:kern w:val="0"/>
          <w:sz w:val="32"/>
          <w:szCs w:val="32"/>
          <w:shd w:val="clear" w:color="auto" w:fill="FFFFFF"/>
          <w:lang w:val="en-US" w:eastAsia="zh-CN" w:bidi="ar"/>
        </w:rPr>
        <w:t>指在基本支出之外为完成特定行政任务和事业发展目标所发生的支出。</w:t>
      </w:r>
    </w:p>
    <w:p w14:paraId="58E27BF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（十一）经营支出：</w:t>
      </w:r>
      <w:r>
        <w:rPr>
          <w:rFonts w:hint="default" w:ascii="Times New Roman" w:hAnsi="Times New Roman" w:eastAsia="方正仿宋_GBK" w:cs="Times New Roman"/>
          <w:kern w:val="0"/>
          <w:sz w:val="32"/>
          <w:szCs w:val="32"/>
          <w:shd w:val="clear" w:color="auto" w:fill="FFFFFF"/>
          <w:lang w:val="en-US" w:eastAsia="zh-CN" w:bidi="ar"/>
        </w:rPr>
        <w:t>指事业单位在专业业务活动及其辅助活动之外开展非独立核算经营活动发生的支出。</w:t>
      </w:r>
    </w:p>
    <w:p w14:paraId="1D8144F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（十二）</w:t>
      </w:r>
      <w:r>
        <w:rPr>
          <w:rFonts w:hint="eastAsia" w:ascii="Times New Roman" w:hAnsi="Times New Roman" w:eastAsia="方正楷体_GBK" w:cs="Times New Roman"/>
          <w:kern w:val="0"/>
          <w:sz w:val="32"/>
          <w:szCs w:val="32"/>
          <w:shd w:val="clear" w:color="auto" w:fill="FFFFFF"/>
          <w:lang w:val="en-US" w:eastAsia="zh-CN" w:bidi="ar"/>
        </w:rPr>
        <w:t>“</w:t>
      </w:r>
      <w:r>
        <w:rPr>
          <w:rFonts w:hint="default" w:ascii="Times New Roman" w:hAnsi="Times New Roman" w:eastAsia="方正楷体_GBK" w:cs="Times New Roman"/>
          <w:kern w:val="0"/>
          <w:sz w:val="32"/>
          <w:szCs w:val="32"/>
          <w:shd w:val="clear" w:color="auto" w:fill="FFFFFF"/>
          <w:lang w:val="en-US" w:eastAsia="zh-CN" w:bidi="ar"/>
        </w:rPr>
        <w:t>三公</w:t>
      </w:r>
      <w:r>
        <w:rPr>
          <w:rFonts w:hint="eastAsia" w:ascii="Times New Roman" w:hAnsi="Times New Roman" w:eastAsia="方正楷体_GBK" w:cs="Times New Roman"/>
          <w:kern w:val="0"/>
          <w:sz w:val="32"/>
          <w:szCs w:val="32"/>
          <w:shd w:val="clear" w:color="auto" w:fill="FFFFFF"/>
          <w:lang w:val="en-US" w:eastAsia="zh-CN" w:bidi="ar"/>
        </w:rPr>
        <w:t>”</w:t>
      </w:r>
      <w:r>
        <w:rPr>
          <w:rFonts w:hint="default" w:ascii="Times New Roman" w:hAnsi="Times New Roman" w:eastAsia="方正楷体_GBK" w:cs="Times New Roman"/>
          <w:kern w:val="0"/>
          <w:sz w:val="32"/>
          <w:szCs w:val="32"/>
          <w:shd w:val="clear" w:color="auto" w:fill="FFFFFF"/>
          <w:lang w:val="en-US" w:eastAsia="zh-CN" w:bidi="ar"/>
        </w:rPr>
        <w:t>经费：</w:t>
      </w:r>
      <w:r>
        <w:rPr>
          <w:rFonts w:hint="default" w:ascii="Times New Roman" w:hAnsi="Times New Roman" w:eastAsia="方正仿宋_GBK" w:cs="Times New Roman"/>
          <w:kern w:val="0"/>
          <w:sz w:val="32"/>
          <w:szCs w:val="32"/>
          <w:shd w:val="clear" w:color="auto" w:fill="FFFFFF"/>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A435E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（十三）机关运行经费：</w:t>
      </w:r>
      <w:r>
        <w:rPr>
          <w:rFonts w:hint="default" w:ascii="Times New Roman" w:hAnsi="Times New Roman" w:eastAsia="方正仿宋_GBK" w:cs="Times New Roman"/>
          <w:kern w:val="0"/>
          <w:sz w:val="32"/>
          <w:szCs w:val="32"/>
          <w:shd w:val="clear" w:color="auto" w:fill="FFFFFF"/>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0B64C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kern w:val="0"/>
          <w:sz w:val="32"/>
          <w:szCs w:val="32"/>
          <w:shd w:val="clear" w:color="auto" w:fill="FFFFFF"/>
          <w:lang w:val="en-US" w:eastAsia="zh-CN" w:bidi="ar"/>
        </w:rPr>
        <w:t>反映单位开支的在职职工和编制外长期聘用人员的各类劳动报酬，以及为上述人员缴纳的各项社会保险费等。</w:t>
      </w:r>
    </w:p>
    <w:p w14:paraId="11D80E6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kern w:val="0"/>
          <w:sz w:val="32"/>
          <w:szCs w:val="32"/>
          <w:shd w:val="clear" w:color="auto" w:fill="FFFFFF"/>
          <w:lang w:val="en-US" w:eastAsia="zh-CN" w:bidi="ar"/>
        </w:rPr>
        <w:t>反映单位购买商品和服务的支出（不包括用于购置固定资产的支出、战略性和应急储备支出）。</w:t>
      </w:r>
    </w:p>
    <w:p w14:paraId="5334F60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kern w:val="0"/>
          <w:sz w:val="32"/>
          <w:szCs w:val="32"/>
          <w:shd w:val="clear" w:color="auto" w:fill="FFFFFF"/>
          <w:lang w:val="en-US" w:eastAsia="zh-CN" w:bidi="ar"/>
        </w:rPr>
        <w:t>反映用于对个人和家庭的补助支出。</w:t>
      </w:r>
    </w:p>
    <w:p w14:paraId="25DE1EB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kern w:val="0"/>
          <w:sz w:val="32"/>
          <w:szCs w:val="32"/>
          <w:shd w:val="clear" w:color="auto" w:fill="FFFFFF"/>
          <w:lang w:val="en-US" w:eastAsia="zh-CN" w:bidi="ar"/>
        </w:rPr>
        <w:t>反映非各级发展与改革单位集中安排的用于购置固定资产、战略性和应急性储备、土地和无形资产，以及构建基础设施、大型修缮和财政支持企业更新改造所发生的支出。</w:t>
      </w:r>
    </w:p>
    <w:p w14:paraId="50CFA16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1"/>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BFA8C0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00" w:firstLineChars="200"/>
        <w:jc w:val="both"/>
        <w:textAlignment w:val="auto"/>
        <w:rPr>
          <w:rFonts w:hint="default" w:ascii="Times New Roman" w:hAnsi="Times New Roman" w:eastAsia="方正仿宋_GBK" w:cs="Times New Roman"/>
          <w:kern w:val="0"/>
          <w:sz w:val="30"/>
          <w:szCs w:val="30"/>
          <w:shd w:val="clear" w:color="auto" w:fill="FFFFFF"/>
          <w:lang w:val="en-US" w:eastAsia="zh-CN"/>
        </w:rPr>
      </w:pPr>
      <w:r>
        <w:rPr>
          <w:rFonts w:hint="default" w:ascii="Times New Roman" w:hAnsi="Times New Roman" w:eastAsia="方正仿宋_GBK" w:cs="Times New Roman"/>
          <w:kern w:val="0"/>
          <w:sz w:val="30"/>
          <w:szCs w:val="30"/>
          <w:shd w:val="clear" w:color="auto" w:fill="FFFFFF"/>
          <w:lang w:val="en-US" w:eastAsia="zh-CN"/>
        </w:rPr>
        <w:t>本单位决算公开信息反馈和联系方式：023-68503024</w:t>
      </w:r>
    </w:p>
    <w:p w14:paraId="0050D7D5">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00" w:firstLineChars="200"/>
        <w:jc w:val="both"/>
        <w:rPr>
          <w:rFonts w:hint="default" w:ascii="Times New Roman" w:hAnsi="Times New Roman" w:eastAsia="方正仿宋_GBK" w:cs="Times New Roman"/>
          <w:kern w:val="0"/>
          <w:sz w:val="30"/>
          <w:szCs w:val="30"/>
          <w:shd w:val="clear" w:color="auto" w:fill="FFFFFF"/>
          <w:lang w:val="en-US" w:eastAsia="zh-CN"/>
        </w:rPr>
      </w:pPr>
    </w:p>
    <w:p w14:paraId="60B59175">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附件：1.收入支出决算总表</w:t>
      </w:r>
    </w:p>
    <w:p w14:paraId="6429855F">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2.收入决算表</w:t>
      </w:r>
    </w:p>
    <w:p w14:paraId="6A4C0035">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3.支出决算表</w:t>
      </w:r>
    </w:p>
    <w:p w14:paraId="53820111">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4.财政拨款收入支出决算总表</w:t>
      </w:r>
    </w:p>
    <w:p w14:paraId="13AA89F4">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5.一般公共预算财政拨款支出决算表</w:t>
      </w:r>
    </w:p>
    <w:p w14:paraId="4553F53D">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6.一般公共预算财政拨款基本支出决算表</w:t>
      </w:r>
    </w:p>
    <w:p w14:paraId="710F680B">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7.政府性基金预算财政拨款收入支出决算表</w:t>
      </w:r>
    </w:p>
    <w:p w14:paraId="669F2772">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8.国有资本经营预算财政拨款支出决算表</w:t>
      </w:r>
    </w:p>
    <w:p w14:paraId="1800C239">
      <w:pPr>
        <w:pStyle w:val="8"/>
        <w:widowControl w:val="0"/>
        <w:shd w:val="clear" w:color="auto" w:fill="FFFFFF"/>
        <w:spacing w:before="0" w:beforeAutospacing="0" w:after="0" w:afterAutospacing="0" w:line="600" w:lineRule="exact"/>
        <w:ind w:firstLine="1600" w:firstLineChars="500"/>
        <w:jc w:val="both"/>
        <w:rPr>
          <w:rStyle w:val="11"/>
          <w:rFonts w:hint="default" w:ascii="Times New Roman" w:hAnsi="Times New Roman" w:eastAsia="方正仿宋_GBK" w:cs="Times New Roman"/>
          <w:b w:val="0"/>
          <w:bCs/>
          <w:kern w:val="0"/>
          <w:sz w:val="32"/>
          <w:szCs w:val="32"/>
          <w:shd w:val="clear" w:color="auto" w:fill="FFFFFF"/>
          <w:lang w:val="en-US" w:eastAsia="zh-CN"/>
        </w:rPr>
      </w:pPr>
      <w:r>
        <w:rPr>
          <w:rStyle w:val="11"/>
          <w:rFonts w:hint="default" w:ascii="Times New Roman" w:hAnsi="Times New Roman" w:eastAsia="方正仿宋_GBK" w:cs="Times New Roman"/>
          <w:b w:val="0"/>
          <w:bCs/>
          <w:kern w:val="0"/>
          <w:sz w:val="32"/>
          <w:szCs w:val="32"/>
          <w:shd w:val="clear" w:color="auto" w:fill="FFFFFF"/>
          <w:lang w:val="en-US" w:eastAsia="zh-CN"/>
        </w:rPr>
        <w:t>9.机构运行信息表</w:t>
      </w:r>
    </w:p>
    <w:p w14:paraId="05ACC574">
      <w:pPr>
        <w:pStyle w:val="12"/>
        <w:autoSpaceDE w:val="0"/>
        <w:spacing w:line="596" w:lineRule="exact"/>
        <w:ind w:left="0" w:leftChars="0" w:firstLine="0" w:firstLineChars="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6BBB0648">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24568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AF5DC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89B7CA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1D58DAD">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B9554C1">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C1B85D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7BAD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195E0F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0ACAC0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重庆市九龙坡区九龙小学校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FD6A50B">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92264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6D37F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B45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6F4A6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1F320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010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1DC7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4B5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093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6466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9A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8FF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98B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A0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7FDC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29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61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48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6F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3FC3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2A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2AA2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1321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D4C6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9E20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40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7A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43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9A0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0570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72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5F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24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F2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1,809.10</w:t>
            </w:r>
            <w:r>
              <w:rPr>
                <w:rFonts w:hint="default" w:ascii="Times New Roman" w:hAnsi="Times New Roman" w:cs="Times New Roman"/>
                <w:color w:val="000000"/>
                <w:sz w:val="20"/>
                <w:u w:color="auto"/>
              </w:rPr>
              <w:t xml:space="preserve"> </w:t>
            </w:r>
          </w:p>
        </w:tc>
      </w:tr>
      <w:tr w14:paraId="05027B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B4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78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49E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017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C37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43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80C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CF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13E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38C1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40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19AD5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E03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78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206.86</w:t>
            </w:r>
            <w:r>
              <w:rPr>
                <w:rFonts w:hint="default" w:ascii="Times New Roman" w:hAnsi="Times New Roman" w:cs="Times New Roman"/>
                <w:color w:val="000000"/>
                <w:sz w:val="20"/>
                <w:u w:color="auto"/>
              </w:rPr>
              <w:t xml:space="preserve"> </w:t>
            </w:r>
          </w:p>
        </w:tc>
      </w:tr>
      <w:tr w14:paraId="44FA46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A06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B7C7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81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A7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82.46</w:t>
            </w:r>
            <w:r>
              <w:rPr>
                <w:rFonts w:hint="default" w:ascii="Times New Roman" w:hAnsi="Times New Roman" w:cs="Times New Roman"/>
                <w:color w:val="000000"/>
                <w:sz w:val="20"/>
                <w:u w:color="auto"/>
              </w:rPr>
              <w:t xml:space="preserve"> </w:t>
            </w:r>
          </w:p>
        </w:tc>
      </w:tr>
      <w:tr w14:paraId="34E9C5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377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658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6E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1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3F0D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F9A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826F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530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1E4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E81C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23C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06F8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85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081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385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216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E02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266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008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295D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DC5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97F9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A9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BE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1F40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1A7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A1C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F1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766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43ED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AC0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14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7D1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5D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92CD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545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C4D7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8D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9BC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50563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FB8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755E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AC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D2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32C6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48E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FCB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9F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2A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126.76</w:t>
            </w:r>
            <w:r>
              <w:rPr>
                <w:rFonts w:hint="default" w:ascii="Times New Roman" w:hAnsi="Times New Roman" w:cs="Times New Roman"/>
                <w:color w:val="000000"/>
                <w:sz w:val="20"/>
                <w:u w:color="auto"/>
              </w:rPr>
              <w:t xml:space="preserve"> </w:t>
            </w:r>
          </w:p>
        </w:tc>
      </w:tr>
      <w:tr w14:paraId="64D2FB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4DE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D270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61B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6A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5798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4AF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E82F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C2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C8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2C5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0DC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E92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C35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85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ED6B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4A5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5956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23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A2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65A8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08D9">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CBB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13D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391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8C7A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FF2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14A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1BE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96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A2ABC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6DC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4FE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ADA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9B3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BD3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BF6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02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2,225.18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AC5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B2B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2,225.18</w:t>
            </w:r>
            <w:r>
              <w:rPr>
                <w:rFonts w:hint="default" w:ascii="Times New Roman" w:hAnsi="Times New Roman" w:cs="Times New Roman"/>
                <w:color w:val="000000"/>
                <w:sz w:val="20"/>
                <w:u w:color="auto"/>
              </w:rPr>
              <w:t xml:space="preserve"> </w:t>
            </w:r>
          </w:p>
        </w:tc>
      </w:tr>
      <w:tr w14:paraId="6C0E18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95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9C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27F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7C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FDCC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8E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DBA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0A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5E49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2AC36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D15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DA3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2,225.18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3E0D41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C697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2,225.18</w:t>
            </w:r>
            <w:r>
              <w:rPr>
                <w:rFonts w:hint="default" w:ascii="Times New Roman" w:hAnsi="Times New Roman" w:cs="Times New Roman"/>
                <w:color w:val="000000"/>
                <w:sz w:val="20"/>
                <w:u w:color="auto"/>
              </w:rPr>
              <w:t xml:space="preserve"> </w:t>
            </w:r>
          </w:p>
        </w:tc>
      </w:tr>
    </w:tbl>
    <w:p w14:paraId="7EB9A0B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91C5E35">
      <w:pPr>
        <w:rPr>
          <w:rFonts w:hint="default" w:ascii="Times New Roman" w:hAnsi="Times New Roman" w:cs="Times New Roman"/>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5B3BFE1F">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A1E728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6B80BA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2E717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重庆市九龙坡区九龙小学校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FC9395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F20A718">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5B8AAA2">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9ACD347">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273677">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8FB39C6">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2D6D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375189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17556E0">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13A2E3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4B2392E">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7CAC42">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815F11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B0BC6FA">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47A5655">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C84AE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C6E8C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32F9F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A0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DB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62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ED33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83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56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DA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1F12D5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6F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FD32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889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FB1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9968">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FC6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9B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47F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260B">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512E">
            <w:pPr>
              <w:jc w:val="center"/>
              <w:rPr>
                <w:rFonts w:hint="default" w:ascii="Times New Roman" w:hAnsi="Times New Roman" w:cs="Times New Roman"/>
                <w:b/>
                <w:color w:val="000000"/>
                <w:sz w:val="20"/>
                <w:szCs w:val="20"/>
              </w:rPr>
            </w:pPr>
          </w:p>
        </w:tc>
      </w:tr>
      <w:tr w14:paraId="7B039B9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A3C6">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DE62A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C51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161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DD9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FE0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8AFC">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657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DDB4">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605D">
            <w:pPr>
              <w:jc w:val="center"/>
              <w:rPr>
                <w:rFonts w:hint="default" w:ascii="Times New Roman" w:hAnsi="Times New Roman" w:cs="Times New Roman"/>
                <w:b/>
                <w:color w:val="000000"/>
                <w:sz w:val="20"/>
                <w:szCs w:val="20"/>
              </w:rPr>
            </w:pPr>
          </w:p>
        </w:tc>
      </w:tr>
      <w:tr w14:paraId="4299690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192E">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AB775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754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1C8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38DD">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683C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520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E61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7DF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4634">
            <w:pPr>
              <w:jc w:val="center"/>
              <w:rPr>
                <w:rFonts w:hint="default" w:ascii="Times New Roman" w:hAnsi="Times New Roman" w:cs="Times New Roman"/>
                <w:b/>
                <w:color w:val="000000"/>
                <w:sz w:val="20"/>
                <w:szCs w:val="20"/>
              </w:rPr>
            </w:pPr>
          </w:p>
        </w:tc>
      </w:tr>
      <w:tr w14:paraId="61A47E68">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31DB">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21EE0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991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DE7E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31C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F113">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414C">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04E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2E1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7B1D">
            <w:pPr>
              <w:jc w:val="center"/>
              <w:rPr>
                <w:rFonts w:hint="default" w:ascii="Times New Roman" w:hAnsi="Times New Roman" w:cs="Times New Roman"/>
                <w:b/>
                <w:color w:val="000000"/>
                <w:sz w:val="20"/>
                <w:szCs w:val="20"/>
              </w:rPr>
            </w:pPr>
          </w:p>
        </w:tc>
      </w:tr>
      <w:tr w14:paraId="29CC1A5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43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21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2,225.18</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89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2,150.18</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AD7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DB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E04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72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A0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28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8E76D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EF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13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7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1,809.10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9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1,734.10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9B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B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1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2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3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2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E6EE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F2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56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C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1,809.10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3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1,734.10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1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1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9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5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5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1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067B0A">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9B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BAF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F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119.81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5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E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9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1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E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E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1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C33FDD">
        <w:tblPrEx>
          <w:tblCellMar>
            <w:top w:w="0" w:type="dxa"/>
            <w:left w:w="0" w:type="dxa"/>
            <w:bottom w:w="0" w:type="dxa"/>
            <w:right w:w="0" w:type="dxa"/>
          </w:tblCellMar>
        </w:tblPrEx>
        <w:trPr>
          <w:trHeight w:val="3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89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2B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1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1,689.30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2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1,686.30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C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C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0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F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2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8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4F0FA5">
        <w:tblPrEx>
          <w:tblCellMar>
            <w:top w:w="0" w:type="dxa"/>
            <w:left w:w="0" w:type="dxa"/>
            <w:bottom w:w="0" w:type="dxa"/>
            <w:right w:w="0" w:type="dxa"/>
          </w:tblCellMar>
        </w:tblPrEx>
        <w:trPr>
          <w:trHeight w:val="27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63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121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53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B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7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E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A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F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1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23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08124">
        <w:tblPrEx>
          <w:tblCellMar>
            <w:top w:w="0" w:type="dxa"/>
            <w:left w:w="0" w:type="dxa"/>
            <w:bottom w:w="0" w:type="dxa"/>
            <w:right w:w="0" w:type="dxa"/>
          </w:tblCellMar>
        </w:tblPrEx>
        <w:trPr>
          <w:trHeight w:val="33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F6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D3B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2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2C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0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6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3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FC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5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9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BE4ACC">
        <w:tblPrEx>
          <w:tblCellMar>
            <w:top w:w="0" w:type="dxa"/>
            <w:left w:w="0" w:type="dxa"/>
            <w:bottom w:w="0" w:type="dxa"/>
            <w:right w:w="0" w:type="dxa"/>
          </w:tblCellMar>
        </w:tblPrEx>
        <w:trPr>
          <w:trHeight w:val="624"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C4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20C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24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BF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E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4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E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7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2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25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54E3D4">
        <w:tblPrEx>
          <w:tblCellMar>
            <w:top w:w="0" w:type="dxa"/>
            <w:left w:w="0" w:type="dxa"/>
            <w:bottom w:w="0" w:type="dxa"/>
            <w:right w:w="0" w:type="dxa"/>
          </w:tblCellMar>
        </w:tblPrEx>
        <w:trPr>
          <w:trHeight w:val="31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6D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E5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36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DE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8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B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B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2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76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80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B4947B">
        <w:tblPrEx>
          <w:tblCellMar>
            <w:top w:w="0" w:type="dxa"/>
            <w:left w:w="0" w:type="dxa"/>
            <w:bottom w:w="0" w:type="dxa"/>
            <w:right w:w="0" w:type="dxa"/>
          </w:tblCellMar>
        </w:tblPrEx>
        <w:trPr>
          <w:trHeight w:val="3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06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9D8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B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A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B8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0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B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4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B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6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F1EEBE">
        <w:tblPrEx>
          <w:tblCellMar>
            <w:top w:w="0" w:type="dxa"/>
            <w:left w:w="0" w:type="dxa"/>
            <w:bottom w:w="0" w:type="dxa"/>
            <w:right w:w="0" w:type="dxa"/>
          </w:tblCellMar>
        </w:tblPrEx>
        <w:trPr>
          <w:trHeight w:val="31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B0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AB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1B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E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63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4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C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B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6C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61201A">
        <w:tblPrEx>
          <w:tblCellMar>
            <w:top w:w="0" w:type="dxa"/>
            <w:left w:w="0" w:type="dxa"/>
            <w:bottom w:w="0" w:type="dxa"/>
            <w:right w:w="0" w:type="dxa"/>
          </w:tblCellMar>
        </w:tblPrEx>
        <w:trPr>
          <w:trHeight w:val="33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8F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88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3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7E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B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8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F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C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7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E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12561F">
        <w:tblPrEx>
          <w:tblCellMar>
            <w:top w:w="0" w:type="dxa"/>
            <w:left w:w="0" w:type="dxa"/>
            <w:bottom w:w="0" w:type="dxa"/>
            <w:right w:w="0" w:type="dxa"/>
          </w:tblCellMar>
        </w:tblPrEx>
        <w:trPr>
          <w:trHeight w:val="33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D4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72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E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5A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71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9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A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B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7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C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9980EA">
        <w:tblPrEx>
          <w:tblCellMar>
            <w:top w:w="0" w:type="dxa"/>
            <w:left w:w="0" w:type="dxa"/>
            <w:bottom w:w="0" w:type="dxa"/>
            <w:right w:w="0" w:type="dxa"/>
          </w:tblCellMar>
        </w:tblPrEx>
        <w:trPr>
          <w:trHeight w:val="31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8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1A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7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5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52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9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E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14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B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2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4AACCE">
        <w:tblPrEx>
          <w:tblCellMar>
            <w:top w:w="0" w:type="dxa"/>
            <w:left w:w="0" w:type="dxa"/>
            <w:bottom w:w="0" w:type="dxa"/>
            <w:right w:w="0" w:type="dxa"/>
          </w:tblCellMar>
        </w:tblPrEx>
        <w:trPr>
          <w:trHeight w:val="267"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F5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71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4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7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9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31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3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7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F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D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DA9826">
        <w:tblPrEx>
          <w:tblCellMar>
            <w:top w:w="0" w:type="dxa"/>
            <w:left w:w="0" w:type="dxa"/>
            <w:bottom w:w="0" w:type="dxa"/>
            <w:right w:w="0" w:type="dxa"/>
          </w:tblCellMar>
        </w:tblPrEx>
        <w:trPr>
          <w:trHeight w:val="3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9A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81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8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8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2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D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9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E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C5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896AE0">
        <w:tblPrEx>
          <w:tblCellMar>
            <w:top w:w="0" w:type="dxa"/>
            <w:left w:w="0" w:type="dxa"/>
            <w:bottom w:w="0" w:type="dxa"/>
            <w:right w:w="0" w:type="dxa"/>
          </w:tblCellMar>
        </w:tblPrEx>
        <w:trPr>
          <w:trHeight w:val="3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8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79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39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1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1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D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07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A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0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9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DD5217">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0A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60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5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9C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5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4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3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6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A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F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5D7B548">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56C1FFBB">
        <w:tblPrEx>
          <w:tblCellMar>
            <w:top w:w="0" w:type="dxa"/>
            <w:left w:w="0" w:type="dxa"/>
            <w:bottom w:w="0" w:type="dxa"/>
            <w:right w:w="0" w:type="dxa"/>
          </w:tblCellMar>
        </w:tblPrEx>
        <w:trPr>
          <w:trHeight w:val="59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96383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A02C52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1C73D2D">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重庆市九龙坡区九龙小学校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70EEDC4">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06FF7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7DFAE3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6B55B2E">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36F0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307CFD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6ED83A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D7C722C">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754992">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CC8351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D51F7AC">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3AE68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C2323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3FD8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96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8B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860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6B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13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7B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402E6C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2D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730F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870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53F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F3D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28A3">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728F">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B472">
            <w:pPr>
              <w:jc w:val="center"/>
              <w:rPr>
                <w:rFonts w:hint="default" w:ascii="Times New Roman" w:hAnsi="Times New Roman" w:cs="Times New Roman"/>
                <w:b/>
                <w:color w:val="000000"/>
                <w:sz w:val="20"/>
                <w:szCs w:val="20"/>
              </w:rPr>
            </w:pPr>
          </w:p>
        </w:tc>
      </w:tr>
      <w:tr w14:paraId="01B122D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915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78DCC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8EB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965E">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BCFF">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4FE3">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DD9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A0F7">
            <w:pPr>
              <w:jc w:val="center"/>
              <w:rPr>
                <w:rFonts w:hint="default" w:ascii="Times New Roman" w:hAnsi="Times New Roman" w:cs="Times New Roman"/>
                <w:b/>
                <w:color w:val="000000"/>
                <w:sz w:val="20"/>
                <w:szCs w:val="20"/>
              </w:rPr>
            </w:pPr>
          </w:p>
        </w:tc>
      </w:tr>
      <w:tr w14:paraId="289AF94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03B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43F4E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C76C">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AB0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E72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69F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B22B">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6814">
            <w:pPr>
              <w:jc w:val="center"/>
              <w:rPr>
                <w:rFonts w:hint="default" w:ascii="Times New Roman" w:hAnsi="Times New Roman" w:cs="Times New Roman"/>
                <w:b/>
                <w:color w:val="000000"/>
                <w:sz w:val="20"/>
                <w:szCs w:val="20"/>
              </w:rPr>
            </w:pPr>
          </w:p>
        </w:tc>
      </w:tr>
      <w:tr w14:paraId="4C79739F">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7D1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768CD8">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3EC7">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98F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755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42E3">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43BF">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2F8B">
            <w:pPr>
              <w:jc w:val="center"/>
              <w:rPr>
                <w:rFonts w:hint="default" w:ascii="Times New Roman" w:hAnsi="Times New Roman" w:cs="Times New Roman"/>
                <w:b/>
                <w:color w:val="000000"/>
                <w:sz w:val="20"/>
                <w:szCs w:val="20"/>
              </w:rPr>
            </w:pPr>
          </w:p>
        </w:tc>
      </w:tr>
      <w:tr w14:paraId="6B740DC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BE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28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2,225.18</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B6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1,785.44</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96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439.74</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AA7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A0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2E1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2D717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54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12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D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1,809.10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E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1,369.36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09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439.74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8B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7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E1F7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0F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8B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9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1,809.10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AA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1,369.36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0A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439.74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9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E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C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9C79BC">
        <w:tblPrEx>
          <w:tblCellMar>
            <w:top w:w="0" w:type="dxa"/>
            <w:left w:w="0" w:type="dxa"/>
            <w:bottom w:w="0" w:type="dxa"/>
            <w:right w:w="0" w:type="dxa"/>
          </w:tblCellMar>
        </w:tblPrEx>
        <w:trPr>
          <w:trHeight w:val="32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73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501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8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119.81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A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3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107.31</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C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AA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1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9615F6">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07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5AF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6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1,689.30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B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1,356.86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EF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332.43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F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A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B8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2FE2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8C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EA9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0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5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25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C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BC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6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877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6C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90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F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4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4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2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E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0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E646D8">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80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12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1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4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4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5E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8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3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219846">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DB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217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2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71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8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7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3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2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5E0744">
        <w:tblPrEx>
          <w:tblCellMar>
            <w:top w:w="0" w:type="dxa"/>
            <w:left w:w="0" w:type="dxa"/>
            <w:bottom w:w="0" w:type="dxa"/>
            <w:right w:w="0" w:type="dxa"/>
          </w:tblCellMar>
        </w:tblPrEx>
        <w:trPr>
          <w:trHeight w:val="36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54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383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2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0D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C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2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3C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A7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0B2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BD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2D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8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9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5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B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7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A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5DB8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1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B3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D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5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8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B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A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F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54AE51">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7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4FD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3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CA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E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9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7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2C102C">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5F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87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7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00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B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F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3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8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0B05C8">
        <w:tblPrEx>
          <w:tblCellMar>
            <w:top w:w="0" w:type="dxa"/>
            <w:left w:w="0" w:type="dxa"/>
            <w:bottom w:w="0" w:type="dxa"/>
            <w:right w:w="0" w:type="dxa"/>
          </w:tblCellMar>
        </w:tblPrEx>
        <w:trPr>
          <w:trHeight w:val="36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16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05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1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7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A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C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D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6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0531CB">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7F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3F6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B0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4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E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4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C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4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C51A36">
        <w:tblPrEx>
          <w:tblCellMar>
            <w:top w:w="0" w:type="dxa"/>
            <w:left w:w="0" w:type="dxa"/>
            <w:bottom w:w="0" w:type="dxa"/>
            <w:right w:w="0" w:type="dxa"/>
          </w:tblCellMar>
        </w:tblPrEx>
        <w:trPr>
          <w:trHeight w:val="30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90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3A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5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D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F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E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3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C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167F0D">
        <w:tblPrEx>
          <w:tblCellMar>
            <w:top w:w="0" w:type="dxa"/>
            <w:left w:w="0" w:type="dxa"/>
            <w:bottom w:w="0" w:type="dxa"/>
            <w:right w:w="0" w:type="dxa"/>
          </w:tblCellMar>
        </w:tblPrEx>
        <w:trPr>
          <w:trHeight w:val="34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A6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A3D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1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4F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6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D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4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6C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C5D5B07">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487A004B">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D5228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BC154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746844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4FA1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重庆市九龙坡区九龙小学校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5FC8AD8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02B36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E21F1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17034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F71749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17879C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E813C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D74A4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80B61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E3A4C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61D53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F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C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     出</w:t>
            </w:r>
          </w:p>
        </w:tc>
      </w:tr>
      <w:tr w14:paraId="5173393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E7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5D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3CF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4C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22BB1D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30A0">
            <w:pPr>
              <w:jc w:val="center"/>
              <w:textAlignment w:val="center"/>
              <w:rPr>
                <w:rFonts w:hint="default" w:ascii="Times New Roman" w:hAnsi="Times New Roman" w:cs="Times New Roman"/>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E05F">
            <w:pPr>
              <w:jc w:val="center"/>
              <w:textAlignment w:val="center"/>
              <w:rPr>
                <w:rFonts w:hint="default" w:ascii="Times New Roman" w:hAnsi="Times New Roman" w:cs="Times New Roman"/>
                <w:b/>
                <w:color w:val="000000"/>
                <w:sz w:val="20"/>
                <w:szCs w:val="20"/>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59563">
            <w:pPr>
              <w:jc w:val="center"/>
              <w:textAlignment w:val="center"/>
              <w:rPr>
                <w:rFonts w:hint="default" w:ascii="Times New Roman" w:hAnsi="Times New Roman"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A6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6D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AF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2D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国有资本经营预算财政拨款</w:t>
            </w:r>
          </w:p>
        </w:tc>
      </w:tr>
      <w:tr w14:paraId="37DB1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DC1D">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DB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0"/>
                <w:szCs w:val="20"/>
              </w:rPr>
              <w:t>2,150.18</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B064">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80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24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DE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92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EE3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2165">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52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76B1">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3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9F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6E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B5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B917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152A">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6E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6BD1">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FB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61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22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F6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F75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5C9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EFB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6DB4">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78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FE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08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A6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554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EE9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01AF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C888">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D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1,734.10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3A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1,734.10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F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0C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77E5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A63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1C95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DD7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4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C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8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D3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1016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E20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7DE1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5F61">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5F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2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3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5C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F89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D22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E84B1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0BC6">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5B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206.86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9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206.86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3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CE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4819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CDD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C958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F86A">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3E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82.46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E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82.46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C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1C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A799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105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719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FF40">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B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0E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F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02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061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7C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57B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C9A7">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F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D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12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AA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4A82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FB0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DA3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8143">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4A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7D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0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98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FC22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D87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562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B328">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7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6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BE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BF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50D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82D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C7B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A116">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9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2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1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4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278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71D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670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D94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3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E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C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C4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CCD3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D9D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AB0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1FD6">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3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D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F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43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41CA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96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35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069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E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1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9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AF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F86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40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531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FF53">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3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4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9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96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AEB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329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54B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F0C7">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2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126.76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E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126.76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7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1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028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5A3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13A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49DD">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2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5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2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79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A31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531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F9F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F067">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29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B6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79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E9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F0AF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653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E81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2742">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6D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8D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C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DB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0E77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C6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CA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8B3B">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50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EB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07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C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5F33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F4D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37E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9455">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4C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0C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A9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59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DC2D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8058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6F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4D4E">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A9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1C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32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E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A3C9C5">
        <w:tblPrEx>
          <w:tblCellMar>
            <w:top w:w="0" w:type="dxa"/>
            <w:left w:w="0" w:type="dxa"/>
            <w:bottom w:w="0" w:type="dxa"/>
            <w:right w:w="0" w:type="dxa"/>
          </w:tblCellMar>
        </w:tblPrEx>
        <w:trPr>
          <w:trHeight w:val="332"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17B5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72D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E997">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15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9E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53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8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4D81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7AC0">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0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1018">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8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6E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A1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8D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19C7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B03D">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4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CB9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4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A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B4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F1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E0E0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5BC5">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C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F066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AE97D">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3EF1D">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92D61">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04BD5">
            <w:pPr>
              <w:spacing w:line="200" w:lineRule="exact"/>
              <w:rPr>
                <w:rFonts w:hint="default" w:ascii="Times New Roman" w:hAnsi="Times New Roman" w:cs="Times New Roman"/>
                <w:color w:val="000000"/>
                <w:sz w:val="18"/>
                <w:szCs w:val="18"/>
              </w:rPr>
            </w:pPr>
          </w:p>
        </w:tc>
      </w:tr>
      <w:tr w14:paraId="4AC0B4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D234">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C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0EE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915E">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F1AB">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EE6D">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228C">
            <w:pPr>
              <w:spacing w:line="200" w:lineRule="exact"/>
              <w:jc w:val="right"/>
              <w:rPr>
                <w:rFonts w:hint="default" w:ascii="Times New Roman" w:hAnsi="Times New Roman" w:cs="Times New Roman"/>
                <w:color w:val="000000"/>
                <w:sz w:val="18"/>
                <w:szCs w:val="18"/>
              </w:rPr>
            </w:pPr>
          </w:p>
        </w:tc>
      </w:tr>
      <w:tr w14:paraId="2B2086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0771">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7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17B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9E6A">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0264">
            <w:pPr>
              <w:wordWrap w:val="0"/>
              <w:jc w:val="right"/>
              <w:textAlignment w:val="center"/>
              <w:rPr>
                <w:rFonts w:hint="default" w:ascii="Times New Roman" w:hAnsi="Times New Roman"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9A39">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383E">
            <w:pPr>
              <w:spacing w:line="200" w:lineRule="exact"/>
              <w:jc w:val="right"/>
              <w:rPr>
                <w:rFonts w:hint="default" w:ascii="Times New Roman" w:hAnsi="Times New Roman" w:cs="Times New Roman"/>
                <w:color w:val="000000"/>
                <w:sz w:val="18"/>
                <w:szCs w:val="18"/>
              </w:rPr>
            </w:pPr>
          </w:p>
        </w:tc>
      </w:tr>
      <w:tr w14:paraId="498A5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537C">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3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4A2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20"/>
                <w:szCs w:val="20"/>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A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F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2,150.18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27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7D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8EDDA0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0CB468C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846C70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C39C9F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AF4B0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重庆市九龙坡区九龙小学校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6E1A120">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D441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3E392F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31EB9E0">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FF9E3B4">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CE0D5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94D96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5F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31F4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513D29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9C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872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8CF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C1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38A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886E48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5DA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7565E">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D1D0">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B133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9E6BA">
            <w:pPr>
              <w:jc w:val="center"/>
              <w:rPr>
                <w:rFonts w:hint="default" w:ascii="Times New Roman" w:hAnsi="Times New Roman" w:cs="Times New Roman"/>
                <w:b/>
                <w:color w:val="000000"/>
                <w:sz w:val="20"/>
                <w:szCs w:val="20"/>
              </w:rPr>
            </w:pPr>
          </w:p>
        </w:tc>
      </w:tr>
      <w:tr w14:paraId="5FA0699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0006">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84C4A">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468BF">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21A06">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F363B">
            <w:pPr>
              <w:jc w:val="center"/>
              <w:rPr>
                <w:rFonts w:hint="default" w:ascii="Times New Roman" w:hAnsi="Times New Roman" w:cs="Times New Roman"/>
                <w:b/>
                <w:color w:val="000000"/>
                <w:sz w:val="20"/>
                <w:szCs w:val="20"/>
              </w:rPr>
            </w:pPr>
          </w:p>
        </w:tc>
      </w:tr>
      <w:tr w14:paraId="39E993C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7B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FB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2,150.18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72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1,785.44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4E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364.74</w:t>
            </w:r>
            <w:r>
              <w:rPr>
                <w:rFonts w:hint="default" w:ascii="Times New Roman" w:hAnsi="Times New Roman" w:cs="Times New Roman"/>
                <w:b/>
                <w:color w:val="000000"/>
                <w:sz w:val="20"/>
                <w:u w:color="auto"/>
              </w:rPr>
              <w:t xml:space="preserve"> </w:t>
            </w:r>
          </w:p>
        </w:tc>
      </w:tr>
      <w:tr w14:paraId="5E86A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BC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401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2F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1,734.10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5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1,369.36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B0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364.74</w:t>
            </w:r>
            <w:r>
              <w:rPr>
                <w:rFonts w:hint="default" w:ascii="Times New Roman" w:hAnsi="Times New Roman" w:cs="Times New Roman"/>
                <w:b/>
                <w:color w:val="000000"/>
                <w:sz w:val="20"/>
                <w:u w:color="auto"/>
              </w:rPr>
              <w:t xml:space="preserve"> </w:t>
            </w:r>
          </w:p>
        </w:tc>
      </w:tr>
      <w:tr w14:paraId="7D112C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02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53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32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1,734.10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51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1,369.36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659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364.74</w:t>
            </w:r>
            <w:r>
              <w:rPr>
                <w:rFonts w:hint="default" w:ascii="Times New Roman" w:hAnsi="Times New Roman" w:cs="Times New Roman"/>
                <w:b/>
                <w:color w:val="000000"/>
                <w:sz w:val="20"/>
                <w:u w:color="auto"/>
              </w:rPr>
              <w:t xml:space="preserve"> </w:t>
            </w:r>
          </w:p>
        </w:tc>
      </w:tr>
      <w:tr w14:paraId="686456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60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7BF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1E1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EE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12.50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D8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35.31</w:t>
            </w:r>
            <w:r>
              <w:rPr>
                <w:rFonts w:hint="default" w:ascii="Times New Roman" w:hAnsi="Times New Roman" w:cs="Times New Roman"/>
                <w:color w:val="000000"/>
                <w:sz w:val="20"/>
                <w:u w:color="auto"/>
              </w:rPr>
              <w:t xml:space="preserve"> </w:t>
            </w:r>
          </w:p>
        </w:tc>
      </w:tr>
      <w:tr w14:paraId="2A858E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5F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6F6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F5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1,686.30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BD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1,356.86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51A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329.43</w:t>
            </w:r>
            <w:r>
              <w:rPr>
                <w:rFonts w:hint="default" w:ascii="Times New Roman" w:hAnsi="Times New Roman" w:cs="Times New Roman"/>
                <w:color w:val="000000"/>
                <w:sz w:val="20"/>
                <w:u w:color="auto"/>
              </w:rPr>
              <w:t xml:space="preserve"> </w:t>
            </w:r>
          </w:p>
        </w:tc>
      </w:tr>
      <w:tr w14:paraId="519B79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36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2F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03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78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1A8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6028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DC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144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B3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B2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206.86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30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DF16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B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D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168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31D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131.87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53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7974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DC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13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DB9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89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68.98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CB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7472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BD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FCE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7E2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BB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58B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B163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F1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17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06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04B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68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84E8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7A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9E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B71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4F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ECB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A331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1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0C8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FA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9D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61.62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A72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35E0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DE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7C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53C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8E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8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2C9C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3B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27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4C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054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BE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50F0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73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E0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6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602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126.76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6B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E8D8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03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42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EF1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F8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113.64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78B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F9C5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5D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95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0D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0C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49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D2F5EFE">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0D1C14">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15317F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609AD1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5C5F8E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4687C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重庆市九龙坡区九龙小学校</w:t>
            </w:r>
          </w:p>
        </w:tc>
        <w:tc>
          <w:tcPr>
            <w:tcW w:w="462" w:type="pct"/>
            <w:tcBorders>
              <w:top w:val="nil"/>
              <w:left w:val="nil"/>
              <w:bottom w:val="nil"/>
              <w:right w:val="nil"/>
            </w:tcBorders>
            <w:shd w:val="clear" w:color="auto" w:fill="auto"/>
            <w:noWrap/>
            <w:tcMar>
              <w:top w:w="15" w:type="dxa"/>
              <w:left w:w="15" w:type="dxa"/>
              <w:right w:w="15" w:type="dxa"/>
            </w:tcMar>
            <w:vAlign w:val="bottom"/>
          </w:tcPr>
          <w:p w14:paraId="3C8B251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E5A0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47887E6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988A2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8E2076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E9AF93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13612D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86C1F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3DECF57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9580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744658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18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11C7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公用经费</w:t>
            </w:r>
          </w:p>
        </w:tc>
      </w:tr>
      <w:tr w14:paraId="7AFFDA2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BE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46B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AD9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A3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52A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CC2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B2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11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E8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C65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r>
      <w:tr w14:paraId="32D1915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9EA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AF16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0C27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D6E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837A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42C9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37F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B3E4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1289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61923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69E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B969">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C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1,383.98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9929">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63EE">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79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206.40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506A">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FD20">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0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1.27 </w:t>
            </w:r>
          </w:p>
        </w:tc>
      </w:tr>
      <w:tr w14:paraId="65B445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A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2A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8B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363.77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21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9D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5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24.62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B1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FE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BE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3321C3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DE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99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0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23.54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DF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FA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2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1.04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C1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FB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9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1.27 </w:t>
            </w:r>
          </w:p>
        </w:tc>
      </w:tr>
      <w:tr w14:paraId="084F66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0D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05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0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C2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89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4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88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7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38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EA62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7F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D0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B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DD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D4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AA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13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6F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F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DF32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42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DA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A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601.96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3C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DF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8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0.87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BE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2F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1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ED65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1A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08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9A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132.18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5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71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5E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1.15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D6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FC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0E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B60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47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64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D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68.98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AC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C5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A4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15.07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6B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F3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5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49C6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D5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12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7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60.26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0B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02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4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5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51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87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640C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EE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96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66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01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97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5B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2.50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D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20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A4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92A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66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AD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2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3C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18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A0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4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89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82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B2E5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28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6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6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113.69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98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65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79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3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F9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29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DFAE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A9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C2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8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15.60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CB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D7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3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7.62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BA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31013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8E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8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A55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A3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D2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0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BA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A0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3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BF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31019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E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8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3C9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2247">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474F">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D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193.79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42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06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8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05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5B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28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479E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14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62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2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A6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71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9D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3.80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E6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31022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08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5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421D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F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2F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D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54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53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B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59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53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5E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A735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68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12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7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EE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89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E9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3.52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A319">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0DE3">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5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FE2B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D4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C5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7F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56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6D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8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F2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E3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70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2C8E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4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21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4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177.27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E4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BD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A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44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22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C1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9E9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DE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FF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A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1F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C0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03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78.26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AD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31204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EC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C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3116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FA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1C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A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16.52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37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F4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E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28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59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F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5321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01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AE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5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52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8C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3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21.93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AA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30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0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55E6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BD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F4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8D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F0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71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18.58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71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5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5942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2A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3E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8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3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D2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36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9844">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8639">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AC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1A9D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45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05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38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40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93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D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80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5A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75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313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1A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0D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4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D2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B6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C4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CE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86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9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7058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2A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6E9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225A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AC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CC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D8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26.28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E8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F6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1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8F83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11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4F1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B0A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32AD">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870D">
            <w:pP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4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0A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E4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0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8AB0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19C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863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EEA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A3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A2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7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52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61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E8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8A73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B90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78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C543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32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B7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E5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10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0D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FB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9E68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C0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B70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BB3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B3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DB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3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B0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392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51D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A413DF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0E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58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C348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9D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83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6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BB2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563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822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3988ADD">
        <w:tblPrEx>
          <w:tblCellMar>
            <w:top w:w="0" w:type="dxa"/>
            <w:left w:w="0" w:type="dxa"/>
            <w:bottom w:w="0" w:type="dxa"/>
            <w:right w:w="0" w:type="dxa"/>
          </w:tblCellMar>
        </w:tblPrEx>
        <w:trPr>
          <w:trHeight w:val="310"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052B">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20"/>
                <w:szCs w:val="20"/>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D413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20"/>
                <w:szCs w:val="20"/>
              </w:rPr>
              <w:t xml:space="preserve">1,577.77 </w:t>
            </w:r>
          </w:p>
        </w:tc>
        <w:tc>
          <w:tcPr>
            <w:tcW w:w="282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82D68">
            <w:pPr>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20"/>
                <w:szCs w:val="20"/>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46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20"/>
                <w:szCs w:val="20"/>
              </w:rPr>
              <w:t>207.67</w:t>
            </w:r>
            <w:r>
              <w:rPr>
                <w:rFonts w:hint="default" w:ascii="Times New Roman" w:hAnsi="Times New Roman" w:cs="Times New Roman"/>
                <w:color w:val="000000"/>
                <w:sz w:val="18"/>
                <w:u w:color="auto"/>
              </w:rPr>
              <w:t xml:space="preserve"> </w:t>
            </w:r>
          </w:p>
        </w:tc>
      </w:tr>
    </w:tbl>
    <w:p w14:paraId="5D41E7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327214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7C7D1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9BFCE5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B9D9E0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重庆市九龙坡区九龙小学校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6D19C7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B0754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1E3E8E">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12FF86">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38F9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F885BD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1E9E1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29786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16220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86CBF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8E032E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A16D5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21B8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98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62F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170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9BD1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DE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71C3EB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C5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B6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712D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28EE">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DB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B2F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DC2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92A0">
            <w:pPr>
              <w:jc w:val="center"/>
              <w:rPr>
                <w:rFonts w:hint="default" w:ascii="Times New Roman" w:hAnsi="Times New Roman" w:cs="Times New Roman"/>
                <w:b/>
                <w:color w:val="000000"/>
                <w:sz w:val="20"/>
                <w:szCs w:val="20"/>
              </w:rPr>
            </w:pPr>
          </w:p>
        </w:tc>
      </w:tr>
      <w:tr w14:paraId="769F032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592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D14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13EDB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437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AD22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7AB37">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CDE3D">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B8F8">
            <w:pPr>
              <w:jc w:val="center"/>
              <w:rPr>
                <w:rFonts w:hint="default" w:ascii="Times New Roman" w:hAnsi="Times New Roman" w:cs="Times New Roman"/>
                <w:b/>
                <w:color w:val="000000"/>
                <w:sz w:val="20"/>
                <w:szCs w:val="20"/>
              </w:rPr>
            </w:pPr>
          </w:p>
        </w:tc>
      </w:tr>
      <w:tr w14:paraId="1F032B4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978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C89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F2094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CD5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B35C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2A6D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92B6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E89C">
            <w:pPr>
              <w:jc w:val="center"/>
              <w:rPr>
                <w:rFonts w:hint="default" w:ascii="Times New Roman" w:hAnsi="Times New Roman" w:cs="Times New Roman"/>
                <w:b/>
                <w:color w:val="000000"/>
                <w:sz w:val="20"/>
                <w:szCs w:val="20"/>
              </w:rPr>
            </w:pPr>
          </w:p>
        </w:tc>
      </w:tr>
      <w:tr w14:paraId="5428A4F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A8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4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1A7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24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E0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640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E8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79D236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940">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FB463">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AA2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DB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74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4A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0C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B7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6739CEE">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D0C0A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50736F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DA114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A55A82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1C8B7C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重庆市九龙坡区九龙小学校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EAA712">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A5E31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F8B948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C346ACE">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DFE651">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5B22D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886B0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7CB03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42A4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0ADD01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20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5C3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A0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A01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426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E069A5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002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3EB7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4E9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F303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D9747">
            <w:pPr>
              <w:jc w:val="center"/>
              <w:rPr>
                <w:rFonts w:hint="default" w:ascii="Times New Roman" w:hAnsi="Times New Roman" w:cs="Times New Roman"/>
                <w:b/>
                <w:color w:val="000000"/>
                <w:sz w:val="20"/>
                <w:szCs w:val="20"/>
              </w:rPr>
            </w:pPr>
          </w:p>
        </w:tc>
      </w:tr>
      <w:tr w14:paraId="2967311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A01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D8F8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DFE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15E85">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016B2">
            <w:pPr>
              <w:jc w:val="center"/>
              <w:rPr>
                <w:rFonts w:hint="default" w:ascii="Times New Roman" w:hAnsi="Times New Roman" w:cs="Times New Roman"/>
                <w:b/>
                <w:color w:val="000000"/>
                <w:sz w:val="20"/>
                <w:szCs w:val="20"/>
              </w:rPr>
            </w:pPr>
          </w:p>
        </w:tc>
      </w:tr>
      <w:tr w14:paraId="6C87845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2021">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11D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C01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5E3D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A07B1">
            <w:pPr>
              <w:jc w:val="center"/>
              <w:rPr>
                <w:rFonts w:hint="default" w:ascii="Times New Roman" w:hAnsi="Times New Roman" w:cs="Times New Roman"/>
                <w:b/>
                <w:color w:val="000000"/>
                <w:sz w:val="20"/>
                <w:szCs w:val="20"/>
              </w:rPr>
            </w:pPr>
          </w:p>
        </w:tc>
      </w:tr>
      <w:tr w14:paraId="42FEF50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26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F75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45A49">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BD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C80B44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7BDE">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2CE6">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94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156C">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E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5DA107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8A7DB6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10B3568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8CD4582">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BB1E45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F57A10A">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2DC542F">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9A44986">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FD22178">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0E5B8502">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FD0E4A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DF71B3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重庆市九龙坡区九龙小学校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E66F641">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5912E1A">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3E526D">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65DCC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2A9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442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649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887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AF4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决算数</w:t>
            </w:r>
          </w:p>
        </w:tc>
      </w:tr>
      <w:tr w14:paraId="273C90D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992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一、</w:t>
            </w:r>
            <w:r>
              <w:rPr>
                <w:rFonts w:hint="eastAsia" w:ascii="Times New Roman" w:hAnsi="Times New Roman" w:cs="Times New Roman"/>
                <w:b/>
                <w:color w:val="000000"/>
                <w:kern w:val="2"/>
                <w:sz w:val="20"/>
                <w:szCs w:val="20"/>
                <w:lang w:eastAsia="zh-CN"/>
              </w:rPr>
              <w:t>“</w:t>
            </w:r>
            <w:r>
              <w:rPr>
                <w:rFonts w:hint="default" w:ascii="Times New Roman" w:hAnsi="Times New Roman" w:cs="Times New Roman"/>
                <w:b/>
                <w:color w:val="000000"/>
                <w:kern w:val="2"/>
                <w:sz w:val="20"/>
                <w:szCs w:val="20"/>
              </w:rPr>
              <w:t>三公</w:t>
            </w:r>
            <w:r>
              <w:rPr>
                <w:rFonts w:hint="eastAsia" w:ascii="Times New Roman" w:hAnsi="Times New Roman" w:cs="Times New Roman"/>
                <w:b/>
                <w:color w:val="000000"/>
                <w:kern w:val="2"/>
                <w:sz w:val="20"/>
                <w:szCs w:val="20"/>
                <w:lang w:eastAsia="zh-CN"/>
              </w:rPr>
              <w:t>”</w:t>
            </w:r>
            <w:r>
              <w:rPr>
                <w:rFonts w:hint="default" w:ascii="Times New Roman" w:hAnsi="Times New Roman" w:cs="Times New Roman"/>
                <w:b/>
                <w:color w:val="000000"/>
                <w:kern w:val="2"/>
                <w:sz w:val="20"/>
                <w:szCs w:val="20"/>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7C1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702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7E1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A99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894A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B79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C3D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DC0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DA6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DFB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E1B3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EB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087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F06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327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642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2ACF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712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948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3C3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5BD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A8ED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82ADC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9B2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49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F6B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02F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6A6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2736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06F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7EF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628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F13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4F9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6CE0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67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ED6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6AB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4CC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4CC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8491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5A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1C8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6E5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A3C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4D5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7C1B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D62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00F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4F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20B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985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4952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825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0D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DDD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23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C10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5AC7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ABB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17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9E05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3D6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4C5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AEC8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002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B95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FC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2D2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14A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2CD1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FCF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12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F1B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B8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A5C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45EE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D5D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CED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FBE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DC5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453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C768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AF1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149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736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F2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9961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AE944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035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87F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2BB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2D3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AF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92.56</w:t>
            </w:r>
            <w:r>
              <w:rPr>
                <w:rFonts w:hint="default" w:ascii="Times New Roman" w:hAnsi="Times New Roman" w:cs="Times New Roman"/>
                <w:color w:val="000000"/>
                <w:sz w:val="20"/>
                <w:szCs w:val="20"/>
                <w:u w:color="auto"/>
              </w:rPr>
              <w:t xml:space="preserve"> </w:t>
            </w:r>
          </w:p>
        </w:tc>
      </w:tr>
      <w:tr w14:paraId="560B48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DB1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972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B9E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999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E62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92.56</w:t>
            </w:r>
            <w:r>
              <w:rPr>
                <w:rFonts w:hint="default" w:ascii="Times New Roman" w:hAnsi="Times New Roman" w:cs="Times New Roman"/>
                <w:color w:val="000000"/>
                <w:sz w:val="20"/>
                <w:szCs w:val="20"/>
                <w:u w:color="auto"/>
              </w:rPr>
              <w:t xml:space="preserve"> </w:t>
            </w:r>
          </w:p>
        </w:tc>
      </w:tr>
      <w:tr w14:paraId="79B1EF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C5A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311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F18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AA4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F0D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u w:color="auto"/>
              </w:rPr>
              <w:t xml:space="preserve"> </w:t>
            </w:r>
          </w:p>
        </w:tc>
      </w:tr>
      <w:tr w14:paraId="43F4F3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6FD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AD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0A0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48A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F9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u w:color="auto"/>
              </w:rPr>
              <w:t xml:space="preserve"> </w:t>
            </w:r>
          </w:p>
        </w:tc>
      </w:tr>
      <w:tr w14:paraId="02C799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482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59A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DFD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AC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69A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92.56</w:t>
            </w:r>
            <w:r>
              <w:rPr>
                <w:rFonts w:hint="default" w:ascii="Times New Roman" w:hAnsi="Times New Roman" w:cs="Times New Roman"/>
                <w:color w:val="000000"/>
                <w:sz w:val="20"/>
                <w:szCs w:val="20"/>
                <w:u w:color="auto"/>
              </w:rPr>
              <w:t xml:space="preserve"> </w:t>
            </w:r>
          </w:p>
        </w:tc>
      </w:tr>
      <w:tr w14:paraId="03DB65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3C4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63A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286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4BF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20"/>
                <w:szCs w:val="20"/>
              </w:rPr>
            </w:pPr>
            <w:r>
              <w:rPr>
                <w:rFonts w:hint="default" w:ascii="Times New Roman" w:hAnsi="Times New Roman" w:cs="Times New Roman"/>
                <w:b/>
                <w:bCs/>
                <w:color w:val="000000"/>
                <w:kern w:val="2"/>
                <w:sz w:val="20"/>
                <w:szCs w:val="20"/>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43D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92.56</w:t>
            </w:r>
            <w:r>
              <w:rPr>
                <w:rFonts w:hint="default" w:ascii="Times New Roman" w:hAnsi="Times New Roman" w:cs="Times New Roman"/>
                <w:color w:val="000000"/>
                <w:sz w:val="20"/>
                <w:szCs w:val="20"/>
                <w:u w:color="auto"/>
              </w:rPr>
              <w:t xml:space="preserve"> </w:t>
            </w:r>
          </w:p>
        </w:tc>
      </w:tr>
      <w:tr w14:paraId="60B54CA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6A0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F2D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725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6D0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DFD1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1351749">
        <w:tblPrEx>
          <w:tblCellMar>
            <w:top w:w="0" w:type="dxa"/>
            <w:left w:w="170" w:type="dxa"/>
            <w:bottom w:w="0" w:type="dxa"/>
            <w:right w:w="170" w:type="dxa"/>
          </w:tblCellMar>
        </w:tblPrEx>
        <w:trPr>
          <w:trHeight w:val="32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72E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20"/>
                <w:szCs w:val="20"/>
              </w:rPr>
            </w:pPr>
            <w:r>
              <w:rPr>
                <w:rFonts w:hint="default" w:ascii="Times New Roman" w:hAnsi="Times New Roman" w:cs="Times New Roman"/>
                <w:b/>
                <w:color w:val="000000"/>
                <w:kern w:val="2"/>
                <w:sz w:val="20"/>
                <w:szCs w:val="20"/>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9BE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6E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4.94</w:t>
            </w:r>
            <w:r>
              <w:rPr>
                <w:rFonts w:hint="default" w:ascii="Times New Roman" w:hAnsi="Times New Roman"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622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8C8D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57DA991">
        <w:tblPrEx>
          <w:tblCellMar>
            <w:top w:w="0" w:type="dxa"/>
            <w:left w:w="170" w:type="dxa"/>
            <w:bottom w:w="0" w:type="dxa"/>
            <w:right w:w="170" w:type="dxa"/>
          </w:tblCellMar>
        </w:tblPrEx>
        <w:trPr>
          <w:trHeight w:val="29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0B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288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57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w:t>
            </w:r>
            <w:r>
              <w:rPr>
                <w:rFonts w:hint="default" w:ascii="Times New Roman" w:hAnsi="Times New Roman"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70C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A732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4035C8F0">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886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7404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0D7404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60B">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5940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B5940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95C74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95C74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4397">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D6BAE"/>
    <w:multiLevelType w:val="singleLevel"/>
    <w:tmpl w:val="896D6BAE"/>
    <w:lvl w:ilvl="0" w:tentative="0">
      <w:start w:val="1"/>
      <w:numFmt w:val="chineseCounting"/>
      <w:suff w:val="nothing"/>
      <w:lvlText w:val="（%1）"/>
      <w:lvlJc w:val="left"/>
      <w:rPr>
        <w:rFonts w:hint="eastAsia"/>
      </w:rPr>
    </w:lvl>
  </w:abstractNum>
  <w:abstractNum w:abstractNumId="1">
    <w:nsid w:val="39ED7FBE"/>
    <w:multiLevelType w:val="singleLevel"/>
    <w:tmpl w:val="39ED7F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0B34578"/>
    <w:rsid w:val="01474EBF"/>
    <w:rsid w:val="019020B1"/>
    <w:rsid w:val="01F3521E"/>
    <w:rsid w:val="02056D00"/>
    <w:rsid w:val="031769C2"/>
    <w:rsid w:val="03A52548"/>
    <w:rsid w:val="03E3214F"/>
    <w:rsid w:val="04446191"/>
    <w:rsid w:val="044C50BA"/>
    <w:rsid w:val="0536621F"/>
    <w:rsid w:val="05510B15"/>
    <w:rsid w:val="05E71467"/>
    <w:rsid w:val="06247E33"/>
    <w:rsid w:val="06A2550B"/>
    <w:rsid w:val="06F80EE2"/>
    <w:rsid w:val="07001CCA"/>
    <w:rsid w:val="071172F8"/>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7365A4"/>
    <w:rsid w:val="0E9478E1"/>
    <w:rsid w:val="0F836721"/>
    <w:rsid w:val="103645A3"/>
    <w:rsid w:val="107B59E5"/>
    <w:rsid w:val="10AA219D"/>
    <w:rsid w:val="11003CB0"/>
    <w:rsid w:val="11124E18"/>
    <w:rsid w:val="111445C7"/>
    <w:rsid w:val="1158083A"/>
    <w:rsid w:val="11F03528"/>
    <w:rsid w:val="12771554"/>
    <w:rsid w:val="129973FF"/>
    <w:rsid w:val="12C921C4"/>
    <w:rsid w:val="12DA353E"/>
    <w:rsid w:val="134025C8"/>
    <w:rsid w:val="13850DCB"/>
    <w:rsid w:val="13871C70"/>
    <w:rsid w:val="13A71CB4"/>
    <w:rsid w:val="13AF1D43"/>
    <w:rsid w:val="13CE1647"/>
    <w:rsid w:val="14200702"/>
    <w:rsid w:val="144F3F11"/>
    <w:rsid w:val="1580711B"/>
    <w:rsid w:val="15BA4E09"/>
    <w:rsid w:val="16D80EBF"/>
    <w:rsid w:val="174F2D59"/>
    <w:rsid w:val="189B0D0B"/>
    <w:rsid w:val="18E03A42"/>
    <w:rsid w:val="190F1931"/>
    <w:rsid w:val="19313430"/>
    <w:rsid w:val="194A1770"/>
    <w:rsid w:val="19B906A4"/>
    <w:rsid w:val="19BC4734"/>
    <w:rsid w:val="19F31E08"/>
    <w:rsid w:val="1A1F744B"/>
    <w:rsid w:val="1AB10093"/>
    <w:rsid w:val="1B260A52"/>
    <w:rsid w:val="1B501DE7"/>
    <w:rsid w:val="1B65050E"/>
    <w:rsid w:val="1B6F15B6"/>
    <w:rsid w:val="1B7966EB"/>
    <w:rsid w:val="1BAA2EDC"/>
    <w:rsid w:val="1BC027C5"/>
    <w:rsid w:val="1CC57360"/>
    <w:rsid w:val="1CE157EE"/>
    <w:rsid w:val="1D014A01"/>
    <w:rsid w:val="1D022362"/>
    <w:rsid w:val="1D091B60"/>
    <w:rsid w:val="1D6D1692"/>
    <w:rsid w:val="1D794AE5"/>
    <w:rsid w:val="1DD26311"/>
    <w:rsid w:val="1DE57DAF"/>
    <w:rsid w:val="1E943F4C"/>
    <w:rsid w:val="1EF67CA4"/>
    <w:rsid w:val="1F213FD9"/>
    <w:rsid w:val="1FCD26AF"/>
    <w:rsid w:val="20517888"/>
    <w:rsid w:val="20642787"/>
    <w:rsid w:val="20C83310"/>
    <w:rsid w:val="20EC77A3"/>
    <w:rsid w:val="21090163"/>
    <w:rsid w:val="21556F04"/>
    <w:rsid w:val="216838F8"/>
    <w:rsid w:val="22403BD3"/>
    <w:rsid w:val="22FC7510"/>
    <w:rsid w:val="23607DE2"/>
    <w:rsid w:val="2378512C"/>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CE81574"/>
    <w:rsid w:val="2D142369"/>
    <w:rsid w:val="2D5F4C37"/>
    <w:rsid w:val="2D8D7A26"/>
    <w:rsid w:val="2FE029D7"/>
    <w:rsid w:val="2FF06E00"/>
    <w:rsid w:val="2FF40230"/>
    <w:rsid w:val="301063F3"/>
    <w:rsid w:val="315F0B22"/>
    <w:rsid w:val="31BE24D6"/>
    <w:rsid w:val="31D84415"/>
    <w:rsid w:val="32285F6F"/>
    <w:rsid w:val="32770556"/>
    <w:rsid w:val="329C0913"/>
    <w:rsid w:val="3337290D"/>
    <w:rsid w:val="334B0167"/>
    <w:rsid w:val="33D402CE"/>
    <w:rsid w:val="34663AA5"/>
    <w:rsid w:val="35076329"/>
    <w:rsid w:val="352930DB"/>
    <w:rsid w:val="35573069"/>
    <w:rsid w:val="358C217E"/>
    <w:rsid w:val="359E7284"/>
    <w:rsid w:val="359F188C"/>
    <w:rsid w:val="36A33D36"/>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DE87C02"/>
    <w:rsid w:val="3E1D0952"/>
    <w:rsid w:val="3E42660A"/>
    <w:rsid w:val="3E7555B1"/>
    <w:rsid w:val="3EA72472"/>
    <w:rsid w:val="3EDE1208"/>
    <w:rsid w:val="3EEA07FE"/>
    <w:rsid w:val="3F0527E5"/>
    <w:rsid w:val="3F16459E"/>
    <w:rsid w:val="3F4A6687"/>
    <w:rsid w:val="4004000C"/>
    <w:rsid w:val="40B46700"/>
    <w:rsid w:val="411B6CE5"/>
    <w:rsid w:val="412070D7"/>
    <w:rsid w:val="41314E40"/>
    <w:rsid w:val="415C674B"/>
    <w:rsid w:val="426C1EA8"/>
    <w:rsid w:val="42E86A87"/>
    <w:rsid w:val="43136432"/>
    <w:rsid w:val="43A21908"/>
    <w:rsid w:val="443A3B12"/>
    <w:rsid w:val="44487B36"/>
    <w:rsid w:val="44EF6BE8"/>
    <w:rsid w:val="44FD7DB4"/>
    <w:rsid w:val="45A30364"/>
    <w:rsid w:val="45EA1BAA"/>
    <w:rsid w:val="465B470D"/>
    <w:rsid w:val="469D6AD4"/>
    <w:rsid w:val="47674801"/>
    <w:rsid w:val="47BE6D02"/>
    <w:rsid w:val="48225EF7"/>
    <w:rsid w:val="48A36D47"/>
    <w:rsid w:val="48BC68A3"/>
    <w:rsid w:val="495C4A24"/>
    <w:rsid w:val="49A21DF3"/>
    <w:rsid w:val="49C811E4"/>
    <w:rsid w:val="4A216E30"/>
    <w:rsid w:val="4AA40BFE"/>
    <w:rsid w:val="4B591900"/>
    <w:rsid w:val="4B7951CB"/>
    <w:rsid w:val="4B7C315C"/>
    <w:rsid w:val="4B9300D7"/>
    <w:rsid w:val="4B99567B"/>
    <w:rsid w:val="4BAB7F90"/>
    <w:rsid w:val="4BD53EDA"/>
    <w:rsid w:val="4BE11807"/>
    <w:rsid w:val="4C484CE5"/>
    <w:rsid w:val="4C604E49"/>
    <w:rsid w:val="4D7B60C3"/>
    <w:rsid w:val="4DAC4ACA"/>
    <w:rsid w:val="4DD06F63"/>
    <w:rsid w:val="4E043596"/>
    <w:rsid w:val="4E7C3473"/>
    <w:rsid w:val="4E9B0C57"/>
    <w:rsid w:val="4EA8523F"/>
    <w:rsid w:val="4F186D58"/>
    <w:rsid w:val="4F224836"/>
    <w:rsid w:val="4F231B40"/>
    <w:rsid w:val="50A56D0F"/>
    <w:rsid w:val="51760217"/>
    <w:rsid w:val="51E36677"/>
    <w:rsid w:val="51F01F7D"/>
    <w:rsid w:val="522F6E0C"/>
    <w:rsid w:val="52463BA1"/>
    <w:rsid w:val="529F078E"/>
    <w:rsid w:val="53990623"/>
    <w:rsid w:val="53C0244D"/>
    <w:rsid w:val="53DD4D4E"/>
    <w:rsid w:val="53E578CE"/>
    <w:rsid w:val="53EA10F5"/>
    <w:rsid w:val="541768A0"/>
    <w:rsid w:val="543B029D"/>
    <w:rsid w:val="54977029"/>
    <w:rsid w:val="54DF6509"/>
    <w:rsid w:val="554E5773"/>
    <w:rsid w:val="555A3CBC"/>
    <w:rsid w:val="55EF4EA6"/>
    <w:rsid w:val="56530F5D"/>
    <w:rsid w:val="56EE372E"/>
    <w:rsid w:val="570D735E"/>
    <w:rsid w:val="575C02E5"/>
    <w:rsid w:val="5842572D"/>
    <w:rsid w:val="598A28E2"/>
    <w:rsid w:val="5A5F4374"/>
    <w:rsid w:val="5A6279C1"/>
    <w:rsid w:val="5AD563E4"/>
    <w:rsid w:val="5BC3623C"/>
    <w:rsid w:val="5C1336B7"/>
    <w:rsid w:val="5C263CE4"/>
    <w:rsid w:val="5C5D2777"/>
    <w:rsid w:val="5C722D7F"/>
    <w:rsid w:val="5D290C69"/>
    <w:rsid w:val="5DC17CC6"/>
    <w:rsid w:val="5DD51469"/>
    <w:rsid w:val="5E194573"/>
    <w:rsid w:val="5EFA176D"/>
    <w:rsid w:val="5F0247F9"/>
    <w:rsid w:val="5F2D4A41"/>
    <w:rsid w:val="5F724B4A"/>
    <w:rsid w:val="601C34ED"/>
    <w:rsid w:val="60A511FB"/>
    <w:rsid w:val="61025A59"/>
    <w:rsid w:val="613D5BBC"/>
    <w:rsid w:val="61536C39"/>
    <w:rsid w:val="616D60F9"/>
    <w:rsid w:val="61AA04BC"/>
    <w:rsid w:val="62944DD7"/>
    <w:rsid w:val="629F08EF"/>
    <w:rsid w:val="62C21944"/>
    <w:rsid w:val="634265E1"/>
    <w:rsid w:val="63497036"/>
    <w:rsid w:val="63C1619B"/>
    <w:rsid w:val="63C25DC5"/>
    <w:rsid w:val="63C62057"/>
    <w:rsid w:val="63C73832"/>
    <w:rsid w:val="64192A39"/>
    <w:rsid w:val="64754794"/>
    <w:rsid w:val="64BF6C21"/>
    <w:rsid w:val="64FB113D"/>
    <w:rsid w:val="6544377C"/>
    <w:rsid w:val="655F5939"/>
    <w:rsid w:val="656152C6"/>
    <w:rsid w:val="6587477F"/>
    <w:rsid w:val="658C3A08"/>
    <w:rsid w:val="65C031CA"/>
    <w:rsid w:val="65CE6852"/>
    <w:rsid w:val="65F004F9"/>
    <w:rsid w:val="66267C04"/>
    <w:rsid w:val="663F505A"/>
    <w:rsid w:val="667F2393"/>
    <w:rsid w:val="66EE5541"/>
    <w:rsid w:val="67086152"/>
    <w:rsid w:val="67D2243E"/>
    <w:rsid w:val="687E45FE"/>
    <w:rsid w:val="692172FD"/>
    <w:rsid w:val="6A3829EE"/>
    <w:rsid w:val="6A924CB7"/>
    <w:rsid w:val="6AE0292E"/>
    <w:rsid w:val="6B474EF5"/>
    <w:rsid w:val="6B6F3FE3"/>
    <w:rsid w:val="6BC27679"/>
    <w:rsid w:val="6BC54EFE"/>
    <w:rsid w:val="6BDD4376"/>
    <w:rsid w:val="6C0737CC"/>
    <w:rsid w:val="6C560CAE"/>
    <w:rsid w:val="6CD15296"/>
    <w:rsid w:val="6D903FF5"/>
    <w:rsid w:val="6DA955B8"/>
    <w:rsid w:val="6DE346AB"/>
    <w:rsid w:val="6F606586"/>
    <w:rsid w:val="6FFB2E76"/>
    <w:rsid w:val="70AB70D6"/>
    <w:rsid w:val="70DE5507"/>
    <w:rsid w:val="71C34D91"/>
    <w:rsid w:val="71ED38AA"/>
    <w:rsid w:val="723F3B65"/>
    <w:rsid w:val="72DB435C"/>
    <w:rsid w:val="738549F4"/>
    <w:rsid w:val="74ED1B1B"/>
    <w:rsid w:val="750837F0"/>
    <w:rsid w:val="762A73EF"/>
    <w:rsid w:val="7631412E"/>
    <w:rsid w:val="764F62AB"/>
    <w:rsid w:val="765C45EC"/>
    <w:rsid w:val="766252DA"/>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basedOn w:val="14"/>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msonormal"/>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31"/>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5493</Words>
  <Characters>6156</Characters>
  <Lines>161</Lines>
  <Paragraphs>45</Paragraphs>
  <TotalTime>4</TotalTime>
  <ScaleCrop>false</ScaleCrop>
  <LinksUpToDate>false</LinksUpToDate>
  <CharactersWithSpaces>6216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2025-10-28T02:32:50Z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