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C32A5">
      <w:pPr>
        <w:keepNext w:val="0"/>
        <w:keepLines w:val="0"/>
        <w:pageBreakBefore w:val="0"/>
        <w:widowControl w:val="0"/>
        <w:kinsoku/>
        <w:wordWrap/>
        <w:overflowPunct/>
        <w:topLinePunct w:val="0"/>
        <w:autoSpaceDN/>
        <w:bidi w:val="0"/>
        <w:spacing w:line="60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重庆市九龙坡区</w:t>
      </w:r>
      <w:r>
        <w:rPr>
          <w:rFonts w:hint="default" w:ascii="Times New Roman" w:hAnsi="Times New Roman" w:eastAsia="方正小标宋_GBK" w:cs="Times New Roman"/>
          <w:sz w:val="44"/>
          <w:szCs w:val="44"/>
          <w:lang w:val="en-US" w:eastAsia="zh-CN"/>
        </w:rPr>
        <w:t>彩云湖幼儿园</w:t>
      </w:r>
    </w:p>
    <w:p w14:paraId="5996AC2B">
      <w:pPr>
        <w:keepNext w:val="0"/>
        <w:keepLines w:val="0"/>
        <w:pageBreakBefore w:val="0"/>
        <w:widowControl w:val="0"/>
        <w:kinsoku/>
        <w:wordWrap/>
        <w:overflowPunct/>
        <w:topLinePunct w:val="0"/>
        <w:autoSpaceDN/>
        <w:bidi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2024年度单位决算情况说明</w:t>
      </w:r>
    </w:p>
    <w:p w14:paraId="4FA290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kern w:val="0"/>
          <w:sz w:val="32"/>
          <w:szCs w:val="32"/>
        </w:rPr>
      </w:pPr>
    </w:p>
    <w:p w14:paraId="691D4E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kern w:val="0"/>
          <w:sz w:val="32"/>
          <w:szCs w:val="32"/>
        </w:rPr>
      </w:pPr>
      <w:r>
        <w:rPr>
          <w:rFonts w:hint="default" w:ascii="Times New Roman" w:hAnsi="Times New Roman" w:eastAsia="方正黑体_GBK" w:cs="Times New Roman"/>
          <w:b w:val="0"/>
          <w:bCs/>
          <w:kern w:val="0"/>
          <w:sz w:val="32"/>
          <w:szCs w:val="32"/>
        </w:rPr>
        <w:t>一、</w:t>
      </w:r>
      <w:r>
        <w:rPr>
          <w:rFonts w:hint="default" w:ascii="Times New Roman" w:hAnsi="Times New Roman" w:eastAsia="方正黑体_GBK" w:cs="Times New Roman"/>
          <w:b w:val="0"/>
          <w:bCs/>
          <w:kern w:val="0"/>
          <w:sz w:val="32"/>
          <w:szCs w:val="32"/>
          <w:lang w:val="en-US" w:eastAsia="zh-CN"/>
        </w:rPr>
        <w:t>单位</w:t>
      </w:r>
      <w:r>
        <w:rPr>
          <w:rFonts w:hint="default" w:ascii="Times New Roman" w:hAnsi="Times New Roman" w:eastAsia="方正黑体_GBK" w:cs="Times New Roman"/>
          <w:b w:val="0"/>
          <w:bCs/>
          <w:kern w:val="0"/>
          <w:sz w:val="32"/>
          <w:szCs w:val="32"/>
        </w:rPr>
        <w:t>基本情况</w:t>
      </w:r>
    </w:p>
    <w:p w14:paraId="71F5B84F">
      <w:pPr>
        <w:keepNext w:val="0"/>
        <w:keepLines w:val="0"/>
        <w:pageBreakBefore w:val="0"/>
        <w:widowControl w:val="0"/>
        <w:kinsoku/>
        <w:wordWrap/>
        <w:overflowPunct/>
        <w:topLinePunct w:val="0"/>
        <w:autoSpaceDN/>
        <w:bidi w:val="0"/>
        <w:adjustRightInd w:val="0"/>
        <w:snapToGrid w:val="0"/>
        <w:spacing w:line="600" w:lineRule="exact"/>
        <w:ind w:firstLine="640" w:firstLineChars="200"/>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（一）职能职责</w:t>
      </w:r>
    </w:p>
    <w:p w14:paraId="7F788DEA">
      <w:pPr>
        <w:keepNext w:val="0"/>
        <w:keepLines w:val="0"/>
        <w:pageBreakBefore w:val="0"/>
        <w:widowControl w:val="0"/>
        <w:kinsoku/>
        <w:wordWrap/>
        <w:overflowPunct/>
        <w:topLinePunct w:val="0"/>
        <w:autoSpaceDN/>
        <w:bidi w:val="0"/>
        <w:snapToGrid w:val="0"/>
        <w:spacing w:line="600" w:lineRule="exact"/>
        <w:ind w:firstLine="640" w:firstLineChars="200"/>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重庆市九龙坡区彩云湖幼儿园，</w:t>
      </w:r>
      <w:r>
        <w:rPr>
          <w:rFonts w:hint="default" w:ascii="Times New Roman" w:hAnsi="Times New Roman" w:eastAsia="方正仿宋_GBK" w:cs="Times New Roman"/>
          <w:b w:val="0"/>
          <w:bCs/>
          <w:sz w:val="32"/>
          <w:szCs w:val="32"/>
          <w:highlight w:val="none"/>
          <w:lang w:eastAsia="zh-CN"/>
        </w:rPr>
        <w:t>地处于九龙区彩虹路</w:t>
      </w:r>
      <w:r>
        <w:rPr>
          <w:rFonts w:hint="default" w:ascii="Times New Roman" w:hAnsi="Times New Roman" w:eastAsia="方正仿宋_GBK" w:cs="Times New Roman"/>
          <w:b w:val="0"/>
          <w:bCs/>
          <w:sz w:val="32"/>
          <w:szCs w:val="32"/>
          <w:highlight w:val="none"/>
          <w:lang w:val="en-US" w:eastAsia="zh-CN"/>
        </w:rPr>
        <w:t>95号附4号</w:t>
      </w:r>
      <w:r>
        <w:rPr>
          <w:rFonts w:hint="default" w:ascii="Times New Roman" w:hAnsi="Times New Roman" w:eastAsia="方正仿宋_GBK" w:cs="Times New Roman"/>
          <w:b w:val="0"/>
          <w:bCs/>
          <w:sz w:val="32"/>
          <w:szCs w:val="32"/>
          <w:highlight w:val="none"/>
        </w:rPr>
        <w:t>，重庆市一级幼儿园</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2022年9月1日正式开园。2023年被评选为</w:t>
      </w:r>
      <w:r>
        <w:rPr>
          <w:rFonts w:hint="eastAsia"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重庆市基础教育校本教研示范校</w:t>
      </w:r>
      <w:r>
        <w:rPr>
          <w:rFonts w:hint="eastAsia"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w:t>
      </w:r>
      <w:r>
        <w:rPr>
          <w:rFonts w:hint="eastAsia"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九龙坡区2023年绿色学校建设示范学校</w:t>
      </w:r>
      <w:r>
        <w:rPr>
          <w:rFonts w:hint="eastAsia"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；2024年被评选为</w:t>
      </w:r>
      <w:r>
        <w:rPr>
          <w:rFonts w:hint="eastAsia"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九龙坡区食品安全示范园</w:t>
      </w:r>
      <w:r>
        <w:rPr>
          <w:rFonts w:hint="eastAsia"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。彩云湖幼儿园环境优美、配套设施齐全、设置多功能室、阅览区、大型户外运动场地、种植园等，秉持</w:t>
      </w:r>
      <w:r>
        <w:rPr>
          <w:rFonts w:hint="eastAsia"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情润心灵、爱沐生命、美育人生</w:t>
      </w:r>
      <w:r>
        <w:rPr>
          <w:rFonts w:hint="eastAsia"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办园理念，传承</w:t>
      </w:r>
      <w:r>
        <w:rPr>
          <w:rFonts w:hint="eastAsia"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爱岗敬岗、同心共育</w:t>
      </w:r>
      <w:r>
        <w:rPr>
          <w:rFonts w:hint="eastAsia"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的袁家岗幼儿园教育集团精神，关注自然环境与幼儿经验的生发，积极探索</w:t>
      </w:r>
      <w:r>
        <w:rPr>
          <w:rFonts w:hint="eastAsia"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从课程资源到儿童经验</w:t>
      </w:r>
      <w:r>
        <w:rPr>
          <w:rFonts w:hint="eastAsia"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的自然生态、大健康教育模式，让幼儿在自然中快乐成长。</w:t>
      </w:r>
    </w:p>
    <w:p w14:paraId="09B5A30E">
      <w:pPr>
        <w:keepNext w:val="0"/>
        <w:keepLines w:val="0"/>
        <w:pageBreakBefore w:val="0"/>
        <w:widowControl w:val="0"/>
        <w:kinsoku/>
        <w:wordWrap/>
        <w:overflowPunct/>
        <w:topLinePunct w:val="0"/>
        <w:autoSpaceDN/>
        <w:bidi w:val="0"/>
        <w:adjustRightInd w:val="0"/>
        <w:snapToGrid w:val="0"/>
        <w:spacing w:line="600" w:lineRule="exact"/>
        <w:ind w:firstLine="640" w:firstLineChars="200"/>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（二）机构设置</w:t>
      </w:r>
    </w:p>
    <w:p w14:paraId="761C2D6F">
      <w:pPr>
        <w:keepNext w:val="0"/>
        <w:keepLines w:val="0"/>
        <w:pageBreakBefore w:val="0"/>
        <w:widowControl w:val="0"/>
        <w:kinsoku/>
        <w:wordWrap/>
        <w:overflowPunct/>
        <w:topLinePunct w:val="0"/>
        <w:autoSpaceDN/>
        <w:bidi w:val="0"/>
        <w:snapToGrid w:val="0"/>
        <w:spacing w:line="600" w:lineRule="exact"/>
        <w:ind w:firstLine="640" w:firstLineChars="200"/>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shd w:val="clear" w:color="auto" w:fill="FFFFFF"/>
        </w:rPr>
        <w:t>幼儿园设有行政办公室、党政办公室、综合办公室、财务室、卫生保健室、教研办公室。</w:t>
      </w:r>
    </w:p>
    <w:p w14:paraId="2855D5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kern w:val="0"/>
          <w:sz w:val="32"/>
          <w:szCs w:val="32"/>
        </w:rPr>
      </w:pPr>
      <w:r>
        <w:rPr>
          <w:rFonts w:hint="default" w:ascii="Times New Roman" w:hAnsi="Times New Roman" w:eastAsia="方正黑体_GBK" w:cs="Times New Roman"/>
          <w:b w:val="0"/>
          <w:bCs/>
          <w:kern w:val="0"/>
          <w:sz w:val="32"/>
          <w:szCs w:val="32"/>
        </w:rPr>
        <w:t>二、部门决算情况说明</w:t>
      </w:r>
    </w:p>
    <w:p w14:paraId="33536B9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（一）收入支出决算总体情况说明</w:t>
      </w:r>
    </w:p>
    <w:p w14:paraId="1235DC7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val="0"/>
          <w:kern w:val="0"/>
          <w:sz w:val="32"/>
          <w:szCs w:val="32"/>
        </w:rPr>
        <w:t>1.总体情况。</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2024年度收入总计</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5.63</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万元，支出总计</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5.63</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万元。收支较上年决算数增加</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5.63</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万元、增长</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100</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%，主要原因是</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新建幼儿园，无上年决算数</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w:t>
      </w:r>
    </w:p>
    <w:p w14:paraId="35DCF3E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bCs w:val="0"/>
          <w:kern w:val="0"/>
          <w:sz w:val="32"/>
          <w:szCs w:val="32"/>
        </w:rPr>
        <w:t>2.收入情况。</w:t>
      </w:r>
      <w:r>
        <w:rPr>
          <w:rFonts w:hint="default" w:ascii="Times New Roman" w:hAnsi="Times New Roman" w:eastAsia="方正仿宋_GBK" w:cs="Times New Roman"/>
          <w:b w:val="0"/>
          <w:bCs/>
          <w:kern w:val="0"/>
          <w:sz w:val="32"/>
          <w:szCs w:val="32"/>
        </w:rPr>
        <w:t>2024年度收入合计</w:t>
      </w:r>
      <w:r>
        <w:rPr>
          <w:rFonts w:hint="default" w:ascii="Times New Roman" w:hAnsi="Times New Roman" w:eastAsia="方正仿宋_GBK" w:cs="Times New Roman"/>
          <w:b w:val="0"/>
          <w:bCs/>
          <w:kern w:val="0"/>
          <w:sz w:val="32"/>
          <w:szCs w:val="32"/>
          <w:lang w:val="en-US" w:eastAsia="zh-CN"/>
        </w:rPr>
        <w:t>5.63</w:t>
      </w:r>
      <w:r>
        <w:rPr>
          <w:rFonts w:hint="default" w:ascii="Times New Roman" w:hAnsi="Times New Roman" w:eastAsia="方正仿宋_GBK" w:cs="Times New Roman"/>
          <w:b w:val="0"/>
          <w:bCs/>
          <w:kern w:val="0"/>
          <w:sz w:val="32"/>
          <w:szCs w:val="32"/>
        </w:rPr>
        <w:t>万元，较上年决算数增加</w:t>
      </w:r>
      <w:r>
        <w:rPr>
          <w:rFonts w:hint="default" w:ascii="Times New Roman" w:hAnsi="Times New Roman" w:eastAsia="方正仿宋_GBK" w:cs="Times New Roman"/>
          <w:b w:val="0"/>
          <w:bCs/>
          <w:kern w:val="0"/>
          <w:sz w:val="32"/>
          <w:szCs w:val="32"/>
          <w:lang w:val="en-US" w:eastAsia="zh-CN"/>
        </w:rPr>
        <w:t>5.63</w:t>
      </w:r>
      <w:r>
        <w:rPr>
          <w:rFonts w:hint="default" w:ascii="Times New Roman" w:hAnsi="Times New Roman" w:eastAsia="方正仿宋_GBK" w:cs="Times New Roman"/>
          <w:b w:val="0"/>
          <w:bCs/>
          <w:kern w:val="0"/>
          <w:sz w:val="32"/>
          <w:szCs w:val="32"/>
        </w:rPr>
        <w:t>万元，增长</w:t>
      </w:r>
      <w:r>
        <w:rPr>
          <w:rFonts w:hint="default" w:ascii="Times New Roman" w:hAnsi="Times New Roman" w:eastAsia="方正仿宋_GBK" w:cs="Times New Roman"/>
          <w:b w:val="0"/>
          <w:bCs/>
          <w:kern w:val="0"/>
          <w:sz w:val="32"/>
          <w:szCs w:val="32"/>
          <w:lang w:val="en-US" w:eastAsia="zh-CN"/>
        </w:rPr>
        <w:t>100</w:t>
      </w:r>
      <w:r>
        <w:rPr>
          <w:rFonts w:hint="default" w:ascii="Times New Roman" w:hAnsi="Times New Roman" w:eastAsia="方正仿宋_GBK" w:cs="Times New Roman"/>
          <w:b w:val="0"/>
          <w:bCs/>
          <w:kern w:val="0"/>
          <w:sz w:val="32"/>
          <w:szCs w:val="32"/>
        </w:rPr>
        <w:t>%，主要原因是</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新建幼儿园，无上年决算数</w:t>
      </w:r>
      <w:r>
        <w:rPr>
          <w:rFonts w:hint="default" w:ascii="Times New Roman" w:hAnsi="Times New Roman" w:eastAsia="方正仿宋_GBK" w:cs="Times New Roman"/>
          <w:b w:val="0"/>
          <w:bCs/>
          <w:kern w:val="0"/>
          <w:sz w:val="32"/>
          <w:szCs w:val="32"/>
        </w:rPr>
        <w:t>。其中：财政拨款收入</w:t>
      </w:r>
      <w:r>
        <w:rPr>
          <w:rFonts w:hint="default" w:ascii="Times New Roman" w:hAnsi="Times New Roman" w:eastAsia="方正仿宋_GBK" w:cs="Times New Roman"/>
          <w:b w:val="0"/>
          <w:bCs/>
          <w:kern w:val="0"/>
          <w:sz w:val="32"/>
          <w:szCs w:val="32"/>
          <w:lang w:val="en-US" w:eastAsia="zh-CN"/>
        </w:rPr>
        <w:t>5.63</w:t>
      </w:r>
      <w:r>
        <w:rPr>
          <w:rFonts w:hint="default" w:ascii="Times New Roman" w:hAnsi="Times New Roman" w:eastAsia="方正仿宋_GBK" w:cs="Times New Roman"/>
          <w:b w:val="0"/>
          <w:bCs/>
          <w:kern w:val="0"/>
          <w:sz w:val="32"/>
          <w:szCs w:val="32"/>
        </w:rPr>
        <w:t>万元，占</w:t>
      </w:r>
      <w:r>
        <w:rPr>
          <w:rFonts w:hint="default" w:ascii="Times New Roman" w:hAnsi="Times New Roman" w:eastAsia="方正仿宋_GBK" w:cs="Times New Roman"/>
          <w:b w:val="0"/>
          <w:bCs/>
          <w:kern w:val="0"/>
          <w:sz w:val="32"/>
          <w:szCs w:val="32"/>
          <w:lang w:val="en-US" w:eastAsia="zh-CN"/>
        </w:rPr>
        <w:t>100</w:t>
      </w:r>
      <w:r>
        <w:rPr>
          <w:rFonts w:hint="default" w:ascii="Times New Roman" w:hAnsi="Times New Roman" w:eastAsia="方正仿宋_GBK" w:cs="Times New Roman"/>
          <w:b w:val="0"/>
          <w:bCs/>
          <w:kern w:val="0"/>
          <w:sz w:val="32"/>
          <w:szCs w:val="32"/>
        </w:rPr>
        <w:t>%。</w:t>
      </w:r>
    </w:p>
    <w:p w14:paraId="0621160C">
      <w:pPr>
        <w:keepNext w:val="0"/>
        <w:keepLines w:val="0"/>
        <w:pageBreakBefore w:val="0"/>
        <w:widowControl w:val="0"/>
        <w:kinsoku/>
        <w:wordWrap/>
        <w:overflowPunct/>
        <w:topLinePunct w:val="0"/>
        <w:autoSpaceDN/>
        <w:bidi w:val="0"/>
        <w:spacing w:line="600" w:lineRule="exact"/>
        <w:ind w:firstLine="643" w:firstLineChars="200"/>
        <w:rPr>
          <w:rFonts w:hint="default" w:ascii="Times New Roman" w:hAnsi="Times New Roman" w:eastAsia="方正仿宋_GBK" w:cs="Times New Roman"/>
          <w:b w:val="0"/>
          <w:bCs/>
          <w:kern w:val="0"/>
          <w:sz w:val="32"/>
          <w:szCs w:val="32"/>
          <w:lang w:eastAsia="zh-CN"/>
        </w:rPr>
      </w:pPr>
      <w:r>
        <w:rPr>
          <w:rFonts w:hint="default" w:ascii="Times New Roman" w:hAnsi="Times New Roman" w:eastAsia="方正仿宋_GBK" w:cs="Times New Roman"/>
          <w:b/>
          <w:bCs w:val="0"/>
          <w:kern w:val="0"/>
          <w:sz w:val="32"/>
          <w:szCs w:val="32"/>
        </w:rPr>
        <w:t>3.支出情况。</w:t>
      </w:r>
      <w:r>
        <w:rPr>
          <w:rFonts w:hint="default" w:ascii="Times New Roman" w:hAnsi="Times New Roman" w:eastAsia="方正仿宋_GBK" w:cs="Times New Roman"/>
          <w:b w:val="0"/>
          <w:bCs/>
          <w:kern w:val="0"/>
          <w:sz w:val="32"/>
          <w:szCs w:val="32"/>
        </w:rPr>
        <w:t>2024年度支出合计</w:t>
      </w:r>
      <w:r>
        <w:rPr>
          <w:rFonts w:hint="default" w:ascii="Times New Roman" w:hAnsi="Times New Roman" w:eastAsia="方正仿宋_GBK" w:cs="Times New Roman"/>
          <w:b w:val="0"/>
          <w:bCs/>
          <w:kern w:val="0"/>
          <w:sz w:val="32"/>
          <w:szCs w:val="32"/>
          <w:lang w:val="en-US" w:eastAsia="zh-CN"/>
        </w:rPr>
        <w:t>5.63</w:t>
      </w:r>
      <w:r>
        <w:rPr>
          <w:rFonts w:hint="default" w:ascii="Times New Roman" w:hAnsi="Times New Roman" w:eastAsia="方正仿宋_GBK" w:cs="Times New Roman"/>
          <w:b w:val="0"/>
          <w:bCs/>
          <w:kern w:val="0"/>
          <w:sz w:val="32"/>
          <w:szCs w:val="32"/>
        </w:rPr>
        <w:t>万元，较上年决算数增加</w:t>
      </w:r>
      <w:r>
        <w:rPr>
          <w:rFonts w:hint="default" w:ascii="Times New Roman" w:hAnsi="Times New Roman" w:eastAsia="方正仿宋_GBK" w:cs="Times New Roman"/>
          <w:b w:val="0"/>
          <w:bCs/>
          <w:kern w:val="0"/>
          <w:sz w:val="32"/>
          <w:szCs w:val="32"/>
          <w:lang w:val="en-US" w:eastAsia="zh-CN"/>
        </w:rPr>
        <w:t>5.63</w:t>
      </w:r>
      <w:r>
        <w:rPr>
          <w:rFonts w:hint="default" w:ascii="Times New Roman" w:hAnsi="Times New Roman" w:eastAsia="方正仿宋_GBK" w:cs="Times New Roman"/>
          <w:b w:val="0"/>
          <w:bCs/>
          <w:kern w:val="0"/>
          <w:sz w:val="32"/>
          <w:szCs w:val="32"/>
        </w:rPr>
        <w:t>万元，增长</w:t>
      </w:r>
      <w:r>
        <w:rPr>
          <w:rFonts w:hint="default" w:ascii="Times New Roman" w:hAnsi="Times New Roman" w:eastAsia="方正仿宋_GBK" w:cs="Times New Roman"/>
          <w:b w:val="0"/>
          <w:bCs/>
          <w:kern w:val="0"/>
          <w:sz w:val="32"/>
          <w:szCs w:val="32"/>
          <w:lang w:val="en-US" w:eastAsia="zh-CN"/>
        </w:rPr>
        <w:t>100</w:t>
      </w:r>
      <w:r>
        <w:rPr>
          <w:rFonts w:hint="default" w:ascii="Times New Roman" w:hAnsi="Times New Roman" w:eastAsia="方正仿宋_GBK" w:cs="Times New Roman"/>
          <w:b w:val="0"/>
          <w:bCs/>
          <w:kern w:val="0"/>
          <w:sz w:val="32"/>
          <w:szCs w:val="32"/>
        </w:rPr>
        <w:t>%，主要原因</w:t>
      </w:r>
      <w:r>
        <w:rPr>
          <w:rFonts w:hint="default" w:ascii="Times New Roman" w:hAnsi="Times New Roman" w:eastAsia="方正仿宋_GBK" w:cs="Times New Roman"/>
          <w:b w:val="0"/>
          <w:bCs/>
          <w:kern w:val="0"/>
          <w:sz w:val="32"/>
          <w:szCs w:val="32"/>
          <w:lang w:val="en-US" w:eastAsia="zh-CN"/>
        </w:rPr>
        <w:t>是</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新建幼儿园，无上年决算数</w:t>
      </w:r>
      <w:r>
        <w:rPr>
          <w:rFonts w:hint="default" w:ascii="Times New Roman" w:hAnsi="Times New Roman" w:eastAsia="方正仿宋_GBK" w:cs="Times New Roman"/>
          <w:b w:val="0"/>
          <w:bCs/>
          <w:kern w:val="0"/>
          <w:sz w:val="32"/>
          <w:szCs w:val="32"/>
          <w:lang w:eastAsia="zh-CN"/>
        </w:rPr>
        <w:t>。</w:t>
      </w:r>
    </w:p>
    <w:p w14:paraId="151893AC">
      <w:pPr>
        <w:keepNext w:val="0"/>
        <w:keepLines w:val="0"/>
        <w:pageBreakBefore w:val="0"/>
        <w:widowControl w:val="0"/>
        <w:kinsoku/>
        <w:wordWrap/>
        <w:overflowPunct/>
        <w:topLinePunct w:val="0"/>
        <w:autoSpaceDN/>
        <w:bidi w:val="0"/>
        <w:spacing w:line="600" w:lineRule="exact"/>
        <w:ind w:firstLine="643" w:firstLineChars="200"/>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bCs w:val="0"/>
          <w:kern w:val="0"/>
          <w:sz w:val="32"/>
          <w:szCs w:val="32"/>
        </w:rPr>
        <w:t>4.结转结余情况。</w:t>
      </w:r>
      <w:r>
        <w:rPr>
          <w:rFonts w:hint="default" w:ascii="Times New Roman" w:hAnsi="Times New Roman" w:eastAsia="方正仿宋_GBK" w:cs="Times New Roman"/>
          <w:b w:val="0"/>
          <w:bCs/>
          <w:kern w:val="0"/>
          <w:sz w:val="32"/>
          <w:szCs w:val="32"/>
        </w:rPr>
        <w:t>2024年度年末结转和结余</w:t>
      </w:r>
      <w:r>
        <w:rPr>
          <w:rFonts w:hint="default" w:ascii="Times New Roman" w:hAnsi="Times New Roman" w:eastAsia="方正仿宋_GBK" w:cs="Times New Roman"/>
          <w:b w:val="0"/>
          <w:bCs/>
          <w:kern w:val="0"/>
          <w:sz w:val="32"/>
          <w:szCs w:val="32"/>
          <w:lang w:val="en-US" w:eastAsia="zh-CN"/>
        </w:rPr>
        <w:t>0</w:t>
      </w:r>
      <w:r>
        <w:rPr>
          <w:rFonts w:hint="default" w:ascii="Times New Roman" w:hAnsi="Times New Roman" w:eastAsia="方正仿宋_GBK" w:cs="Times New Roman"/>
          <w:b w:val="0"/>
          <w:bCs/>
          <w:kern w:val="0"/>
          <w:sz w:val="32"/>
          <w:szCs w:val="32"/>
        </w:rPr>
        <w:t>万元，较上年决算数</w:t>
      </w:r>
      <w:r>
        <w:rPr>
          <w:rFonts w:hint="default" w:ascii="Times New Roman" w:hAnsi="Times New Roman" w:eastAsia="方正仿宋_GBK" w:cs="Times New Roman"/>
          <w:b w:val="0"/>
          <w:bCs/>
          <w:sz w:val="32"/>
          <w:szCs w:val="32"/>
          <w:shd w:val="clear" w:color="auto" w:fill="FFFFFF"/>
        </w:rPr>
        <w:t>无增减</w:t>
      </w:r>
      <w:r>
        <w:rPr>
          <w:rFonts w:hint="default" w:ascii="Times New Roman" w:hAnsi="Times New Roman" w:eastAsia="方正仿宋_GBK" w:cs="Times New Roman"/>
          <w:b w:val="0"/>
          <w:bCs/>
          <w:kern w:val="0"/>
          <w:sz w:val="32"/>
          <w:szCs w:val="32"/>
          <w:lang w:eastAsia="zh-CN"/>
        </w:rPr>
        <w:t>。</w:t>
      </w:r>
    </w:p>
    <w:p w14:paraId="28F94B8F">
      <w:pPr>
        <w:keepNext w:val="0"/>
        <w:keepLines w:val="0"/>
        <w:pageBreakBefore w:val="0"/>
        <w:widowControl w:val="0"/>
        <w:kinsoku/>
        <w:wordWrap/>
        <w:overflowPunct/>
        <w:topLinePunct w:val="0"/>
        <w:autoSpaceDN/>
        <w:bidi w:val="0"/>
        <w:adjustRightInd w:val="0"/>
        <w:snapToGrid w:val="0"/>
        <w:spacing w:line="600" w:lineRule="exact"/>
        <w:ind w:firstLine="640" w:firstLineChars="200"/>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（二）财政拨款收入支出决算总体情况说明</w:t>
      </w:r>
    </w:p>
    <w:p w14:paraId="4C968A01">
      <w:pPr>
        <w:keepNext w:val="0"/>
        <w:keepLines w:val="0"/>
        <w:pageBreakBefore w:val="0"/>
        <w:widowControl w:val="0"/>
        <w:kinsoku/>
        <w:wordWrap/>
        <w:overflowPunct/>
        <w:topLinePunct w:val="0"/>
        <w:autoSpaceDN/>
        <w:bidi w:val="0"/>
        <w:spacing w:line="600" w:lineRule="exact"/>
        <w:ind w:firstLine="640" w:firstLineChars="200"/>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2024年度财政拨款收、支总计</w:t>
      </w:r>
      <w:r>
        <w:rPr>
          <w:rFonts w:hint="default" w:ascii="Times New Roman" w:hAnsi="Times New Roman" w:eastAsia="方正仿宋_GBK" w:cs="Times New Roman"/>
          <w:b w:val="0"/>
          <w:bCs/>
          <w:kern w:val="0"/>
          <w:sz w:val="32"/>
          <w:szCs w:val="32"/>
          <w:lang w:val="en-US" w:eastAsia="zh-CN"/>
        </w:rPr>
        <w:t>5.63</w:t>
      </w:r>
      <w:r>
        <w:rPr>
          <w:rFonts w:hint="default" w:ascii="Times New Roman" w:hAnsi="Times New Roman" w:eastAsia="方正仿宋_GBK" w:cs="Times New Roman"/>
          <w:b w:val="0"/>
          <w:bCs/>
          <w:kern w:val="0"/>
          <w:sz w:val="32"/>
          <w:szCs w:val="32"/>
        </w:rPr>
        <w:t>万元。与2023年相比，财政拨款收、支总计各增加</w:t>
      </w:r>
      <w:r>
        <w:rPr>
          <w:rFonts w:hint="default" w:ascii="Times New Roman" w:hAnsi="Times New Roman" w:eastAsia="方正仿宋_GBK" w:cs="Times New Roman"/>
          <w:b w:val="0"/>
          <w:bCs/>
          <w:kern w:val="0"/>
          <w:sz w:val="32"/>
          <w:szCs w:val="32"/>
          <w:lang w:val="en-US" w:eastAsia="zh-CN"/>
        </w:rPr>
        <w:t>5.63</w:t>
      </w:r>
      <w:r>
        <w:rPr>
          <w:rFonts w:hint="default" w:ascii="Times New Roman" w:hAnsi="Times New Roman" w:eastAsia="方正仿宋_GBK" w:cs="Times New Roman"/>
          <w:b w:val="0"/>
          <w:bCs/>
          <w:kern w:val="0"/>
          <w:sz w:val="32"/>
          <w:szCs w:val="32"/>
        </w:rPr>
        <w:t>万元，增长</w:t>
      </w:r>
      <w:r>
        <w:rPr>
          <w:rFonts w:hint="default" w:ascii="Times New Roman" w:hAnsi="Times New Roman" w:eastAsia="方正仿宋_GBK" w:cs="Times New Roman"/>
          <w:b w:val="0"/>
          <w:bCs/>
          <w:kern w:val="0"/>
          <w:sz w:val="32"/>
          <w:szCs w:val="32"/>
          <w:lang w:val="en-US" w:eastAsia="zh-CN"/>
        </w:rPr>
        <w:t>100</w:t>
      </w:r>
      <w:r>
        <w:rPr>
          <w:rFonts w:hint="default" w:ascii="Times New Roman" w:hAnsi="Times New Roman" w:eastAsia="方正仿宋_GBK" w:cs="Times New Roman"/>
          <w:b w:val="0"/>
          <w:bCs/>
          <w:kern w:val="0"/>
          <w:sz w:val="32"/>
          <w:szCs w:val="32"/>
        </w:rPr>
        <w:t>%。主要原因</w:t>
      </w:r>
      <w:r>
        <w:rPr>
          <w:rFonts w:hint="default" w:ascii="Times New Roman" w:hAnsi="Times New Roman" w:eastAsia="方正仿宋_GBK" w:cs="Times New Roman"/>
          <w:b w:val="0"/>
          <w:bCs/>
          <w:kern w:val="0"/>
          <w:sz w:val="32"/>
          <w:szCs w:val="32"/>
          <w:lang w:val="en-US" w:eastAsia="zh-CN"/>
        </w:rPr>
        <w:t>是</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新建幼儿园，无上年决算数</w:t>
      </w:r>
      <w:r>
        <w:rPr>
          <w:rFonts w:hint="default" w:ascii="Times New Roman" w:hAnsi="Times New Roman" w:eastAsia="方正仿宋_GBK" w:cs="Times New Roman"/>
          <w:b w:val="0"/>
          <w:bCs/>
          <w:kern w:val="0"/>
          <w:sz w:val="32"/>
          <w:szCs w:val="32"/>
        </w:rPr>
        <w:t>。</w:t>
      </w:r>
    </w:p>
    <w:p w14:paraId="6D97306A">
      <w:pPr>
        <w:keepNext w:val="0"/>
        <w:keepLines w:val="0"/>
        <w:pageBreakBefore w:val="0"/>
        <w:widowControl w:val="0"/>
        <w:kinsoku/>
        <w:wordWrap/>
        <w:overflowPunct/>
        <w:topLinePunct w:val="0"/>
        <w:autoSpaceDN/>
        <w:bidi w:val="0"/>
        <w:adjustRightInd w:val="0"/>
        <w:snapToGrid w:val="0"/>
        <w:spacing w:line="600" w:lineRule="exact"/>
        <w:ind w:firstLine="640" w:firstLineChars="200"/>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（三）一般公共预算财政拨款支出决算情况说明</w:t>
      </w:r>
    </w:p>
    <w:p w14:paraId="0861B6E1">
      <w:pPr>
        <w:keepNext w:val="0"/>
        <w:keepLines w:val="0"/>
        <w:pageBreakBefore w:val="0"/>
        <w:widowControl w:val="0"/>
        <w:kinsoku/>
        <w:wordWrap/>
        <w:overflowPunct/>
        <w:topLinePunct w:val="0"/>
        <w:autoSpaceDN/>
        <w:bidi w:val="0"/>
        <w:spacing w:line="600" w:lineRule="exact"/>
        <w:ind w:firstLine="643" w:firstLineChars="200"/>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bCs w:val="0"/>
          <w:kern w:val="0"/>
          <w:sz w:val="32"/>
          <w:szCs w:val="32"/>
        </w:rPr>
        <w:t>1.收入情况。</w:t>
      </w:r>
      <w:r>
        <w:rPr>
          <w:rFonts w:hint="default" w:ascii="Times New Roman" w:hAnsi="Times New Roman" w:eastAsia="方正仿宋_GBK" w:cs="Times New Roman"/>
          <w:b w:val="0"/>
          <w:bCs/>
          <w:kern w:val="0"/>
          <w:sz w:val="32"/>
          <w:szCs w:val="32"/>
        </w:rPr>
        <w:t>2024年度一般公共预算财政拨款收入</w:t>
      </w:r>
      <w:r>
        <w:rPr>
          <w:rFonts w:hint="default" w:ascii="Times New Roman" w:hAnsi="Times New Roman" w:eastAsia="方正仿宋_GBK" w:cs="Times New Roman"/>
          <w:b w:val="0"/>
          <w:bCs/>
          <w:kern w:val="0"/>
          <w:sz w:val="32"/>
          <w:szCs w:val="32"/>
          <w:lang w:val="en-US" w:eastAsia="zh-CN"/>
        </w:rPr>
        <w:t>5.63</w:t>
      </w:r>
      <w:r>
        <w:rPr>
          <w:rFonts w:hint="default" w:ascii="Times New Roman" w:hAnsi="Times New Roman" w:eastAsia="方正仿宋_GBK" w:cs="Times New Roman"/>
          <w:b w:val="0"/>
          <w:bCs/>
          <w:kern w:val="0"/>
          <w:sz w:val="32"/>
          <w:szCs w:val="32"/>
        </w:rPr>
        <w:t>万元，较上年决算数增加</w:t>
      </w:r>
      <w:r>
        <w:rPr>
          <w:rFonts w:hint="default" w:ascii="Times New Roman" w:hAnsi="Times New Roman" w:eastAsia="方正仿宋_GBK" w:cs="Times New Roman"/>
          <w:b w:val="0"/>
          <w:bCs/>
          <w:kern w:val="0"/>
          <w:sz w:val="32"/>
          <w:szCs w:val="32"/>
          <w:lang w:val="en-US" w:eastAsia="zh-CN"/>
        </w:rPr>
        <w:t>5.63</w:t>
      </w:r>
      <w:r>
        <w:rPr>
          <w:rFonts w:hint="default" w:ascii="Times New Roman" w:hAnsi="Times New Roman" w:eastAsia="方正仿宋_GBK" w:cs="Times New Roman"/>
          <w:b w:val="0"/>
          <w:bCs/>
          <w:kern w:val="0"/>
          <w:sz w:val="32"/>
          <w:szCs w:val="32"/>
        </w:rPr>
        <w:t>万元，增长</w:t>
      </w:r>
      <w:r>
        <w:rPr>
          <w:rFonts w:hint="default" w:ascii="Times New Roman" w:hAnsi="Times New Roman" w:eastAsia="方正仿宋_GBK" w:cs="Times New Roman"/>
          <w:b w:val="0"/>
          <w:bCs/>
          <w:kern w:val="0"/>
          <w:sz w:val="32"/>
          <w:szCs w:val="32"/>
          <w:lang w:val="en-US" w:eastAsia="zh-CN"/>
        </w:rPr>
        <w:t>100</w:t>
      </w:r>
      <w:r>
        <w:rPr>
          <w:rFonts w:hint="default" w:ascii="Times New Roman" w:hAnsi="Times New Roman" w:eastAsia="方正仿宋_GBK" w:cs="Times New Roman"/>
          <w:b w:val="0"/>
          <w:bCs/>
          <w:kern w:val="0"/>
          <w:sz w:val="32"/>
          <w:szCs w:val="32"/>
        </w:rPr>
        <w:t>%。主要原因</w:t>
      </w:r>
      <w:r>
        <w:rPr>
          <w:rFonts w:hint="default" w:ascii="Times New Roman" w:hAnsi="Times New Roman" w:eastAsia="方正仿宋_GBK" w:cs="Times New Roman"/>
          <w:b w:val="0"/>
          <w:bCs/>
          <w:kern w:val="0"/>
          <w:sz w:val="32"/>
          <w:szCs w:val="32"/>
          <w:lang w:eastAsia="zh-CN"/>
        </w:rPr>
        <w:t>是</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新建幼儿园，无上年决算数</w:t>
      </w:r>
      <w:r>
        <w:rPr>
          <w:rFonts w:hint="default" w:ascii="Times New Roman" w:hAnsi="Times New Roman" w:eastAsia="方正仿宋_GBK" w:cs="Times New Roman"/>
          <w:b w:val="0"/>
          <w:bCs/>
          <w:kern w:val="0"/>
          <w:sz w:val="32"/>
          <w:szCs w:val="32"/>
        </w:rPr>
        <w:t>。较年初预算数增加</w:t>
      </w:r>
      <w:r>
        <w:rPr>
          <w:rFonts w:hint="default" w:ascii="Times New Roman" w:hAnsi="Times New Roman" w:eastAsia="方正仿宋_GBK" w:cs="Times New Roman"/>
          <w:b w:val="0"/>
          <w:bCs/>
          <w:kern w:val="0"/>
          <w:sz w:val="32"/>
          <w:szCs w:val="32"/>
          <w:lang w:val="en-US" w:eastAsia="zh-CN"/>
        </w:rPr>
        <w:t>5.63</w:t>
      </w:r>
      <w:r>
        <w:rPr>
          <w:rFonts w:hint="default" w:ascii="Times New Roman" w:hAnsi="Times New Roman" w:eastAsia="方正仿宋_GBK" w:cs="Times New Roman"/>
          <w:b w:val="0"/>
          <w:bCs/>
          <w:kern w:val="0"/>
          <w:sz w:val="32"/>
          <w:szCs w:val="32"/>
        </w:rPr>
        <w:t>万元，增长</w:t>
      </w:r>
      <w:r>
        <w:rPr>
          <w:rFonts w:hint="default" w:ascii="Times New Roman" w:hAnsi="Times New Roman" w:eastAsia="方正仿宋_GBK" w:cs="Times New Roman"/>
          <w:b w:val="0"/>
          <w:bCs/>
          <w:kern w:val="0"/>
          <w:sz w:val="32"/>
          <w:szCs w:val="32"/>
          <w:lang w:val="en-US" w:eastAsia="zh-CN"/>
        </w:rPr>
        <w:t>100</w:t>
      </w:r>
      <w:r>
        <w:rPr>
          <w:rFonts w:hint="default" w:ascii="Times New Roman" w:hAnsi="Times New Roman" w:eastAsia="方正仿宋_GBK" w:cs="Times New Roman"/>
          <w:b w:val="0"/>
          <w:bCs/>
          <w:kern w:val="0"/>
          <w:sz w:val="32"/>
          <w:szCs w:val="32"/>
        </w:rPr>
        <w:t>%。主要原因是</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新建幼儿园，无年初预算数</w:t>
      </w:r>
      <w:r>
        <w:rPr>
          <w:rFonts w:hint="default" w:ascii="Times New Roman" w:hAnsi="Times New Roman" w:eastAsia="方正仿宋_GBK" w:cs="Times New Roman"/>
          <w:b w:val="0"/>
          <w:bCs/>
          <w:kern w:val="0"/>
          <w:sz w:val="32"/>
          <w:szCs w:val="32"/>
        </w:rPr>
        <w:t>。</w:t>
      </w:r>
    </w:p>
    <w:p w14:paraId="4944548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bCs w:val="0"/>
          <w:kern w:val="0"/>
          <w:sz w:val="32"/>
          <w:szCs w:val="32"/>
        </w:rPr>
        <w:t>2.支出情况</w:t>
      </w:r>
      <w:r>
        <w:rPr>
          <w:rFonts w:hint="default" w:ascii="Times New Roman" w:hAnsi="Times New Roman" w:eastAsia="方正仿宋_GBK" w:cs="Times New Roman"/>
          <w:b w:val="0"/>
          <w:bCs/>
          <w:kern w:val="0"/>
          <w:sz w:val="32"/>
          <w:szCs w:val="32"/>
        </w:rPr>
        <w:t>。2024年度一般公共预算财政拨款支出</w:t>
      </w:r>
      <w:r>
        <w:rPr>
          <w:rFonts w:hint="default" w:ascii="Times New Roman" w:hAnsi="Times New Roman" w:eastAsia="方正仿宋_GBK" w:cs="Times New Roman"/>
          <w:b w:val="0"/>
          <w:bCs/>
          <w:kern w:val="0"/>
          <w:sz w:val="32"/>
          <w:szCs w:val="32"/>
          <w:lang w:val="en-US" w:eastAsia="zh-CN"/>
        </w:rPr>
        <w:t>5.63</w:t>
      </w:r>
      <w:r>
        <w:rPr>
          <w:rFonts w:hint="default" w:ascii="Times New Roman" w:hAnsi="Times New Roman" w:eastAsia="方正仿宋_GBK" w:cs="Times New Roman"/>
          <w:b w:val="0"/>
          <w:bCs/>
          <w:kern w:val="0"/>
          <w:sz w:val="32"/>
          <w:szCs w:val="32"/>
        </w:rPr>
        <w:t>万元，较上年决算数增加</w:t>
      </w:r>
      <w:r>
        <w:rPr>
          <w:rFonts w:hint="default" w:ascii="Times New Roman" w:hAnsi="Times New Roman" w:eastAsia="方正仿宋_GBK" w:cs="Times New Roman"/>
          <w:b w:val="0"/>
          <w:bCs/>
          <w:kern w:val="0"/>
          <w:sz w:val="32"/>
          <w:szCs w:val="32"/>
          <w:lang w:val="en-US" w:eastAsia="zh-CN"/>
        </w:rPr>
        <w:t>5.63</w:t>
      </w:r>
      <w:r>
        <w:rPr>
          <w:rFonts w:hint="default" w:ascii="Times New Roman" w:hAnsi="Times New Roman" w:eastAsia="方正仿宋_GBK" w:cs="Times New Roman"/>
          <w:b w:val="0"/>
          <w:bCs/>
          <w:kern w:val="0"/>
          <w:sz w:val="32"/>
          <w:szCs w:val="32"/>
        </w:rPr>
        <w:t>万元，增长</w:t>
      </w:r>
      <w:r>
        <w:rPr>
          <w:rFonts w:hint="default" w:ascii="Times New Roman" w:hAnsi="Times New Roman" w:eastAsia="方正仿宋_GBK" w:cs="Times New Roman"/>
          <w:b w:val="0"/>
          <w:bCs/>
          <w:kern w:val="0"/>
          <w:sz w:val="32"/>
          <w:szCs w:val="32"/>
          <w:lang w:val="en-US" w:eastAsia="zh-CN"/>
        </w:rPr>
        <w:t>100</w:t>
      </w:r>
      <w:r>
        <w:rPr>
          <w:rFonts w:hint="default" w:ascii="Times New Roman" w:hAnsi="Times New Roman" w:eastAsia="方正仿宋_GBK" w:cs="Times New Roman"/>
          <w:b w:val="0"/>
          <w:bCs/>
          <w:kern w:val="0"/>
          <w:sz w:val="32"/>
          <w:szCs w:val="32"/>
        </w:rPr>
        <w:t>%。主要原因是</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新建幼儿园，无上年决算数。</w:t>
      </w:r>
      <w:r>
        <w:rPr>
          <w:rFonts w:hint="default" w:ascii="Times New Roman" w:hAnsi="Times New Roman" w:eastAsia="方正仿宋_GBK" w:cs="Times New Roman"/>
          <w:b w:val="0"/>
          <w:bCs/>
          <w:kern w:val="0"/>
          <w:sz w:val="32"/>
          <w:szCs w:val="32"/>
        </w:rPr>
        <w:t>较年初预算数增加</w:t>
      </w:r>
      <w:r>
        <w:rPr>
          <w:rFonts w:hint="default" w:ascii="Times New Roman" w:hAnsi="Times New Roman" w:eastAsia="方正仿宋_GBK" w:cs="Times New Roman"/>
          <w:b w:val="0"/>
          <w:bCs/>
          <w:kern w:val="0"/>
          <w:sz w:val="32"/>
          <w:szCs w:val="32"/>
          <w:lang w:val="en-US" w:eastAsia="zh-CN"/>
        </w:rPr>
        <w:t>5.63</w:t>
      </w:r>
      <w:r>
        <w:rPr>
          <w:rFonts w:hint="default" w:ascii="Times New Roman" w:hAnsi="Times New Roman" w:eastAsia="方正仿宋_GBK" w:cs="Times New Roman"/>
          <w:b w:val="0"/>
          <w:bCs/>
          <w:kern w:val="0"/>
          <w:sz w:val="32"/>
          <w:szCs w:val="32"/>
        </w:rPr>
        <w:t>万元，增长</w:t>
      </w:r>
      <w:r>
        <w:rPr>
          <w:rFonts w:hint="default" w:ascii="Times New Roman" w:hAnsi="Times New Roman" w:eastAsia="方正仿宋_GBK" w:cs="Times New Roman"/>
          <w:b w:val="0"/>
          <w:bCs/>
          <w:kern w:val="0"/>
          <w:sz w:val="32"/>
          <w:szCs w:val="32"/>
          <w:lang w:val="en-US" w:eastAsia="zh-CN"/>
        </w:rPr>
        <w:t>100</w:t>
      </w:r>
      <w:r>
        <w:rPr>
          <w:rFonts w:hint="default" w:ascii="Times New Roman" w:hAnsi="Times New Roman" w:eastAsia="方正仿宋_GBK" w:cs="Times New Roman"/>
          <w:b w:val="0"/>
          <w:bCs/>
          <w:kern w:val="0"/>
          <w:sz w:val="32"/>
          <w:szCs w:val="32"/>
        </w:rPr>
        <w:t>%。主要原因是</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新建幼儿园，无年初预算数</w:t>
      </w:r>
      <w:r>
        <w:rPr>
          <w:rFonts w:hint="default" w:ascii="Times New Roman" w:hAnsi="Times New Roman" w:eastAsia="方正仿宋_GBK" w:cs="Times New Roman"/>
          <w:b w:val="0"/>
          <w:bCs/>
          <w:kern w:val="0"/>
          <w:sz w:val="32"/>
          <w:szCs w:val="32"/>
        </w:rPr>
        <w:t>。</w:t>
      </w:r>
    </w:p>
    <w:p w14:paraId="0AA7DBF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b w:val="0"/>
          <w:bCs/>
          <w:kern w:val="0"/>
          <w:sz w:val="32"/>
          <w:szCs w:val="32"/>
          <w:lang w:val="en-US" w:eastAsia="zh-CN"/>
        </w:rPr>
      </w:pPr>
      <w:r>
        <w:rPr>
          <w:rFonts w:hint="default" w:ascii="Times New Roman" w:hAnsi="Times New Roman" w:eastAsia="方正仿宋_GBK" w:cs="Times New Roman"/>
          <w:b/>
          <w:bCs w:val="0"/>
          <w:kern w:val="0"/>
          <w:sz w:val="32"/>
          <w:szCs w:val="32"/>
        </w:rPr>
        <w:t>3.结转结余情况。</w:t>
      </w:r>
      <w:r>
        <w:rPr>
          <w:rFonts w:hint="default" w:ascii="Times New Roman" w:hAnsi="Times New Roman" w:eastAsia="方正仿宋_GBK" w:cs="Times New Roman"/>
          <w:b w:val="0"/>
          <w:bCs/>
          <w:kern w:val="0"/>
          <w:sz w:val="32"/>
          <w:szCs w:val="32"/>
        </w:rPr>
        <w:t>2024年度年末一般公共预算财政拨款结转和结余</w:t>
      </w:r>
      <w:r>
        <w:rPr>
          <w:rFonts w:hint="default" w:ascii="Times New Roman" w:hAnsi="Times New Roman" w:eastAsia="方正仿宋_GBK" w:cs="Times New Roman"/>
          <w:b w:val="0"/>
          <w:bCs/>
          <w:kern w:val="0"/>
          <w:sz w:val="32"/>
          <w:szCs w:val="32"/>
          <w:lang w:val="en-US" w:eastAsia="zh-CN"/>
        </w:rPr>
        <w:t>0</w:t>
      </w:r>
      <w:r>
        <w:rPr>
          <w:rFonts w:hint="default" w:ascii="Times New Roman" w:hAnsi="Times New Roman" w:eastAsia="方正仿宋_GBK" w:cs="Times New Roman"/>
          <w:b w:val="0"/>
          <w:bCs/>
          <w:kern w:val="0"/>
          <w:sz w:val="32"/>
          <w:szCs w:val="32"/>
        </w:rPr>
        <w:t>万元，较上年决算数增加</w:t>
      </w:r>
      <w:r>
        <w:rPr>
          <w:rFonts w:hint="default" w:ascii="Times New Roman" w:hAnsi="Times New Roman" w:eastAsia="方正仿宋_GBK" w:cs="Times New Roman"/>
          <w:b w:val="0"/>
          <w:bCs/>
          <w:kern w:val="0"/>
          <w:sz w:val="32"/>
          <w:szCs w:val="32"/>
          <w:lang w:val="en-US" w:eastAsia="zh-CN"/>
        </w:rPr>
        <w:t>0</w:t>
      </w:r>
      <w:r>
        <w:rPr>
          <w:rFonts w:hint="default" w:ascii="Times New Roman" w:hAnsi="Times New Roman" w:eastAsia="方正仿宋_GBK" w:cs="Times New Roman"/>
          <w:b w:val="0"/>
          <w:bCs/>
          <w:kern w:val="0"/>
          <w:sz w:val="32"/>
          <w:szCs w:val="32"/>
        </w:rPr>
        <w:t>万元，增长</w:t>
      </w:r>
      <w:r>
        <w:rPr>
          <w:rFonts w:hint="default" w:ascii="Times New Roman" w:hAnsi="Times New Roman" w:eastAsia="方正仿宋_GBK" w:cs="Times New Roman"/>
          <w:b w:val="0"/>
          <w:bCs/>
          <w:kern w:val="0"/>
          <w:sz w:val="32"/>
          <w:szCs w:val="32"/>
          <w:lang w:val="en-US" w:eastAsia="zh-CN"/>
        </w:rPr>
        <w:t>0</w:t>
      </w:r>
      <w:r>
        <w:rPr>
          <w:rFonts w:hint="default" w:ascii="Times New Roman" w:hAnsi="Times New Roman" w:eastAsia="方正仿宋_GBK" w:cs="Times New Roman"/>
          <w:b w:val="0"/>
          <w:bCs/>
          <w:kern w:val="0"/>
          <w:sz w:val="32"/>
          <w:szCs w:val="32"/>
        </w:rPr>
        <w:t>%。</w:t>
      </w:r>
      <w:r>
        <w:rPr>
          <w:rFonts w:hint="default" w:ascii="Times New Roman" w:hAnsi="Times New Roman" w:eastAsia="方正仿宋_GBK" w:cs="Times New Roman"/>
          <w:b w:val="0"/>
          <w:bCs/>
          <w:kern w:val="0"/>
          <w:sz w:val="32"/>
          <w:szCs w:val="32"/>
          <w:lang w:val="en-US" w:eastAsia="zh-CN"/>
        </w:rPr>
        <w:t>主要原因是本年度收支平衡。</w:t>
      </w:r>
    </w:p>
    <w:p w14:paraId="2C7A83D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val="0"/>
          <w:kern w:val="0"/>
          <w:sz w:val="32"/>
          <w:szCs w:val="32"/>
        </w:rPr>
        <w:t>4.比较情况。</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本单位2024年度一般公共预算财政拨款支出主要用于以下几个方面：</w:t>
      </w:r>
    </w:p>
    <w:p w14:paraId="5226FAAF">
      <w:pPr>
        <w:keepNext w:val="0"/>
        <w:keepLines w:val="0"/>
        <w:pageBreakBefore w:val="0"/>
        <w:widowControl w:val="0"/>
        <w:kinsoku/>
        <w:wordWrap/>
        <w:overflowPunct/>
        <w:topLinePunct w:val="0"/>
        <w:autoSpaceDN/>
        <w:bidi w:val="0"/>
        <w:spacing w:line="600" w:lineRule="exact"/>
        <w:ind w:firstLine="640" w:firstLineChars="200"/>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）教育支出</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4.13</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万元，占73.42%，较年初预算数增加</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4.13</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万元，增长</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100</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%，主要原因是</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新建幼儿园，无年初预算数</w:t>
      </w:r>
      <w:r>
        <w:rPr>
          <w:rFonts w:hint="default" w:ascii="Times New Roman" w:hAnsi="Times New Roman" w:eastAsia="方正仿宋_GBK" w:cs="Times New Roman"/>
          <w:b w:val="0"/>
          <w:bCs/>
          <w:color w:val="000000" w:themeColor="text1"/>
          <w:kern w:val="0"/>
          <w:sz w:val="32"/>
          <w:szCs w:val="32"/>
          <w:lang w:eastAsia="zh-CN"/>
          <w14:textFill>
            <w14:solidFill>
              <w14:schemeClr w14:val="tx1"/>
            </w14:solidFill>
          </w14:textFill>
        </w:rPr>
        <w:t>。</w:t>
      </w:r>
    </w:p>
    <w:p w14:paraId="2CC78C5A">
      <w:pPr>
        <w:keepNext w:val="0"/>
        <w:keepLines w:val="0"/>
        <w:pageBreakBefore w:val="0"/>
        <w:widowControl w:val="0"/>
        <w:kinsoku/>
        <w:wordWrap/>
        <w:overflowPunct/>
        <w:topLinePunct w:val="0"/>
        <w:autoSpaceDN/>
        <w:bidi w:val="0"/>
        <w:spacing w:line="600" w:lineRule="exact"/>
        <w:ind w:firstLine="640" w:firstLineChars="200"/>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）社会保障与就业支出</w:t>
      </w:r>
      <w:r>
        <w:rPr>
          <w:rFonts w:hint="default" w:ascii="Times New Roman" w:hAnsi="Times New Roman" w:eastAsia="方正仿宋_GBK" w:cs="Times New Roman"/>
          <w:b w:val="0"/>
          <w:bCs/>
          <w:color w:val="000000" w:themeColor="text1"/>
          <w:kern w:val="0"/>
          <w:sz w:val="32"/>
          <w:szCs w:val="32"/>
          <w:lang w:eastAsia="zh-CN"/>
          <w14:textFill>
            <w14:solidFill>
              <w14:schemeClr w14:val="tx1"/>
            </w14:solidFill>
          </w14:textFill>
        </w:rPr>
        <w:t>0</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.8</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万元，占</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14</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%，较年初预算数增加</w:t>
      </w:r>
      <w:r>
        <w:rPr>
          <w:rFonts w:hint="default" w:ascii="Times New Roman" w:hAnsi="Times New Roman" w:eastAsia="方正仿宋_GBK" w:cs="Times New Roman"/>
          <w:b w:val="0"/>
          <w:bCs/>
          <w:color w:val="000000" w:themeColor="text1"/>
          <w:kern w:val="0"/>
          <w:sz w:val="32"/>
          <w:szCs w:val="32"/>
          <w:lang w:eastAsia="zh-CN"/>
          <w14:textFill>
            <w14:solidFill>
              <w14:schemeClr w14:val="tx1"/>
            </w14:solidFill>
          </w14:textFill>
        </w:rPr>
        <w:t>0</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.8</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万元，增长</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100</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%，主要原因是</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新建幼儿园，无年初预算数</w:t>
      </w:r>
      <w:r>
        <w:rPr>
          <w:rFonts w:hint="default" w:ascii="Times New Roman" w:hAnsi="Times New Roman" w:eastAsia="方正仿宋_GBK" w:cs="Times New Roman"/>
          <w:b w:val="0"/>
          <w:bCs/>
          <w:color w:val="000000" w:themeColor="text1"/>
          <w:kern w:val="0"/>
          <w:sz w:val="32"/>
          <w:szCs w:val="32"/>
          <w:lang w:eastAsia="zh-CN"/>
          <w14:textFill>
            <w14:solidFill>
              <w14:schemeClr w14:val="tx1"/>
            </w14:solidFill>
          </w14:textFill>
        </w:rPr>
        <w:t>。</w:t>
      </w:r>
    </w:p>
    <w:p w14:paraId="37FDCB4F">
      <w:pPr>
        <w:keepNext w:val="0"/>
        <w:keepLines w:val="0"/>
        <w:pageBreakBefore w:val="0"/>
        <w:widowControl w:val="0"/>
        <w:kinsoku/>
        <w:wordWrap/>
        <w:overflowPunct/>
        <w:topLinePunct w:val="0"/>
        <w:autoSpaceDN/>
        <w:bidi w:val="0"/>
        <w:spacing w:line="600" w:lineRule="exact"/>
        <w:ind w:firstLine="640" w:firstLineChars="200"/>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）卫生健康支出</w:t>
      </w:r>
      <w:r>
        <w:rPr>
          <w:rFonts w:hint="default" w:ascii="Times New Roman" w:hAnsi="Times New Roman" w:eastAsia="方正仿宋_GBK" w:cs="Times New Roman"/>
          <w:b w:val="0"/>
          <w:bCs/>
          <w:color w:val="000000" w:themeColor="text1"/>
          <w:kern w:val="0"/>
          <w:sz w:val="32"/>
          <w:szCs w:val="32"/>
          <w:lang w:eastAsia="zh-CN"/>
          <w14:textFill>
            <w14:solidFill>
              <w14:schemeClr w14:val="tx1"/>
            </w14:solidFill>
          </w14:textFill>
        </w:rPr>
        <w:t>0</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.22</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万元，占</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%，较年初预算数增加</w:t>
      </w:r>
      <w:r>
        <w:rPr>
          <w:rFonts w:hint="default" w:ascii="Times New Roman" w:hAnsi="Times New Roman" w:eastAsia="方正仿宋_GBK" w:cs="Times New Roman"/>
          <w:b w:val="0"/>
          <w:bCs/>
          <w:color w:val="000000" w:themeColor="text1"/>
          <w:kern w:val="0"/>
          <w:sz w:val="32"/>
          <w:szCs w:val="32"/>
          <w:lang w:eastAsia="zh-CN"/>
          <w14:textFill>
            <w14:solidFill>
              <w14:schemeClr w14:val="tx1"/>
            </w14:solidFill>
          </w14:textFill>
        </w:rPr>
        <w:t>0</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万元，增长</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100</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%，主要原因</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新建幼儿园，无年初预算数</w:t>
      </w:r>
      <w:r>
        <w:rPr>
          <w:rFonts w:hint="default" w:ascii="Times New Roman" w:hAnsi="Times New Roman" w:eastAsia="方正仿宋_GBK" w:cs="Times New Roman"/>
          <w:b w:val="0"/>
          <w:bCs/>
          <w:color w:val="000000" w:themeColor="text1"/>
          <w:kern w:val="0"/>
          <w:sz w:val="32"/>
          <w:szCs w:val="32"/>
          <w:lang w:eastAsia="zh-CN"/>
          <w14:textFill>
            <w14:solidFill>
              <w14:schemeClr w14:val="tx1"/>
            </w14:solidFill>
          </w14:textFill>
        </w:rPr>
        <w:t>。</w:t>
      </w:r>
    </w:p>
    <w:p w14:paraId="3983E68C">
      <w:pPr>
        <w:keepNext w:val="0"/>
        <w:keepLines w:val="0"/>
        <w:pageBreakBefore w:val="0"/>
        <w:widowControl w:val="0"/>
        <w:kinsoku/>
        <w:wordWrap/>
        <w:overflowPunct/>
        <w:topLinePunct w:val="0"/>
        <w:autoSpaceDN/>
        <w:bidi w:val="0"/>
        <w:spacing w:line="600" w:lineRule="exact"/>
        <w:ind w:firstLine="640" w:firstLineChars="200"/>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4</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）住房保障支出</w:t>
      </w:r>
      <w:r>
        <w:rPr>
          <w:rFonts w:hint="default" w:ascii="Times New Roman" w:hAnsi="Times New Roman" w:eastAsia="方正仿宋_GBK" w:cs="Times New Roman"/>
          <w:b w:val="0"/>
          <w:bCs/>
          <w:color w:val="000000" w:themeColor="text1"/>
          <w:kern w:val="0"/>
          <w:sz w:val="32"/>
          <w:szCs w:val="32"/>
          <w:lang w:eastAsia="zh-CN"/>
          <w14:textFill>
            <w14:solidFill>
              <w14:schemeClr w14:val="tx1"/>
            </w14:solidFill>
          </w14:textFill>
        </w:rPr>
        <w:t>0</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.48</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万元，占</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8</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%，较年初预算数增加</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0.8</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万元，增长</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100</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%，主要原因是</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新建幼儿园，无年初预算数</w:t>
      </w:r>
      <w:r>
        <w:rPr>
          <w:rFonts w:hint="default" w:ascii="Times New Roman" w:hAnsi="Times New Roman" w:eastAsia="方正仿宋_GBK" w:cs="Times New Roman"/>
          <w:b w:val="0"/>
          <w:bCs/>
          <w:color w:val="000000" w:themeColor="text1"/>
          <w:kern w:val="0"/>
          <w:sz w:val="32"/>
          <w:szCs w:val="32"/>
          <w:lang w:eastAsia="zh-CN"/>
          <w14:textFill>
            <w14:solidFill>
              <w14:schemeClr w14:val="tx1"/>
            </w14:solidFill>
          </w14:textFill>
        </w:rPr>
        <w:t>。</w:t>
      </w:r>
    </w:p>
    <w:p w14:paraId="636BBF2E">
      <w:pPr>
        <w:keepNext w:val="0"/>
        <w:keepLines w:val="0"/>
        <w:pageBreakBefore w:val="0"/>
        <w:widowControl w:val="0"/>
        <w:kinsoku/>
        <w:wordWrap/>
        <w:overflowPunct/>
        <w:topLinePunct w:val="0"/>
        <w:autoSpaceDN/>
        <w:bidi w:val="0"/>
        <w:adjustRightInd w:val="0"/>
        <w:snapToGrid w:val="0"/>
        <w:spacing w:line="600" w:lineRule="exact"/>
        <w:ind w:firstLine="640" w:firstLineChars="200"/>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（四）一般公共预算财政拨款基本支出决算情况说明</w:t>
      </w:r>
    </w:p>
    <w:p w14:paraId="2186C3DE">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 2024年度一般公共财政拨款基本支出5.63万元。其中：人员经费4.59万元，与2023年度相比，增加4.59万元，增长100.0%</w:t>
      </w:r>
      <w:r>
        <w:rPr>
          <w:rFonts w:hint="default" w:ascii="Times New Roman" w:hAnsi="Times New Roman" w:eastAsia="方正仿宋_GBK" w:cs="Times New Roman"/>
          <w:b w:val="0"/>
          <w:bCs/>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主要原因是</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新建幼儿园，无上年决算数</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。人员经费用途主要包</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教育支出、社会保障和就业支出、卫生健康支出、住房保障支出</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w:t>
      </w:r>
      <w:r>
        <w:rPr>
          <w:rFonts w:hint="default" w:ascii="Times New Roman" w:hAnsi="Times New Roman" w:eastAsia="方正仿宋_GBK" w:cs="Times New Roman"/>
          <w:b w:val="0"/>
          <w:bCs/>
          <w:sz w:val="32"/>
          <w:szCs w:val="32"/>
          <w:shd w:val="clear" w:color="auto" w:fill="FFFFFF"/>
        </w:rPr>
        <w:t>公用经费</w:t>
      </w:r>
      <w:r>
        <w:rPr>
          <w:rFonts w:hint="default" w:ascii="Times New Roman" w:hAnsi="Times New Roman" w:eastAsia="方正仿宋_GBK" w:cs="Times New Roman"/>
          <w:b w:val="0"/>
          <w:bCs/>
          <w:sz w:val="32"/>
          <w:szCs w:val="32"/>
        </w:rPr>
        <w:t>1.04</w:t>
      </w:r>
      <w:r>
        <w:rPr>
          <w:rFonts w:hint="default" w:ascii="Times New Roman" w:hAnsi="Times New Roman" w:eastAsia="方正仿宋_GBK" w:cs="Times New Roman"/>
          <w:b w:val="0"/>
          <w:bCs/>
          <w:sz w:val="32"/>
          <w:szCs w:val="32"/>
          <w:shd w:val="clear" w:color="auto" w:fill="FFFFFF"/>
        </w:rPr>
        <w:t>万元，与2023年度相比，增加1.04万元，增长100.0%，主要原因是</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新建幼儿园，无上年决算数</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w:t>
      </w:r>
      <w:r>
        <w:rPr>
          <w:rFonts w:hint="default" w:ascii="Times New Roman" w:hAnsi="Times New Roman" w:eastAsia="方正仿宋_GBK" w:cs="Times New Roman"/>
          <w:sz w:val="32"/>
          <w:szCs w:val="32"/>
          <w:shd w:val="clear" w:color="auto" w:fill="FFFFFF"/>
        </w:rPr>
        <w:t>公用经费用途主要包括办公费、印刷费、水费、电费、邮电费、物业管理费、差旅费、维修（护）费、培训费、专用材料费、劳务费、工会经费、福利费、其他商品和服务支出。</w:t>
      </w:r>
    </w:p>
    <w:p w14:paraId="64ADF8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（五）政府性基金预算收支决算情况说明</w:t>
      </w:r>
    </w:p>
    <w:p w14:paraId="0A89370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本单位2024年度无政府性基金预算财政拨款收支。</w:t>
      </w:r>
    </w:p>
    <w:p w14:paraId="371AFDED">
      <w:pPr>
        <w:keepNext w:val="0"/>
        <w:keepLines w:val="0"/>
        <w:pageBreakBefore w:val="0"/>
        <w:widowControl w:val="0"/>
        <w:numPr>
          <w:ilvl w:val="0"/>
          <w:numId w:val="1"/>
        </w:numPr>
        <w:kinsoku/>
        <w:wordWrap/>
        <w:overflowPunct/>
        <w:topLinePunct w:val="0"/>
        <w:autoSpaceDN/>
        <w:bidi w:val="0"/>
        <w:adjustRightInd w:val="0"/>
        <w:snapToGrid w:val="0"/>
        <w:spacing w:line="600" w:lineRule="exact"/>
        <w:ind w:firstLine="640" w:firstLineChars="200"/>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国有资本经营预算财政拨款支出决算情况说明</w:t>
      </w:r>
    </w:p>
    <w:p w14:paraId="05B303B1">
      <w:pPr>
        <w:keepNext w:val="0"/>
        <w:keepLines w:val="0"/>
        <w:pageBreakBefore w:val="0"/>
        <w:widowControl w:val="0"/>
        <w:numPr>
          <w:ilvl w:val="0"/>
          <w:numId w:val="0"/>
        </w:numPr>
        <w:kinsoku/>
        <w:wordWrap/>
        <w:overflowPunct/>
        <w:topLinePunct w:val="0"/>
        <w:autoSpaceDN/>
        <w:bidi w:val="0"/>
        <w:adjustRightInd w:val="0"/>
        <w:snapToGrid w:val="0"/>
        <w:spacing w:line="600" w:lineRule="exact"/>
        <w:ind w:firstLine="640" w:firstLineChars="200"/>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本单位2024年度无国有资本经营预算财政拨款支出。</w:t>
      </w:r>
    </w:p>
    <w:p w14:paraId="66F334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kern w:val="0"/>
          <w:sz w:val="32"/>
          <w:szCs w:val="32"/>
        </w:rPr>
      </w:pPr>
      <w:r>
        <w:rPr>
          <w:rFonts w:hint="default" w:ascii="Times New Roman" w:hAnsi="Times New Roman" w:eastAsia="方正黑体_GBK" w:cs="Times New Roman"/>
          <w:b w:val="0"/>
          <w:bCs/>
          <w:kern w:val="0"/>
          <w:sz w:val="32"/>
          <w:szCs w:val="32"/>
        </w:rPr>
        <w:t>三、</w:t>
      </w:r>
      <w:r>
        <w:rPr>
          <w:rFonts w:hint="eastAsia" w:ascii="Times New Roman" w:hAnsi="Times New Roman" w:eastAsia="方正黑体_GBK" w:cs="Times New Roman"/>
          <w:b w:val="0"/>
          <w:bCs/>
          <w:kern w:val="0"/>
          <w:sz w:val="32"/>
          <w:szCs w:val="32"/>
          <w:lang w:eastAsia="zh-CN"/>
        </w:rPr>
        <w:t>“</w:t>
      </w:r>
      <w:r>
        <w:rPr>
          <w:rFonts w:hint="default" w:ascii="Times New Roman" w:hAnsi="Times New Roman" w:eastAsia="方正黑体_GBK" w:cs="Times New Roman"/>
          <w:b w:val="0"/>
          <w:bCs/>
          <w:kern w:val="0"/>
          <w:sz w:val="32"/>
          <w:szCs w:val="32"/>
        </w:rPr>
        <w:t>三公</w:t>
      </w:r>
      <w:r>
        <w:rPr>
          <w:rFonts w:hint="eastAsia" w:ascii="Times New Roman" w:hAnsi="Times New Roman" w:eastAsia="方正黑体_GBK" w:cs="Times New Roman"/>
          <w:b w:val="0"/>
          <w:bCs/>
          <w:kern w:val="0"/>
          <w:sz w:val="32"/>
          <w:szCs w:val="32"/>
          <w:lang w:eastAsia="zh-CN"/>
        </w:rPr>
        <w:t>”</w:t>
      </w:r>
      <w:r>
        <w:rPr>
          <w:rFonts w:hint="default" w:ascii="Times New Roman" w:hAnsi="Times New Roman" w:eastAsia="方正黑体_GBK" w:cs="Times New Roman"/>
          <w:b w:val="0"/>
          <w:bCs/>
          <w:kern w:val="0"/>
          <w:sz w:val="32"/>
          <w:szCs w:val="32"/>
        </w:rPr>
        <w:t>经费情况说明</w:t>
      </w:r>
    </w:p>
    <w:p w14:paraId="00C3AFA6">
      <w:pPr>
        <w:keepNext w:val="0"/>
        <w:keepLines w:val="0"/>
        <w:pageBreakBefore w:val="0"/>
        <w:widowControl w:val="0"/>
        <w:kinsoku/>
        <w:wordWrap/>
        <w:overflowPunct/>
        <w:topLinePunct w:val="0"/>
        <w:autoSpaceDN/>
        <w:bidi w:val="0"/>
        <w:adjustRightInd w:val="0"/>
        <w:snapToGrid w:val="0"/>
        <w:spacing w:line="600" w:lineRule="exact"/>
        <w:ind w:firstLine="640" w:firstLineChars="200"/>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（一）</w:t>
      </w:r>
      <w:r>
        <w:rPr>
          <w:rFonts w:hint="eastAsia" w:ascii="Times New Roman" w:hAnsi="Times New Roman" w:eastAsia="方正楷体_GBK" w:cs="Times New Roman"/>
          <w:b w:val="0"/>
          <w:bCs/>
          <w:kern w:val="0"/>
          <w:sz w:val="32"/>
          <w:szCs w:val="32"/>
          <w:lang w:eastAsia="zh-CN"/>
        </w:rPr>
        <w:t>“</w:t>
      </w:r>
      <w:r>
        <w:rPr>
          <w:rFonts w:hint="default" w:ascii="Times New Roman" w:hAnsi="Times New Roman" w:eastAsia="方正楷体_GBK" w:cs="Times New Roman"/>
          <w:b w:val="0"/>
          <w:bCs/>
          <w:kern w:val="0"/>
          <w:sz w:val="32"/>
          <w:szCs w:val="32"/>
        </w:rPr>
        <w:t>三公</w:t>
      </w:r>
      <w:r>
        <w:rPr>
          <w:rFonts w:hint="eastAsia" w:ascii="Times New Roman" w:hAnsi="Times New Roman" w:eastAsia="方正楷体_GBK" w:cs="Times New Roman"/>
          <w:b w:val="0"/>
          <w:bCs/>
          <w:kern w:val="0"/>
          <w:sz w:val="32"/>
          <w:szCs w:val="32"/>
          <w:lang w:eastAsia="zh-CN"/>
        </w:rPr>
        <w:t>”</w:t>
      </w:r>
      <w:r>
        <w:rPr>
          <w:rFonts w:hint="default" w:ascii="Times New Roman" w:hAnsi="Times New Roman" w:eastAsia="方正楷体_GBK" w:cs="Times New Roman"/>
          <w:b w:val="0"/>
          <w:bCs/>
          <w:kern w:val="0"/>
          <w:sz w:val="32"/>
          <w:szCs w:val="32"/>
        </w:rPr>
        <w:t>经费支出总体情况说明</w:t>
      </w:r>
    </w:p>
    <w:p w14:paraId="6B8EC3E6">
      <w:pPr>
        <w:keepNext w:val="0"/>
        <w:keepLines w:val="0"/>
        <w:pageBreakBefore w:val="0"/>
        <w:widowControl w:val="0"/>
        <w:kinsoku/>
        <w:wordWrap/>
        <w:overflowPunct/>
        <w:topLinePunct w:val="0"/>
        <w:autoSpaceDN/>
        <w:bidi w:val="0"/>
        <w:spacing w:line="600" w:lineRule="exact"/>
        <w:ind w:firstLine="640" w:firstLineChars="200"/>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2024年度</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三公</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经费支出共计</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万元，较年初预算数增加</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万元，增长</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%，主要原因是</w:t>
      </w:r>
      <w:r>
        <w:rPr>
          <w:rFonts w:hint="default" w:ascii="Times New Roman" w:hAnsi="Times New Roman" w:eastAsia="方正仿宋_GBK" w:cs="Times New Roman"/>
          <w:b w:val="0"/>
          <w:bCs/>
          <w:kern w:val="0"/>
          <w:sz w:val="32"/>
          <w:szCs w:val="32"/>
          <w:lang w:val="en-US" w:eastAsia="zh-CN"/>
        </w:rPr>
        <w:t>本单位2024年度未发生</w:t>
      </w:r>
      <w:r>
        <w:rPr>
          <w:rFonts w:hint="eastAsia" w:ascii="Times New Roman" w:hAnsi="Times New Roman" w:eastAsia="方正仿宋_GBK" w:cs="Times New Roman"/>
          <w:b w:val="0"/>
          <w:bCs/>
          <w:kern w:val="0"/>
          <w:sz w:val="32"/>
          <w:szCs w:val="32"/>
          <w:lang w:val="en-US" w:eastAsia="zh-CN"/>
        </w:rPr>
        <w:t>“</w:t>
      </w:r>
      <w:r>
        <w:rPr>
          <w:rFonts w:hint="default" w:ascii="Times New Roman" w:hAnsi="Times New Roman" w:eastAsia="方正仿宋_GBK" w:cs="Times New Roman"/>
          <w:b w:val="0"/>
          <w:bCs/>
          <w:kern w:val="0"/>
          <w:sz w:val="32"/>
          <w:szCs w:val="32"/>
          <w:lang w:val="en-US" w:eastAsia="zh-CN"/>
        </w:rPr>
        <w:t>三公</w:t>
      </w:r>
      <w:r>
        <w:rPr>
          <w:rFonts w:hint="eastAsia" w:ascii="Times New Roman" w:hAnsi="Times New Roman" w:eastAsia="方正仿宋_GBK" w:cs="Times New Roman"/>
          <w:b w:val="0"/>
          <w:bCs/>
          <w:kern w:val="0"/>
          <w:sz w:val="32"/>
          <w:szCs w:val="32"/>
          <w:lang w:val="en-US" w:eastAsia="zh-CN"/>
        </w:rPr>
        <w:t>”</w:t>
      </w:r>
      <w:r>
        <w:rPr>
          <w:rFonts w:hint="default" w:ascii="Times New Roman" w:hAnsi="Times New Roman" w:eastAsia="方正仿宋_GBK" w:cs="Times New Roman"/>
          <w:b w:val="0"/>
          <w:bCs/>
          <w:kern w:val="0"/>
          <w:sz w:val="32"/>
          <w:szCs w:val="32"/>
          <w:lang w:val="en-US" w:eastAsia="zh-CN"/>
        </w:rPr>
        <w:t>经费支出</w:t>
      </w:r>
      <w:r>
        <w:rPr>
          <w:rFonts w:hint="default" w:ascii="Times New Roman" w:hAnsi="Times New Roman" w:eastAsia="方正仿宋_GBK" w:cs="Times New Roman"/>
          <w:b w:val="0"/>
          <w:bCs/>
          <w:kern w:val="0"/>
          <w:sz w:val="32"/>
          <w:szCs w:val="32"/>
        </w:rPr>
        <w:t>。较上年支出数增加</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万元，增长</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%，主要原因是</w:t>
      </w:r>
      <w:r>
        <w:rPr>
          <w:rFonts w:hint="default" w:ascii="Times New Roman" w:hAnsi="Times New Roman" w:eastAsia="方正仿宋_GBK" w:cs="Times New Roman"/>
          <w:b w:val="0"/>
          <w:bCs/>
          <w:kern w:val="0"/>
          <w:sz w:val="32"/>
          <w:szCs w:val="32"/>
          <w:lang w:val="en-US" w:eastAsia="zh-CN"/>
        </w:rPr>
        <w:t>本单位2024年度未发生</w:t>
      </w:r>
      <w:r>
        <w:rPr>
          <w:rFonts w:hint="eastAsia" w:ascii="Times New Roman" w:hAnsi="Times New Roman" w:eastAsia="方正仿宋_GBK" w:cs="Times New Roman"/>
          <w:b w:val="0"/>
          <w:bCs/>
          <w:kern w:val="0"/>
          <w:sz w:val="32"/>
          <w:szCs w:val="32"/>
          <w:lang w:val="en-US" w:eastAsia="zh-CN"/>
        </w:rPr>
        <w:t>“</w:t>
      </w:r>
      <w:r>
        <w:rPr>
          <w:rFonts w:hint="default" w:ascii="Times New Roman" w:hAnsi="Times New Roman" w:eastAsia="方正仿宋_GBK" w:cs="Times New Roman"/>
          <w:b w:val="0"/>
          <w:bCs/>
          <w:kern w:val="0"/>
          <w:sz w:val="32"/>
          <w:szCs w:val="32"/>
          <w:lang w:val="en-US" w:eastAsia="zh-CN"/>
        </w:rPr>
        <w:t>三公</w:t>
      </w:r>
      <w:r>
        <w:rPr>
          <w:rFonts w:hint="eastAsia" w:ascii="Times New Roman" w:hAnsi="Times New Roman" w:eastAsia="方正仿宋_GBK" w:cs="Times New Roman"/>
          <w:b w:val="0"/>
          <w:bCs/>
          <w:kern w:val="0"/>
          <w:sz w:val="32"/>
          <w:szCs w:val="32"/>
          <w:lang w:val="en-US" w:eastAsia="zh-CN"/>
        </w:rPr>
        <w:t>”</w:t>
      </w:r>
      <w:r>
        <w:rPr>
          <w:rFonts w:hint="default" w:ascii="Times New Roman" w:hAnsi="Times New Roman" w:eastAsia="方正仿宋_GBK" w:cs="Times New Roman"/>
          <w:b w:val="0"/>
          <w:bCs/>
          <w:kern w:val="0"/>
          <w:sz w:val="32"/>
          <w:szCs w:val="32"/>
          <w:lang w:val="en-US" w:eastAsia="zh-CN"/>
        </w:rPr>
        <w:t>经费支出</w:t>
      </w:r>
      <w:r>
        <w:rPr>
          <w:rFonts w:hint="default" w:ascii="Times New Roman" w:hAnsi="Times New Roman" w:eastAsia="方正仿宋_GBK" w:cs="Times New Roman"/>
          <w:b w:val="0"/>
          <w:bCs/>
          <w:kern w:val="0"/>
          <w:sz w:val="32"/>
          <w:szCs w:val="32"/>
        </w:rPr>
        <w:t>。</w:t>
      </w:r>
    </w:p>
    <w:p w14:paraId="3814ADE7">
      <w:pPr>
        <w:keepNext w:val="0"/>
        <w:keepLines w:val="0"/>
        <w:pageBreakBefore w:val="0"/>
        <w:widowControl w:val="0"/>
        <w:kinsoku/>
        <w:wordWrap/>
        <w:overflowPunct/>
        <w:topLinePunct w:val="0"/>
        <w:autoSpaceDN/>
        <w:bidi w:val="0"/>
        <w:adjustRightInd w:val="0"/>
        <w:snapToGrid w:val="0"/>
        <w:spacing w:line="600" w:lineRule="exact"/>
        <w:ind w:firstLine="640" w:firstLineChars="200"/>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（二）</w:t>
      </w:r>
      <w:r>
        <w:rPr>
          <w:rFonts w:hint="eastAsia" w:ascii="Times New Roman" w:hAnsi="Times New Roman" w:eastAsia="方正楷体_GBK" w:cs="Times New Roman"/>
          <w:b w:val="0"/>
          <w:bCs/>
          <w:kern w:val="0"/>
          <w:sz w:val="32"/>
          <w:szCs w:val="32"/>
          <w:lang w:eastAsia="zh-CN"/>
        </w:rPr>
        <w:t>“</w:t>
      </w:r>
      <w:r>
        <w:rPr>
          <w:rFonts w:hint="default" w:ascii="Times New Roman" w:hAnsi="Times New Roman" w:eastAsia="方正楷体_GBK" w:cs="Times New Roman"/>
          <w:b w:val="0"/>
          <w:bCs/>
          <w:kern w:val="0"/>
          <w:sz w:val="32"/>
          <w:szCs w:val="32"/>
        </w:rPr>
        <w:t>三公</w:t>
      </w:r>
      <w:r>
        <w:rPr>
          <w:rFonts w:hint="eastAsia" w:ascii="Times New Roman" w:hAnsi="Times New Roman" w:eastAsia="方正楷体_GBK" w:cs="Times New Roman"/>
          <w:b w:val="0"/>
          <w:bCs/>
          <w:kern w:val="0"/>
          <w:sz w:val="32"/>
          <w:szCs w:val="32"/>
          <w:lang w:eastAsia="zh-CN"/>
        </w:rPr>
        <w:t>”</w:t>
      </w:r>
      <w:r>
        <w:rPr>
          <w:rFonts w:hint="default" w:ascii="Times New Roman" w:hAnsi="Times New Roman" w:eastAsia="方正楷体_GBK" w:cs="Times New Roman"/>
          <w:b w:val="0"/>
          <w:bCs/>
          <w:kern w:val="0"/>
          <w:sz w:val="32"/>
          <w:szCs w:val="32"/>
        </w:rPr>
        <w:t>经费分项支出情况</w:t>
      </w:r>
    </w:p>
    <w:p w14:paraId="575B7D24">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万元。费用支出较年初预算数无增减，主要原因是2024年度未发生因公出国（境）费用。较上年支出数无增减，主要原因是2024年度未发生因公出国（境）费用。</w:t>
      </w:r>
    </w:p>
    <w:p w14:paraId="4394FDCF">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万元。费用支出较年初预算数无增减，主要原因是本单位2024年度未发生公务车购置费。较上年支出数无增减，主要原因是本单位2024年度未发生公务车购置费。</w:t>
      </w:r>
    </w:p>
    <w:p w14:paraId="3072139F">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万元。费用支出较年初预算数无增减，主要原因是本单位2024年度未发生公务车运行维护费。较上年支出数无增减，主要原因是本单位2024年度未发生公务车运行维护费。</w:t>
      </w:r>
    </w:p>
    <w:p w14:paraId="4DEB86A5">
      <w:pPr>
        <w:keepNext w:val="0"/>
        <w:keepLines w:val="0"/>
        <w:pageBreakBefore w:val="0"/>
        <w:widowControl w:val="0"/>
        <w:kinsoku/>
        <w:wordWrap/>
        <w:overflowPunct/>
        <w:topLinePunct w:val="0"/>
        <w:autoSpaceDN/>
        <w:bidi w:val="0"/>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万元。费用支出较年初预算数无增减，主要原因是本单位2024年度未发生公务接待费。较上年支出数无增减，主要原因是本单位2024年度未发生公务接待费。</w:t>
      </w:r>
    </w:p>
    <w:p w14:paraId="4B3BEF29">
      <w:pPr>
        <w:keepNext w:val="0"/>
        <w:keepLines w:val="0"/>
        <w:pageBreakBefore w:val="0"/>
        <w:widowControl w:val="0"/>
        <w:kinsoku/>
        <w:wordWrap/>
        <w:overflowPunct/>
        <w:topLinePunct w:val="0"/>
        <w:autoSpaceDN/>
        <w:bidi w:val="0"/>
        <w:adjustRightInd w:val="0"/>
        <w:snapToGrid w:val="0"/>
        <w:spacing w:line="600" w:lineRule="exact"/>
        <w:ind w:firstLine="640" w:firstLineChars="200"/>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（三）</w:t>
      </w:r>
      <w:r>
        <w:rPr>
          <w:rFonts w:hint="eastAsia" w:ascii="Times New Roman" w:hAnsi="Times New Roman" w:eastAsia="方正楷体_GBK" w:cs="Times New Roman"/>
          <w:b w:val="0"/>
          <w:bCs/>
          <w:kern w:val="0"/>
          <w:sz w:val="32"/>
          <w:szCs w:val="32"/>
          <w:lang w:eastAsia="zh-CN"/>
        </w:rPr>
        <w:t>“</w:t>
      </w:r>
      <w:r>
        <w:rPr>
          <w:rFonts w:hint="default" w:ascii="Times New Roman" w:hAnsi="Times New Roman" w:eastAsia="方正楷体_GBK" w:cs="Times New Roman"/>
          <w:b w:val="0"/>
          <w:bCs/>
          <w:kern w:val="0"/>
          <w:sz w:val="32"/>
          <w:szCs w:val="32"/>
        </w:rPr>
        <w:t>三公</w:t>
      </w:r>
      <w:r>
        <w:rPr>
          <w:rFonts w:hint="eastAsia" w:ascii="Times New Roman" w:hAnsi="Times New Roman" w:eastAsia="方正楷体_GBK" w:cs="Times New Roman"/>
          <w:b w:val="0"/>
          <w:bCs/>
          <w:kern w:val="0"/>
          <w:sz w:val="32"/>
          <w:szCs w:val="32"/>
          <w:lang w:eastAsia="zh-CN"/>
        </w:rPr>
        <w:t>”</w:t>
      </w:r>
      <w:r>
        <w:rPr>
          <w:rFonts w:hint="default" w:ascii="Times New Roman" w:hAnsi="Times New Roman" w:eastAsia="方正楷体_GBK" w:cs="Times New Roman"/>
          <w:b w:val="0"/>
          <w:bCs/>
          <w:kern w:val="0"/>
          <w:sz w:val="32"/>
          <w:szCs w:val="32"/>
        </w:rPr>
        <w:t>经费实物量情况</w:t>
      </w:r>
    </w:p>
    <w:p w14:paraId="63FD7F58">
      <w:pPr>
        <w:keepNext w:val="0"/>
        <w:keepLines w:val="0"/>
        <w:pageBreakBefore w:val="0"/>
        <w:widowControl w:val="0"/>
        <w:kinsoku/>
        <w:wordWrap/>
        <w:overflowPunct/>
        <w:topLinePunct w:val="0"/>
        <w:autoSpaceDN/>
        <w:bidi w:val="0"/>
        <w:spacing w:line="600" w:lineRule="exact"/>
        <w:ind w:firstLine="640" w:firstLineChars="200"/>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2024年度本</w:t>
      </w:r>
      <w:r>
        <w:rPr>
          <w:rFonts w:hint="default" w:ascii="Times New Roman" w:hAnsi="Times New Roman" w:eastAsia="方正仿宋_GBK" w:cs="Times New Roman"/>
          <w:b w:val="0"/>
          <w:bCs/>
          <w:kern w:val="0"/>
          <w:sz w:val="32"/>
          <w:szCs w:val="32"/>
          <w:lang w:val="en-US" w:eastAsia="zh-CN"/>
        </w:rPr>
        <w:t>单位</w:t>
      </w:r>
      <w:r>
        <w:rPr>
          <w:rFonts w:hint="default" w:ascii="Times New Roman" w:hAnsi="Times New Roman" w:eastAsia="方正仿宋_GBK" w:cs="Times New Roman"/>
          <w:b w:val="0"/>
          <w:bCs/>
          <w:kern w:val="0"/>
          <w:sz w:val="32"/>
          <w:szCs w:val="32"/>
        </w:rPr>
        <w:t>因公出国（境）共计</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个团组，</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人；公务用车购置</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辆，公务车保有量为</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辆；国内公务接待</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批次</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人，其中：国内外事接待</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批次，</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人；国（境）外公务接待</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批次，</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人。2024年本部门人均接待费</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元，车均购置费</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万元，车均维护费</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万元。</w:t>
      </w:r>
    </w:p>
    <w:p w14:paraId="60C93B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kern w:val="0"/>
          <w:sz w:val="32"/>
          <w:szCs w:val="32"/>
        </w:rPr>
      </w:pPr>
      <w:r>
        <w:rPr>
          <w:rFonts w:hint="default" w:ascii="Times New Roman" w:hAnsi="Times New Roman" w:eastAsia="方正黑体_GBK" w:cs="Times New Roman"/>
          <w:b w:val="0"/>
          <w:bCs/>
          <w:kern w:val="0"/>
          <w:sz w:val="32"/>
          <w:szCs w:val="32"/>
        </w:rPr>
        <w:t>四、其他需要说明的事项</w:t>
      </w:r>
    </w:p>
    <w:p w14:paraId="713ACA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（一）一般公共预算财政拨款会议费和培训费情况说明</w:t>
      </w:r>
    </w:p>
    <w:p w14:paraId="5C43A4D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万元，与2023年度相比，无增减，主要原因是本单位2024年未发生会议费支出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新建幼儿园，无上年决算数</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。本年度培训费支出0.00 万元，较上年决算数无变化，主要原因是本单位 202</w:t>
      </w:r>
      <w:r>
        <w:rPr>
          <w:rFonts w:hint="default" w:ascii="Times New Roman" w:hAnsi="Times New Roman" w:eastAsia="方正仿宋_GBK" w:cs="Times New Roman"/>
          <w:b w:val="0"/>
          <w:bCs/>
          <w:color w:val="000000" w:themeColor="text1"/>
          <w:kern w:val="0"/>
          <w:sz w:val="32"/>
          <w:szCs w:val="32"/>
          <w:lang w:val="en-US" w:eastAsia="zh-CN"/>
          <w14:textFill>
            <w14:solidFill>
              <w14:schemeClr w14:val="tx1"/>
            </w14:solidFill>
          </w14:textFill>
        </w:rPr>
        <w:t>4</w:t>
      </w:r>
      <w:r>
        <w:rPr>
          <w:rFonts w:hint="default" w:ascii="Times New Roman" w:hAnsi="Times New Roman" w:eastAsia="方正仿宋_GBK" w:cs="Times New Roman"/>
          <w:b w:val="0"/>
          <w:bCs/>
          <w:color w:val="000000" w:themeColor="text1"/>
          <w:kern w:val="0"/>
          <w:sz w:val="32"/>
          <w:szCs w:val="32"/>
          <w14:textFill>
            <w14:solidFill>
              <w14:schemeClr w14:val="tx1"/>
            </w14:solidFill>
          </w14:textFill>
        </w:rPr>
        <w:t>年度未发生培训费用支出。</w:t>
      </w:r>
    </w:p>
    <w:p w14:paraId="15F0973F">
      <w:pPr>
        <w:keepNext w:val="0"/>
        <w:keepLines w:val="0"/>
        <w:pageBreakBefore w:val="0"/>
        <w:widowControl w:val="0"/>
        <w:kinsoku/>
        <w:wordWrap/>
        <w:overflowPunct/>
        <w:topLinePunct w:val="0"/>
        <w:autoSpaceDN/>
        <w:bidi w:val="0"/>
        <w:adjustRightInd w:val="0"/>
        <w:snapToGrid w:val="0"/>
        <w:spacing w:line="600" w:lineRule="exact"/>
        <w:ind w:firstLine="640" w:firstLineChars="200"/>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（二）机关运行经费情况说明</w:t>
      </w:r>
    </w:p>
    <w:p w14:paraId="748827D2">
      <w:pPr>
        <w:keepNext w:val="0"/>
        <w:keepLines w:val="0"/>
        <w:pageBreakBefore w:val="0"/>
        <w:widowControl w:val="0"/>
        <w:kinsoku/>
        <w:wordWrap/>
        <w:overflowPunct/>
        <w:topLinePunct w:val="0"/>
        <w:autoSpaceDN/>
        <w:bidi w:val="0"/>
        <w:spacing w:line="600" w:lineRule="exact"/>
        <w:ind w:firstLine="640" w:firstLineChars="200"/>
        <w:rPr>
          <w:rFonts w:hint="default" w:ascii="Times New Roman" w:hAnsi="Times New Roman" w:eastAsia="方正仿宋_GBK" w:cs="Times New Roman"/>
          <w:b w:val="0"/>
          <w:bCs/>
          <w:kern w:val="0"/>
          <w:sz w:val="32"/>
          <w:szCs w:val="32"/>
          <w:lang w:val="en-US" w:eastAsia="zh-CN"/>
        </w:rPr>
      </w:pPr>
      <w:r>
        <w:rPr>
          <w:rFonts w:hint="default" w:ascii="Times New Roman" w:hAnsi="Times New Roman" w:eastAsia="方正仿宋_GBK" w:cs="Times New Roman"/>
          <w:b w:val="0"/>
          <w:bCs/>
          <w:kern w:val="0"/>
          <w:sz w:val="32"/>
          <w:szCs w:val="32"/>
          <w:lang w:eastAsia="zh-CN"/>
        </w:rPr>
        <w:t>按照部门决算填报口径，我</w:t>
      </w:r>
      <w:r>
        <w:rPr>
          <w:rFonts w:hint="default" w:ascii="Times New Roman" w:hAnsi="Times New Roman" w:eastAsia="方正仿宋_GBK" w:cs="Times New Roman"/>
          <w:b w:val="0"/>
          <w:bCs/>
          <w:kern w:val="0"/>
          <w:sz w:val="32"/>
          <w:szCs w:val="32"/>
        </w:rPr>
        <w:t>单位不在机关运行经费统计范围之内</w:t>
      </w:r>
      <w:r>
        <w:rPr>
          <w:rFonts w:hint="default" w:ascii="Times New Roman" w:hAnsi="Times New Roman" w:eastAsia="方正仿宋_GBK" w:cs="Times New Roman"/>
          <w:b w:val="0"/>
          <w:bCs/>
          <w:kern w:val="0"/>
          <w:sz w:val="32"/>
          <w:szCs w:val="32"/>
          <w:lang w:eastAsia="zh-CN"/>
        </w:rPr>
        <w:t>。</w:t>
      </w:r>
    </w:p>
    <w:p w14:paraId="5D19ECBA">
      <w:pPr>
        <w:keepNext w:val="0"/>
        <w:keepLines w:val="0"/>
        <w:pageBreakBefore w:val="0"/>
        <w:widowControl w:val="0"/>
        <w:kinsoku/>
        <w:wordWrap/>
        <w:overflowPunct/>
        <w:topLinePunct w:val="0"/>
        <w:autoSpaceDN/>
        <w:bidi w:val="0"/>
        <w:adjustRightInd w:val="0"/>
        <w:snapToGrid w:val="0"/>
        <w:spacing w:line="600" w:lineRule="exact"/>
        <w:ind w:firstLine="640" w:firstLineChars="200"/>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（三）国有资产占用情况说明</w:t>
      </w:r>
    </w:p>
    <w:p w14:paraId="2B972664">
      <w:pPr>
        <w:keepNext w:val="0"/>
        <w:keepLines w:val="0"/>
        <w:pageBreakBefore w:val="0"/>
        <w:widowControl w:val="0"/>
        <w:kinsoku/>
        <w:wordWrap/>
        <w:overflowPunct/>
        <w:topLinePunct w:val="0"/>
        <w:autoSpaceDN/>
        <w:bidi w:val="0"/>
        <w:spacing w:line="600" w:lineRule="exact"/>
        <w:ind w:firstLine="640" w:firstLineChars="200"/>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截至2024年12月31日，本</w:t>
      </w:r>
      <w:r>
        <w:rPr>
          <w:rFonts w:hint="default" w:ascii="Times New Roman" w:hAnsi="Times New Roman" w:eastAsia="方正仿宋_GBK" w:cs="Times New Roman"/>
          <w:b w:val="0"/>
          <w:bCs/>
          <w:kern w:val="0"/>
          <w:sz w:val="32"/>
          <w:szCs w:val="32"/>
          <w:lang w:val="en-US" w:eastAsia="zh-CN"/>
        </w:rPr>
        <w:t>单位</w:t>
      </w:r>
      <w:r>
        <w:rPr>
          <w:rFonts w:hint="default" w:ascii="Times New Roman" w:hAnsi="Times New Roman" w:eastAsia="方正仿宋_GBK" w:cs="Times New Roman"/>
          <w:b w:val="0"/>
          <w:bCs/>
          <w:kern w:val="0"/>
          <w:sz w:val="32"/>
          <w:szCs w:val="32"/>
        </w:rPr>
        <w:t>共有车辆</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辆，其中，副部（省）级及以上领导用车</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辆、主要领导干部用车</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辆、机要通信用车</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辆、应急保障用车</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辆、执法执勤用车</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辆，特种专业技术用车</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辆，离退休干部用车</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辆，其他用车</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辆。单价50万元（含）以上通用设备</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台（套），单价100万元（含）以上专用设备</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rPr>
        <w:t>台（套）。</w:t>
      </w:r>
    </w:p>
    <w:p w14:paraId="6E927EE8">
      <w:pPr>
        <w:keepNext w:val="0"/>
        <w:keepLines w:val="0"/>
        <w:pageBreakBefore w:val="0"/>
        <w:widowControl w:val="0"/>
        <w:kinsoku/>
        <w:wordWrap/>
        <w:overflowPunct/>
        <w:topLinePunct w:val="0"/>
        <w:autoSpaceDN/>
        <w:bidi w:val="0"/>
        <w:adjustRightInd w:val="0"/>
        <w:snapToGrid w:val="0"/>
        <w:spacing w:line="600" w:lineRule="exact"/>
        <w:ind w:firstLine="640" w:firstLineChars="200"/>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（四）政府采购支出情况说明</w:t>
      </w:r>
    </w:p>
    <w:p w14:paraId="6ABEBDB5">
      <w:pPr>
        <w:keepNext w:val="0"/>
        <w:keepLines w:val="0"/>
        <w:pageBreakBefore w:val="0"/>
        <w:widowControl w:val="0"/>
        <w:kinsoku/>
        <w:wordWrap/>
        <w:overflowPunct/>
        <w:topLinePunct w:val="0"/>
        <w:autoSpaceDN/>
        <w:bidi w:val="0"/>
        <w:spacing w:line="600" w:lineRule="exact"/>
        <w:ind w:firstLine="640" w:firstLineChars="200"/>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2024年度我单位未发生政府采购事项，无相关经费支出。</w:t>
      </w:r>
    </w:p>
    <w:p w14:paraId="6D2A8A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kern w:val="0"/>
          <w:sz w:val="32"/>
          <w:szCs w:val="32"/>
        </w:rPr>
      </w:pPr>
      <w:r>
        <w:rPr>
          <w:rFonts w:hint="default" w:ascii="Times New Roman" w:hAnsi="Times New Roman" w:eastAsia="方正黑体_GBK" w:cs="Times New Roman"/>
          <w:b w:val="0"/>
          <w:bCs/>
          <w:kern w:val="0"/>
          <w:sz w:val="32"/>
          <w:szCs w:val="32"/>
        </w:rPr>
        <w:t>五、预算绩效管理情况说明</w:t>
      </w:r>
    </w:p>
    <w:p w14:paraId="10C2AD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（一）预算绩效管理工作开展情况</w:t>
      </w:r>
    </w:p>
    <w:p w14:paraId="39611A3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sz w:val="32"/>
          <w:szCs w:val="32"/>
          <w:shd w:val="clear" w:color="auto" w:fill="FFFFFF"/>
        </w:rPr>
        <w:t>根据预算绩效管理要求，我单位对</w:t>
      </w:r>
      <w:r>
        <w:rPr>
          <w:rFonts w:hint="default" w:ascii="Times New Roman" w:hAnsi="Times New Roman" w:eastAsia="方正仿宋_GBK" w:cs="Times New Roman"/>
          <w:b w:val="0"/>
          <w:bCs/>
          <w:sz w:val="32"/>
          <w:szCs w:val="32"/>
          <w:shd w:val="clear" w:color="auto" w:fill="FFFFFF"/>
          <w:lang w:val="en-US" w:eastAsia="zh-CN"/>
        </w:rPr>
        <w:t>1</w:t>
      </w:r>
      <w:r>
        <w:rPr>
          <w:rFonts w:hint="default" w:ascii="Times New Roman" w:hAnsi="Times New Roman" w:eastAsia="方正仿宋_GBK" w:cs="Times New Roman"/>
          <w:b w:val="0"/>
          <w:bCs/>
          <w:sz w:val="32"/>
          <w:szCs w:val="32"/>
          <w:shd w:val="clear" w:color="auto" w:fill="FFFFFF"/>
        </w:rPr>
        <w:t>个二级项目开展了绩效自评，涉及</w:t>
      </w:r>
      <w:r>
        <w:rPr>
          <w:rFonts w:hint="default" w:ascii="Times New Roman" w:hAnsi="Times New Roman" w:eastAsia="方正仿宋_GBK" w:cs="Times New Roman"/>
          <w:b w:val="0"/>
          <w:bCs/>
          <w:color w:val="auto"/>
          <w:sz w:val="32"/>
          <w:szCs w:val="32"/>
          <w:shd w:val="clear" w:color="auto" w:fill="FFFFFF"/>
        </w:rPr>
        <w:t>财政拨款项目支出</w:t>
      </w:r>
      <w:r>
        <w:rPr>
          <w:rFonts w:hint="default" w:ascii="Times New Roman" w:hAnsi="Times New Roman" w:eastAsia="方正仿宋_GBK" w:cs="Times New Roman"/>
          <w:b w:val="0"/>
          <w:bCs/>
          <w:color w:val="auto"/>
          <w:sz w:val="32"/>
          <w:szCs w:val="32"/>
          <w:shd w:val="clear" w:color="auto" w:fill="FFFFFF"/>
          <w:lang w:val="en-US" w:eastAsia="zh-CN"/>
        </w:rPr>
        <w:t>0.9</w:t>
      </w:r>
      <w:r>
        <w:rPr>
          <w:rFonts w:hint="default" w:ascii="Times New Roman" w:hAnsi="Times New Roman" w:eastAsia="方正仿宋_GBK" w:cs="Times New Roman"/>
          <w:b w:val="0"/>
          <w:bCs/>
          <w:color w:val="auto"/>
          <w:sz w:val="32"/>
          <w:szCs w:val="32"/>
          <w:shd w:val="clear" w:color="auto" w:fill="FFFFFF"/>
        </w:rPr>
        <w:t>万元。</w:t>
      </w:r>
    </w:p>
    <w:p w14:paraId="17EA2F6C">
      <w:pPr>
        <w:keepNext w:val="0"/>
        <w:keepLines w:val="0"/>
        <w:pageBreakBefore w:val="0"/>
        <w:widowControl w:val="0"/>
        <w:tabs>
          <w:tab w:val="center" w:pos="4153"/>
          <w:tab w:val="left" w:pos="7275"/>
        </w:tabs>
        <w:kinsoku/>
        <w:wordWrap/>
        <w:overflowPunct/>
        <w:topLinePunct w:val="0"/>
        <w:autoSpaceDE/>
        <w:autoSpaceDN/>
        <w:bidi w:val="0"/>
        <w:spacing w:beforeAutospacing="0" w:afterAutospacing="0" w:line="600" w:lineRule="exact"/>
        <w:ind w:firstLine="560" w:firstLineChars="200"/>
        <w:jc w:val="center"/>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lang w:val="en-US" w:eastAsia="zh-CN"/>
        </w:rPr>
        <w:t>彩云湖幼儿园</w:t>
      </w:r>
      <w:r>
        <w:rPr>
          <w:rFonts w:hint="default" w:ascii="Times New Roman" w:hAnsi="Times New Roman" w:eastAsia="方正黑体_GBK" w:cs="Times New Roman"/>
          <w:b w:val="0"/>
          <w:bCs/>
          <w:sz w:val="28"/>
          <w:szCs w:val="28"/>
          <w:shd w:val="clear" w:color="auto" w:fill="FFFFFF"/>
        </w:rPr>
        <w:t>2024</w:t>
      </w:r>
      <w:r>
        <w:rPr>
          <w:rFonts w:hint="default" w:ascii="Times New Roman" w:hAnsi="Times New Roman" w:eastAsia="方正黑体_GBK" w:cs="Times New Roman"/>
          <w:color w:val="000000"/>
          <w:sz w:val="28"/>
          <w:szCs w:val="28"/>
        </w:rPr>
        <w:t>年度项目支出绩效自评表</w:t>
      </w:r>
    </w:p>
    <w:tbl>
      <w:tblPr>
        <w:tblStyle w:val="9"/>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742"/>
        <w:gridCol w:w="1140"/>
        <w:gridCol w:w="705"/>
        <w:gridCol w:w="780"/>
        <w:gridCol w:w="675"/>
        <w:gridCol w:w="705"/>
        <w:gridCol w:w="915"/>
        <w:gridCol w:w="795"/>
        <w:gridCol w:w="753"/>
        <w:gridCol w:w="850"/>
      </w:tblGrid>
      <w:tr w14:paraId="264E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blHeader/>
          <w:jc w:val="center"/>
        </w:trPr>
        <w:tc>
          <w:tcPr>
            <w:tcW w:w="394" w:type="dxa"/>
            <w:tcBorders>
              <w:top w:val="single" w:color="auto" w:sz="4" w:space="0"/>
            </w:tcBorders>
            <w:noWrap/>
            <w:vAlign w:val="center"/>
          </w:tcPr>
          <w:p w14:paraId="23106AE8">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lang w:val="en-US" w:eastAsia="zh-CN"/>
              </w:rPr>
              <w:t>序号</w:t>
            </w:r>
          </w:p>
        </w:tc>
        <w:tc>
          <w:tcPr>
            <w:tcW w:w="742" w:type="dxa"/>
            <w:tcBorders>
              <w:top w:val="single" w:color="auto" w:sz="4" w:space="0"/>
            </w:tcBorders>
            <w:noWrap/>
            <w:vAlign w:val="center"/>
          </w:tcPr>
          <w:p w14:paraId="699831C2">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项目名称</w:t>
            </w:r>
          </w:p>
        </w:tc>
        <w:tc>
          <w:tcPr>
            <w:tcW w:w="1140" w:type="dxa"/>
            <w:tcBorders>
              <w:top w:val="single" w:color="auto" w:sz="4" w:space="0"/>
            </w:tcBorders>
            <w:noWrap/>
            <w:vAlign w:val="center"/>
          </w:tcPr>
          <w:p w14:paraId="1F9E13E8">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指标名称</w:t>
            </w:r>
          </w:p>
        </w:tc>
        <w:tc>
          <w:tcPr>
            <w:tcW w:w="705" w:type="dxa"/>
            <w:tcBorders>
              <w:top w:val="single" w:color="auto" w:sz="4" w:space="0"/>
            </w:tcBorders>
            <w:noWrap/>
            <w:vAlign w:val="center"/>
          </w:tcPr>
          <w:p w14:paraId="7033655A">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指标性质</w:t>
            </w:r>
          </w:p>
        </w:tc>
        <w:tc>
          <w:tcPr>
            <w:tcW w:w="780" w:type="dxa"/>
            <w:tcBorders>
              <w:top w:val="single" w:color="auto" w:sz="4" w:space="0"/>
            </w:tcBorders>
            <w:noWrap/>
            <w:vAlign w:val="center"/>
          </w:tcPr>
          <w:p w14:paraId="2EFCF311">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指标值</w:t>
            </w:r>
          </w:p>
        </w:tc>
        <w:tc>
          <w:tcPr>
            <w:tcW w:w="675" w:type="dxa"/>
            <w:tcBorders>
              <w:top w:val="single" w:color="auto" w:sz="4" w:space="0"/>
            </w:tcBorders>
            <w:noWrap/>
            <w:vAlign w:val="center"/>
          </w:tcPr>
          <w:p w14:paraId="1263CF8F">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计量单位</w:t>
            </w:r>
          </w:p>
        </w:tc>
        <w:tc>
          <w:tcPr>
            <w:tcW w:w="705" w:type="dxa"/>
            <w:tcBorders>
              <w:top w:val="single" w:color="auto" w:sz="4" w:space="0"/>
            </w:tcBorders>
            <w:noWrap/>
            <w:vAlign w:val="center"/>
          </w:tcPr>
          <w:p w14:paraId="40B06853">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指标权重</w:t>
            </w:r>
          </w:p>
        </w:tc>
        <w:tc>
          <w:tcPr>
            <w:tcW w:w="915" w:type="dxa"/>
            <w:tcBorders>
              <w:top w:val="single" w:color="auto" w:sz="4" w:space="0"/>
            </w:tcBorders>
            <w:noWrap/>
            <w:vAlign w:val="center"/>
          </w:tcPr>
          <w:p w14:paraId="1C442764">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全年完成值</w:t>
            </w:r>
          </w:p>
        </w:tc>
        <w:tc>
          <w:tcPr>
            <w:tcW w:w="795" w:type="dxa"/>
            <w:tcBorders>
              <w:top w:val="single" w:color="auto" w:sz="4" w:space="0"/>
            </w:tcBorders>
            <w:noWrap/>
            <w:vAlign w:val="center"/>
          </w:tcPr>
          <w:p w14:paraId="6E118E34">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指标得分</w:t>
            </w:r>
          </w:p>
        </w:tc>
        <w:tc>
          <w:tcPr>
            <w:tcW w:w="753" w:type="dxa"/>
            <w:tcBorders>
              <w:top w:val="single" w:color="auto" w:sz="4" w:space="0"/>
            </w:tcBorders>
            <w:noWrap/>
            <w:vAlign w:val="center"/>
          </w:tcPr>
          <w:p w14:paraId="51685112">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说明</w:t>
            </w:r>
          </w:p>
        </w:tc>
        <w:tc>
          <w:tcPr>
            <w:tcW w:w="850" w:type="dxa"/>
            <w:tcBorders>
              <w:top w:val="single" w:color="auto" w:sz="4" w:space="0"/>
            </w:tcBorders>
            <w:noWrap/>
            <w:vAlign w:val="center"/>
          </w:tcPr>
          <w:p w14:paraId="0332C5AD">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自评得分</w:t>
            </w:r>
          </w:p>
        </w:tc>
      </w:tr>
      <w:tr w14:paraId="28BC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4" w:type="dxa"/>
            <w:vMerge w:val="restart"/>
            <w:noWrap/>
            <w:vAlign w:val="center"/>
          </w:tcPr>
          <w:p w14:paraId="126C7A7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1</w:t>
            </w:r>
            <w:r>
              <w:rPr>
                <w:rFonts w:hint="default" w:ascii="Times New Roman" w:hAnsi="Times New Roman" w:eastAsia="方正仿宋_GBK" w:cs="Times New Roman"/>
                <w:color w:val="000000"/>
                <w:sz w:val="20"/>
                <w:szCs w:val="20"/>
              </w:rPr>
              <w:t>1</w:t>
            </w:r>
          </w:p>
        </w:tc>
        <w:tc>
          <w:tcPr>
            <w:tcW w:w="742" w:type="dxa"/>
            <w:vMerge w:val="restart"/>
            <w:noWrap/>
            <w:vAlign w:val="center"/>
          </w:tcPr>
          <w:p w14:paraId="31E6294D">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2024年学前教育家庭经济困难幼儿资助专项经费</w:t>
            </w:r>
          </w:p>
          <w:p w14:paraId="1F15C4F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eastAsia="方正仿宋_GBK" w:cs="Times New Roman"/>
                <w:color w:val="000000"/>
                <w:sz w:val="20"/>
                <w:szCs w:val="20"/>
              </w:rPr>
            </w:pPr>
          </w:p>
        </w:tc>
        <w:tc>
          <w:tcPr>
            <w:tcW w:w="1140" w:type="dxa"/>
            <w:noWrap/>
            <w:vAlign w:val="center"/>
          </w:tcPr>
          <w:p w14:paraId="22578AC5">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资助学生数量</w:t>
            </w:r>
          </w:p>
        </w:tc>
        <w:tc>
          <w:tcPr>
            <w:tcW w:w="705" w:type="dxa"/>
            <w:noWrap/>
            <w:vAlign w:val="center"/>
          </w:tcPr>
          <w:p w14:paraId="2CBD2855">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780" w:type="dxa"/>
            <w:noWrap/>
            <w:vAlign w:val="center"/>
          </w:tcPr>
          <w:p w14:paraId="39B7624B">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w:t>
            </w:r>
          </w:p>
        </w:tc>
        <w:tc>
          <w:tcPr>
            <w:tcW w:w="675" w:type="dxa"/>
            <w:noWrap/>
            <w:vAlign w:val="center"/>
          </w:tcPr>
          <w:p w14:paraId="3FCCD497">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人次</w:t>
            </w:r>
          </w:p>
        </w:tc>
        <w:tc>
          <w:tcPr>
            <w:tcW w:w="705" w:type="dxa"/>
            <w:noWrap/>
            <w:vAlign w:val="center"/>
          </w:tcPr>
          <w:p w14:paraId="36FA5241">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20</w:t>
            </w:r>
          </w:p>
        </w:tc>
        <w:tc>
          <w:tcPr>
            <w:tcW w:w="915" w:type="dxa"/>
            <w:noWrap/>
            <w:vAlign w:val="center"/>
          </w:tcPr>
          <w:p w14:paraId="56693FFA">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w:t>
            </w:r>
          </w:p>
        </w:tc>
        <w:tc>
          <w:tcPr>
            <w:tcW w:w="795" w:type="dxa"/>
            <w:noWrap/>
            <w:vAlign w:val="center"/>
          </w:tcPr>
          <w:p w14:paraId="0DD71728">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20</w:t>
            </w:r>
          </w:p>
        </w:tc>
        <w:tc>
          <w:tcPr>
            <w:tcW w:w="753" w:type="dxa"/>
            <w:noWrap/>
            <w:vAlign w:val="center"/>
          </w:tcPr>
          <w:p w14:paraId="3FA7447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eastAsia="方正仿宋_GBK" w:cs="Times New Roman"/>
                <w:sz w:val="20"/>
                <w:szCs w:val="20"/>
              </w:rPr>
            </w:pPr>
          </w:p>
        </w:tc>
        <w:tc>
          <w:tcPr>
            <w:tcW w:w="850" w:type="dxa"/>
            <w:vMerge w:val="restart"/>
            <w:noWrap/>
            <w:vAlign w:val="center"/>
          </w:tcPr>
          <w:p w14:paraId="23DD3386">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cs="Times New Roman"/>
                <w:sz w:val="20"/>
                <w:szCs w:val="20"/>
              </w:rPr>
            </w:pPr>
            <w:r>
              <w:rPr>
                <w:rFonts w:hint="default" w:ascii="Times New Roman" w:hAnsi="Times New Roman" w:eastAsia="方正仿宋_GBK" w:cs="Times New Roman"/>
                <w:sz w:val="20"/>
                <w:szCs w:val="20"/>
              </w:rPr>
              <w:t>100</w:t>
            </w:r>
          </w:p>
        </w:tc>
      </w:tr>
      <w:tr w14:paraId="1378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4" w:type="dxa"/>
            <w:vMerge w:val="continue"/>
            <w:noWrap/>
            <w:vAlign w:val="center"/>
          </w:tcPr>
          <w:p w14:paraId="3B1410A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textAlignment w:val="center"/>
              <w:rPr>
                <w:rFonts w:hint="default" w:ascii="Times New Roman" w:hAnsi="Times New Roman" w:eastAsia="方正仿宋_GBK" w:cs="Times New Roman"/>
                <w:color w:val="000000"/>
                <w:sz w:val="20"/>
                <w:szCs w:val="20"/>
              </w:rPr>
            </w:pPr>
          </w:p>
        </w:tc>
        <w:tc>
          <w:tcPr>
            <w:tcW w:w="742" w:type="dxa"/>
            <w:vMerge w:val="continue"/>
            <w:noWrap/>
            <w:vAlign w:val="center"/>
          </w:tcPr>
          <w:p w14:paraId="1E67BCC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eastAsia="方正仿宋_GBK" w:cs="Times New Roman"/>
                <w:color w:val="000000"/>
                <w:sz w:val="20"/>
                <w:szCs w:val="20"/>
              </w:rPr>
            </w:pPr>
          </w:p>
        </w:tc>
        <w:tc>
          <w:tcPr>
            <w:tcW w:w="1140" w:type="dxa"/>
            <w:noWrap/>
            <w:vAlign w:val="center"/>
          </w:tcPr>
          <w:p w14:paraId="627A9F50">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资助到位时间</w:t>
            </w:r>
          </w:p>
        </w:tc>
        <w:tc>
          <w:tcPr>
            <w:tcW w:w="705" w:type="dxa"/>
            <w:noWrap/>
            <w:vAlign w:val="center"/>
          </w:tcPr>
          <w:p w14:paraId="0AB86CBC">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780" w:type="dxa"/>
            <w:noWrap/>
            <w:vAlign w:val="center"/>
          </w:tcPr>
          <w:p w14:paraId="7E104CD8">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50</w:t>
            </w:r>
          </w:p>
        </w:tc>
        <w:tc>
          <w:tcPr>
            <w:tcW w:w="675" w:type="dxa"/>
            <w:noWrap/>
            <w:vAlign w:val="center"/>
          </w:tcPr>
          <w:p w14:paraId="067BBC01">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天</w:t>
            </w:r>
          </w:p>
        </w:tc>
        <w:tc>
          <w:tcPr>
            <w:tcW w:w="705" w:type="dxa"/>
            <w:noWrap/>
            <w:vAlign w:val="center"/>
          </w:tcPr>
          <w:p w14:paraId="0CD778A2">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915" w:type="dxa"/>
            <w:noWrap/>
            <w:vAlign w:val="center"/>
          </w:tcPr>
          <w:p w14:paraId="0A83D71E">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50</w:t>
            </w:r>
          </w:p>
        </w:tc>
        <w:tc>
          <w:tcPr>
            <w:tcW w:w="795" w:type="dxa"/>
            <w:noWrap/>
            <w:vAlign w:val="center"/>
          </w:tcPr>
          <w:p w14:paraId="62909AE5">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753" w:type="dxa"/>
            <w:noWrap/>
            <w:vAlign w:val="center"/>
          </w:tcPr>
          <w:p w14:paraId="4A7F7B7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eastAsia="方正仿宋_GBK" w:cs="Times New Roman"/>
                <w:sz w:val="20"/>
                <w:szCs w:val="20"/>
              </w:rPr>
            </w:pPr>
          </w:p>
        </w:tc>
        <w:tc>
          <w:tcPr>
            <w:tcW w:w="850" w:type="dxa"/>
            <w:vMerge w:val="continue"/>
            <w:noWrap/>
            <w:vAlign w:val="center"/>
          </w:tcPr>
          <w:p w14:paraId="093883A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cs="Times New Roman"/>
                <w:color w:val="000000"/>
                <w:sz w:val="20"/>
                <w:szCs w:val="20"/>
              </w:rPr>
            </w:pPr>
          </w:p>
        </w:tc>
      </w:tr>
      <w:tr w14:paraId="3AB2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4" w:type="dxa"/>
            <w:vMerge w:val="continue"/>
            <w:noWrap/>
            <w:vAlign w:val="center"/>
          </w:tcPr>
          <w:p w14:paraId="1CF4D2B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textAlignment w:val="center"/>
              <w:rPr>
                <w:rFonts w:hint="default" w:ascii="Times New Roman" w:hAnsi="Times New Roman" w:eastAsia="方正仿宋_GBK" w:cs="Times New Roman"/>
                <w:color w:val="000000"/>
                <w:sz w:val="20"/>
                <w:szCs w:val="20"/>
              </w:rPr>
            </w:pPr>
          </w:p>
        </w:tc>
        <w:tc>
          <w:tcPr>
            <w:tcW w:w="742" w:type="dxa"/>
            <w:vMerge w:val="continue"/>
            <w:noWrap/>
            <w:vAlign w:val="center"/>
          </w:tcPr>
          <w:p w14:paraId="4B843EE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eastAsia="方正仿宋_GBK" w:cs="Times New Roman"/>
                <w:color w:val="000000"/>
                <w:sz w:val="20"/>
                <w:szCs w:val="20"/>
              </w:rPr>
            </w:pPr>
          </w:p>
        </w:tc>
        <w:tc>
          <w:tcPr>
            <w:tcW w:w="1140" w:type="dxa"/>
            <w:noWrap/>
            <w:vAlign w:val="center"/>
          </w:tcPr>
          <w:p w14:paraId="3903B6CB">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资助资金及时到位率</w:t>
            </w:r>
          </w:p>
        </w:tc>
        <w:tc>
          <w:tcPr>
            <w:tcW w:w="705" w:type="dxa"/>
            <w:noWrap/>
            <w:vAlign w:val="center"/>
          </w:tcPr>
          <w:p w14:paraId="5F751407">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780" w:type="dxa"/>
            <w:noWrap/>
            <w:vAlign w:val="center"/>
          </w:tcPr>
          <w:p w14:paraId="2A319035">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100</w:t>
            </w:r>
          </w:p>
        </w:tc>
        <w:tc>
          <w:tcPr>
            <w:tcW w:w="675" w:type="dxa"/>
            <w:noWrap/>
            <w:vAlign w:val="center"/>
          </w:tcPr>
          <w:p w14:paraId="37A1AE06">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705" w:type="dxa"/>
            <w:noWrap/>
            <w:vAlign w:val="center"/>
          </w:tcPr>
          <w:p w14:paraId="7A31E85A">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915" w:type="dxa"/>
            <w:noWrap/>
            <w:vAlign w:val="center"/>
          </w:tcPr>
          <w:p w14:paraId="3A1FB4F2">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100</w:t>
            </w:r>
          </w:p>
        </w:tc>
        <w:tc>
          <w:tcPr>
            <w:tcW w:w="795" w:type="dxa"/>
            <w:noWrap/>
            <w:vAlign w:val="center"/>
          </w:tcPr>
          <w:p w14:paraId="2FA3C535">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753" w:type="dxa"/>
            <w:noWrap/>
            <w:vAlign w:val="center"/>
          </w:tcPr>
          <w:p w14:paraId="6CAC444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eastAsia="方正仿宋_GBK" w:cs="Times New Roman"/>
                <w:sz w:val="20"/>
                <w:szCs w:val="20"/>
              </w:rPr>
            </w:pPr>
          </w:p>
        </w:tc>
        <w:tc>
          <w:tcPr>
            <w:tcW w:w="850" w:type="dxa"/>
            <w:vMerge w:val="continue"/>
            <w:noWrap/>
            <w:vAlign w:val="center"/>
          </w:tcPr>
          <w:p w14:paraId="2C47A17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cs="Times New Roman"/>
                <w:color w:val="000000"/>
                <w:sz w:val="20"/>
                <w:szCs w:val="20"/>
              </w:rPr>
            </w:pPr>
          </w:p>
        </w:tc>
      </w:tr>
      <w:tr w14:paraId="759E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4" w:type="dxa"/>
            <w:vMerge w:val="continue"/>
            <w:noWrap/>
            <w:vAlign w:val="center"/>
          </w:tcPr>
          <w:p w14:paraId="41334E0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textAlignment w:val="center"/>
              <w:rPr>
                <w:rFonts w:hint="default" w:ascii="Times New Roman" w:hAnsi="Times New Roman" w:eastAsia="方正仿宋_GBK" w:cs="Times New Roman"/>
                <w:color w:val="000000"/>
                <w:sz w:val="20"/>
                <w:szCs w:val="20"/>
              </w:rPr>
            </w:pPr>
          </w:p>
        </w:tc>
        <w:tc>
          <w:tcPr>
            <w:tcW w:w="742" w:type="dxa"/>
            <w:vMerge w:val="continue"/>
            <w:noWrap/>
            <w:vAlign w:val="center"/>
          </w:tcPr>
          <w:p w14:paraId="7CF1E07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eastAsia="方正仿宋_GBK" w:cs="Times New Roman"/>
                <w:color w:val="000000"/>
                <w:sz w:val="20"/>
                <w:szCs w:val="20"/>
              </w:rPr>
            </w:pPr>
          </w:p>
        </w:tc>
        <w:tc>
          <w:tcPr>
            <w:tcW w:w="1140" w:type="dxa"/>
            <w:noWrap/>
            <w:vAlign w:val="center"/>
          </w:tcPr>
          <w:p w14:paraId="4E116719">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资助事项公示率</w:t>
            </w:r>
          </w:p>
        </w:tc>
        <w:tc>
          <w:tcPr>
            <w:tcW w:w="705" w:type="dxa"/>
            <w:noWrap/>
            <w:vAlign w:val="center"/>
          </w:tcPr>
          <w:p w14:paraId="07ECB4FF">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780" w:type="dxa"/>
            <w:noWrap/>
            <w:vAlign w:val="center"/>
          </w:tcPr>
          <w:p w14:paraId="0DC30FEC">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100</w:t>
            </w:r>
          </w:p>
        </w:tc>
        <w:tc>
          <w:tcPr>
            <w:tcW w:w="675" w:type="dxa"/>
            <w:noWrap/>
            <w:vAlign w:val="center"/>
          </w:tcPr>
          <w:p w14:paraId="1F96CF46">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705" w:type="dxa"/>
            <w:noWrap/>
            <w:vAlign w:val="center"/>
          </w:tcPr>
          <w:p w14:paraId="44465D38">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915" w:type="dxa"/>
            <w:noWrap/>
            <w:vAlign w:val="center"/>
          </w:tcPr>
          <w:p w14:paraId="0289AA31">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100</w:t>
            </w:r>
          </w:p>
        </w:tc>
        <w:tc>
          <w:tcPr>
            <w:tcW w:w="795" w:type="dxa"/>
            <w:noWrap/>
            <w:vAlign w:val="center"/>
          </w:tcPr>
          <w:p w14:paraId="4FDC8FF5">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753" w:type="dxa"/>
            <w:noWrap/>
            <w:vAlign w:val="center"/>
          </w:tcPr>
          <w:p w14:paraId="6AB6567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eastAsia="方正仿宋_GBK" w:cs="Times New Roman"/>
                <w:sz w:val="20"/>
                <w:szCs w:val="20"/>
              </w:rPr>
            </w:pPr>
          </w:p>
        </w:tc>
        <w:tc>
          <w:tcPr>
            <w:tcW w:w="850" w:type="dxa"/>
            <w:vMerge w:val="continue"/>
            <w:noWrap/>
            <w:vAlign w:val="center"/>
          </w:tcPr>
          <w:p w14:paraId="04ED445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cs="Times New Roman"/>
                <w:color w:val="000000"/>
                <w:sz w:val="20"/>
                <w:szCs w:val="20"/>
              </w:rPr>
            </w:pPr>
          </w:p>
        </w:tc>
      </w:tr>
      <w:tr w14:paraId="166F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4" w:type="dxa"/>
            <w:vMerge w:val="continue"/>
            <w:noWrap/>
            <w:vAlign w:val="center"/>
          </w:tcPr>
          <w:p w14:paraId="6B5288A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textAlignment w:val="center"/>
              <w:rPr>
                <w:rFonts w:hint="default" w:ascii="Times New Roman" w:hAnsi="Times New Roman" w:eastAsia="方正仿宋_GBK" w:cs="Times New Roman"/>
                <w:color w:val="000000"/>
                <w:sz w:val="20"/>
                <w:szCs w:val="20"/>
              </w:rPr>
            </w:pPr>
          </w:p>
        </w:tc>
        <w:tc>
          <w:tcPr>
            <w:tcW w:w="742" w:type="dxa"/>
            <w:vMerge w:val="continue"/>
            <w:noWrap/>
            <w:vAlign w:val="center"/>
          </w:tcPr>
          <w:p w14:paraId="4ED2D6E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eastAsia="方正仿宋_GBK" w:cs="Times New Roman"/>
                <w:color w:val="000000"/>
                <w:sz w:val="20"/>
                <w:szCs w:val="20"/>
              </w:rPr>
            </w:pPr>
          </w:p>
        </w:tc>
        <w:tc>
          <w:tcPr>
            <w:tcW w:w="1140" w:type="dxa"/>
            <w:noWrap/>
            <w:vAlign w:val="center"/>
          </w:tcPr>
          <w:p w14:paraId="516A7FD1">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执行率</w:t>
            </w:r>
          </w:p>
        </w:tc>
        <w:tc>
          <w:tcPr>
            <w:tcW w:w="705" w:type="dxa"/>
            <w:noWrap/>
            <w:vAlign w:val="center"/>
          </w:tcPr>
          <w:p w14:paraId="3F66DAB3">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780" w:type="dxa"/>
            <w:noWrap/>
            <w:vAlign w:val="center"/>
          </w:tcPr>
          <w:p w14:paraId="7696EC04">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lang w:val="en-US" w:eastAsia="zh-CN" w:bidi="ar-SA"/>
              </w:rPr>
            </w:pPr>
            <w:r>
              <w:rPr>
                <w:rFonts w:hint="default" w:ascii="Times New Roman" w:hAnsi="Times New Roman" w:eastAsia="方正仿宋_GBK" w:cs="Times New Roman"/>
                <w:sz w:val="20"/>
                <w:szCs w:val="20"/>
              </w:rPr>
              <w:t>100</w:t>
            </w:r>
          </w:p>
        </w:tc>
        <w:tc>
          <w:tcPr>
            <w:tcW w:w="675" w:type="dxa"/>
            <w:noWrap/>
            <w:vAlign w:val="center"/>
          </w:tcPr>
          <w:p w14:paraId="4539F03F">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lang w:val="en-US" w:eastAsia="zh-CN" w:bidi="ar-SA"/>
              </w:rPr>
            </w:pPr>
            <w:r>
              <w:rPr>
                <w:rFonts w:hint="default" w:ascii="Times New Roman" w:hAnsi="Times New Roman" w:eastAsia="方正仿宋_GBK" w:cs="Times New Roman"/>
                <w:sz w:val="20"/>
                <w:szCs w:val="20"/>
              </w:rPr>
              <w:t>%</w:t>
            </w:r>
          </w:p>
        </w:tc>
        <w:tc>
          <w:tcPr>
            <w:tcW w:w="705" w:type="dxa"/>
            <w:noWrap/>
            <w:vAlign w:val="center"/>
          </w:tcPr>
          <w:p w14:paraId="52F0C871">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915" w:type="dxa"/>
            <w:noWrap/>
            <w:vAlign w:val="center"/>
          </w:tcPr>
          <w:p w14:paraId="2B3B7E78">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795" w:type="dxa"/>
            <w:noWrap/>
            <w:vAlign w:val="center"/>
          </w:tcPr>
          <w:p w14:paraId="5BF54D03">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753" w:type="dxa"/>
            <w:noWrap/>
            <w:vAlign w:val="center"/>
          </w:tcPr>
          <w:p w14:paraId="7D965A0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eastAsia="方正仿宋_GBK" w:cs="Times New Roman"/>
                <w:sz w:val="20"/>
                <w:szCs w:val="20"/>
              </w:rPr>
            </w:pPr>
          </w:p>
        </w:tc>
        <w:tc>
          <w:tcPr>
            <w:tcW w:w="850" w:type="dxa"/>
            <w:vMerge w:val="continue"/>
            <w:noWrap/>
            <w:vAlign w:val="center"/>
          </w:tcPr>
          <w:p w14:paraId="3827600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cs="Times New Roman"/>
                <w:color w:val="000000"/>
                <w:sz w:val="20"/>
                <w:szCs w:val="20"/>
              </w:rPr>
            </w:pPr>
          </w:p>
        </w:tc>
      </w:tr>
      <w:tr w14:paraId="68A1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4" w:type="dxa"/>
            <w:vMerge w:val="continue"/>
            <w:noWrap/>
            <w:vAlign w:val="center"/>
          </w:tcPr>
          <w:p w14:paraId="562FF37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textAlignment w:val="center"/>
              <w:rPr>
                <w:rFonts w:hint="default" w:ascii="Times New Roman" w:hAnsi="Times New Roman" w:eastAsia="方正仿宋_GBK" w:cs="Times New Roman"/>
                <w:color w:val="000000"/>
                <w:sz w:val="20"/>
                <w:szCs w:val="20"/>
              </w:rPr>
            </w:pPr>
          </w:p>
        </w:tc>
        <w:tc>
          <w:tcPr>
            <w:tcW w:w="742" w:type="dxa"/>
            <w:vMerge w:val="continue"/>
            <w:noWrap/>
            <w:vAlign w:val="center"/>
          </w:tcPr>
          <w:p w14:paraId="246F542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eastAsia="方正仿宋_GBK" w:cs="Times New Roman"/>
                <w:color w:val="000000"/>
                <w:sz w:val="20"/>
                <w:szCs w:val="20"/>
              </w:rPr>
            </w:pPr>
          </w:p>
        </w:tc>
        <w:tc>
          <w:tcPr>
            <w:tcW w:w="1140" w:type="dxa"/>
            <w:noWrap/>
            <w:vAlign w:val="center"/>
          </w:tcPr>
          <w:p w14:paraId="3A97EDDA">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促进幼儿健康成长</w:t>
            </w:r>
          </w:p>
        </w:tc>
        <w:tc>
          <w:tcPr>
            <w:tcW w:w="705" w:type="dxa"/>
            <w:noWrap/>
            <w:vAlign w:val="center"/>
          </w:tcPr>
          <w:p w14:paraId="760B4FF5">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定性</w:t>
            </w:r>
          </w:p>
        </w:tc>
        <w:tc>
          <w:tcPr>
            <w:tcW w:w="780" w:type="dxa"/>
            <w:noWrap/>
            <w:vAlign w:val="center"/>
          </w:tcPr>
          <w:p w14:paraId="5A0C0E31">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优良</w:t>
            </w:r>
          </w:p>
        </w:tc>
        <w:tc>
          <w:tcPr>
            <w:tcW w:w="675" w:type="dxa"/>
            <w:noWrap/>
            <w:vAlign w:val="center"/>
          </w:tcPr>
          <w:p w14:paraId="5A98FD3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200" w:firstLineChars="10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705" w:type="dxa"/>
            <w:noWrap/>
            <w:vAlign w:val="center"/>
          </w:tcPr>
          <w:p w14:paraId="6F48B211">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915" w:type="dxa"/>
            <w:noWrap/>
            <w:vAlign w:val="center"/>
          </w:tcPr>
          <w:p w14:paraId="72599735">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优良</w:t>
            </w:r>
          </w:p>
        </w:tc>
        <w:tc>
          <w:tcPr>
            <w:tcW w:w="795" w:type="dxa"/>
            <w:noWrap/>
            <w:vAlign w:val="center"/>
          </w:tcPr>
          <w:p w14:paraId="24EC195C">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753" w:type="dxa"/>
            <w:noWrap/>
            <w:vAlign w:val="center"/>
          </w:tcPr>
          <w:p w14:paraId="22A309D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eastAsia="方正仿宋_GBK" w:cs="Times New Roman"/>
                <w:sz w:val="20"/>
                <w:szCs w:val="20"/>
              </w:rPr>
            </w:pPr>
          </w:p>
        </w:tc>
        <w:tc>
          <w:tcPr>
            <w:tcW w:w="850" w:type="dxa"/>
            <w:vMerge w:val="continue"/>
            <w:noWrap/>
            <w:vAlign w:val="center"/>
          </w:tcPr>
          <w:p w14:paraId="79DEB3E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cs="Times New Roman"/>
                <w:color w:val="000000"/>
                <w:sz w:val="20"/>
                <w:szCs w:val="20"/>
              </w:rPr>
            </w:pPr>
          </w:p>
        </w:tc>
      </w:tr>
      <w:tr w14:paraId="1942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4" w:type="dxa"/>
            <w:vMerge w:val="continue"/>
            <w:noWrap/>
            <w:vAlign w:val="center"/>
          </w:tcPr>
          <w:p w14:paraId="36F610A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textAlignment w:val="center"/>
              <w:rPr>
                <w:rFonts w:hint="default" w:ascii="Times New Roman" w:hAnsi="Times New Roman" w:eastAsia="方正仿宋_GBK" w:cs="Times New Roman"/>
                <w:color w:val="000000"/>
                <w:sz w:val="20"/>
                <w:szCs w:val="20"/>
              </w:rPr>
            </w:pPr>
          </w:p>
        </w:tc>
        <w:tc>
          <w:tcPr>
            <w:tcW w:w="742" w:type="dxa"/>
            <w:vMerge w:val="continue"/>
            <w:noWrap/>
            <w:vAlign w:val="center"/>
          </w:tcPr>
          <w:p w14:paraId="14E1AD9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eastAsia="方正仿宋_GBK" w:cs="Times New Roman"/>
                <w:color w:val="000000"/>
                <w:sz w:val="20"/>
                <w:szCs w:val="20"/>
              </w:rPr>
            </w:pPr>
          </w:p>
        </w:tc>
        <w:tc>
          <w:tcPr>
            <w:tcW w:w="1140" w:type="dxa"/>
            <w:noWrap/>
            <w:vAlign w:val="center"/>
          </w:tcPr>
          <w:p w14:paraId="6523FC88">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幼儿家长满意度</w:t>
            </w:r>
          </w:p>
        </w:tc>
        <w:tc>
          <w:tcPr>
            <w:tcW w:w="705" w:type="dxa"/>
            <w:noWrap/>
            <w:vAlign w:val="center"/>
          </w:tcPr>
          <w:p w14:paraId="53635ECD">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780" w:type="dxa"/>
            <w:noWrap/>
            <w:vAlign w:val="center"/>
          </w:tcPr>
          <w:p w14:paraId="13AFF4E3">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95</w:t>
            </w:r>
          </w:p>
        </w:tc>
        <w:tc>
          <w:tcPr>
            <w:tcW w:w="675" w:type="dxa"/>
            <w:noWrap/>
            <w:vAlign w:val="center"/>
          </w:tcPr>
          <w:p w14:paraId="30FEE61C">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705" w:type="dxa"/>
            <w:noWrap/>
            <w:vAlign w:val="center"/>
          </w:tcPr>
          <w:p w14:paraId="48544A0A">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915" w:type="dxa"/>
            <w:noWrap/>
            <w:vAlign w:val="center"/>
          </w:tcPr>
          <w:p w14:paraId="5BE4C4FA">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795" w:type="dxa"/>
            <w:noWrap/>
            <w:vAlign w:val="center"/>
          </w:tcPr>
          <w:p w14:paraId="4D261275">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753" w:type="dxa"/>
            <w:noWrap/>
            <w:vAlign w:val="center"/>
          </w:tcPr>
          <w:p w14:paraId="2B4190D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eastAsia="方正仿宋_GBK" w:cs="Times New Roman"/>
                <w:sz w:val="20"/>
                <w:szCs w:val="20"/>
              </w:rPr>
            </w:pPr>
          </w:p>
        </w:tc>
        <w:tc>
          <w:tcPr>
            <w:tcW w:w="850" w:type="dxa"/>
            <w:vMerge w:val="continue"/>
            <w:noWrap/>
            <w:vAlign w:val="center"/>
          </w:tcPr>
          <w:p w14:paraId="0695B78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00" w:firstLineChars="200"/>
              <w:jc w:val="center"/>
              <w:rPr>
                <w:rFonts w:hint="default" w:ascii="Times New Roman" w:hAnsi="Times New Roman" w:cs="Times New Roman"/>
                <w:color w:val="000000"/>
                <w:sz w:val="20"/>
                <w:szCs w:val="20"/>
              </w:rPr>
            </w:pPr>
          </w:p>
        </w:tc>
      </w:tr>
    </w:tbl>
    <w:p w14:paraId="2B5C0A2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（二）</w:t>
      </w:r>
      <w:r>
        <w:rPr>
          <w:rFonts w:hint="default" w:ascii="Times New Roman" w:hAnsi="Times New Roman" w:eastAsia="方正楷体_GBK" w:cs="Times New Roman"/>
          <w:b w:val="0"/>
          <w:bCs/>
          <w:kern w:val="0"/>
          <w:sz w:val="32"/>
          <w:szCs w:val="32"/>
          <w:lang w:val="en-US" w:eastAsia="zh-CN"/>
        </w:rPr>
        <w:t>单位</w:t>
      </w:r>
      <w:r>
        <w:rPr>
          <w:rFonts w:hint="default" w:ascii="Times New Roman" w:hAnsi="Times New Roman" w:eastAsia="方正楷体_GBK" w:cs="Times New Roman"/>
          <w:b w:val="0"/>
          <w:bCs/>
          <w:kern w:val="0"/>
          <w:sz w:val="32"/>
          <w:szCs w:val="32"/>
        </w:rPr>
        <w:t>重点绩效评价情况</w:t>
      </w:r>
    </w:p>
    <w:p w14:paraId="64D8F902">
      <w:pPr>
        <w:keepNext w:val="0"/>
        <w:keepLines w:val="0"/>
        <w:pageBreakBefore w:val="0"/>
        <w:widowControl w:val="0"/>
        <w:tabs>
          <w:tab w:val="center" w:pos="4153"/>
          <w:tab w:val="left" w:pos="7275"/>
        </w:tabs>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lang w:eastAsia="zh-CN"/>
        </w:rPr>
      </w:pPr>
      <w:r>
        <w:rPr>
          <w:rFonts w:hint="default" w:ascii="Times New Roman" w:hAnsi="Times New Roman" w:eastAsia="方正仿宋_GBK" w:cs="Times New Roman"/>
          <w:b w:val="0"/>
          <w:bCs/>
          <w:kern w:val="0"/>
          <w:sz w:val="32"/>
          <w:szCs w:val="32"/>
        </w:rPr>
        <w:t>我单位对2024年学前教育家庭经济困难幼儿资助专项经费开展了绩效评价，涉及财政拨款项目资金</w:t>
      </w:r>
      <w:r>
        <w:rPr>
          <w:rFonts w:hint="default" w:ascii="Times New Roman" w:hAnsi="Times New Roman" w:eastAsia="方正仿宋_GBK" w:cs="Times New Roman"/>
          <w:b w:val="0"/>
          <w:bCs/>
          <w:kern w:val="0"/>
          <w:sz w:val="32"/>
          <w:szCs w:val="32"/>
          <w:lang w:eastAsia="zh-CN"/>
        </w:rPr>
        <w:t>0</w:t>
      </w:r>
      <w:r>
        <w:rPr>
          <w:rFonts w:hint="default" w:ascii="Times New Roman" w:hAnsi="Times New Roman" w:eastAsia="方正仿宋_GBK" w:cs="Times New Roman"/>
          <w:b w:val="0"/>
          <w:bCs/>
          <w:kern w:val="0"/>
          <w:sz w:val="32"/>
          <w:szCs w:val="32"/>
          <w:lang w:val="en-US" w:eastAsia="zh-CN"/>
        </w:rPr>
        <w:t>.9</w:t>
      </w:r>
      <w:r>
        <w:rPr>
          <w:rFonts w:hint="default" w:ascii="Times New Roman" w:hAnsi="Times New Roman" w:eastAsia="方正仿宋_GBK" w:cs="Times New Roman"/>
          <w:b w:val="0"/>
          <w:bCs/>
          <w:kern w:val="0"/>
          <w:sz w:val="32"/>
          <w:szCs w:val="32"/>
        </w:rPr>
        <w:t>万元，评价得分</w:t>
      </w:r>
      <w:r>
        <w:rPr>
          <w:rFonts w:hint="default" w:ascii="Times New Roman" w:hAnsi="Times New Roman" w:eastAsia="方正仿宋_GBK" w:cs="Times New Roman"/>
          <w:b w:val="0"/>
          <w:bCs/>
          <w:kern w:val="0"/>
          <w:sz w:val="32"/>
          <w:szCs w:val="32"/>
          <w:lang w:val="en-US" w:eastAsia="zh-CN"/>
        </w:rPr>
        <w:t>100</w:t>
      </w:r>
      <w:r>
        <w:rPr>
          <w:rFonts w:hint="default" w:ascii="Times New Roman" w:hAnsi="Times New Roman" w:eastAsia="方正仿宋_GBK" w:cs="Times New Roman"/>
          <w:b w:val="0"/>
          <w:bCs/>
          <w:kern w:val="0"/>
          <w:sz w:val="32"/>
          <w:szCs w:val="32"/>
        </w:rPr>
        <w:t>分，评价等次为</w:t>
      </w:r>
      <w:r>
        <w:rPr>
          <w:rFonts w:hint="default" w:ascii="Times New Roman" w:hAnsi="Times New Roman" w:eastAsia="方正仿宋_GBK" w:cs="Times New Roman"/>
          <w:b w:val="0"/>
          <w:bCs/>
          <w:kern w:val="0"/>
          <w:sz w:val="32"/>
          <w:szCs w:val="32"/>
          <w:lang w:eastAsia="zh-CN"/>
        </w:rPr>
        <w:t>优，</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bookmarkStart w:id="0" w:name="_GoBack"/>
      <w:bookmarkEnd w:id="0"/>
      <w:r>
        <w:rPr>
          <w:rFonts w:hint="default" w:ascii="Times New Roman" w:hAnsi="Times New Roman" w:eastAsia="方正仿宋_GBK" w:cs="Times New Roman"/>
          <w:b w:val="0"/>
          <w:bCs/>
          <w:kern w:val="0"/>
          <w:sz w:val="32"/>
          <w:szCs w:val="32"/>
          <w:lang w:eastAsia="zh-CN"/>
        </w:rPr>
        <w:t>。</w:t>
      </w:r>
    </w:p>
    <w:p w14:paraId="21520BC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（三）财政绩效评价情况</w:t>
      </w:r>
    </w:p>
    <w:p w14:paraId="485C4790">
      <w:pPr>
        <w:keepNext w:val="0"/>
        <w:keepLines w:val="0"/>
        <w:pageBreakBefore w:val="0"/>
        <w:widowControl w:val="0"/>
        <w:tabs>
          <w:tab w:val="center" w:pos="4153"/>
          <w:tab w:val="left" w:pos="7275"/>
        </w:tabs>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lang w:eastAsia="zh-CN"/>
        </w:rPr>
      </w:pPr>
      <w:r>
        <w:rPr>
          <w:rFonts w:hint="default" w:ascii="Times New Roman" w:hAnsi="Times New Roman" w:eastAsia="方正仿宋_GBK" w:cs="Times New Roman"/>
          <w:b w:val="0"/>
          <w:bCs/>
          <w:kern w:val="0"/>
          <w:sz w:val="32"/>
          <w:szCs w:val="32"/>
        </w:rPr>
        <w:t>财政重点绩效评价由区财政局统一公开。</w:t>
      </w:r>
    </w:p>
    <w:p w14:paraId="6F1F75C6">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黑体_GBK" w:cs="Times New Roman"/>
          <w:b w:val="0"/>
          <w:bCs/>
          <w:kern w:val="0"/>
          <w:sz w:val="32"/>
          <w:szCs w:val="32"/>
          <w:lang w:val="en-US" w:eastAsia="zh-CN"/>
        </w:rPr>
        <w:t>六、</w:t>
      </w:r>
      <w:r>
        <w:rPr>
          <w:rFonts w:hint="default" w:ascii="Times New Roman" w:hAnsi="Times New Roman" w:eastAsia="方正黑体_GBK" w:cs="Times New Roman"/>
          <w:b w:val="0"/>
          <w:bCs/>
          <w:kern w:val="0"/>
          <w:sz w:val="32"/>
          <w:szCs w:val="32"/>
        </w:rPr>
        <w:t>专业名词解释</w:t>
      </w:r>
    </w:p>
    <w:p w14:paraId="76D2CBE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（一）财政拨款收入</w:t>
      </w:r>
      <w:r>
        <w:rPr>
          <w:rFonts w:hint="default" w:ascii="Times New Roman" w:hAnsi="Times New Roman" w:eastAsia="方正仿宋_GBK" w:cs="Times New Roman"/>
          <w:b w:val="0"/>
          <w:bCs/>
          <w:kern w:val="0"/>
          <w:sz w:val="32"/>
          <w:szCs w:val="32"/>
        </w:rPr>
        <w:t>：指本年度从本级财政部门取得的财政拨款，包括一般公共预算财政拨款和政府性基金预算财政拨款。</w:t>
      </w:r>
    </w:p>
    <w:p w14:paraId="3C9E4B7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（二）事业收入：</w:t>
      </w:r>
      <w:r>
        <w:rPr>
          <w:rFonts w:hint="default" w:ascii="Times New Roman" w:hAnsi="Times New Roman" w:eastAsia="方正仿宋_GBK" w:cs="Times New Roman"/>
          <w:b w:val="0"/>
          <w:bCs/>
          <w:kern w:val="0"/>
          <w:sz w:val="32"/>
          <w:szCs w:val="32"/>
        </w:rPr>
        <w:t>指事业单位开展专业业务活动及其辅助活动取得的现金流入；事业单位收到的财政专户实际核拨的教育收费等资金在此反映。</w:t>
      </w:r>
    </w:p>
    <w:p w14:paraId="0C9AD7CF">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（三）经营收入：</w:t>
      </w:r>
      <w:r>
        <w:rPr>
          <w:rFonts w:hint="default" w:ascii="Times New Roman" w:hAnsi="Times New Roman" w:eastAsia="方正仿宋_GBK" w:cs="Times New Roman"/>
          <w:b w:val="0"/>
          <w:bCs/>
          <w:kern w:val="0"/>
          <w:sz w:val="32"/>
          <w:szCs w:val="32"/>
        </w:rPr>
        <w:t>指事业单位在专业业务活动及其辅助活动之外开展非独立核算经营活动取得的现金流入。</w:t>
      </w:r>
    </w:p>
    <w:p w14:paraId="1010560C">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（四）其他收入：</w:t>
      </w:r>
      <w:r>
        <w:rPr>
          <w:rFonts w:hint="default" w:ascii="Times New Roman" w:hAnsi="Times New Roman" w:eastAsia="方正仿宋_GBK" w:cs="Times New Roman"/>
          <w:b w:val="0"/>
          <w:bCs/>
          <w:kern w:val="0"/>
          <w:sz w:val="32"/>
          <w:szCs w:val="32"/>
        </w:rPr>
        <w:t>指单位取得的除</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财政拨款收入</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事业收入</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经营收入</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F053073">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（五）使用非财政拨款结余：</w:t>
      </w:r>
      <w:r>
        <w:rPr>
          <w:rFonts w:hint="default" w:ascii="Times New Roman" w:hAnsi="Times New Roman" w:eastAsia="方正仿宋_GBK" w:cs="Times New Roman"/>
          <w:b w:val="0"/>
          <w:bCs/>
          <w:kern w:val="0"/>
          <w:sz w:val="32"/>
          <w:szCs w:val="32"/>
        </w:rPr>
        <w:t>指单位在当年的</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财政拨款收入</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事业收入</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经营收入</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其他收入</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等不足以安排当年支出的情况下，使用以前年度积累的非财政拨款结余弥补本年度收支缺口的资金。</w:t>
      </w:r>
    </w:p>
    <w:p w14:paraId="02FFA36C">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（六）年初结转和结余：</w:t>
      </w:r>
      <w:r>
        <w:rPr>
          <w:rFonts w:hint="default" w:ascii="Times New Roman" w:hAnsi="Times New Roman" w:eastAsia="方正仿宋_GBK" w:cs="Times New Roman"/>
          <w:b w:val="0"/>
          <w:bCs/>
          <w:kern w:val="0"/>
          <w:sz w:val="32"/>
          <w:szCs w:val="32"/>
        </w:rPr>
        <w:t>指单位上年结转本年使用的基本支出结转、项目支出结转和结余、经营结余。</w:t>
      </w:r>
    </w:p>
    <w:p w14:paraId="40B01FBE">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（七）结余分配：</w:t>
      </w:r>
      <w:r>
        <w:rPr>
          <w:rFonts w:hint="default" w:ascii="Times New Roman" w:hAnsi="Times New Roman" w:eastAsia="方正仿宋_GBK" w:cs="Times New Roman"/>
          <w:b w:val="0"/>
          <w:bCs/>
          <w:kern w:val="0"/>
          <w:sz w:val="32"/>
          <w:szCs w:val="32"/>
        </w:rPr>
        <w:t>指单位按照国家有关规定，缴纳所得税、提取专用基金、转入非财政拨款结余等当年结余的分配情况。</w:t>
      </w:r>
    </w:p>
    <w:p w14:paraId="5BF15E8E">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（八）年末结转和结余：</w:t>
      </w:r>
      <w:r>
        <w:rPr>
          <w:rFonts w:hint="default" w:ascii="Times New Roman" w:hAnsi="Times New Roman" w:eastAsia="方正仿宋_GBK" w:cs="Times New Roman"/>
          <w:b w:val="0"/>
          <w:bCs/>
          <w:kern w:val="0"/>
          <w:sz w:val="32"/>
          <w:szCs w:val="32"/>
        </w:rPr>
        <w:t>指单位结转下年的基本支出结转、项目支出结转和结余、经营结余。</w:t>
      </w:r>
    </w:p>
    <w:p w14:paraId="4BE5B8B6">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（九）基本支出：</w:t>
      </w:r>
      <w:r>
        <w:rPr>
          <w:rFonts w:hint="default" w:ascii="Times New Roman" w:hAnsi="Times New Roman" w:eastAsia="方正仿宋_GBK" w:cs="Times New Roman"/>
          <w:b w:val="0"/>
          <w:bCs/>
          <w:kern w:val="0"/>
          <w:sz w:val="32"/>
          <w:szCs w:val="32"/>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工资福利支出</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和</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对个人和家庭的补助</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；公用经费指政府收支分类经济科目中除</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工资福利支出</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和</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对个人和家庭的补助</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rPr>
        <w:t>外的其他支出。</w:t>
      </w:r>
    </w:p>
    <w:p w14:paraId="1EDC8673">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（十）项目支出：</w:t>
      </w:r>
      <w:r>
        <w:rPr>
          <w:rFonts w:hint="default" w:ascii="Times New Roman" w:hAnsi="Times New Roman" w:eastAsia="方正仿宋_GBK" w:cs="Times New Roman"/>
          <w:b w:val="0"/>
          <w:bCs/>
          <w:kern w:val="0"/>
          <w:sz w:val="32"/>
          <w:szCs w:val="32"/>
        </w:rPr>
        <w:t>指在基本支出之外为完成特定行政任务和事业发展目标所发生的支出。</w:t>
      </w:r>
    </w:p>
    <w:p w14:paraId="6578ACBB">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（十一）经营支出：</w:t>
      </w:r>
      <w:r>
        <w:rPr>
          <w:rFonts w:hint="default" w:ascii="Times New Roman" w:hAnsi="Times New Roman" w:eastAsia="方正仿宋_GBK" w:cs="Times New Roman"/>
          <w:b w:val="0"/>
          <w:bCs/>
          <w:kern w:val="0"/>
          <w:sz w:val="32"/>
          <w:szCs w:val="32"/>
        </w:rPr>
        <w:t>指事业单位在专业业务活动及其辅助活动之外开展非独立核算经营活动发生的支出。</w:t>
      </w:r>
    </w:p>
    <w:p w14:paraId="4D91039D">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（十二）</w:t>
      </w:r>
      <w:r>
        <w:rPr>
          <w:rFonts w:hint="eastAsia" w:ascii="Times New Roman" w:hAnsi="Times New Roman" w:eastAsia="方正楷体_GBK" w:cs="Times New Roman"/>
          <w:b w:val="0"/>
          <w:bCs/>
          <w:kern w:val="0"/>
          <w:sz w:val="32"/>
          <w:szCs w:val="32"/>
          <w:lang w:eastAsia="zh-CN"/>
        </w:rPr>
        <w:t>“</w:t>
      </w:r>
      <w:r>
        <w:rPr>
          <w:rFonts w:hint="default" w:ascii="Times New Roman" w:hAnsi="Times New Roman" w:eastAsia="方正楷体_GBK" w:cs="Times New Roman"/>
          <w:b w:val="0"/>
          <w:bCs/>
          <w:kern w:val="0"/>
          <w:sz w:val="32"/>
          <w:szCs w:val="32"/>
        </w:rPr>
        <w:t>三公</w:t>
      </w:r>
      <w:r>
        <w:rPr>
          <w:rFonts w:hint="eastAsia" w:ascii="Times New Roman" w:hAnsi="Times New Roman" w:eastAsia="方正楷体_GBK" w:cs="Times New Roman"/>
          <w:b w:val="0"/>
          <w:bCs/>
          <w:kern w:val="0"/>
          <w:sz w:val="32"/>
          <w:szCs w:val="32"/>
          <w:lang w:eastAsia="zh-CN"/>
        </w:rPr>
        <w:t>”</w:t>
      </w:r>
      <w:r>
        <w:rPr>
          <w:rFonts w:hint="default" w:ascii="Times New Roman" w:hAnsi="Times New Roman" w:eastAsia="方正楷体_GBK" w:cs="Times New Roman"/>
          <w:b w:val="0"/>
          <w:bCs/>
          <w:kern w:val="0"/>
          <w:sz w:val="32"/>
          <w:szCs w:val="32"/>
        </w:rPr>
        <w:t>经费：</w:t>
      </w:r>
      <w:r>
        <w:rPr>
          <w:rFonts w:hint="default" w:ascii="Times New Roman" w:hAnsi="Times New Roman" w:eastAsia="方正仿宋_GBK" w:cs="Times New Roman"/>
          <w:b w:val="0"/>
          <w:bCs/>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2A41E0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（十三）机关运行经费：</w:t>
      </w:r>
      <w:r>
        <w:rPr>
          <w:rFonts w:hint="default" w:ascii="Times New Roman" w:hAnsi="Times New Roman" w:eastAsia="方正仿宋_GBK" w:cs="Times New Roman"/>
          <w:b w:val="0"/>
          <w:bCs/>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F25190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（十四）工资福利支出（支出经济分类科目类级）：</w:t>
      </w:r>
      <w:r>
        <w:rPr>
          <w:rFonts w:hint="default" w:ascii="Times New Roman" w:hAnsi="Times New Roman" w:eastAsia="方正仿宋_GBK" w:cs="Times New Roman"/>
          <w:b w:val="0"/>
          <w:bCs/>
          <w:kern w:val="0"/>
          <w:sz w:val="32"/>
          <w:szCs w:val="32"/>
        </w:rPr>
        <w:t>反映单位开支的在职职工和编制外长期聘用人员的各类劳动报酬，以及为上述人员缴纳的各项社会保险费等。</w:t>
      </w:r>
    </w:p>
    <w:p w14:paraId="30467AE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（十五）商品和服务支出（支出经济分类科目类级）：</w:t>
      </w:r>
      <w:r>
        <w:rPr>
          <w:rFonts w:hint="default" w:ascii="Times New Roman" w:hAnsi="Times New Roman" w:eastAsia="方正仿宋_GBK" w:cs="Times New Roman"/>
          <w:b w:val="0"/>
          <w:bCs/>
          <w:kern w:val="0"/>
          <w:sz w:val="32"/>
          <w:szCs w:val="32"/>
        </w:rPr>
        <w:t>反映单位购买商品和服务的支出（不包括用于购置固定资产的支出、战略性和应急储备支出）。</w:t>
      </w:r>
    </w:p>
    <w:p w14:paraId="2220C1A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（十六）对个人和家庭的补助（支出经济分类科目类级）：</w:t>
      </w:r>
      <w:r>
        <w:rPr>
          <w:rFonts w:hint="default" w:ascii="Times New Roman" w:hAnsi="Times New Roman" w:eastAsia="方正仿宋_GBK" w:cs="Times New Roman"/>
          <w:b w:val="0"/>
          <w:bCs/>
          <w:kern w:val="0"/>
          <w:sz w:val="32"/>
          <w:szCs w:val="32"/>
        </w:rPr>
        <w:t>反映用于对个人和家庭的补助支出。</w:t>
      </w:r>
    </w:p>
    <w:p w14:paraId="4543FD8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楷体_GBK" w:cs="Times New Roman"/>
          <w:b w:val="0"/>
          <w:bCs/>
          <w:kern w:val="0"/>
          <w:sz w:val="32"/>
          <w:szCs w:val="32"/>
        </w:rPr>
        <w:t>（十七）其他资本性支出（支出经济分类科目类级）：</w:t>
      </w:r>
      <w:r>
        <w:rPr>
          <w:rFonts w:hint="default" w:ascii="Times New Roman" w:hAnsi="Times New Roman" w:eastAsia="方正仿宋_GBK" w:cs="Times New Roman"/>
          <w:b w:val="0"/>
          <w:bCs/>
          <w:kern w:val="0"/>
          <w:sz w:val="32"/>
          <w:szCs w:val="32"/>
        </w:rPr>
        <w:t>反映非各级发展与改革部门集中安排的用于购置固定资产、战略性和应急性储备、土地和无形资产，以及构建基础设施、大型修缮和财政支持企业更新改造所发生的支出。</w:t>
      </w:r>
    </w:p>
    <w:p w14:paraId="42E87D9C">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黑体_GBK" w:cs="Times New Roman"/>
          <w:b w:val="0"/>
          <w:bCs/>
          <w:kern w:val="0"/>
          <w:sz w:val="32"/>
          <w:szCs w:val="32"/>
        </w:rPr>
      </w:pPr>
      <w:r>
        <w:rPr>
          <w:rFonts w:hint="default" w:ascii="Times New Roman" w:hAnsi="Times New Roman" w:eastAsia="方正黑体_GBK" w:cs="Times New Roman"/>
          <w:b w:val="0"/>
          <w:bCs/>
          <w:kern w:val="0"/>
          <w:sz w:val="32"/>
          <w:szCs w:val="32"/>
        </w:rPr>
        <w:t>七、决算公开联系方式及信息反馈渠道</w:t>
      </w:r>
    </w:p>
    <w:p w14:paraId="4B054017">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本单位决算公开信息反馈和联系方式：</w:t>
      </w:r>
      <w:r>
        <w:rPr>
          <w:rFonts w:hint="default" w:ascii="Times New Roman" w:hAnsi="Times New Roman" w:eastAsia="方正仿宋_GBK" w:cs="Times New Roman"/>
          <w:b w:val="0"/>
          <w:bCs/>
          <w:kern w:val="0"/>
          <w:sz w:val="32"/>
          <w:szCs w:val="32"/>
          <w:lang w:val="en-US" w:eastAsia="zh-CN"/>
        </w:rPr>
        <w:t>023-68186488</w:t>
      </w:r>
    </w:p>
    <w:p w14:paraId="6FE462E5">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rPr>
          <w:rFonts w:hint="default" w:ascii="Times New Roman" w:hAnsi="Times New Roman" w:eastAsia="方正仿宋_GBK" w:cs="Times New Roman"/>
          <w:b w:val="0"/>
          <w:bCs/>
          <w:kern w:val="0"/>
          <w:sz w:val="32"/>
          <w:szCs w:val="32"/>
          <w:shd w:val="clear" w:fill="FFFFFF"/>
          <w:lang w:val="en-US" w:eastAsia="zh-CN" w:bidi="ar-SA"/>
        </w:rPr>
      </w:pPr>
    </w:p>
    <w:p w14:paraId="061D7B69">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附件：1.收入支出决算总表</w:t>
      </w:r>
    </w:p>
    <w:p w14:paraId="2359FD14">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2.收入决算表</w:t>
      </w:r>
    </w:p>
    <w:p w14:paraId="518249B5">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3.支出决算表</w:t>
      </w:r>
    </w:p>
    <w:p w14:paraId="4AE6C741">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4.财政拨款收入支出决算总表</w:t>
      </w:r>
    </w:p>
    <w:p w14:paraId="0A6064FF">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5.一般公共预算财政拨款支出决算表</w:t>
      </w:r>
    </w:p>
    <w:p w14:paraId="0402F1EE">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6.一般公共预算财政拨款基本支出决算表</w:t>
      </w:r>
    </w:p>
    <w:p w14:paraId="3A679811">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 xml:space="preserve">      7.政府性基金预算财政拨款收入支出决算表</w:t>
      </w:r>
    </w:p>
    <w:p w14:paraId="187231F3">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8.国有资本经营预算财政拨款支出决算表</w:t>
      </w:r>
    </w:p>
    <w:p w14:paraId="3798ACC3">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9.机构运行信息表</w:t>
      </w:r>
    </w:p>
    <w:p w14:paraId="142811A6">
      <w:pPr>
        <w:keepNext w:val="0"/>
        <w:keepLines w:val="0"/>
        <w:pageBreakBefore w:val="0"/>
        <w:widowControl w:val="0"/>
        <w:kinsoku/>
        <w:wordWrap/>
        <w:overflowPunct/>
        <w:topLinePunct w:val="0"/>
        <w:autoSpaceDN/>
        <w:bidi w:val="0"/>
        <w:spacing w:line="600" w:lineRule="exact"/>
        <w:ind w:firstLine="480" w:firstLineChars="200"/>
        <w:rPr>
          <w:rFonts w:hint="default" w:ascii="Times New Roman" w:hAnsi="Times New Roman" w:cs="Times New Roman"/>
        </w:rPr>
      </w:pPr>
    </w:p>
    <w:p w14:paraId="02BB626C">
      <w:pPr>
        <w:pStyle w:val="12"/>
        <w:keepNext w:val="0"/>
        <w:keepLines w:val="0"/>
        <w:pageBreakBefore w:val="0"/>
        <w:widowControl w:val="0"/>
        <w:kinsoku/>
        <w:wordWrap/>
        <w:overflowPunct/>
        <w:topLinePunct w:val="0"/>
        <w:autoSpaceDE w:val="0"/>
        <w:autoSpaceDN/>
        <w:bidi w:val="0"/>
        <w:spacing w:line="600" w:lineRule="exact"/>
        <w:ind w:firstLine="643" w:firstLineChars="200"/>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numberInDash"/>
          <w:cols w:space="0" w:num="1"/>
          <w:rtlGutter w:val="0"/>
          <w:docGrid w:type="lines" w:linePitch="327" w:charSpace="0"/>
        </w:sectPr>
      </w:pPr>
    </w:p>
    <w:tbl>
      <w:tblPr>
        <w:tblStyle w:val="9"/>
        <w:tblpPr w:leftFromText="180" w:rightFromText="180" w:vertAnchor="text" w:horzAnchor="page" w:tblpX="1566" w:tblpY="269"/>
        <w:tblOverlap w:val="never"/>
        <w:tblW w:w="4809" w:type="pct"/>
        <w:tblInd w:w="0" w:type="dxa"/>
        <w:tblLayout w:type="autofit"/>
        <w:tblCellMar>
          <w:top w:w="0" w:type="dxa"/>
          <w:left w:w="0" w:type="dxa"/>
          <w:bottom w:w="0" w:type="dxa"/>
          <w:right w:w="0" w:type="dxa"/>
        </w:tblCellMar>
      </w:tblPr>
      <w:tblGrid>
        <w:gridCol w:w="3851"/>
        <w:gridCol w:w="3195"/>
        <w:gridCol w:w="3627"/>
        <w:gridCol w:w="2553"/>
      </w:tblGrid>
      <w:tr w14:paraId="70B7215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F1B47DD">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311070B2">
        <w:tblPrEx>
          <w:tblCellMar>
            <w:top w:w="0" w:type="dxa"/>
            <w:left w:w="0" w:type="dxa"/>
            <w:bottom w:w="0" w:type="dxa"/>
            <w:right w:w="0" w:type="dxa"/>
          </w:tblCellMar>
        </w:tblPrEx>
        <w:trPr>
          <w:trHeight w:val="232" w:hRule="atLeast"/>
        </w:trPr>
        <w:tc>
          <w:tcPr>
            <w:tcW w:w="1456" w:type="pct"/>
            <w:tcBorders>
              <w:top w:val="nil"/>
              <w:left w:val="nil"/>
              <w:bottom w:val="nil"/>
              <w:right w:val="nil"/>
            </w:tcBorders>
            <w:shd w:val="clear" w:color="auto" w:fill="auto"/>
            <w:noWrap/>
            <w:tcMar>
              <w:top w:w="15" w:type="dxa"/>
              <w:left w:w="15" w:type="dxa"/>
              <w:right w:w="15" w:type="dxa"/>
            </w:tcMar>
            <w:vAlign w:val="bottom"/>
          </w:tcPr>
          <w:p w14:paraId="4B791D36">
            <w:pPr>
              <w:spacing w:line="200" w:lineRule="exact"/>
              <w:rPr>
                <w:rFonts w:hint="default" w:ascii="Times New Roman" w:hAnsi="Times New Roman" w:cs="Times New Roman"/>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14:paraId="476FEED8">
            <w:pPr>
              <w:spacing w:line="200" w:lineRule="exact"/>
              <w:jc w:val="right"/>
              <w:rPr>
                <w:rFonts w:hint="default" w:ascii="Times New Roman" w:hAnsi="Times New Roman" w:cs="Times New Roman"/>
                <w:color w:val="000000"/>
                <w:sz w:val="20"/>
                <w:szCs w:val="20"/>
              </w:rPr>
            </w:pPr>
          </w:p>
        </w:tc>
        <w:tc>
          <w:tcPr>
            <w:tcW w:w="1371" w:type="pct"/>
            <w:tcBorders>
              <w:top w:val="nil"/>
              <w:left w:val="nil"/>
              <w:bottom w:val="nil"/>
              <w:right w:val="nil"/>
            </w:tcBorders>
            <w:shd w:val="clear" w:color="auto" w:fill="auto"/>
            <w:noWrap/>
            <w:tcMar>
              <w:top w:w="15" w:type="dxa"/>
              <w:left w:w="15" w:type="dxa"/>
              <w:right w:w="15" w:type="dxa"/>
            </w:tcMar>
            <w:vAlign w:val="bottom"/>
          </w:tcPr>
          <w:p w14:paraId="0F5F1DBB">
            <w:pPr>
              <w:spacing w:line="200" w:lineRule="exact"/>
              <w:rPr>
                <w:rFonts w:hint="default" w:ascii="Times New Roman" w:hAnsi="Times New Roman" w:cs="Times New Roman"/>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14:paraId="2D0AC5A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4C8AB60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42294B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重庆市九龙坡区彩云湖幼儿园</w:t>
            </w:r>
          </w:p>
        </w:tc>
        <w:tc>
          <w:tcPr>
            <w:tcW w:w="1371" w:type="pct"/>
            <w:tcBorders>
              <w:top w:val="nil"/>
              <w:left w:val="nil"/>
              <w:bottom w:val="nil"/>
              <w:right w:val="nil"/>
            </w:tcBorders>
            <w:shd w:val="clear" w:color="auto" w:fill="auto"/>
            <w:noWrap/>
            <w:tcMar>
              <w:top w:w="15" w:type="dxa"/>
              <w:left w:w="15" w:type="dxa"/>
              <w:right w:w="15" w:type="dxa"/>
            </w:tcMar>
            <w:vAlign w:val="bottom"/>
          </w:tcPr>
          <w:p w14:paraId="11A4F9B5">
            <w:pPr>
              <w:spacing w:line="200" w:lineRule="exact"/>
              <w:rPr>
                <w:rFonts w:hint="default" w:ascii="Times New Roman" w:hAnsi="Times New Roman" w:cs="Times New Roman"/>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14:paraId="7ECB43C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D9CC21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D73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DA618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3042D3FE">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BAA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6930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3BD3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474A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501C4724">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0F5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A4EF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5.63</w:t>
            </w:r>
            <w:r>
              <w:rPr>
                <w:rFonts w:hint="default" w:ascii="Times New Roman" w:hAnsi="Times New Roman" w:cs="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B02D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CF8A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D59C84B">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FAC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ECBF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50F8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58DD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075D8E2">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0BD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3367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DCA2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61EC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6497E6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53E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7213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8BDA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332C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687F298">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62E9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DDC7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F4CB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5E72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4.13</w:t>
            </w:r>
            <w:r>
              <w:rPr>
                <w:rFonts w:hint="default" w:ascii="Times New Roman" w:hAnsi="Times New Roman" w:cs="Times New Roman"/>
                <w:color w:val="000000"/>
                <w:sz w:val="20"/>
                <w:u w:color="auto"/>
              </w:rPr>
              <w:t xml:space="preserve"> </w:t>
            </w:r>
          </w:p>
        </w:tc>
      </w:tr>
      <w:tr w14:paraId="209810D5">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E1A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01E6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4D3F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CE85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08336A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E02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B718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E5CA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1907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200300">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BE0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7" w:type="pct"/>
            <w:tcBorders>
              <w:top w:val="nil"/>
              <w:left w:val="nil"/>
              <w:bottom w:val="nil"/>
              <w:right w:val="single" w:color="000000" w:sz="4" w:space="0"/>
            </w:tcBorders>
            <w:shd w:val="clear" w:color="auto" w:fill="auto"/>
            <w:noWrap/>
            <w:tcMar>
              <w:top w:w="15" w:type="dxa"/>
              <w:left w:w="15" w:type="dxa"/>
              <w:right w:w="15" w:type="dxa"/>
            </w:tcMar>
            <w:vAlign w:val="center"/>
          </w:tcPr>
          <w:p w14:paraId="07B2299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88B8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F528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u w:color="auto"/>
              </w:rPr>
              <w:t xml:space="preserve"> </w:t>
            </w:r>
          </w:p>
        </w:tc>
      </w:tr>
      <w:tr w14:paraId="57BC3757">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666C">
            <w:pPr>
              <w:spacing w:line="240" w:lineRule="exact"/>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2B21F7">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50AB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1CCC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0.22</w:t>
            </w:r>
            <w:r>
              <w:rPr>
                <w:rFonts w:hint="default" w:ascii="Times New Roman" w:hAnsi="Times New Roman" w:cs="Times New Roman"/>
                <w:color w:val="000000"/>
                <w:sz w:val="20"/>
                <w:u w:color="auto"/>
              </w:rPr>
              <w:t xml:space="preserve"> </w:t>
            </w:r>
          </w:p>
        </w:tc>
      </w:tr>
      <w:tr w14:paraId="4AB9C84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DFF5A">
            <w:pPr>
              <w:spacing w:line="240" w:lineRule="exact"/>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248B55">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84C7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22B1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57E2DF7">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B1BB">
            <w:pPr>
              <w:spacing w:line="240" w:lineRule="exact"/>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3624AB">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924F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971B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A84CD6E">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D6BD1">
            <w:pPr>
              <w:spacing w:line="240" w:lineRule="exact"/>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02AE15">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A9BF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BA4D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C9FD6B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F089">
            <w:pPr>
              <w:spacing w:line="240" w:lineRule="exact"/>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8FE6">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B278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BF5B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D98D5E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FE043">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767B5">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7B5E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E547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4BCD78D">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B0F1">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C50AC">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1016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DC40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58BAEEE">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0339">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097E0">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C18D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A02A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8A6893A">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3504">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D769F">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6835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B9D0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D1211D2">
        <w:tblPrEx>
          <w:tblCellMar>
            <w:top w:w="0" w:type="dxa"/>
            <w:left w:w="0" w:type="dxa"/>
            <w:bottom w:w="0" w:type="dxa"/>
            <w:right w:w="0" w:type="dxa"/>
          </w:tblCellMar>
        </w:tblPrEx>
        <w:trPr>
          <w:trHeight w:val="90"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CEF3">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0F7F3">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E8A6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26C2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2688BFC">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BA47">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719E4">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A8BA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D63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r>
      <w:tr w14:paraId="474FD255">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55230">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ED82D">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7359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38F4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0C68BFD">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36F3">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CA38E">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FCB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8373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4B8B9B1">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C900">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A0D46">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6C77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BBF9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90790A5">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0508">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4BAF8">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2B7A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0BE7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813A9CB">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40A2">
            <w:pPr>
              <w:spacing w:line="240" w:lineRule="exact"/>
              <w:jc w:val="center"/>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15E1F">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FF35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9A75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5DA70EC">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9CA45">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063AD">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5F72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7B2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56F85E2">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6E19">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7DFE7">
            <w:pPr>
              <w:wordWrap w:val="0"/>
              <w:spacing w:line="200" w:lineRule="exact"/>
              <w:jc w:val="right"/>
              <w:textAlignment w:val="center"/>
              <w:rPr>
                <w:rFonts w:hint="default" w:ascii="Times New Roman" w:hAnsi="Times New Roman" w:cs="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3923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BDE5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B1C32D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85D6">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100A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5.63</w:t>
            </w:r>
            <w:r>
              <w:rPr>
                <w:rFonts w:hint="default" w:ascii="Times New Roman" w:hAnsi="Times New Roman" w:cs="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2BF3A">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D030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5.63</w:t>
            </w:r>
            <w:r>
              <w:rPr>
                <w:rFonts w:hint="default" w:ascii="Times New Roman" w:hAnsi="Times New Roman" w:cs="Times New Roman"/>
                <w:color w:val="000000"/>
                <w:sz w:val="20"/>
                <w:u w:color="auto"/>
              </w:rPr>
              <w:t xml:space="preserve"> </w:t>
            </w:r>
          </w:p>
        </w:tc>
      </w:tr>
      <w:tr w14:paraId="58B4C345">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37E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DA8F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62B0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7C6C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9F25E55">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F1A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C2BD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F74E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DFA557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C2A1ECF">
        <w:tblPrEx>
          <w:tblCellMar>
            <w:top w:w="0" w:type="dxa"/>
            <w:left w:w="0" w:type="dxa"/>
            <w:bottom w:w="0" w:type="dxa"/>
            <w:right w:w="0" w:type="dxa"/>
          </w:tblCellMar>
        </w:tblPrEx>
        <w:trPr>
          <w:trHeight w:val="25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2EE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C24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5.63</w:t>
            </w:r>
            <w:r>
              <w:rPr>
                <w:rFonts w:hint="default" w:ascii="Times New Roman" w:hAnsi="Times New Roman" w:cs="Times New Roman"/>
                <w:color w:val="000000"/>
                <w:sz w:val="20"/>
                <w:u w:color="auto"/>
              </w:rPr>
              <w:t xml:space="preserve"> </w:t>
            </w:r>
          </w:p>
        </w:tc>
        <w:tc>
          <w:tcPr>
            <w:tcW w:w="1371"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720EAA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8A0C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5.63</w:t>
            </w:r>
            <w:r>
              <w:rPr>
                <w:rFonts w:hint="default" w:ascii="Times New Roman" w:hAnsi="Times New Roman" w:cs="Times New Roman"/>
                <w:color w:val="000000"/>
                <w:sz w:val="20"/>
                <w:u w:color="auto"/>
              </w:rPr>
              <w:t xml:space="preserve"> </w:t>
            </w:r>
          </w:p>
        </w:tc>
      </w:tr>
    </w:tbl>
    <w:p w14:paraId="2EFBBCB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87D64A5">
      <w:pPr>
        <w:rPr>
          <w:rFonts w:hint="default" w:ascii="Times New Roman" w:hAnsi="Times New Roman" w:cs="Times New Roman"/>
          <w:sz w:val="21"/>
          <w:szCs w:val="21"/>
        </w:rPr>
      </w:pPr>
    </w:p>
    <w:p w14:paraId="4C7AC87D">
      <w:pPr>
        <w:rPr>
          <w:rFonts w:hint="default" w:ascii="Times New Roman" w:hAnsi="Times New Roman" w:cs="Times New Roman"/>
          <w:sz w:val="21"/>
          <w:szCs w:val="21"/>
        </w:rPr>
      </w:pPr>
    </w:p>
    <w:p w14:paraId="68CF4554">
      <w:pPr>
        <w:rPr>
          <w:rFonts w:hint="default" w:ascii="Times New Roman" w:hAnsi="Times New Roman" w:cs="Times New Roman"/>
          <w:sz w:val="21"/>
          <w:szCs w:val="21"/>
        </w:rPr>
      </w:pPr>
    </w:p>
    <w:p w14:paraId="1E41AD1C">
      <w:pPr>
        <w:rPr>
          <w:rFonts w:hint="default" w:ascii="Times New Roman" w:hAnsi="Times New Roman" w:cs="Times New Roman"/>
          <w:sz w:val="21"/>
          <w:szCs w:val="21"/>
        </w:rPr>
      </w:pPr>
    </w:p>
    <w:p w14:paraId="128646D4">
      <w:pPr>
        <w:rPr>
          <w:rFonts w:hint="default" w:ascii="Times New Roman" w:hAnsi="Times New Roman" w:cs="Times New Roman"/>
          <w:sz w:val="21"/>
          <w:szCs w:val="21"/>
        </w:rPr>
      </w:pPr>
    </w:p>
    <w:p w14:paraId="2393CEE3">
      <w:pPr>
        <w:rPr>
          <w:rFonts w:hint="default" w:ascii="Times New Roman" w:hAnsi="Times New Roman" w:cs="Times New Roman"/>
          <w:sz w:val="21"/>
          <w:szCs w:val="21"/>
        </w:rPr>
      </w:pPr>
    </w:p>
    <w:p w14:paraId="5266FAEC">
      <w:pPr>
        <w:rPr>
          <w:rFonts w:hint="default" w:ascii="Times New Roman" w:hAnsi="Times New Roman" w:cs="Times New Roman"/>
          <w:sz w:val="21"/>
          <w:szCs w:val="21"/>
        </w:rPr>
      </w:pPr>
    </w:p>
    <w:p w14:paraId="55978E29">
      <w:pPr>
        <w:rPr>
          <w:rFonts w:hint="default" w:ascii="Times New Roman" w:hAnsi="Times New Roman" w:cs="Times New Roman"/>
          <w:sz w:val="21"/>
          <w:szCs w:val="21"/>
        </w:rPr>
      </w:pPr>
    </w:p>
    <w:p w14:paraId="1EFD4EBB">
      <w:pPr>
        <w:rPr>
          <w:rFonts w:hint="default" w:ascii="Times New Roman" w:hAnsi="Times New Roman" w:cs="Times New Roman"/>
          <w:sz w:val="21"/>
          <w:szCs w:val="21"/>
        </w:rPr>
      </w:pPr>
    </w:p>
    <w:p w14:paraId="4072DB75">
      <w:pPr>
        <w:rPr>
          <w:rFonts w:hint="default" w:ascii="Times New Roman" w:hAnsi="Times New Roman" w:cs="Times New Roman"/>
          <w:sz w:val="21"/>
          <w:szCs w:val="21"/>
        </w:rPr>
      </w:pPr>
    </w:p>
    <w:p w14:paraId="588B9595">
      <w:pPr>
        <w:rPr>
          <w:rFonts w:hint="default" w:ascii="Times New Roman" w:hAnsi="Times New Roman" w:cs="Times New Roman"/>
          <w:sz w:val="21"/>
          <w:szCs w:val="21"/>
        </w:rPr>
      </w:pPr>
    </w:p>
    <w:p w14:paraId="5C7F947D">
      <w:pPr>
        <w:rPr>
          <w:rFonts w:hint="default" w:ascii="Times New Roman" w:hAnsi="Times New Roman" w:cs="Times New Roman"/>
          <w:sz w:val="21"/>
          <w:szCs w:val="21"/>
        </w:rPr>
      </w:pPr>
    </w:p>
    <w:p w14:paraId="3C2FD9AC">
      <w:pPr>
        <w:rPr>
          <w:rFonts w:hint="default" w:ascii="Times New Roman" w:hAnsi="Times New Roman" w:cs="Times New Roman"/>
          <w:sz w:val="21"/>
          <w:szCs w:val="21"/>
        </w:rPr>
      </w:pPr>
    </w:p>
    <w:p w14:paraId="70A27096">
      <w:pPr>
        <w:rPr>
          <w:rFonts w:hint="default" w:ascii="Times New Roman" w:hAnsi="Times New Roman" w:cs="Times New Roman"/>
          <w:sz w:val="21"/>
          <w:szCs w:val="21"/>
        </w:rPr>
      </w:pPr>
    </w:p>
    <w:tbl>
      <w:tblPr>
        <w:tblStyle w:val="9"/>
        <w:tblW w:w="5059" w:type="pct"/>
        <w:tblInd w:w="0" w:type="dxa"/>
        <w:tblLayout w:type="fixed"/>
        <w:tblCellMar>
          <w:top w:w="0" w:type="dxa"/>
          <w:left w:w="0" w:type="dxa"/>
          <w:bottom w:w="0" w:type="dxa"/>
          <w:right w:w="0" w:type="dxa"/>
        </w:tblCellMar>
      </w:tblPr>
      <w:tblGrid>
        <w:gridCol w:w="1283"/>
        <w:gridCol w:w="2618"/>
        <w:gridCol w:w="1421"/>
        <w:gridCol w:w="1302"/>
        <w:gridCol w:w="1127"/>
        <w:gridCol w:w="1293"/>
        <w:gridCol w:w="1308"/>
        <w:gridCol w:w="1163"/>
        <w:gridCol w:w="1212"/>
        <w:gridCol w:w="1186"/>
      </w:tblGrid>
      <w:tr w14:paraId="12618C0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42A15A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336443D1">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FD6ABD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重庆市九龙坡区彩云湖幼儿园</w:t>
            </w:r>
          </w:p>
        </w:tc>
        <w:tc>
          <w:tcPr>
            <w:tcW w:w="467" w:type="pct"/>
            <w:tcBorders>
              <w:top w:val="nil"/>
              <w:left w:val="nil"/>
              <w:bottom w:val="nil"/>
              <w:right w:val="nil"/>
            </w:tcBorders>
            <w:shd w:val="clear" w:color="auto" w:fill="auto"/>
            <w:noWrap/>
            <w:tcMar>
              <w:top w:w="15" w:type="dxa"/>
              <w:left w:w="15" w:type="dxa"/>
              <w:right w:w="15" w:type="dxa"/>
            </w:tcMar>
            <w:vAlign w:val="bottom"/>
          </w:tcPr>
          <w:p w14:paraId="699F2F28">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8A1A555">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71605AF">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6B5D29D">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3B368F1">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C027E77">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31C727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2BF45B6B">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C230775">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857D401">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784AF23">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DD00863">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7E5864F">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90BE28F">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9348205">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8B6EDF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22B5715">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FADE73F">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301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9832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6E0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98B34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AD9B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EA3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434F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AF1A60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148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96DEDE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8E6E0">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46140">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8DC33">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3134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6FC9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E0FBC">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228BE">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6E3D4">
            <w:pPr>
              <w:jc w:val="center"/>
              <w:rPr>
                <w:rFonts w:hint="default" w:ascii="Times New Roman" w:hAnsi="Times New Roman" w:cs="Times New Roman"/>
                <w:b/>
                <w:color w:val="000000"/>
                <w:sz w:val="20"/>
                <w:szCs w:val="20"/>
              </w:rPr>
            </w:pPr>
          </w:p>
        </w:tc>
      </w:tr>
      <w:tr w14:paraId="6CB6685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34F0">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C3DE2F">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CD321">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6B3FD">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B4DE0">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2FFD6">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6389B">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3059D">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7AC05">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24823">
            <w:pPr>
              <w:jc w:val="center"/>
              <w:rPr>
                <w:rFonts w:hint="default" w:ascii="Times New Roman" w:hAnsi="Times New Roman" w:cs="Times New Roman"/>
                <w:b/>
                <w:color w:val="000000"/>
                <w:sz w:val="20"/>
                <w:szCs w:val="20"/>
              </w:rPr>
            </w:pPr>
          </w:p>
        </w:tc>
      </w:tr>
      <w:tr w14:paraId="58FF9D7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8AC0">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6D5BB8">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CDF77">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9B5ED">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CD93D">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39D81">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CCB7C">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679DB">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B6A63">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0D04E">
            <w:pPr>
              <w:jc w:val="center"/>
              <w:rPr>
                <w:rFonts w:hint="default" w:ascii="Times New Roman" w:hAnsi="Times New Roman" w:cs="Times New Roman"/>
                <w:b/>
                <w:color w:val="000000"/>
                <w:sz w:val="20"/>
                <w:szCs w:val="20"/>
              </w:rPr>
            </w:pPr>
          </w:p>
        </w:tc>
      </w:tr>
      <w:tr w14:paraId="4722726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6484">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587CBE">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DE4D6">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9922F">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827E3">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EE047">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84B77">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59C8B">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5874F">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3F56F">
            <w:pPr>
              <w:jc w:val="center"/>
              <w:rPr>
                <w:rFonts w:hint="default" w:ascii="Times New Roman" w:hAnsi="Times New Roman" w:cs="Times New Roman"/>
                <w:b/>
                <w:color w:val="000000"/>
                <w:sz w:val="20"/>
                <w:szCs w:val="20"/>
              </w:rPr>
            </w:pPr>
          </w:p>
        </w:tc>
      </w:tr>
      <w:tr w14:paraId="6A5D483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275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A4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5.63</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90D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5.63</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149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8FB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534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722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5AB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717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E4EAE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DE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A576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25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4.13</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2E0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4.13</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9F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521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18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15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FD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D68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7830D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10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BBF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E0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4.13</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752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4.13</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28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92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D9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BA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89B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99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60C9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EE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850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28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E37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3F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2A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FB3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CA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A45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EA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14C0E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0F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215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D0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C26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3DE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AC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19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2D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21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4E4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E02E5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67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7A0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4D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42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49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27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248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11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04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3A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BF93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DF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F7F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EB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59E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C4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2E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81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303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5B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1E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9BE48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37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377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5D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6D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9B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D19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E9F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6B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92E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C0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31518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FC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818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F6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4B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6D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B82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6B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6A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018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65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548B1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B95B3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966F8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46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C14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B3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67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136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AA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03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6B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43E4665">
        <w:tblPrEx>
          <w:tblCellMar>
            <w:top w:w="0" w:type="dxa"/>
            <w:left w:w="0" w:type="dxa"/>
            <w:bottom w:w="0" w:type="dxa"/>
            <w:right w:w="0" w:type="dxa"/>
          </w:tblCellMar>
        </w:tblPrEx>
        <w:trPr>
          <w:trHeight w:val="348" w:hRule="atLeast"/>
        </w:trPr>
        <w:tc>
          <w:tcPr>
            <w:tcW w:w="461"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33AB2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530738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B467E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FA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EF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C59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FA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00E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E4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B5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FDC2F6D">
        <w:tblPrEx>
          <w:tblCellMar>
            <w:top w:w="0" w:type="dxa"/>
            <w:left w:w="0" w:type="dxa"/>
            <w:bottom w:w="0" w:type="dxa"/>
            <w:right w:w="0" w:type="dxa"/>
          </w:tblCellMar>
        </w:tblPrEx>
        <w:trPr>
          <w:trHeight w:val="348" w:hRule="atLeast"/>
        </w:trPr>
        <w:tc>
          <w:tcPr>
            <w:tcW w:w="46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FA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2A4B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FE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DA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1F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2B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ECC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60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44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82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351E2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52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8D3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540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F5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E2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62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D8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73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423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5A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DF92A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967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064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95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2C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63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2C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64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D1A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51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2C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411B31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06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438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1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FC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0B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CF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D6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FF2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3F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A7A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29C03C9">
      <w:pPr>
        <w:keepNext w:val="0"/>
        <w:keepLines w:val="0"/>
        <w:pageBreakBefore w:val="0"/>
        <w:widowControl/>
        <w:kinsoku/>
        <w:wordWrap/>
        <w:overflowPunct/>
        <w:topLinePunct w:val="0"/>
        <w:autoSpaceDE/>
        <w:autoSpaceDN/>
        <w:bidi w:val="0"/>
        <w:adjustRightInd/>
        <w:snapToGrid/>
        <w:ind w:left="0" w:hanging="600" w:hangingChars="30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474AA3B">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5000" w:type="pct"/>
        <w:tblInd w:w="0" w:type="dxa"/>
        <w:tblLayout w:type="fixed"/>
        <w:tblCellMar>
          <w:top w:w="0" w:type="dxa"/>
          <w:left w:w="0" w:type="dxa"/>
          <w:bottom w:w="0" w:type="dxa"/>
          <w:right w:w="0" w:type="dxa"/>
        </w:tblCellMar>
      </w:tblPr>
      <w:tblGrid>
        <w:gridCol w:w="1159"/>
        <w:gridCol w:w="3233"/>
        <w:gridCol w:w="1652"/>
        <w:gridCol w:w="1586"/>
        <w:gridCol w:w="1459"/>
        <w:gridCol w:w="1397"/>
        <w:gridCol w:w="1519"/>
        <w:gridCol w:w="1747"/>
      </w:tblGrid>
      <w:tr w14:paraId="56708D2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91AD7F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22038654">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6B7A580">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重庆市九龙坡区彩云湖幼儿园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120AE9D">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DDBC654">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C40ED56">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3F12A60">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6D1921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35AC2E72">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7EC93B2">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9F52C8B">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EAECD90">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FA099E1">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B24FB85">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CC8BF1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3829642">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8C9D4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7A1D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FDCD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11D1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1AE5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FD40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6F37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081D5625">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908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58DF23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E341E">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0C7DB">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30077">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F3A76">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C80FC">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941C4">
            <w:pPr>
              <w:jc w:val="center"/>
              <w:rPr>
                <w:rFonts w:hint="default" w:ascii="Times New Roman" w:hAnsi="Times New Roman" w:cs="Times New Roman"/>
                <w:b/>
                <w:color w:val="000000"/>
                <w:sz w:val="20"/>
                <w:szCs w:val="20"/>
              </w:rPr>
            </w:pPr>
          </w:p>
        </w:tc>
      </w:tr>
      <w:tr w14:paraId="41660E0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0F24A">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B3ED66">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459B8">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03E6B">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8F9B1">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744D">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46857">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2BD95">
            <w:pPr>
              <w:jc w:val="center"/>
              <w:rPr>
                <w:rFonts w:hint="default" w:ascii="Times New Roman" w:hAnsi="Times New Roman" w:cs="Times New Roman"/>
                <w:b/>
                <w:color w:val="000000"/>
                <w:sz w:val="20"/>
                <w:szCs w:val="20"/>
              </w:rPr>
            </w:pPr>
          </w:p>
        </w:tc>
      </w:tr>
      <w:tr w14:paraId="6D60FFC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A422">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D05B0E">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A6517">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46DC6">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D65C0">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4D12C">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1701A">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565F5">
            <w:pPr>
              <w:jc w:val="center"/>
              <w:rPr>
                <w:rFonts w:hint="default" w:ascii="Times New Roman" w:hAnsi="Times New Roman" w:cs="Times New Roman"/>
                <w:b/>
                <w:color w:val="000000"/>
                <w:sz w:val="20"/>
                <w:szCs w:val="20"/>
              </w:rPr>
            </w:pPr>
          </w:p>
        </w:tc>
      </w:tr>
      <w:tr w14:paraId="7AAB89F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3596">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1B0B0BD">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616A4">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D0B4">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A365E">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ABF9B">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1DDC1">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BA32C">
            <w:pPr>
              <w:jc w:val="center"/>
              <w:rPr>
                <w:rFonts w:hint="default" w:ascii="Times New Roman" w:hAnsi="Times New Roman" w:cs="Times New Roman"/>
                <w:b/>
                <w:color w:val="000000"/>
                <w:sz w:val="20"/>
                <w:szCs w:val="20"/>
              </w:rPr>
            </w:pPr>
          </w:p>
        </w:tc>
      </w:tr>
      <w:tr w14:paraId="3CB84D5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A61B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32F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5.63</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959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5.63</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400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9D0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D68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C83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54D83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2C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E03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28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EC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AC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61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4E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6C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AC9870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E5B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686F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97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64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ED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8FE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CA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2C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1CA75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D7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374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A0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D4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1E3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96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F8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0F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9BACC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29F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EBB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7D3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43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46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93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FBC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47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830C3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D5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2C5A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B6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E4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121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B51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4F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9E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9F53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03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5EE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00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FC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E3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31A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F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8C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F7405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83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7ED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35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4B2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0.27</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0C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233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3A5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E5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D45EE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1C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BB0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12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CC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BE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28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D0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2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2BD42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EA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3DA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20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34F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1E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C84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D3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66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BA6E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0C36A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701FF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4A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86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BEC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28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7C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A76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E40E559">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32A72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31E4B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0D564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BA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EF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86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42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72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3197207">
        <w:tblPrEx>
          <w:tblCellMar>
            <w:top w:w="0" w:type="dxa"/>
            <w:left w:w="0" w:type="dxa"/>
            <w:bottom w:w="0" w:type="dxa"/>
            <w:right w:w="0" w:type="dxa"/>
          </w:tblCellMar>
        </w:tblPrEx>
        <w:trPr>
          <w:trHeight w:val="382" w:hRule="atLeast"/>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02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CD90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1FD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41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65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27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4D1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03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3AADB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8F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5C1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D2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3A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37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64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248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1D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7804C5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E5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174F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6A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80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6C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51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40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171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8C0D9E2">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C932A33">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790" w:type="pct"/>
        <w:tblInd w:w="0" w:type="dxa"/>
        <w:tblLayout w:type="autofit"/>
        <w:tblCellMar>
          <w:top w:w="0" w:type="dxa"/>
          <w:left w:w="0" w:type="dxa"/>
          <w:bottom w:w="0" w:type="dxa"/>
          <w:right w:w="0" w:type="dxa"/>
        </w:tblCellMar>
      </w:tblPr>
      <w:tblGrid>
        <w:gridCol w:w="2664"/>
        <w:gridCol w:w="1365"/>
        <w:gridCol w:w="2853"/>
        <w:gridCol w:w="1520"/>
        <w:gridCol w:w="1520"/>
        <w:gridCol w:w="1520"/>
        <w:gridCol w:w="1731"/>
      </w:tblGrid>
      <w:tr w14:paraId="228BF2F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12F1B5B">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543F590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DFC4D6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重庆市九龙坡区彩云湖幼儿园</w:t>
            </w:r>
          </w:p>
        </w:tc>
        <w:tc>
          <w:tcPr>
            <w:tcW w:w="577" w:type="pct"/>
            <w:tcBorders>
              <w:top w:val="nil"/>
              <w:left w:val="nil"/>
              <w:bottom w:val="nil"/>
              <w:right w:val="nil"/>
            </w:tcBorders>
            <w:shd w:val="clear" w:color="auto" w:fill="auto"/>
            <w:noWrap/>
            <w:tcMar>
              <w:top w:w="15" w:type="dxa"/>
              <w:left w:w="15" w:type="dxa"/>
              <w:right w:w="15" w:type="dxa"/>
            </w:tcMar>
            <w:vAlign w:val="bottom"/>
          </w:tcPr>
          <w:p w14:paraId="31B5B252">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97E5B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ED200E">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75BCC6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0B90DC0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AB20A4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E093C8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A631092">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A3D646">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3F93A7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CB0FA0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907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0FF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46467107">
        <w:tblPrEx>
          <w:tblCellMar>
            <w:top w:w="0" w:type="dxa"/>
            <w:left w:w="0" w:type="dxa"/>
            <w:bottom w:w="0" w:type="dxa"/>
            <w:right w:w="0" w:type="dxa"/>
          </w:tblCellMar>
        </w:tblPrEx>
        <w:trPr>
          <w:trHeight w:val="265"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38FA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692F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A1A5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CF9A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1A0404FD">
        <w:tblPrEx>
          <w:tblCellMar>
            <w:top w:w="0" w:type="dxa"/>
            <w:left w:w="0" w:type="dxa"/>
            <w:bottom w:w="0" w:type="dxa"/>
            <w:right w:w="0" w:type="dxa"/>
          </w:tblCellMar>
        </w:tblPrEx>
        <w:trPr>
          <w:trHeight w:val="465"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F6635">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832B9">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39364">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97B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D7CA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0776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AD95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634D7BF8">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C20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81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5.63</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EB4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E0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092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49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72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6D26F4">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308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AC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A1A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64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AB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A4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FDB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E341BF">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171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B6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42B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87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37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64C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15F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4BBF1E">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E08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53C9D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94ED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03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9D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BB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A7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5B9112">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CD0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5BD1EF">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0A0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AD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70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EB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362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962BC9">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180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F5CFF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533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05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70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A84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D5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C104BE">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26A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44749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FAE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2F5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51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C5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D4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D81615">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0F4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0C62BE">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02F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49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4C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D29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75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F26D6D">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BAF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619849">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8A00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81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1F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37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69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C7EE37">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DBC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9D7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9F7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12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A2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7E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87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3E6C4B">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F852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B93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B7B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A0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5F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2A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02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B40A8A">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F21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0C9E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22F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F13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7A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69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94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AFC4DF">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559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35E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3BB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4F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FE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F6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D6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F9551C">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ED2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74A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11F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BDE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B2F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05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3C4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4E60E6">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D57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0D1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C4A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B0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E7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05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94B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F723C6">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26E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AA4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057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DD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A2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C4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BF9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AA2B44">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B4FD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E1E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3DA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48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34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D6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B1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422E7F">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8DE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BAB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1399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31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F4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A5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03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E919E8">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011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E40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DD7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F2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8E1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7EE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FB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750332">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6C4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83E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979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8A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22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88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5A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09D9FB">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B76C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E88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8CE3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75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EF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56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F31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2D3EF2">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DDFB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0769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50E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6C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A3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FE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24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0CA9D6">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675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DEB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C0A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C5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1F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1E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EED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45789B">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599E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F40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FF5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B0E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17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EB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C8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32B0D8">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8A7E4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116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290D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C0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1B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55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123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3C8C42">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714E0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78B2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28D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4C6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87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DB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CE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8AEC91">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4538">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F2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5.63</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6E07">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73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9D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44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BC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9FA0DA">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5EC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E7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4F9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D6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85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94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39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F7B789">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FCE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D3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C51569">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9883C3">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991972">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2E7581">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EA877E">
            <w:pPr>
              <w:spacing w:line="200" w:lineRule="exact"/>
              <w:rPr>
                <w:rFonts w:hint="default" w:ascii="Times New Roman" w:hAnsi="Times New Roman" w:cs="Times New Roman"/>
                <w:color w:val="000000"/>
                <w:sz w:val="18"/>
                <w:szCs w:val="18"/>
              </w:rPr>
            </w:pPr>
          </w:p>
        </w:tc>
      </w:tr>
      <w:tr w14:paraId="2FCDAB09">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12C7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54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276E">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0B78">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1617">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8F1E">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8708">
            <w:pPr>
              <w:spacing w:line="200" w:lineRule="exact"/>
              <w:jc w:val="right"/>
              <w:rPr>
                <w:rFonts w:hint="default" w:ascii="Times New Roman" w:hAnsi="Times New Roman" w:cs="Times New Roman"/>
                <w:color w:val="000000"/>
                <w:sz w:val="18"/>
                <w:szCs w:val="18"/>
              </w:rPr>
            </w:pPr>
          </w:p>
        </w:tc>
      </w:tr>
      <w:tr w14:paraId="779CB8CD">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6A79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AE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DEB62">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DFDA">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4973">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0C67">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EBF91">
            <w:pPr>
              <w:spacing w:line="200" w:lineRule="exact"/>
              <w:jc w:val="right"/>
              <w:rPr>
                <w:rFonts w:hint="default" w:ascii="Times New Roman" w:hAnsi="Times New Roman" w:cs="Times New Roman"/>
                <w:color w:val="000000"/>
                <w:sz w:val="18"/>
                <w:szCs w:val="18"/>
              </w:rPr>
            </w:pPr>
          </w:p>
        </w:tc>
      </w:tr>
      <w:tr w14:paraId="45E8495D">
        <w:tblPrEx>
          <w:tblCellMar>
            <w:top w:w="0" w:type="dxa"/>
            <w:left w:w="0" w:type="dxa"/>
            <w:bottom w:w="0" w:type="dxa"/>
            <w:right w:w="0" w:type="dxa"/>
          </w:tblCellMar>
        </w:tblPrEx>
        <w:trPr>
          <w:trHeight w:val="26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9F6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CC2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5.63</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E5D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97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E5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908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E3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5774E40A">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171"/>
        <w:gridCol w:w="3656"/>
        <w:gridCol w:w="2968"/>
        <w:gridCol w:w="2958"/>
        <w:gridCol w:w="2998"/>
      </w:tblGrid>
      <w:tr w14:paraId="61770BC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7B4DC58">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432D77C0">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ADE2B2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重庆市九龙坡区彩云湖幼儿园</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79FC4D3">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965CFC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03322C2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61F71E2">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4FC6300">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43EA96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BCF0C94">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4BB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3566F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3DF16D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3432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08D0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C410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52A0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AA2A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1BC3A6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093C8">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08D0F">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2033A">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1C3DC">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0D45E">
            <w:pPr>
              <w:jc w:val="center"/>
              <w:rPr>
                <w:rFonts w:hint="default" w:ascii="Times New Roman" w:hAnsi="Times New Roman" w:cs="Times New Roman"/>
                <w:b/>
                <w:color w:val="000000"/>
                <w:sz w:val="20"/>
                <w:szCs w:val="20"/>
              </w:rPr>
            </w:pPr>
          </w:p>
        </w:tc>
      </w:tr>
      <w:tr w14:paraId="743780D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FE967">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1199F">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400AF">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985A8">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698A6">
            <w:pPr>
              <w:jc w:val="center"/>
              <w:rPr>
                <w:rFonts w:hint="default" w:ascii="Times New Roman" w:hAnsi="Times New Roman" w:cs="Times New Roman"/>
                <w:b/>
                <w:color w:val="000000"/>
                <w:sz w:val="20"/>
                <w:szCs w:val="20"/>
              </w:rPr>
            </w:pPr>
          </w:p>
        </w:tc>
      </w:tr>
      <w:tr w14:paraId="691D0626">
        <w:tblPrEx>
          <w:tblCellMar>
            <w:top w:w="0" w:type="dxa"/>
            <w:left w:w="0" w:type="dxa"/>
            <w:bottom w:w="0" w:type="dxa"/>
            <w:right w:w="0" w:type="dxa"/>
          </w:tblCellMar>
        </w:tblPrEx>
        <w:trPr>
          <w:trHeight w:val="363" w:hRule="exac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4BBA1">
            <w:pPr>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BD980">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bCs/>
                <w:color w:val="000000"/>
                <w:sz w:val="20"/>
                <w:szCs w:val="20"/>
              </w:rPr>
              <w:t>5.63</w:t>
            </w:r>
            <w:r>
              <w:rPr>
                <w:rFonts w:hint="default" w:ascii="Times New Roman" w:hAnsi="Times New Roman" w:eastAsia="宋体"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E22B8">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bCs/>
                <w:color w:val="000000"/>
                <w:sz w:val="20"/>
                <w:szCs w:val="20"/>
              </w:rPr>
              <w:t>5.63</w:t>
            </w:r>
            <w:r>
              <w:rPr>
                <w:rFonts w:hint="default" w:ascii="Times New Roman" w:hAnsi="Times New Roman" w:eastAsia="宋体"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F74E5">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bCs/>
                <w:color w:val="000000"/>
                <w:sz w:val="20"/>
                <w:szCs w:val="20"/>
              </w:rPr>
              <w:t>0.00</w:t>
            </w:r>
            <w:r>
              <w:rPr>
                <w:rFonts w:hint="default" w:ascii="Times New Roman" w:hAnsi="Times New Roman" w:eastAsia="宋体" w:cs="Times New Roman"/>
                <w:b/>
                <w:color w:val="000000"/>
                <w:sz w:val="20"/>
                <w:u w:color="auto"/>
              </w:rPr>
              <w:t xml:space="preserve"> </w:t>
            </w:r>
          </w:p>
        </w:tc>
      </w:tr>
      <w:tr w14:paraId="7A83991D">
        <w:tblPrEx>
          <w:tblCellMar>
            <w:top w:w="0" w:type="dxa"/>
            <w:left w:w="0" w:type="dxa"/>
            <w:bottom w:w="0" w:type="dxa"/>
            <w:right w:w="0" w:type="dxa"/>
          </w:tblCellMar>
        </w:tblPrEx>
        <w:trPr>
          <w:trHeight w:val="363"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5B91">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2FA97">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012FD">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4.13</w:t>
            </w:r>
            <w:r>
              <w:rPr>
                <w:rFonts w:hint="default" w:ascii="Times New Roman" w:hAnsi="Times New Roman" w:eastAsia="宋体"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006AF">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4.13</w:t>
            </w:r>
            <w:r>
              <w:rPr>
                <w:rFonts w:hint="default" w:ascii="Times New Roman" w:hAnsi="Times New Roman" w:eastAsia="宋体"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26835">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0.00</w:t>
            </w:r>
            <w:r>
              <w:rPr>
                <w:rFonts w:hint="default" w:ascii="Times New Roman" w:hAnsi="Times New Roman" w:eastAsia="宋体" w:cs="Times New Roman"/>
                <w:b/>
                <w:color w:val="000000"/>
                <w:sz w:val="20"/>
                <w:u w:color="auto"/>
              </w:rPr>
              <w:t xml:space="preserve"> </w:t>
            </w:r>
          </w:p>
        </w:tc>
      </w:tr>
      <w:tr w14:paraId="7EC45AB2">
        <w:tblPrEx>
          <w:tblCellMar>
            <w:top w:w="0" w:type="dxa"/>
            <w:left w:w="0" w:type="dxa"/>
            <w:bottom w:w="0" w:type="dxa"/>
            <w:right w:w="0" w:type="dxa"/>
          </w:tblCellMar>
        </w:tblPrEx>
        <w:trPr>
          <w:trHeight w:val="363"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C19C">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7FEC6">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80E59">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4.13</w:t>
            </w:r>
            <w:r>
              <w:rPr>
                <w:rFonts w:hint="default" w:ascii="Times New Roman" w:hAnsi="Times New Roman" w:eastAsia="宋体"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A4910">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4.13</w:t>
            </w:r>
            <w:r>
              <w:rPr>
                <w:rFonts w:hint="default" w:ascii="Times New Roman" w:hAnsi="Times New Roman" w:eastAsia="宋体"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099B0">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0.00</w:t>
            </w:r>
            <w:r>
              <w:rPr>
                <w:rFonts w:hint="default" w:ascii="Times New Roman" w:hAnsi="Times New Roman" w:eastAsia="宋体" w:cs="Times New Roman"/>
                <w:b/>
                <w:color w:val="000000"/>
                <w:sz w:val="20"/>
                <w:u w:color="auto"/>
              </w:rPr>
              <w:t xml:space="preserve"> </w:t>
            </w:r>
          </w:p>
        </w:tc>
      </w:tr>
      <w:tr w14:paraId="76281850">
        <w:tblPrEx>
          <w:tblCellMar>
            <w:top w:w="0" w:type="dxa"/>
            <w:left w:w="0" w:type="dxa"/>
            <w:bottom w:w="0" w:type="dxa"/>
            <w:right w:w="0" w:type="dxa"/>
          </w:tblCellMar>
        </w:tblPrEx>
        <w:trPr>
          <w:trHeight w:val="363"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4616">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EDDC1">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420EA">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4.13</w:t>
            </w:r>
            <w:r>
              <w:rPr>
                <w:rFonts w:hint="default" w:ascii="Times New Roman" w:hAnsi="Times New Roman" w:eastAsia="宋体"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F6273">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4.13</w:t>
            </w:r>
            <w:r>
              <w:rPr>
                <w:rFonts w:hint="default" w:ascii="Times New Roman" w:hAnsi="Times New Roman" w:eastAsia="宋体"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D80F5">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0.00</w:t>
            </w:r>
            <w:r>
              <w:rPr>
                <w:rFonts w:hint="default" w:ascii="Times New Roman" w:hAnsi="Times New Roman" w:eastAsia="宋体" w:cs="Times New Roman"/>
                <w:color w:val="000000"/>
                <w:sz w:val="20"/>
                <w:u w:color="auto"/>
              </w:rPr>
              <w:t xml:space="preserve"> </w:t>
            </w:r>
          </w:p>
        </w:tc>
      </w:tr>
      <w:tr w14:paraId="61688F9D">
        <w:tblPrEx>
          <w:tblCellMar>
            <w:top w:w="0" w:type="dxa"/>
            <w:left w:w="0" w:type="dxa"/>
            <w:bottom w:w="0" w:type="dxa"/>
            <w:right w:w="0" w:type="dxa"/>
          </w:tblCellMar>
        </w:tblPrEx>
        <w:trPr>
          <w:trHeight w:val="363"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37BC">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853E9">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311F9">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0.80</w:t>
            </w:r>
            <w:r>
              <w:rPr>
                <w:rFonts w:hint="default" w:ascii="Times New Roman" w:hAnsi="Times New Roman" w:eastAsia="宋体"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0FA35">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0.80</w:t>
            </w:r>
            <w:r>
              <w:rPr>
                <w:rFonts w:hint="default" w:ascii="Times New Roman" w:hAnsi="Times New Roman" w:eastAsia="宋体"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3D1A3">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0.00</w:t>
            </w:r>
            <w:r>
              <w:rPr>
                <w:rFonts w:hint="default" w:ascii="Times New Roman" w:hAnsi="Times New Roman" w:eastAsia="宋体" w:cs="Times New Roman"/>
                <w:b/>
                <w:color w:val="000000"/>
                <w:sz w:val="20"/>
                <w:u w:color="auto"/>
              </w:rPr>
              <w:t xml:space="preserve"> </w:t>
            </w:r>
          </w:p>
        </w:tc>
      </w:tr>
      <w:tr w14:paraId="6D4B1853">
        <w:tblPrEx>
          <w:tblCellMar>
            <w:top w:w="0" w:type="dxa"/>
            <w:left w:w="0" w:type="dxa"/>
            <w:bottom w:w="0" w:type="dxa"/>
            <w:right w:w="0" w:type="dxa"/>
          </w:tblCellMar>
        </w:tblPrEx>
        <w:trPr>
          <w:trHeight w:val="363"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31F9">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BCE2B">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2A594">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0.80</w:t>
            </w:r>
            <w:r>
              <w:rPr>
                <w:rFonts w:hint="default" w:ascii="Times New Roman" w:hAnsi="Times New Roman" w:eastAsia="宋体"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577AF">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0.80</w:t>
            </w:r>
            <w:r>
              <w:rPr>
                <w:rFonts w:hint="default" w:ascii="Times New Roman" w:hAnsi="Times New Roman" w:eastAsia="宋体"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F91A9">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0.00</w:t>
            </w:r>
            <w:r>
              <w:rPr>
                <w:rFonts w:hint="default" w:ascii="Times New Roman" w:hAnsi="Times New Roman" w:eastAsia="宋体" w:cs="Times New Roman"/>
                <w:b/>
                <w:color w:val="000000"/>
                <w:sz w:val="20"/>
                <w:u w:color="auto"/>
              </w:rPr>
              <w:t xml:space="preserve"> </w:t>
            </w:r>
          </w:p>
        </w:tc>
      </w:tr>
      <w:tr w14:paraId="41436805">
        <w:tblPrEx>
          <w:tblCellMar>
            <w:top w:w="0" w:type="dxa"/>
            <w:left w:w="0" w:type="dxa"/>
            <w:bottom w:w="0" w:type="dxa"/>
            <w:right w:w="0" w:type="dxa"/>
          </w:tblCellMar>
        </w:tblPrEx>
        <w:trPr>
          <w:trHeight w:val="363"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DF02">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F4DD4">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ED725">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0.53</w:t>
            </w:r>
            <w:r>
              <w:rPr>
                <w:rFonts w:hint="default" w:ascii="Times New Roman" w:hAnsi="Times New Roman" w:eastAsia="宋体"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EEC4A">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0.53</w:t>
            </w:r>
            <w:r>
              <w:rPr>
                <w:rFonts w:hint="default" w:ascii="Times New Roman" w:hAnsi="Times New Roman" w:eastAsia="宋体"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51163">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0.00</w:t>
            </w:r>
            <w:r>
              <w:rPr>
                <w:rFonts w:hint="default" w:ascii="Times New Roman" w:hAnsi="Times New Roman" w:eastAsia="宋体" w:cs="Times New Roman"/>
                <w:color w:val="000000"/>
                <w:sz w:val="20"/>
                <w:u w:color="auto"/>
              </w:rPr>
              <w:t xml:space="preserve"> </w:t>
            </w:r>
          </w:p>
        </w:tc>
      </w:tr>
      <w:tr w14:paraId="523BD269">
        <w:tblPrEx>
          <w:tblCellMar>
            <w:top w:w="0" w:type="dxa"/>
            <w:left w:w="0" w:type="dxa"/>
            <w:bottom w:w="0" w:type="dxa"/>
            <w:right w:w="0" w:type="dxa"/>
          </w:tblCellMar>
        </w:tblPrEx>
        <w:trPr>
          <w:trHeight w:val="363"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B9BE">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BAF87">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6C809">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0.27</w:t>
            </w:r>
            <w:r>
              <w:rPr>
                <w:rFonts w:hint="default" w:ascii="Times New Roman" w:hAnsi="Times New Roman" w:eastAsia="宋体"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D1876">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0.27</w:t>
            </w:r>
            <w:r>
              <w:rPr>
                <w:rFonts w:hint="default" w:ascii="Times New Roman" w:hAnsi="Times New Roman" w:eastAsia="宋体"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D46C9">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0.00</w:t>
            </w:r>
            <w:r>
              <w:rPr>
                <w:rFonts w:hint="default" w:ascii="Times New Roman" w:hAnsi="Times New Roman" w:eastAsia="宋体" w:cs="Times New Roman"/>
                <w:color w:val="000000"/>
                <w:sz w:val="20"/>
                <w:u w:color="auto"/>
              </w:rPr>
              <w:t xml:space="preserve"> </w:t>
            </w:r>
          </w:p>
        </w:tc>
      </w:tr>
      <w:tr w14:paraId="30C01351">
        <w:tblPrEx>
          <w:tblCellMar>
            <w:top w:w="0" w:type="dxa"/>
            <w:left w:w="0" w:type="dxa"/>
            <w:bottom w:w="0" w:type="dxa"/>
            <w:right w:w="0" w:type="dxa"/>
          </w:tblCellMar>
        </w:tblPrEx>
        <w:trPr>
          <w:trHeight w:val="363"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B9C5D">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AEC7B">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668BC">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0.22</w:t>
            </w:r>
            <w:r>
              <w:rPr>
                <w:rFonts w:hint="default" w:ascii="Times New Roman" w:hAnsi="Times New Roman" w:eastAsia="宋体"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0882B">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0.22</w:t>
            </w:r>
            <w:r>
              <w:rPr>
                <w:rFonts w:hint="default" w:ascii="Times New Roman" w:hAnsi="Times New Roman" w:eastAsia="宋体"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D9826">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0.00</w:t>
            </w:r>
            <w:r>
              <w:rPr>
                <w:rFonts w:hint="default" w:ascii="Times New Roman" w:hAnsi="Times New Roman" w:eastAsia="宋体" w:cs="Times New Roman"/>
                <w:b/>
                <w:color w:val="000000"/>
                <w:sz w:val="20"/>
                <w:u w:color="auto"/>
              </w:rPr>
              <w:t xml:space="preserve"> </w:t>
            </w:r>
          </w:p>
        </w:tc>
      </w:tr>
      <w:tr w14:paraId="5C1A01FC">
        <w:tblPrEx>
          <w:tblCellMar>
            <w:top w:w="0" w:type="dxa"/>
            <w:left w:w="0" w:type="dxa"/>
            <w:bottom w:w="0" w:type="dxa"/>
            <w:right w:w="0" w:type="dxa"/>
          </w:tblCellMar>
        </w:tblPrEx>
        <w:trPr>
          <w:trHeight w:val="363"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4CAB">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AE090">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B97B8">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0.22</w:t>
            </w:r>
            <w:r>
              <w:rPr>
                <w:rFonts w:hint="default" w:ascii="Times New Roman" w:hAnsi="Times New Roman" w:eastAsia="宋体"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3E1A3">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0.22</w:t>
            </w:r>
            <w:r>
              <w:rPr>
                <w:rFonts w:hint="default" w:ascii="Times New Roman" w:hAnsi="Times New Roman" w:eastAsia="宋体"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1A775">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0.00</w:t>
            </w:r>
            <w:r>
              <w:rPr>
                <w:rFonts w:hint="default" w:ascii="Times New Roman" w:hAnsi="Times New Roman" w:eastAsia="宋体" w:cs="Times New Roman"/>
                <w:b/>
                <w:color w:val="000000"/>
                <w:sz w:val="20"/>
                <w:u w:color="auto"/>
              </w:rPr>
              <w:t xml:space="preserve"> </w:t>
            </w:r>
          </w:p>
        </w:tc>
      </w:tr>
      <w:tr w14:paraId="777DEF21">
        <w:tblPrEx>
          <w:tblCellMar>
            <w:top w:w="0" w:type="dxa"/>
            <w:left w:w="0" w:type="dxa"/>
            <w:bottom w:w="0" w:type="dxa"/>
            <w:right w:w="0" w:type="dxa"/>
          </w:tblCellMar>
        </w:tblPrEx>
        <w:trPr>
          <w:trHeight w:val="363"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2184">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53ADC">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7B66A">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0.19</w:t>
            </w:r>
            <w:r>
              <w:rPr>
                <w:rFonts w:hint="default" w:ascii="Times New Roman" w:hAnsi="Times New Roman" w:eastAsia="宋体"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19309">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0.19</w:t>
            </w:r>
            <w:r>
              <w:rPr>
                <w:rFonts w:hint="default" w:ascii="Times New Roman" w:hAnsi="Times New Roman" w:eastAsia="宋体"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156BC">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0.00</w:t>
            </w:r>
            <w:r>
              <w:rPr>
                <w:rFonts w:hint="default" w:ascii="Times New Roman" w:hAnsi="Times New Roman" w:eastAsia="宋体" w:cs="Times New Roman"/>
                <w:color w:val="000000"/>
                <w:sz w:val="20"/>
                <w:u w:color="auto"/>
              </w:rPr>
              <w:t xml:space="preserve"> </w:t>
            </w:r>
          </w:p>
        </w:tc>
      </w:tr>
      <w:tr w14:paraId="2D31AB21">
        <w:tblPrEx>
          <w:tblCellMar>
            <w:top w:w="0" w:type="dxa"/>
            <w:left w:w="0" w:type="dxa"/>
            <w:bottom w:w="0" w:type="dxa"/>
            <w:right w:w="0" w:type="dxa"/>
          </w:tblCellMar>
        </w:tblPrEx>
        <w:trPr>
          <w:trHeight w:val="363"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F942">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D5E7E">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F111B">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0.03</w:t>
            </w:r>
            <w:r>
              <w:rPr>
                <w:rFonts w:hint="default" w:ascii="Times New Roman" w:hAnsi="Times New Roman" w:eastAsia="宋体"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7F29E">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0.03</w:t>
            </w:r>
            <w:r>
              <w:rPr>
                <w:rFonts w:hint="default" w:ascii="Times New Roman" w:hAnsi="Times New Roman" w:eastAsia="宋体"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77CD2">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0.00</w:t>
            </w:r>
            <w:r>
              <w:rPr>
                <w:rFonts w:hint="default" w:ascii="Times New Roman" w:hAnsi="Times New Roman" w:eastAsia="宋体" w:cs="Times New Roman"/>
                <w:color w:val="000000"/>
                <w:sz w:val="20"/>
                <w:u w:color="auto"/>
              </w:rPr>
              <w:t xml:space="preserve"> </w:t>
            </w:r>
          </w:p>
        </w:tc>
      </w:tr>
      <w:tr w14:paraId="4E475CC4">
        <w:tblPrEx>
          <w:tblCellMar>
            <w:top w:w="0" w:type="dxa"/>
            <w:left w:w="0" w:type="dxa"/>
            <w:bottom w:w="0" w:type="dxa"/>
            <w:right w:w="0" w:type="dxa"/>
          </w:tblCellMar>
        </w:tblPrEx>
        <w:trPr>
          <w:trHeight w:val="363" w:hRule="exact"/>
        </w:trPr>
        <w:tc>
          <w:tcPr>
            <w:tcW w:w="4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6D1A5B8">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221</w:t>
            </w:r>
          </w:p>
        </w:tc>
        <w:tc>
          <w:tcPr>
            <w:tcW w:w="13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C3BF4E3">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住房保障支出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EFC7DE0">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0.48</w:t>
            </w:r>
            <w:r>
              <w:rPr>
                <w:rFonts w:hint="default" w:ascii="Times New Roman" w:hAnsi="Times New Roman" w:eastAsia="宋体" w:cs="Times New Roman"/>
                <w:b/>
                <w:color w:val="000000"/>
                <w:sz w:val="20"/>
                <w:u w:color="auto"/>
              </w:rPr>
              <w:t xml:space="preserve"> </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8E1C207">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0.48</w:t>
            </w:r>
            <w:r>
              <w:rPr>
                <w:rFonts w:hint="default" w:ascii="Times New Roman" w:hAnsi="Times New Roman" w:eastAsia="宋体" w:cs="Times New Roman"/>
                <w:b/>
                <w:color w:val="000000"/>
                <w:sz w:val="20"/>
                <w:u w:color="auto"/>
              </w:rPr>
              <w:t xml:space="preserve"> </w:t>
            </w:r>
          </w:p>
        </w:tc>
        <w:tc>
          <w:tcPr>
            <w:tcW w:w="108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65A5635">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0.00</w:t>
            </w:r>
            <w:r>
              <w:rPr>
                <w:rFonts w:hint="default" w:ascii="Times New Roman" w:hAnsi="Times New Roman" w:eastAsia="宋体" w:cs="Times New Roman"/>
                <w:b/>
                <w:color w:val="000000"/>
                <w:sz w:val="20"/>
                <w:u w:color="auto"/>
              </w:rPr>
              <w:t xml:space="preserve"> </w:t>
            </w:r>
          </w:p>
        </w:tc>
      </w:tr>
      <w:tr w14:paraId="2739BD13">
        <w:tblPrEx>
          <w:tblCellMar>
            <w:top w:w="0" w:type="dxa"/>
            <w:left w:w="0" w:type="dxa"/>
            <w:bottom w:w="0" w:type="dxa"/>
            <w:right w:w="0" w:type="dxa"/>
          </w:tblCellMar>
        </w:tblPrEx>
        <w:trPr>
          <w:trHeight w:val="363" w:hRule="exact"/>
        </w:trPr>
        <w:tc>
          <w:tcPr>
            <w:tcW w:w="426"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E2E9171">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22102</w:t>
            </w:r>
          </w:p>
        </w:tc>
        <w:tc>
          <w:tcPr>
            <w:tcW w:w="1329"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1AA8C13">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住房改革支出</w:t>
            </w:r>
          </w:p>
        </w:tc>
        <w:tc>
          <w:tcPr>
            <w:tcW w:w="1078"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405C8FC">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0.48</w:t>
            </w:r>
            <w:r>
              <w:rPr>
                <w:rFonts w:hint="default" w:ascii="Times New Roman" w:hAnsi="Times New Roman" w:eastAsia="宋体" w:cs="Times New Roman"/>
                <w:b/>
                <w:color w:val="000000"/>
                <w:sz w:val="20"/>
                <w:u w:color="auto"/>
              </w:rPr>
              <w:t xml:space="preserve"> </w:t>
            </w:r>
          </w:p>
        </w:tc>
        <w:tc>
          <w:tcPr>
            <w:tcW w:w="107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F033496">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0.48</w:t>
            </w:r>
            <w:r>
              <w:rPr>
                <w:rFonts w:hint="default" w:ascii="Times New Roman" w:hAnsi="Times New Roman" w:eastAsia="宋体" w:cs="Times New Roman"/>
                <w:b/>
                <w:color w:val="000000"/>
                <w:sz w:val="20"/>
                <w:u w:color="auto"/>
              </w:rPr>
              <w:t xml:space="preserve"> </w:t>
            </w:r>
          </w:p>
        </w:tc>
        <w:tc>
          <w:tcPr>
            <w:tcW w:w="1088"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07289DCC">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0.00</w:t>
            </w:r>
            <w:r>
              <w:rPr>
                <w:rFonts w:hint="default" w:ascii="Times New Roman" w:hAnsi="Times New Roman" w:eastAsia="宋体" w:cs="Times New Roman"/>
                <w:b/>
                <w:color w:val="000000"/>
                <w:sz w:val="20"/>
                <w:u w:color="auto"/>
              </w:rPr>
              <w:t xml:space="preserve"> </w:t>
            </w:r>
          </w:p>
        </w:tc>
      </w:tr>
      <w:tr w14:paraId="1712ABB7">
        <w:tblPrEx>
          <w:tblCellMar>
            <w:top w:w="0" w:type="dxa"/>
            <w:left w:w="0" w:type="dxa"/>
            <w:bottom w:w="0" w:type="dxa"/>
            <w:right w:w="0" w:type="dxa"/>
          </w:tblCellMar>
        </w:tblPrEx>
        <w:trPr>
          <w:trHeight w:val="363" w:hRule="exact"/>
        </w:trPr>
        <w:tc>
          <w:tcPr>
            <w:tcW w:w="4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5DAB">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2210201</w:t>
            </w:r>
          </w:p>
        </w:tc>
        <w:tc>
          <w:tcPr>
            <w:tcW w:w="132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2BDCF4">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住房公积金</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49D967">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0.48</w:t>
            </w:r>
            <w:r>
              <w:rPr>
                <w:rFonts w:hint="default" w:ascii="Times New Roman" w:hAnsi="Times New Roman" w:eastAsia="宋体" w:cs="Times New Roman"/>
                <w:color w:val="000000"/>
                <w:sz w:val="20"/>
                <w:u w:color="auto"/>
              </w:rPr>
              <w:t xml:space="preserve"> </w:t>
            </w:r>
          </w:p>
        </w:tc>
        <w:tc>
          <w:tcPr>
            <w:tcW w:w="10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A31B4F">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0.48</w:t>
            </w:r>
            <w:r>
              <w:rPr>
                <w:rFonts w:hint="default" w:ascii="Times New Roman" w:hAnsi="Times New Roman" w:eastAsia="宋体" w:cs="Times New Roman"/>
                <w:color w:val="000000"/>
                <w:sz w:val="20"/>
                <w:u w:color="auto"/>
              </w:rPr>
              <w:t xml:space="preserve"> </w:t>
            </w:r>
          </w:p>
        </w:tc>
        <w:tc>
          <w:tcPr>
            <w:tcW w:w="108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7BD67E">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0.00</w:t>
            </w:r>
            <w:r>
              <w:rPr>
                <w:rFonts w:hint="default" w:ascii="Times New Roman" w:hAnsi="Times New Roman" w:eastAsia="宋体" w:cs="Times New Roman"/>
                <w:color w:val="000000"/>
                <w:sz w:val="20"/>
                <w:u w:color="auto"/>
              </w:rPr>
              <w:t xml:space="preserve"> </w:t>
            </w:r>
          </w:p>
        </w:tc>
      </w:tr>
    </w:tbl>
    <w:p w14:paraId="60163A34">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9ECDCCE">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4" w:type="pct"/>
        <w:tblInd w:w="0" w:type="dxa"/>
        <w:tblLayout w:type="fixed"/>
        <w:tblCellMar>
          <w:top w:w="0" w:type="dxa"/>
          <w:left w:w="0" w:type="dxa"/>
          <w:bottom w:w="0" w:type="dxa"/>
          <w:right w:w="0" w:type="dxa"/>
        </w:tblCellMar>
      </w:tblPr>
      <w:tblGrid>
        <w:gridCol w:w="720"/>
        <w:gridCol w:w="2521"/>
        <w:gridCol w:w="1383"/>
        <w:gridCol w:w="784"/>
        <w:gridCol w:w="1823"/>
        <w:gridCol w:w="1271"/>
        <w:gridCol w:w="784"/>
        <w:gridCol w:w="3109"/>
        <w:gridCol w:w="1339"/>
      </w:tblGrid>
      <w:tr w14:paraId="24042A9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3A77A2B">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4F583DBF">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8CA67F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重庆市九龙坡区彩云湖幼儿园</w:t>
            </w:r>
          </w:p>
        </w:tc>
        <w:tc>
          <w:tcPr>
            <w:tcW w:w="463" w:type="pct"/>
            <w:tcBorders>
              <w:top w:val="nil"/>
              <w:left w:val="nil"/>
              <w:bottom w:val="nil"/>
              <w:right w:val="nil"/>
            </w:tcBorders>
            <w:shd w:val="clear" w:color="auto" w:fill="auto"/>
            <w:noWrap/>
            <w:tcMar>
              <w:top w:w="15" w:type="dxa"/>
              <w:left w:w="15" w:type="dxa"/>
              <w:right w:w="15" w:type="dxa"/>
            </w:tcMar>
            <w:vAlign w:val="bottom"/>
          </w:tcPr>
          <w:p w14:paraId="0884648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581A0D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15F24CC">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91AAD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0634A35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367F9FD">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33CBC7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A1E8D9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92B361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CD2818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7F2ADC9">
        <w:tblPrEx>
          <w:tblCellMar>
            <w:top w:w="0" w:type="dxa"/>
            <w:left w:w="0" w:type="dxa"/>
            <w:bottom w:w="0" w:type="dxa"/>
            <w:right w:w="0" w:type="dxa"/>
          </w:tblCellMar>
        </w:tblPrEx>
        <w:trPr>
          <w:trHeight w:val="249"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384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5D3C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5B1E50E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2427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A581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E43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FBB2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B441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B1F4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F141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237B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37FD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8156C1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7BA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B7B2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B92B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43E5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ECC7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DD2C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298A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9681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ADE7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2ABD9D22">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53A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83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FE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998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32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B44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F5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E1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34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B5EC08">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36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3B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8A2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17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523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8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3C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7A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8F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090660">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09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29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82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C6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760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6AC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C7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3D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98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10461C">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B0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C4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7D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BC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7E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82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A6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AC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C2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ADAAE2">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A6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F2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E8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64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BB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DF5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CC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E7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BB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D311BA">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47F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2A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9C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CC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FC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04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B5B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8C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B9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A51C2C">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60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E46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839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55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BF8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4F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B02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6E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92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A7BC0B">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11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35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55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D8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21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3CC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58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C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37A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097164">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9C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20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0D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2F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53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3E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B8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76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AC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B0BC23">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FD4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4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FC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24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1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ED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EA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ED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29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6983A3">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7E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78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A9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A6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D9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D3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CC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DC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CE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EE6BC5">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AA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6E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8D5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43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30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E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A14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B3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60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76A939">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DB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CD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60C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4F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B6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84E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4CA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33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9D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7DE97D">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35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4D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33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C5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ED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C0B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D9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1B6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98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9B5B8C">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2C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F37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EF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038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3E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23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8D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4C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DFC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378762">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86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19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E0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40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5B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49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0C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A1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6DD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80792B">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79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72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54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F7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F2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B9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5E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CF4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AE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5856EC">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BF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CF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2C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A8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EE1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31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02A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50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3A9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D30CF5">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1B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B98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B70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FC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BC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E3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89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16F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38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70AC3A">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13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9B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9B5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E2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6D8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29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FD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73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63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B2DB56">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7D4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5BD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F7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F7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D5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97D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DE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77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E9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F2957A">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D6E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CC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88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F4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4C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75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12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FC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72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146611">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F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6F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2F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A4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1B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25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79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64D7D">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EC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A04CCB">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00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DE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F5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C4D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8C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E2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5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4B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F0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749421">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EE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2B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392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B5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EF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5EE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C2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3F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8D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9CB0AC">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E8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53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E8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D2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AA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D7C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F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45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E7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1F360F">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D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60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AC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8B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2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DE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67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4EB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C1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CD4F80">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D4F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A7C4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D34A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1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A3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BD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96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A0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1C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F73FBC">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7FA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1037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78CC4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D8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D4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85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67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DC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35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F1EAC1">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473A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1F7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AE752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C3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42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480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82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1C3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98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A54133">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DCC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AB3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964E1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049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C1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F8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725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CBBC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CE24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45DBA498">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267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670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5A9C1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1C4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5E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6A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C5E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09F2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B64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6DF409D8">
        <w:tblPrEx>
          <w:tblCellMar>
            <w:top w:w="0" w:type="dxa"/>
            <w:left w:w="0" w:type="dxa"/>
            <w:bottom w:w="0" w:type="dxa"/>
            <w:right w:w="0" w:type="dxa"/>
          </w:tblCellMar>
        </w:tblPrEx>
        <w:trPr>
          <w:trHeight w:val="24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CC99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E230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CC7CB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81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C5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AE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091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DA8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D9E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3CA6895D">
        <w:tblPrEx>
          <w:tblCellMar>
            <w:top w:w="0" w:type="dxa"/>
            <w:left w:w="0" w:type="dxa"/>
            <w:bottom w:w="0" w:type="dxa"/>
            <w:right w:w="0" w:type="dxa"/>
          </w:tblCellMar>
        </w:tblPrEx>
        <w:trPr>
          <w:trHeight w:val="249"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C4D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A76B64">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E591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528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w:t>
            </w:r>
            <w:r>
              <w:rPr>
                <w:rFonts w:hint="default" w:ascii="Times New Roman" w:hAnsi="Times New Roman" w:cs="Times New Roman"/>
                <w:color w:val="000000"/>
                <w:sz w:val="18"/>
                <w:u w:color="auto"/>
              </w:rPr>
              <w:t xml:space="preserve"> </w:t>
            </w:r>
          </w:p>
        </w:tc>
      </w:tr>
    </w:tbl>
    <w:p w14:paraId="3BD96F8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184"/>
        <w:gridCol w:w="3226"/>
        <w:gridCol w:w="1526"/>
        <w:gridCol w:w="1526"/>
        <w:gridCol w:w="1526"/>
        <w:gridCol w:w="1526"/>
        <w:gridCol w:w="1585"/>
        <w:gridCol w:w="1650"/>
      </w:tblGrid>
      <w:tr w14:paraId="4B160BB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CF006C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5506394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20DD4E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重庆市九龙坡区彩云湖幼儿园</w:t>
            </w:r>
          </w:p>
        </w:tc>
        <w:tc>
          <w:tcPr>
            <w:tcW w:w="555" w:type="pct"/>
            <w:tcBorders>
              <w:top w:val="nil"/>
              <w:left w:val="nil"/>
              <w:bottom w:val="nil"/>
              <w:right w:val="nil"/>
            </w:tcBorders>
            <w:shd w:val="clear" w:color="auto" w:fill="auto"/>
            <w:noWrap/>
            <w:tcMar>
              <w:top w:w="15" w:type="dxa"/>
              <w:left w:w="15" w:type="dxa"/>
              <w:right w:w="15" w:type="dxa"/>
            </w:tcMar>
            <w:vAlign w:val="bottom"/>
          </w:tcPr>
          <w:p w14:paraId="54774FB3">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A4EF5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AA1B773">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11E9B8C">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2E8A9C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1858762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12DC48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2671D9">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89F35F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CA9377E">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C9D2CFD">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BE34C6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451D41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20D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54A77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2783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DF4E6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4E36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2FAB641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3D2A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326A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F9F14B">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EAC8B">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9F3B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A095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5FBE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C96E3">
            <w:pPr>
              <w:jc w:val="center"/>
              <w:rPr>
                <w:rFonts w:hint="default" w:ascii="Times New Roman" w:hAnsi="Times New Roman" w:cs="Times New Roman"/>
                <w:b/>
                <w:color w:val="000000"/>
                <w:sz w:val="20"/>
                <w:szCs w:val="20"/>
              </w:rPr>
            </w:pPr>
          </w:p>
        </w:tc>
      </w:tr>
      <w:tr w14:paraId="031A2C8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410F2">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45924">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742219">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7FCDF">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41456">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BCB0B">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130BF">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4BB5">
            <w:pPr>
              <w:jc w:val="center"/>
              <w:rPr>
                <w:rFonts w:hint="default" w:ascii="Times New Roman" w:hAnsi="Times New Roman" w:cs="Times New Roman"/>
                <w:b/>
                <w:color w:val="000000"/>
                <w:sz w:val="20"/>
                <w:szCs w:val="20"/>
              </w:rPr>
            </w:pPr>
          </w:p>
        </w:tc>
      </w:tr>
      <w:tr w14:paraId="559D3B2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6698F">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86A9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CFE99E">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2D03C">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0F274">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D68A0">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BB962">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D7EF5">
            <w:pPr>
              <w:jc w:val="center"/>
              <w:rPr>
                <w:rFonts w:hint="default" w:ascii="Times New Roman" w:hAnsi="Times New Roman" w:cs="Times New Roman"/>
                <w:b/>
                <w:color w:val="000000"/>
                <w:sz w:val="20"/>
                <w:szCs w:val="20"/>
              </w:rPr>
            </w:pPr>
          </w:p>
        </w:tc>
      </w:tr>
      <w:tr w14:paraId="75CD179C">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216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096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84C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27B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999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1C0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01A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74F11C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F73B3">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27263">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B35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A4B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EFA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C91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567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855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9BD837D">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2F3087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162"/>
        <w:gridCol w:w="3246"/>
        <w:gridCol w:w="2938"/>
        <w:gridCol w:w="170"/>
        <w:gridCol w:w="3107"/>
        <w:gridCol w:w="76"/>
        <w:gridCol w:w="3051"/>
      </w:tblGrid>
      <w:tr w14:paraId="72C7833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8E9648E">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B2343F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6CB98F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重庆市九龙坡区彩云湖幼儿园</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2225F63">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192C64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78639F8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9142291">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6F080BF">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109D4C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980690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25E54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1D865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187589D">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5D0A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EE95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3FF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1582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9E37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263F0B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E5A92">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D5923">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8F854">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8332C">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A404B">
            <w:pPr>
              <w:jc w:val="center"/>
              <w:rPr>
                <w:rFonts w:hint="default" w:ascii="Times New Roman" w:hAnsi="Times New Roman" w:cs="Times New Roman"/>
                <w:b/>
                <w:color w:val="000000"/>
                <w:sz w:val="20"/>
                <w:szCs w:val="20"/>
              </w:rPr>
            </w:pPr>
          </w:p>
        </w:tc>
      </w:tr>
      <w:tr w14:paraId="09D551E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D20E2">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D8154">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A4080">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2F1CC">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ABB52">
            <w:pPr>
              <w:jc w:val="center"/>
              <w:rPr>
                <w:rFonts w:hint="default" w:ascii="Times New Roman" w:hAnsi="Times New Roman" w:cs="Times New Roman"/>
                <w:b/>
                <w:color w:val="000000"/>
                <w:sz w:val="20"/>
                <w:szCs w:val="20"/>
              </w:rPr>
            </w:pPr>
          </w:p>
        </w:tc>
      </w:tr>
      <w:tr w14:paraId="3966EA37">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15180">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A824D">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D4555">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F9AFD">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175B1">
            <w:pPr>
              <w:jc w:val="center"/>
              <w:rPr>
                <w:rFonts w:hint="default" w:ascii="Times New Roman" w:hAnsi="Times New Roman" w:cs="Times New Roman"/>
                <w:b/>
                <w:color w:val="000000"/>
                <w:sz w:val="20"/>
                <w:szCs w:val="20"/>
              </w:rPr>
            </w:pPr>
          </w:p>
        </w:tc>
      </w:tr>
      <w:tr w14:paraId="31EDA6BC">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9993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2A1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9A8CA">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DC7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1FC2624">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75E5">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F4E87">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118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B3861">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242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7DEC81F7">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E4B3CDE">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tblInd w:w="0" w:type="dxa"/>
        <w:tblLayout w:type="fixed"/>
        <w:tblCellMar>
          <w:top w:w="0" w:type="dxa"/>
          <w:left w:w="170" w:type="dxa"/>
          <w:bottom w:w="0" w:type="dxa"/>
          <w:right w:w="170" w:type="dxa"/>
        </w:tblCellMar>
      </w:tblPr>
      <w:tblGrid>
        <w:gridCol w:w="2853"/>
        <w:gridCol w:w="2167"/>
        <w:gridCol w:w="2132"/>
        <w:gridCol w:w="3297"/>
        <w:gridCol w:w="2231"/>
      </w:tblGrid>
      <w:tr w14:paraId="0644EC1D">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72644E2">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5242341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F1D0BDA">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62ECA654">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4B2F0752">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75CFE88B">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2A7FBC21">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003D27A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BE2BFCC">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重庆市九龙坡区彩云湖幼儿园</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5083A0F">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8348492">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49DBD79">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9F7FCC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C7F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D13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426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91A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5B63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2BD823A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541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476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F57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099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186B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4635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24E5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CEAB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AA3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B02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E1CD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CFBF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F8E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9CF3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DFA4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52E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7305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44B1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369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D329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D42C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AB8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0F7C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4F983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DCCF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E164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838C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E28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BE1C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EE0A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B18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E4DD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209C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A770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FD43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3182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632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CAB5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8C79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C90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EEB6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D1975B">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23B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085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3215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7F3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4C04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5C8A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E76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482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E399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174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B034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8B78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81F7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5B5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BA90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7860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05AB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8D33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963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790D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E021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716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FB62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FF02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1EE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257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1AFF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777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2540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CAF3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06F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7AE3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4886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34C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78C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0A2D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E91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9A3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984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85F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8BB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FA91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CDCB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580C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7F83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E0F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1167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EB94A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E5A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5DA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2929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F79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805A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2460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C5E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779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A564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9B8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F48C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A509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575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2671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AAC4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89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23B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2EB9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35B2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49A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798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C2EF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680A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5291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290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1847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DF30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06A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7156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886D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AD5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074B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5EB7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323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5575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0706D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0EB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105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80D8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168D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07831">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57DB56F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BBD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E679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AF51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0.02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9226E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CC0B0B">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2AFFF58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032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58E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C5B4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10BD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2E042D">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30976D1C">
      <w:pPr>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2098" w:right="1531" w:bottom="1984" w:left="1531"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6CF3AAEE-E2B4-4CFA-A846-77A7FA181DE9}"/>
  </w:font>
  <w:font w:name="方正黑体_GBK">
    <w:panose1 w:val="03000509000000000000"/>
    <w:charset w:val="86"/>
    <w:family w:val="script"/>
    <w:pitch w:val="default"/>
    <w:sig w:usb0="00000001" w:usb1="080E0000" w:usb2="00000000" w:usb3="00000000" w:csb0="00040000" w:csb1="00000000"/>
    <w:embedRegular r:id="rId2" w:fontKey="{29464160-16FD-47EB-B45B-F3F05AC638A5}"/>
  </w:font>
  <w:font w:name="方正楷体_GBK">
    <w:panose1 w:val="03000509000000000000"/>
    <w:charset w:val="86"/>
    <w:family w:val="script"/>
    <w:pitch w:val="default"/>
    <w:sig w:usb0="00000001" w:usb1="080E0000" w:usb2="00000000" w:usb3="00000000" w:csb0="00040000" w:csb1="00000000"/>
    <w:embedRegular r:id="rId3" w:fontKey="{AF042F45-F70C-473C-A609-B0119E421208}"/>
  </w:font>
  <w:font w:name="方正仿宋_GBK">
    <w:panose1 w:val="03000509000000000000"/>
    <w:charset w:val="86"/>
    <w:family w:val="script"/>
    <w:pitch w:val="default"/>
    <w:sig w:usb0="00000001" w:usb1="080E0000" w:usb2="00000000" w:usb3="00000000" w:csb0="00040000" w:csb1="00000000"/>
    <w:embedRegular r:id="rId4" w:fontKey="{0253B285-7E41-4FA5-9EF0-E1998A11DE4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F8CAB">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A51D29">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9A51D29">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84E4B">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4FF0C7">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F4FF0C7">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4C7EA76">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4C7EA76">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22DB4">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E71F9"/>
    <w:multiLevelType w:val="singleLevel"/>
    <w:tmpl w:val="FC9E71F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NWQ5N2E5NjA3YzkyMGY1MmY5OGZhMWY0ZWIxZTQifQ=="/>
  </w:docVars>
  <w:rsids>
    <w:rsidRoot w:val="00B03CCD"/>
    <w:rsid w:val="000D7BCC"/>
    <w:rsid w:val="00550ABE"/>
    <w:rsid w:val="00733267"/>
    <w:rsid w:val="007B419D"/>
    <w:rsid w:val="009B67B8"/>
    <w:rsid w:val="00B03CCD"/>
    <w:rsid w:val="01474EBF"/>
    <w:rsid w:val="019020B1"/>
    <w:rsid w:val="01F3521E"/>
    <w:rsid w:val="02056D00"/>
    <w:rsid w:val="03476C86"/>
    <w:rsid w:val="03A52548"/>
    <w:rsid w:val="03E3214F"/>
    <w:rsid w:val="04446191"/>
    <w:rsid w:val="044C50BA"/>
    <w:rsid w:val="0536621F"/>
    <w:rsid w:val="05635C08"/>
    <w:rsid w:val="05E71467"/>
    <w:rsid w:val="06247E33"/>
    <w:rsid w:val="06A2550B"/>
    <w:rsid w:val="06F80EE2"/>
    <w:rsid w:val="07001CCA"/>
    <w:rsid w:val="073C4818"/>
    <w:rsid w:val="075321D2"/>
    <w:rsid w:val="075678DB"/>
    <w:rsid w:val="07932335"/>
    <w:rsid w:val="08051BCA"/>
    <w:rsid w:val="080A21BB"/>
    <w:rsid w:val="08BA052C"/>
    <w:rsid w:val="08DB07BA"/>
    <w:rsid w:val="092211F1"/>
    <w:rsid w:val="098305D0"/>
    <w:rsid w:val="09B72B6E"/>
    <w:rsid w:val="0A0C7F04"/>
    <w:rsid w:val="0A227275"/>
    <w:rsid w:val="0A5C4B69"/>
    <w:rsid w:val="0B1672C1"/>
    <w:rsid w:val="0B9335CE"/>
    <w:rsid w:val="0BA10C97"/>
    <w:rsid w:val="0C554661"/>
    <w:rsid w:val="0C7927C4"/>
    <w:rsid w:val="0C9B098C"/>
    <w:rsid w:val="0CE80A8F"/>
    <w:rsid w:val="0D472B48"/>
    <w:rsid w:val="0D673E11"/>
    <w:rsid w:val="0DB50EFE"/>
    <w:rsid w:val="0DD25DDB"/>
    <w:rsid w:val="0DDA54E4"/>
    <w:rsid w:val="0E3A5F83"/>
    <w:rsid w:val="0E9478E1"/>
    <w:rsid w:val="0F6632E6"/>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3D937D5"/>
    <w:rsid w:val="14200702"/>
    <w:rsid w:val="144F3F11"/>
    <w:rsid w:val="1580711B"/>
    <w:rsid w:val="169D3553"/>
    <w:rsid w:val="16D80EBF"/>
    <w:rsid w:val="189B0D0B"/>
    <w:rsid w:val="18E03A42"/>
    <w:rsid w:val="19313430"/>
    <w:rsid w:val="194A1770"/>
    <w:rsid w:val="19B906A4"/>
    <w:rsid w:val="19BC4734"/>
    <w:rsid w:val="1A1F744B"/>
    <w:rsid w:val="1A4F0A15"/>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94490F"/>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E81049A"/>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2C2F74"/>
    <w:rsid w:val="3B36794F"/>
    <w:rsid w:val="3B544954"/>
    <w:rsid w:val="3B793FF0"/>
    <w:rsid w:val="3B97076E"/>
    <w:rsid w:val="3B9F72A2"/>
    <w:rsid w:val="3C5A5928"/>
    <w:rsid w:val="3C6A5B02"/>
    <w:rsid w:val="3CF567D6"/>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7D5A1F"/>
    <w:rsid w:val="44EF6BE8"/>
    <w:rsid w:val="45A30364"/>
    <w:rsid w:val="46446862"/>
    <w:rsid w:val="465B470D"/>
    <w:rsid w:val="469D6AD4"/>
    <w:rsid w:val="47674801"/>
    <w:rsid w:val="47BE6D02"/>
    <w:rsid w:val="47ED75E7"/>
    <w:rsid w:val="48225EF7"/>
    <w:rsid w:val="48A36D47"/>
    <w:rsid w:val="495C4A24"/>
    <w:rsid w:val="49A21DF3"/>
    <w:rsid w:val="49C811E4"/>
    <w:rsid w:val="4A216E30"/>
    <w:rsid w:val="4B7951CB"/>
    <w:rsid w:val="4B7C315C"/>
    <w:rsid w:val="4B9300D7"/>
    <w:rsid w:val="4B99567B"/>
    <w:rsid w:val="4BAB7F90"/>
    <w:rsid w:val="4BD53EDA"/>
    <w:rsid w:val="4BE11807"/>
    <w:rsid w:val="4C2C4D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B920A6"/>
    <w:rsid w:val="53C0244D"/>
    <w:rsid w:val="53DD4D4E"/>
    <w:rsid w:val="53E578CE"/>
    <w:rsid w:val="53EA10F5"/>
    <w:rsid w:val="54040192"/>
    <w:rsid w:val="541768A0"/>
    <w:rsid w:val="543B029D"/>
    <w:rsid w:val="54977029"/>
    <w:rsid w:val="554E5773"/>
    <w:rsid w:val="555A3CBC"/>
    <w:rsid w:val="55EF4EA6"/>
    <w:rsid w:val="55FB11D1"/>
    <w:rsid w:val="56530F5D"/>
    <w:rsid w:val="56EE372E"/>
    <w:rsid w:val="570D735E"/>
    <w:rsid w:val="5842572D"/>
    <w:rsid w:val="596D67DA"/>
    <w:rsid w:val="598A28E2"/>
    <w:rsid w:val="5A6279C1"/>
    <w:rsid w:val="5AD563E4"/>
    <w:rsid w:val="5C1336B7"/>
    <w:rsid w:val="5C263CE4"/>
    <w:rsid w:val="5C5D2777"/>
    <w:rsid w:val="5C722D7F"/>
    <w:rsid w:val="5D290C69"/>
    <w:rsid w:val="5DC17CC6"/>
    <w:rsid w:val="5E543D7C"/>
    <w:rsid w:val="5EFA176D"/>
    <w:rsid w:val="5F0247F9"/>
    <w:rsid w:val="5F2D4A41"/>
    <w:rsid w:val="601C34ED"/>
    <w:rsid w:val="60A511FB"/>
    <w:rsid w:val="61025A59"/>
    <w:rsid w:val="613D5BBC"/>
    <w:rsid w:val="61536C39"/>
    <w:rsid w:val="616D60F9"/>
    <w:rsid w:val="62944DD7"/>
    <w:rsid w:val="629F08EF"/>
    <w:rsid w:val="632717A7"/>
    <w:rsid w:val="634265E1"/>
    <w:rsid w:val="63497036"/>
    <w:rsid w:val="63597E24"/>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743A7C"/>
    <w:rsid w:val="6A924CB7"/>
    <w:rsid w:val="6AE0292E"/>
    <w:rsid w:val="6B474EF5"/>
    <w:rsid w:val="6BC27679"/>
    <w:rsid w:val="6BC54EFE"/>
    <w:rsid w:val="6C0737CC"/>
    <w:rsid w:val="6C560CAE"/>
    <w:rsid w:val="6CD15296"/>
    <w:rsid w:val="6D903FF5"/>
    <w:rsid w:val="6DA955B8"/>
    <w:rsid w:val="6DE346AB"/>
    <w:rsid w:val="6F0A5D85"/>
    <w:rsid w:val="6F607C2A"/>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382508"/>
    <w:rsid w:val="796D60A4"/>
    <w:rsid w:val="79A031D5"/>
    <w:rsid w:val="79A52681"/>
    <w:rsid w:val="7A1525F7"/>
    <w:rsid w:val="7A3E6CB6"/>
    <w:rsid w:val="7A99799F"/>
    <w:rsid w:val="7AAB4252"/>
    <w:rsid w:val="7B420052"/>
    <w:rsid w:val="7B7D43A1"/>
    <w:rsid w:val="7BD06A28"/>
    <w:rsid w:val="7BE20238"/>
    <w:rsid w:val="7C0C5586"/>
    <w:rsid w:val="7C1E4CD7"/>
    <w:rsid w:val="7C3A7C0B"/>
    <w:rsid w:val="7C5248E4"/>
    <w:rsid w:val="7C566698"/>
    <w:rsid w:val="7C8F68E3"/>
    <w:rsid w:val="7CE56AF6"/>
    <w:rsid w:val="7CF02E5B"/>
    <w:rsid w:val="7D213FB2"/>
    <w:rsid w:val="7D9615AC"/>
    <w:rsid w:val="7EA70F4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autoRedefine/>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autoRedefine/>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autoRedefine/>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4764</Words>
  <Characters>5142</Characters>
  <Lines>161</Lines>
  <Paragraphs>45</Paragraphs>
  <TotalTime>0</TotalTime>
  <ScaleCrop>false</ScaleCrop>
  <LinksUpToDate>false</LinksUpToDate>
  <CharactersWithSpaces>5183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2025-10-23T07:39:16Z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A5A58694F72D42BA976B9FECE421FA11_13</vt:lpwstr>
  </property>
  <property fmtid="{D5CDD505-2E9C-101B-9397-08002B2CF9AE}" pid="4" name="KSOTemplateDocerSaveRecord">
    <vt:lpwstr>eyJoZGlkIjoiZWYxYTQ2NjMyMTNkMWU5MDEzOWUyOTUzM2EyMjNjZjEiLCJ1c2VySWQiOiIxMTM5Mjk4OTE4In0=</vt:lpwstr>
  </property>
</Properties>
</file>