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A84E">
      <w:pPr>
        <w:pStyle w:val="8"/>
        <w:keepNext w:val="0"/>
        <w:keepLines w:val="0"/>
        <w:pageBreakBefore w:val="0"/>
        <w:widowControl w:val="0"/>
        <w:kinsoku/>
        <w:wordWrap/>
        <w:overflowPunct/>
        <w:topLinePunct w:val="0"/>
        <w:autoSpaceDN/>
        <w:bidi w:val="0"/>
        <w:spacing w:before="0" w:beforeAutospacing="0" w:after="0" w:afterAutospacing="0" w:line="600" w:lineRule="exact"/>
        <w:jc w:val="center"/>
        <w:textAlignment w:val="auto"/>
        <w:rPr>
          <w:rFonts w:ascii="Times New Roman" w:hAnsi="Times New Roman" w:eastAsia="方正小标宋_GBK" w:cs="方正小标宋_GBK"/>
          <w:b w:val="0"/>
          <w:bCs w:val="0"/>
          <w:sz w:val="44"/>
          <w:szCs w:val="44"/>
        </w:rPr>
      </w:pPr>
      <w:r>
        <w:rPr>
          <w:rFonts w:ascii="Times New Roman" w:hAnsi="Times New Roman" w:eastAsia="方正小标宋_GBK" w:cs="方正小标宋_GBK"/>
          <w:b w:val="0"/>
          <w:bCs w:val="0"/>
          <w:sz w:val="44"/>
          <w:szCs w:val="44"/>
        </w:rPr>
        <w:t>重庆市九龙坡区明诚育才学校</w:t>
      </w:r>
    </w:p>
    <w:p w14:paraId="7E2E3E64">
      <w:pPr>
        <w:pStyle w:val="8"/>
        <w:keepNext w:val="0"/>
        <w:keepLines w:val="0"/>
        <w:pageBreakBefore w:val="0"/>
        <w:widowControl w:val="0"/>
        <w:kinsoku/>
        <w:wordWrap/>
        <w:overflowPunct/>
        <w:topLinePunct w:val="0"/>
        <w:autoSpaceDN/>
        <w:bidi w:val="0"/>
        <w:spacing w:before="0" w:beforeAutospacing="0" w:after="0" w:afterAutospacing="0" w:line="600"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Times New Roman" w:hAnsi="Times New Roman" w:eastAsia="方正小标宋_GBK" w:cs="方正小标宋_GBK"/>
          <w:b w:val="0"/>
          <w:bCs w:val="0"/>
          <w:sz w:val="44"/>
          <w:szCs w:val="44"/>
          <w:shd w:val="clear" w:color="auto" w:fill="FFFFFF"/>
        </w:rPr>
        <w:t>年度</w:t>
      </w:r>
      <w:r>
        <w:rPr>
          <w:rFonts w:hint="eastAsia" w:ascii="Times New Roman" w:hAnsi="Times New Roman" w:eastAsia="方正小标宋_GBK" w:cs="方正小标宋_GBK"/>
          <w:b w:val="0"/>
          <w:bCs w:val="0"/>
          <w:sz w:val="44"/>
          <w:szCs w:val="44"/>
          <w:shd w:val="clear" w:color="auto" w:fill="FFFFFF"/>
          <w:lang w:val="en-US" w:eastAsia="zh-CN"/>
        </w:rPr>
        <w:t>单位</w:t>
      </w:r>
      <w:r>
        <w:rPr>
          <w:rFonts w:ascii="Times New Roman" w:hAnsi="Times New Roman" w:eastAsia="方正小标宋_GBK" w:cs="方正小标宋_GBK"/>
          <w:b w:val="0"/>
          <w:bCs w:val="0"/>
          <w:sz w:val="44"/>
          <w:szCs w:val="44"/>
          <w:shd w:val="clear" w:color="auto" w:fill="FFFFFF"/>
        </w:rPr>
        <w:t>决算</w:t>
      </w:r>
      <w:r>
        <w:rPr>
          <w:rFonts w:hint="eastAsia" w:ascii="Times New Roman" w:hAnsi="Times New Roman" w:eastAsia="方正小标宋_GBK" w:cs="方正小标宋_GBK"/>
          <w:b w:val="0"/>
          <w:bCs w:val="0"/>
          <w:sz w:val="44"/>
          <w:szCs w:val="44"/>
          <w:shd w:val="clear" w:color="auto" w:fill="FFFFFF"/>
          <w:lang w:val="en-US" w:eastAsia="zh-CN"/>
        </w:rPr>
        <w:t>情况</w:t>
      </w:r>
      <w:r>
        <w:rPr>
          <w:rFonts w:ascii="Times New Roman" w:hAnsi="Times New Roman" w:eastAsia="方正小标宋_GBK" w:cs="方正小标宋_GBK"/>
          <w:b w:val="0"/>
          <w:bCs w:val="0"/>
          <w:sz w:val="44"/>
          <w:szCs w:val="44"/>
          <w:shd w:val="clear" w:color="auto" w:fill="FFFFFF"/>
        </w:rPr>
        <w:t>说明</w:t>
      </w:r>
    </w:p>
    <w:p w14:paraId="5C8718C4">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hint="eastAsia" w:ascii="Times New Roman" w:hAnsi="Times New Roman" w:eastAsia="方正黑体_GBK" w:cs="Times New Roman"/>
          <w:kern w:val="2"/>
          <w:sz w:val="32"/>
          <w:szCs w:val="32"/>
          <w:lang w:eastAsia="zh-Hans"/>
        </w:rPr>
      </w:pPr>
    </w:p>
    <w:p w14:paraId="4A42FD8B">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ascii="Times New Roman" w:hAnsi="Times New Roman" w:eastAsia="方正黑体_GBK" w:cs="Times New Roman"/>
          <w:kern w:val="2"/>
          <w:sz w:val="32"/>
          <w:szCs w:val="32"/>
          <w:lang w:eastAsia="zh-Hans"/>
        </w:rPr>
      </w:pPr>
      <w:r>
        <w:rPr>
          <w:rFonts w:hint="eastAsia" w:ascii="Times New Roman" w:hAnsi="Times New Roman" w:eastAsia="方正黑体_GBK" w:cs="Times New Roman"/>
          <w:kern w:val="2"/>
          <w:sz w:val="32"/>
          <w:szCs w:val="32"/>
          <w:lang w:eastAsia="zh-Hans"/>
        </w:rPr>
        <w:t>一、</w:t>
      </w:r>
      <w:r>
        <w:rPr>
          <w:rFonts w:hint="eastAsia" w:ascii="Times New Roman" w:hAnsi="Times New Roman" w:eastAsia="方正黑体_GBK" w:cs="Times New Roman"/>
          <w:kern w:val="2"/>
          <w:sz w:val="32"/>
          <w:szCs w:val="32"/>
          <w:lang w:eastAsia="zh-CN"/>
        </w:rPr>
        <w:t>单位</w:t>
      </w:r>
      <w:r>
        <w:rPr>
          <w:rFonts w:hint="eastAsia" w:ascii="Times New Roman" w:hAnsi="Times New Roman" w:eastAsia="方正黑体_GBK" w:cs="Times New Roman"/>
          <w:kern w:val="2"/>
          <w:sz w:val="32"/>
          <w:szCs w:val="32"/>
          <w:lang w:eastAsia="zh-Hans"/>
        </w:rPr>
        <w:t>基本情况</w:t>
      </w:r>
    </w:p>
    <w:p w14:paraId="0731892E">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sz w:val="32"/>
          <w:szCs w:val="32"/>
        </w:rPr>
      </w:pPr>
      <w:r>
        <w:rPr>
          <w:rStyle w:val="11"/>
          <w:rFonts w:hint="default" w:ascii="Times New Roman" w:hAnsi="Times New Roman" w:eastAsia="方正楷体_GBK" w:cs="Times New Roman"/>
          <w:b w:val="0"/>
          <w:sz w:val="32"/>
          <w:szCs w:val="32"/>
        </w:rPr>
        <w:t>（一）职能职责</w:t>
      </w:r>
    </w:p>
    <w:p w14:paraId="582D71EE">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实施普通小学义务教育，促进学生全面发展。开展教育教学工作；开展学校德育工作；开展学校党建工作；开展学校体育、卫生、艺术工作；负责学校行政管理工作；开展对外交流工作；维护校园安全，提供后勤保障服务；按政策规定开展学前教育。</w:t>
      </w:r>
    </w:p>
    <w:p w14:paraId="473CA81D">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default" w:ascii="Times New Roman" w:hAnsi="Times New Roman" w:eastAsia="方正楷体_GBK" w:cs="Times New Roman"/>
          <w:b w:val="0"/>
          <w:sz w:val="32"/>
          <w:szCs w:val="32"/>
        </w:rPr>
      </w:pPr>
      <w:r>
        <w:rPr>
          <w:rStyle w:val="11"/>
          <w:rFonts w:hint="default" w:ascii="Times New Roman" w:hAnsi="Times New Roman" w:eastAsia="方正楷体_GBK" w:cs="Times New Roman"/>
          <w:b w:val="0"/>
          <w:sz w:val="32"/>
          <w:szCs w:val="32"/>
        </w:rPr>
        <w:t>（二）机构设置</w:t>
      </w:r>
    </w:p>
    <w:p w14:paraId="5173470E">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重庆市九龙坡区明诚育才学校于2023年9月开办，是财政全额拨款的二级预算事业单位，内设有党政办公室、教学发展中心、学生发展中心、后勤服务中心、附属幼儿园等管理机构。</w:t>
      </w:r>
    </w:p>
    <w:p w14:paraId="0EF77757">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党政办公室：党建、党务、组织宣传、干部培养、文件管理、党员管理，负责党委相关工作安排，草拟计划、总结等。</w:t>
      </w:r>
    </w:p>
    <w:p w14:paraId="2659276C">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教学发展中心：教学管理、教研及教研组管理、学籍管理、年级与班级管理、招生送生工作等。</w:t>
      </w:r>
    </w:p>
    <w:p w14:paraId="2DE343D0">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学生发展中心：学生教育与管理、年级与班级管理、德体艺卫教育、社区教育、学生困难资助管理、校园清洁管理，负责学校安全、师生安全、消防安全、协助学生教育等。</w:t>
      </w:r>
    </w:p>
    <w:p w14:paraId="47EF2384">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后勤服务中心：后勤服务与管理、校园规划建设、基建维修、校产管理、食堂管理等。</w:t>
      </w:r>
    </w:p>
    <w:p w14:paraId="024DE731">
      <w:pPr>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Fonts w:ascii="Times New Roman" w:hAnsi="Times New Roman" w:eastAsia="方正仿宋_GBK" w:cs="方正仿宋_GBK"/>
          <w:sz w:val="32"/>
          <w:szCs w:val="32"/>
        </w:rPr>
      </w:pPr>
      <w:r>
        <w:rPr>
          <w:rFonts w:ascii="Times New Roman" w:hAnsi="Times New Roman" w:eastAsia="方正仿宋_GBK" w:cs="方正仿宋_GBK"/>
          <w:sz w:val="32"/>
          <w:szCs w:val="32"/>
        </w:rPr>
        <w:t>附属幼儿园：管理、保育、教育教学工作、后勤、安全等。</w:t>
      </w:r>
    </w:p>
    <w:p w14:paraId="2AB1B19A">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kern w:val="2"/>
          <w:sz w:val="32"/>
          <w:szCs w:val="32"/>
          <w:lang w:eastAsia="zh-Hans"/>
        </w:rPr>
      </w:pPr>
      <w:r>
        <w:rPr>
          <w:rFonts w:hint="eastAsia" w:ascii="Times New Roman" w:hAnsi="Times New Roman" w:eastAsia="方正黑体_GBK" w:cs="Times New Roman"/>
          <w:kern w:val="2"/>
          <w:sz w:val="32"/>
          <w:szCs w:val="32"/>
          <w:lang w:eastAsia="zh-Hans"/>
        </w:rPr>
        <w:t>二、</w:t>
      </w:r>
      <w:r>
        <w:rPr>
          <w:rFonts w:hint="eastAsia" w:ascii="Times New Roman" w:hAnsi="Times New Roman" w:eastAsia="方正黑体_GBK" w:cs="Times New Roman"/>
          <w:kern w:val="2"/>
          <w:sz w:val="32"/>
          <w:szCs w:val="32"/>
          <w:lang w:eastAsia="zh-CN"/>
        </w:rPr>
        <w:t>单位</w:t>
      </w:r>
      <w:r>
        <w:rPr>
          <w:rFonts w:hint="eastAsia" w:ascii="Times New Roman" w:hAnsi="Times New Roman" w:eastAsia="方正黑体_GBK" w:cs="Times New Roman"/>
          <w:kern w:val="2"/>
          <w:sz w:val="32"/>
          <w:szCs w:val="32"/>
          <w:lang w:eastAsia="zh-Hans"/>
        </w:rPr>
        <w:t>决算</w:t>
      </w:r>
      <w:r>
        <w:rPr>
          <w:rFonts w:hint="eastAsia" w:ascii="Times New Roman" w:hAnsi="Times New Roman" w:eastAsia="方正黑体_GBK" w:cs="Times New Roman"/>
          <w:kern w:val="2"/>
          <w:sz w:val="32"/>
          <w:szCs w:val="32"/>
          <w:lang w:eastAsia="zh-CN"/>
        </w:rPr>
        <w:t>收支</w:t>
      </w:r>
      <w:r>
        <w:rPr>
          <w:rFonts w:hint="eastAsia" w:ascii="Times New Roman" w:hAnsi="Times New Roman" w:eastAsia="方正黑体_GBK" w:cs="Times New Roman"/>
          <w:kern w:val="2"/>
          <w:sz w:val="32"/>
          <w:szCs w:val="32"/>
          <w:lang w:eastAsia="zh-Hans"/>
        </w:rPr>
        <w:t>情况说明</w:t>
      </w:r>
    </w:p>
    <w:p w14:paraId="5610C842">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（一）收入支出决算总体情况说明</w:t>
      </w:r>
    </w:p>
    <w:p w14:paraId="635ADD55">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11"/>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度收入总计257.08万元，支出总计</w:t>
      </w:r>
      <w:r>
        <w:rPr>
          <w:rFonts w:ascii="Times New Roman" w:hAnsi="Times New Roman" w:eastAsia="方正仿宋_GBK" w:cs="方正仿宋_GBK"/>
          <w:sz w:val="32"/>
          <w:szCs w:val="32"/>
        </w:rPr>
        <w:t>257.08</w:t>
      </w:r>
      <w:r>
        <w:rPr>
          <w:rFonts w:ascii="Times New Roman" w:hAnsi="Times New Roman" w:eastAsia="方正仿宋_GBK" w:cs="方正仿宋_GBK"/>
          <w:sz w:val="32"/>
          <w:szCs w:val="32"/>
          <w:shd w:val="clear" w:color="auto" w:fill="FFFFFF"/>
        </w:rPr>
        <w:t>万元。收、支与2023年度相比，增加116.07万元，增长82.3%，主要原因是</w:t>
      </w:r>
      <w:r>
        <w:rPr>
          <w:rFonts w:hint="eastAsia" w:ascii="Times New Roman" w:hAnsi="Times New Roman" w:eastAsia="方正仿宋_GBK" w:cs="方正仿宋_GBK"/>
          <w:sz w:val="32"/>
          <w:szCs w:val="32"/>
          <w:shd w:val="clear" w:color="auto" w:fill="FFFFFF"/>
          <w:lang w:eastAsia="zh-CN"/>
        </w:rPr>
        <w:t>学生人数增加，教师人数增加</w:t>
      </w:r>
      <w:r>
        <w:rPr>
          <w:rFonts w:hint="eastAsia" w:ascii="Times New Roman" w:hAnsi="Times New Roman" w:eastAsia="方正仿宋_GBK" w:cs="方正仿宋_GBK"/>
          <w:sz w:val="32"/>
          <w:szCs w:val="32"/>
          <w:shd w:val="clear" w:color="auto" w:fill="FFFFFF"/>
          <w:lang w:val="en-US" w:eastAsia="zh-CN"/>
        </w:rPr>
        <w:t>及</w:t>
      </w:r>
      <w:r>
        <w:rPr>
          <w:rFonts w:hint="eastAsia" w:ascii="Times New Roman" w:hAnsi="Times New Roman" w:eastAsia="方正仿宋_GBK" w:cs="方正仿宋_GBK"/>
          <w:sz w:val="32"/>
          <w:szCs w:val="32"/>
          <w:shd w:val="clear" w:color="auto" w:fill="FFFFFF"/>
          <w:lang w:eastAsia="zh-CN"/>
        </w:rPr>
        <w:t>项目增加。</w:t>
      </w:r>
    </w:p>
    <w:p w14:paraId="064FB246">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度收入合计257.08万元，与2023年度相比，增加116.07万元，增长82.3%，主要原因是</w:t>
      </w:r>
      <w:r>
        <w:rPr>
          <w:rFonts w:hint="eastAsia" w:ascii="Times New Roman" w:hAnsi="Times New Roman" w:eastAsia="方正仿宋_GBK" w:cs="方正仿宋_GBK"/>
          <w:sz w:val="32"/>
          <w:szCs w:val="32"/>
          <w:shd w:val="clear" w:color="auto" w:fill="FFFFFF"/>
          <w:lang w:eastAsia="zh-CN"/>
        </w:rPr>
        <w:t>学生人数增加，教师人数增加和项目增加。</w:t>
      </w:r>
      <w:r>
        <w:rPr>
          <w:rFonts w:ascii="Times New Roman" w:hAnsi="Times New Roman" w:eastAsia="方正仿宋_GBK" w:cs="方正仿宋_GBK"/>
          <w:sz w:val="32"/>
          <w:szCs w:val="32"/>
          <w:shd w:val="clear" w:color="auto" w:fill="FFFFFF"/>
        </w:rPr>
        <w:t>其中：财政拨款收入</w:t>
      </w:r>
      <w:r>
        <w:rPr>
          <w:rFonts w:ascii="Times New Roman" w:hAnsi="Times New Roman" w:eastAsia="方正仿宋_GBK" w:cs="方正仿宋_GBK"/>
          <w:sz w:val="32"/>
          <w:szCs w:val="32"/>
        </w:rPr>
        <w:t>217.98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84.79</w:t>
      </w:r>
      <w:r>
        <w:rPr>
          <w:rFonts w:ascii="Times New Roman" w:hAnsi="Times New Roman" w:eastAsia="方正仿宋_GBK" w:cs="方正仿宋_GBK"/>
          <w:sz w:val="32"/>
          <w:szCs w:val="32"/>
          <w:shd w:val="clear" w:color="auto" w:fill="FFFFFF"/>
        </w:rPr>
        <w:t>%；事业收入</w:t>
      </w:r>
      <w:r>
        <w:rPr>
          <w:rFonts w:ascii="Times New Roman" w:hAnsi="Times New Roman" w:eastAsia="方正仿宋_GBK" w:cs="方正仿宋_GBK"/>
          <w:sz w:val="32"/>
          <w:szCs w:val="32"/>
        </w:rPr>
        <w:t>39.10</w:t>
      </w:r>
      <w:r>
        <w:rPr>
          <w:rFonts w:ascii="Times New Roman" w:hAnsi="Times New Roman" w:eastAsia="方正仿宋_GBK" w:cs="方正仿宋_GBK"/>
          <w:sz w:val="32"/>
          <w:szCs w:val="32"/>
          <w:shd w:val="clear" w:color="auto" w:fill="FFFFFF"/>
        </w:rPr>
        <w:t>万元，占15.21%</w:t>
      </w:r>
      <w:r>
        <w:rPr>
          <w:rFonts w:hint="eastAsia" w:ascii="Times New Roman" w:hAnsi="Times New Roman" w:eastAsia="方正仿宋_GBK" w:cs="方正仿宋_GBK"/>
          <w:sz w:val="32"/>
          <w:szCs w:val="32"/>
          <w:shd w:val="clear" w:color="auto" w:fill="FFFFFF"/>
          <w:lang w:eastAsia="zh-CN"/>
        </w:rPr>
        <w:t>。</w:t>
      </w:r>
    </w:p>
    <w:p w14:paraId="2951021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257.08</w:t>
      </w:r>
      <w:r>
        <w:rPr>
          <w:rFonts w:ascii="Times New Roman" w:hAnsi="Times New Roman" w:eastAsia="方正仿宋_GBK" w:cs="方正仿宋_GBK"/>
          <w:sz w:val="32"/>
          <w:szCs w:val="32"/>
          <w:shd w:val="clear" w:color="auto" w:fill="FFFFFF"/>
        </w:rPr>
        <w:t>万元，与2023年度相比，增加116.07万元，增长82.3%，主要原因是</w:t>
      </w:r>
      <w:r>
        <w:rPr>
          <w:rFonts w:hint="eastAsia" w:ascii="Times New Roman" w:hAnsi="Times New Roman" w:eastAsia="方正仿宋_GBK" w:cs="方正仿宋_GBK"/>
          <w:sz w:val="32"/>
          <w:szCs w:val="32"/>
          <w:shd w:val="clear" w:color="auto" w:fill="FFFFFF"/>
          <w:lang w:eastAsia="zh-CN"/>
        </w:rPr>
        <w:t>学生人数增加，教师人数增加和项目增加</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128.42</w:t>
      </w:r>
      <w:r>
        <w:rPr>
          <w:rFonts w:ascii="Times New Roman" w:hAnsi="Times New Roman" w:eastAsia="方正仿宋_GBK" w:cs="方正仿宋_GBK"/>
          <w:sz w:val="32"/>
          <w:szCs w:val="32"/>
          <w:shd w:val="clear" w:color="auto" w:fill="FFFFFF"/>
        </w:rPr>
        <w:t>万元，占49.95%；项目支出</w:t>
      </w:r>
      <w:r>
        <w:rPr>
          <w:rFonts w:ascii="Times New Roman" w:hAnsi="Times New Roman" w:eastAsia="方正仿宋_GBK" w:cs="方正仿宋_GBK"/>
          <w:sz w:val="32"/>
          <w:szCs w:val="32"/>
        </w:rPr>
        <w:t>128.66</w:t>
      </w:r>
      <w:r>
        <w:rPr>
          <w:rFonts w:ascii="Times New Roman" w:hAnsi="Times New Roman" w:eastAsia="方正仿宋_GBK" w:cs="方正仿宋_GBK"/>
          <w:sz w:val="32"/>
          <w:szCs w:val="32"/>
          <w:shd w:val="clear" w:color="auto" w:fill="FFFFFF"/>
        </w:rPr>
        <w:t>万元，占50.05%；</w:t>
      </w:r>
    </w:p>
    <w:p w14:paraId="0E8C80A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lang w:eastAsia="zh-CN"/>
        </w:rPr>
      </w:pPr>
      <w:r>
        <w:rPr>
          <w:rStyle w:val="11"/>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2024年度年末结转和结余0.00万元，与2023年度相比，无增减，主要原因是本年度收支平衡。</w:t>
      </w:r>
    </w:p>
    <w:p w14:paraId="2F6728EE">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（二）财政拨款收入支出决算总体情况说明</w:t>
      </w:r>
    </w:p>
    <w:p w14:paraId="748C642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度财政拨款收、支总计217.98万元。与202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年相比，财政拨款收、支总计各增加76.97万元，增长54.6%。主要原因是</w:t>
      </w:r>
      <w:r>
        <w:rPr>
          <w:rFonts w:hint="eastAsia" w:ascii="Times New Roman" w:hAnsi="Times New Roman" w:eastAsia="方正仿宋_GBK" w:cs="方正仿宋_GBK"/>
          <w:sz w:val="32"/>
          <w:szCs w:val="32"/>
          <w:shd w:val="clear" w:color="auto" w:fill="FFFFFF"/>
          <w:lang w:eastAsia="zh-CN"/>
        </w:rPr>
        <w:t>学生人数增加，教师人数增加和项目增加。</w:t>
      </w:r>
    </w:p>
    <w:p w14:paraId="128CCA49">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（三）一般公共预算财政拨款收入支出决算情况说明</w:t>
      </w:r>
    </w:p>
    <w:p w14:paraId="62CC8E3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left"/>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217.98</w:t>
      </w:r>
      <w:r>
        <w:rPr>
          <w:rFonts w:ascii="Times New Roman" w:hAnsi="Times New Roman" w:eastAsia="方正仿宋_GBK" w:cs="方正仿宋_GBK"/>
          <w:sz w:val="32"/>
          <w:szCs w:val="32"/>
          <w:shd w:val="clear" w:color="auto" w:fill="FFFFFF"/>
        </w:rPr>
        <w:t>万元，与2023年度相比，增加76.97万元，增长54.6%。主要原因是</w:t>
      </w:r>
      <w:r>
        <w:rPr>
          <w:rFonts w:hint="eastAsia" w:ascii="Times New Roman" w:hAnsi="Times New Roman" w:eastAsia="方正仿宋_GBK" w:cs="方正仿宋_GBK"/>
          <w:sz w:val="32"/>
          <w:szCs w:val="32"/>
          <w:shd w:val="clear" w:color="auto" w:fill="FFFFFF"/>
          <w:lang w:val="en-US" w:eastAsia="zh-CN"/>
        </w:rPr>
        <w:t>学校2023年9月成立，2024年</w:t>
      </w:r>
      <w:r>
        <w:rPr>
          <w:rFonts w:hint="eastAsia" w:ascii="Times New Roman" w:hAnsi="Times New Roman" w:eastAsia="方正仿宋_GBK" w:cs="方正仿宋_GBK"/>
          <w:sz w:val="32"/>
          <w:szCs w:val="32"/>
          <w:shd w:val="clear" w:color="auto" w:fill="FFFFFF"/>
          <w:lang w:eastAsia="zh-CN"/>
        </w:rPr>
        <w:t>学生人数增加，教师人数增加和项目增加</w:t>
      </w:r>
      <w:r>
        <w:rPr>
          <w:rFonts w:ascii="Times New Roman" w:hAnsi="Times New Roman" w:eastAsia="方正仿宋_GBK" w:cs="方正仿宋_GBK"/>
          <w:sz w:val="32"/>
          <w:szCs w:val="32"/>
          <w:shd w:val="clear" w:color="auto" w:fill="FFFFFF"/>
        </w:rPr>
        <w:t>。较年初预算数增加91.07万元，增长71.8%。主要原因是</w:t>
      </w:r>
      <w:r>
        <w:rPr>
          <w:rFonts w:hint="eastAsia" w:ascii="Times New Roman" w:hAnsi="Times New Roman" w:eastAsia="方正仿宋_GBK" w:cs="方正仿宋_GBK"/>
          <w:sz w:val="32"/>
          <w:szCs w:val="32"/>
          <w:shd w:val="clear" w:color="auto" w:fill="FFFFFF"/>
          <w:lang w:val="en-US" w:eastAsia="zh-CN"/>
        </w:rPr>
        <w:t>教师人数增加、在职</w:t>
      </w:r>
      <w:r>
        <w:rPr>
          <w:rFonts w:hint="eastAsia" w:ascii="Times New Roman" w:hAnsi="Times New Roman" w:eastAsia="方正仿宋_GBK" w:cs="方正仿宋_GBK"/>
          <w:sz w:val="32"/>
          <w:szCs w:val="32"/>
          <w:shd w:val="clear" w:color="auto" w:fill="FFFFFF"/>
          <w:lang w:eastAsia="zh-CN"/>
        </w:rPr>
        <w:t>人员</w:t>
      </w:r>
      <w:r>
        <w:rPr>
          <w:rFonts w:hint="eastAsia" w:ascii="Times New Roman" w:hAnsi="Times New Roman" w:eastAsia="方正仿宋_GBK" w:cs="方正仿宋_GBK"/>
          <w:sz w:val="32"/>
          <w:szCs w:val="32"/>
          <w:shd w:val="clear" w:color="auto" w:fill="FFFFFF"/>
          <w:lang w:val="en-US" w:eastAsia="zh-CN"/>
        </w:rPr>
        <w:t>工资标准调整</w:t>
      </w:r>
      <w:r>
        <w:rPr>
          <w:rFonts w:hint="eastAsia" w:ascii="Times New Roman" w:hAnsi="Times New Roman" w:eastAsia="方正仿宋_GBK" w:cs="方正仿宋_GBK"/>
          <w:sz w:val="32"/>
          <w:szCs w:val="32"/>
          <w:shd w:val="clear" w:color="auto" w:fill="FFFFFF"/>
          <w:lang w:eastAsia="zh-CN"/>
        </w:rPr>
        <w:t>和项目增加</w:t>
      </w:r>
      <w:r>
        <w:rPr>
          <w:rFonts w:ascii="Times New Roman" w:hAnsi="Times New Roman" w:eastAsia="方正仿宋_GBK" w:cs="方正仿宋_GBK"/>
          <w:sz w:val="32"/>
          <w:szCs w:val="32"/>
          <w:shd w:val="clear" w:color="auto" w:fill="FFFFFF"/>
        </w:rPr>
        <w:t>。此外，年初财政拨款结转和结余0.00万元。</w:t>
      </w:r>
    </w:p>
    <w:p w14:paraId="7EF7B302">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hint="eastAsia" w:ascii="方正仿宋_GBK" w:hAnsi="方正仿宋_GBK" w:eastAsia="方正仿宋_GBK" w:cs="方正仿宋_GBK"/>
          <w:b/>
          <w:bCs/>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度一般公共预算财政拨款支出217.98万元，与2023年度相比，增加76.97万元，增长54.6%。主要原因是</w:t>
      </w:r>
      <w:r>
        <w:rPr>
          <w:rFonts w:hint="eastAsia" w:ascii="Times New Roman" w:hAnsi="Times New Roman" w:eastAsia="方正仿宋_GBK" w:cs="方正仿宋_GBK"/>
          <w:sz w:val="32"/>
          <w:szCs w:val="32"/>
          <w:shd w:val="clear" w:color="auto" w:fill="FFFFFF"/>
          <w:lang w:val="en-US" w:eastAsia="zh-CN"/>
        </w:rPr>
        <w:t>学校2023年9月成立，2024年</w:t>
      </w:r>
      <w:r>
        <w:rPr>
          <w:rFonts w:hint="eastAsia" w:ascii="Times New Roman" w:hAnsi="Times New Roman" w:eastAsia="方正仿宋_GBK" w:cs="方正仿宋_GBK"/>
          <w:sz w:val="32"/>
          <w:szCs w:val="32"/>
          <w:shd w:val="clear" w:color="auto" w:fill="FFFFFF"/>
          <w:lang w:eastAsia="zh-CN"/>
        </w:rPr>
        <w:t>学生人数增加，教师人数增加和项目增加</w:t>
      </w:r>
      <w:r>
        <w:rPr>
          <w:rFonts w:ascii="Times New Roman" w:hAnsi="Times New Roman" w:eastAsia="方正仿宋_GBK" w:cs="方正仿宋_GBK"/>
          <w:sz w:val="32"/>
          <w:szCs w:val="32"/>
          <w:shd w:val="clear" w:color="auto" w:fill="FFFFFF"/>
        </w:rPr>
        <w:t>。较年初预算数增加91.07万元，增长71.8%。主要原因是</w:t>
      </w:r>
      <w:r>
        <w:rPr>
          <w:rFonts w:hint="eastAsia" w:ascii="Times New Roman" w:hAnsi="Times New Roman" w:eastAsia="方正仿宋_GBK" w:cs="方正仿宋_GBK"/>
          <w:sz w:val="32"/>
          <w:szCs w:val="32"/>
          <w:shd w:val="clear" w:color="auto" w:fill="FFFFFF"/>
          <w:lang w:val="en-US" w:eastAsia="zh-CN"/>
        </w:rPr>
        <w:t>教师人数增加、在职</w:t>
      </w:r>
      <w:r>
        <w:rPr>
          <w:rFonts w:hint="eastAsia" w:ascii="Times New Roman" w:hAnsi="Times New Roman" w:eastAsia="方正仿宋_GBK" w:cs="方正仿宋_GBK"/>
          <w:sz w:val="32"/>
          <w:szCs w:val="32"/>
          <w:shd w:val="clear" w:color="auto" w:fill="FFFFFF"/>
          <w:lang w:eastAsia="zh-CN"/>
        </w:rPr>
        <w:t>人员</w:t>
      </w:r>
      <w:r>
        <w:rPr>
          <w:rFonts w:hint="eastAsia" w:ascii="Times New Roman" w:hAnsi="Times New Roman" w:eastAsia="方正仿宋_GBK" w:cs="方正仿宋_GBK"/>
          <w:sz w:val="32"/>
          <w:szCs w:val="32"/>
          <w:shd w:val="clear" w:color="auto" w:fill="FFFFFF"/>
          <w:lang w:val="en-US" w:eastAsia="zh-CN"/>
        </w:rPr>
        <w:t>工资标准调整</w:t>
      </w:r>
      <w:r>
        <w:rPr>
          <w:rFonts w:hint="eastAsia" w:ascii="Times New Roman" w:hAnsi="Times New Roman" w:eastAsia="方正仿宋_GBK" w:cs="方正仿宋_GBK"/>
          <w:sz w:val="32"/>
          <w:szCs w:val="32"/>
          <w:shd w:val="clear" w:color="auto" w:fill="FFFFFF"/>
          <w:lang w:eastAsia="zh-CN"/>
        </w:rPr>
        <w:t>和项目增加。</w:t>
      </w:r>
    </w:p>
    <w:p w14:paraId="10569C8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left"/>
        <w:textAlignment w:val="auto"/>
        <w:rPr>
          <w:rStyle w:val="11"/>
          <w:rFonts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7B448EF3">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3" w:firstLineChars="200"/>
        <w:jc w:val="left"/>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261584FD">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）教育支出</w:t>
      </w:r>
      <w:r>
        <w:rPr>
          <w:rFonts w:ascii="Times New Roman" w:hAnsi="Times New Roman" w:eastAsia="方正仿宋_GBK" w:cs="方正仿宋_GBK"/>
          <w:sz w:val="32"/>
          <w:szCs w:val="32"/>
        </w:rPr>
        <w:t>197.38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90</w:t>
      </w:r>
      <w:r>
        <w:rPr>
          <w:rFonts w:hint="eastAsia" w:ascii="Times New Roman" w:hAnsi="Times New Roman" w:eastAsia="方正仿宋_GBK" w:cs="方正仿宋_GBK"/>
          <w:sz w:val="32"/>
          <w:szCs w:val="32"/>
          <w:shd w:val="clear" w:color="auto" w:fill="FFFFFF"/>
          <w:lang w:eastAsia="zh-CN"/>
        </w:rPr>
        <w:t>.55%，较年初预算数增加76.31万元，增长63.0%，主要原因是</w:t>
      </w:r>
      <w:r>
        <w:rPr>
          <w:rFonts w:hint="eastAsia" w:ascii="Times New Roman" w:hAnsi="Times New Roman" w:eastAsia="方正仿宋_GBK" w:cs="方正仿宋_GBK"/>
          <w:sz w:val="32"/>
          <w:szCs w:val="32"/>
          <w:shd w:val="clear" w:color="auto" w:fill="FFFFFF"/>
          <w:lang w:val="en-US" w:eastAsia="zh-CN"/>
        </w:rPr>
        <w:t>教师和学生人数增加、在职人员工资标准调整</w:t>
      </w:r>
      <w:r>
        <w:rPr>
          <w:rFonts w:hint="eastAsia" w:ascii="Times New Roman" w:hAnsi="Times New Roman" w:eastAsia="方正仿宋_GBK" w:cs="方正仿宋_GBK"/>
          <w:sz w:val="32"/>
          <w:szCs w:val="32"/>
          <w:shd w:val="clear" w:color="auto" w:fill="FFFFFF"/>
          <w:lang w:eastAsia="zh-CN"/>
        </w:rPr>
        <w:t>和项目增加。</w:t>
      </w:r>
    </w:p>
    <w:p w14:paraId="0F984DEE">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10.42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4.78</w:t>
      </w:r>
      <w:r>
        <w:rPr>
          <w:rFonts w:ascii="Times New Roman" w:hAnsi="Times New Roman" w:eastAsia="方正仿宋_GBK" w:cs="方正仿宋_GBK"/>
          <w:sz w:val="32"/>
          <w:szCs w:val="32"/>
          <w:shd w:val="clear" w:color="auto" w:fill="FFFFFF"/>
        </w:rPr>
        <w:t>%，较年初预算数增加7.84万元，增长303.9%，主要原因是</w:t>
      </w:r>
      <w:r>
        <w:rPr>
          <w:rFonts w:hint="eastAsia" w:ascii="Times New Roman" w:hAnsi="Times New Roman" w:eastAsia="方正仿宋_GBK" w:cs="方正仿宋_GBK"/>
          <w:sz w:val="32"/>
          <w:szCs w:val="32"/>
          <w:shd w:val="clear" w:color="auto" w:fill="FFFFFF"/>
          <w:lang w:val="en-US" w:eastAsia="zh-CN"/>
        </w:rPr>
        <w:t>教师人数增加和政策性调整</w:t>
      </w:r>
      <w:r>
        <w:rPr>
          <w:rFonts w:hint="eastAsia" w:ascii="Times New Roman" w:hAnsi="Times New Roman" w:eastAsia="方正仿宋_GBK" w:cs="方正仿宋_GBK"/>
          <w:sz w:val="32"/>
          <w:szCs w:val="32"/>
          <w:shd w:val="clear" w:color="auto" w:fill="FFFFFF"/>
          <w:lang w:eastAsia="zh-CN"/>
        </w:rPr>
        <w:t>。</w:t>
      </w:r>
    </w:p>
    <w:p w14:paraId="0778CAB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2.94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1.35</w:t>
      </w:r>
      <w:r>
        <w:rPr>
          <w:rFonts w:ascii="Times New Roman" w:hAnsi="Times New Roman" w:eastAsia="方正仿宋_GBK" w:cs="方正仿宋_GBK"/>
          <w:sz w:val="32"/>
          <w:szCs w:val="32"/>
          <w:shd w:val="clear" w:color="auto" w:fill="FFFFFF"/>
        </w:rPr>
        <w:t>%，较年初预算数增加1.70万元，增长137.1%，主要原因是</w:t>
      </w:r>
      <w:r>
        <w:rPr>
          <w:rFonts w:hint="eastAsia" w:ascii="Times New Roman" w:hAnsi="Times New Roman" w:eastAsia="方正仿宋_GBK" w:cs="方正仿宋_GBK"/>
          <w:sz w:val="32"/>
          <w:szCs w:val="32"/>
          <w:shd w:val="clear" w:color="auto" w:fill="FFFFFF"/>
          <w:lang w:val="en-US" w:eastAsia="zh-CN"/>
        </w:rPr>
        <w:t>教师人数增加和政策性调整</w:t>
      </w:r>
      <w:r>
        <w:rPr>
          <w:rFonts w:hint="eastAsia" w:ascii="Times New Roman" w:hAnsi="Times New Roman" w:eastAsia="方正仿宋_GBK" w:cs="方正仿宋_GBK"/>
          <w:sz w:val="32"/>
          <w:szCs w:val="32"/>
          <w:shd w:val="clear" w:color="auto" w:fill="FFFFFF"/>
          <w:lang w:eastAsia="zh-CN"/>
        </w:rPr>
        <w:t>。</w:t>
      </w:r>
    </w:p>
    <w:p w14:paraId="2A079361">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val="en-US" w:eastAsia="zh-CN" w:bidi="ar-SA"/>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住房保障支出7.25</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3.32</w:t>
      </w:r>
      <w:r>
        <w:rPr>
          <w:rFonts w:ascii="Times New Roman" w:hAnsi="Times New Roman" w:eastAsia="方正仿宋_GBK" w:cs="方正仿宋_GBK"/>
          <w:sz w:val="32"/>
          <w:szCs w:val="32"/>
          <w:shd w:val="clear" w:color="auto" w:fill="FFFFFF"/>
        </w:rPr>
        <w:t>%，较年初预算数增加5.23万元，增长258.9%，主要原因</w:t>
      </w:r>
      <w:r>
        <w:rPr>
          <w:rFonts w:hint="eastAsia" w:ascii="Times New Roman" w:hAnsi="Times New Roman" w:eastAsia="方正仿宋_GBK" w:cs="方正仿宋_GBK"/>
          <w:sz w:val="32"/>
          <w:szCs w:val="32"/>
          <w:shd w:val="clear" w:color="auto" w:fill="FFFFFF"/>
          <w:lang w:val="en-US" w:eastAsia="zh-CN"/>
        </w:rPr>
        <w:t>教师人数增加和</w:t>
      </w:r>
      <w:r>
        <w:rPr>
          <w:rFonts w:hint="eastAsia" w:ascii="Times New Roman" w:hAnsi="Times New Roman" w:eastAsia="方正仿宋_GBK" w:cs="方正仿宋_GBK"/>
          <w:sz w:val="32"/>
          <w:szCs w:val="32"/>
          <w:shd w:val="clear" w:color="auto" w:fill="FFFFFF"/>
        </w:rPr>
        <w:t>在职人员职称结构变化引起的住房补贴的增加。</w:t>
      </w:r>
      <w:r>
        <w:rPr>
          <w:rFonts w:hint="eastAsia" w:ascii="Times New Roman" w:hAnsi="Times New Roman" w:eastAsia="方正仿宋_GBK" w:cs="方正仿宋_GBK"/>
          <w:sz w:val="32"/>
          <w:szCs w:val="32"/>
          <w:shd w:val="clear" w:color="auto" w:fill="FFFFFF"/>
          <w:lang w:val="en-US" w:eastAsia="zh-CN" w:bidi="ar-SA"/>
        </w:rPr>
        <w:t>。</w:t>
      </w:r>
    </w:p>
    <w:p w14:paraId="4575884B">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（四）一般公共预算财政拨款基本支出决算情况说明</w:t>
      </w:r>
    </w:p>
    <w:p w14:paraId="19A90979">
      <w:pPr>
        <w:pStyle w:val="13"/>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128.42</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72.85</w:t>
      </w:r>
      <w:r>
        <w:rPr>
          <w:rFonts w:ascii="Times New Roman" w:hAnsi="Times New Roman" w:eastAsia="方正仿宋_GBK" w:cs="方正仿宋_GBK"/>
          <w:sz w:val="32"/>
          <w:szCs w:val="32"/>
          <w:shd w:val="clear" w:color="auto" w:fill="FFFFFF"/>
        </w:rPr>
        <w:t>万元，与2023年度相比，增加71.06万元，增长3969.8%，主要原因是</w:t>
      </w:r>
      <w:r>
        <w:rPr>
          <w:rFonts w:hint="eastAsia" w:ascii="Times New Roman" w:hAnsi="Times New Roman" w:eastAsia="方正仿宋_GBK" w:cs="方正仿宋_GBK"/>
          <w:sz w:val="32"/>
          <w:szCs w:val="32"/>
          <w:shd w:val="clear" w:color="auto" w:fill="FFFFFF"/>
          <w:lang w:val="en-US" w:eastAsia="zh-CN"/>
        </w:rPr>
        <w:t>教师人数增加、</w:t>
      </w:r>
      <w:r>
        <w:rPr>
          <w:rFonts w:hint="eastAsia" w:ascii="Times New Roman" w:hAnsi="Times New Roman" w:eastAsia="方正仿宋_GBK" w:cs="方正仿宋_GBK"/>
          <w:sz w:val="32"/>
          <w:szCs w:val="32"/>
          <w:shd w:val="clear" w:color="auto" w:fill="FFFFFF"/>
          <w:lang w:eastAsia="zh-CN"/>
        </w:rPr>
        <w:t>政策性调整社保、职业年金补缴</w:t>
      </w:r>
      <w:r>
        <w:rPr>
          <w:rFonts w:hint="eastAsia" w:ascii="Times New Roman" w:hAnsi="Times New Roman" w:eastAsia="方正仿宋_GBK" w:cs="方正仿宋_GBK"/>
          <w:color w:val="auto"/>
          <w:sz w:val="32"/>
          <w:szCs w:val="32"/>
          <w:shd w:val="clear" w:color="auto" w:fill="FFFFFF"/>
          <w:lang w:eastAsia="zh-CN"/>
        </w:rPr>
        <w:t>。</w:t>
      </w:r>
      <w:r>
        <w:rPr>
          <w:rFonts w:ascii="Times New Roman" w:hAnsi="Times New Roman" w:eastAsia="方正仿宋_GBK" w:cs="方正仿宋_GBK"/>
          <w:sz w:val="32"/>
          <w:szCs w:val="32"/>
          <w:shd w:val="clear" w:color="auto" w:fill="FFFFFF"/>
        </w:rPr>
        <w:t>人员经费用途主要包括基本工资、津贴补贴、伙食补助费、绩效工资、社会保障缴费、其他工资福利支出等</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55.57</w:t>
      </w:r>
      <w:r>
        <w:rPr>
          <w:rFonts w:ascii="Times New Roman" w:hAnsi="Times New Roman" w:eastAsia="方正仿宋_GBK" w:cs="方正仿宋_GBK"/>
          <w:sz w:val="32"/>
          <w:szCs w:val="32"/>
          <w:shd w:val="clear" w:color="auto" w:fill="FFFFFF"/>
        </w:rPr>
        <w:t>万元，与</w:t>
      </w:r>
      <w:r>
        <w:rPr>
          <w:rFonts w:hint="eastAsia" w:ascii="Times New Roman" w:hAnsi="Times New Roman" w:eastAsia="方正仿宋_GBK" w:cs="方正仿宋_GBK"/>
          <w:sz w:val="32"/>
          <w:szCs w:val="32"/>
          <w:shd w:val="clear" w:color="auto" w:fill="FFFFFF"/>
          <w:lang w:val="en-US" w:eastAsia="zh-CN" w:bidi="ar-SA"/>
        </w:rPr>
        <w:t>2023年度相比，增加55.57万元，增长100.0%，主要原因是学校2023年9月成立，2024年学生人数增加，公用经费增加。公用经费用途主要包括办公费、印刷费、咨询费、水费、电</w:t>
      </w:r>
      <w:r>
        <w:rPr>
          <w:rFonts w:ascii="Times New Roman" w:hAnsi="Times New Roman" w:eastAsia="方正仿宋_GBK" w:cs="方正仿宋_GBK"/>
          <w:sz w:val="32"/>
          <w:szCs w:val="32"/>
          <w:shd w:val="clear" w:color="auto" w:fill="FFFFFF"/>
        </w:rPr>
        <w:t>费、邮电费、差旅费、维修（护）费、租赁费、培训费、专用材料费、劳务费、工会经费、福利费、其他商品和服务支出。</w:t>
      </w:r>
    </w:p>
    <w:p w14:paraId="5C441427">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（五）政府性基金预算收支决算情况说明</w:t>
      </w:r>
    </w:p>
    <w:p w14:paraId="7C34450A">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度无政府性基金预算财政拨款收支。</w:t>
      </w:r>
    </w:p>
    <w:p w14:paraId="6C1BC602">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（六）国有资本经营预算财政拨款支出决算情况说明</w:t>
      </w:r>
    </w:p>
    <w:p w14:paraId="6E7347A1">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本单位2024年度无国有资本经营预算财政拨款支出。</w:t>
      </w:r>
    </w:p>
    <w:p w14:paraId="42E5A1FC">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kern w:val="2"/>
          <w:sz w:val="32"/>
          <w:szCs w:val="32"/>
          <w:lang w:eastAsia="zh-Hans"/>
        </w:rPr>
      </w:pPr>
      <w:r>
        <w:rPr>
          <w:rFonts w:hint="eastAsia" w:ascii="Times New Roman" w:hAnsi="Times New Roman" w:eastAsia="方正黑体_GBK" w:cs="Times New Roman"/>
          <w:kern w:val="2"/>
          <w:sz w:val="32"/>
          <w:szCs w:val="32"/>
          <w:lang w:eastAsia="zh-Hans"/>
        </w:rPr>
        <w:t>三、</w:t>
      </w:r>
      <w:r>
        <w:rPr>
          <w:rFonts w:hint="eastAsia" w:ascii="Times New Roman" w:hAnsi="Times New Roman" w:eastAsia="方正黑体_GBK" w:cs="Times New Roman"/>
          <w:kern w:val="2"/>
          <w:sz w:val="32"/>
          <w:szCs w:val="32"/>
          <w:lang w:eastAsia="zh-CN"/>
        </w:rPr>
        <w:t>财政拨款</w:t>
      </w:r>
      <w:r>
        <w:rPr>
          <w:rFonts w:hint="eastAsia" w:ascii="Times New Roman" w:hAnsi="Times New Roman" w:eastAsia="方正黑体_GBK" w:cs="Times New Roman"/>
          <w:kern w:val="2"/>
          <w:sz w:val="32"/>
          <w:szCs w:val="32"/>
          <w:lang w:eastAsia="zh-Hans"/>
        </w:rPr>
        <w:t>“三公”经费情况说明</w:t>
      </w:r>
    </w:p>
    <w:p w14:paraId="4E448AB1">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（一）“三公”经费支出总体情况说明</w:t>
      </w:r>
    </w:p>
    <w:p w14:paraId="2D36F534">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shd w:val="clear" w:color="auto" w:fill="FFFFFF"/>
          <w:lang w:val="en-US"/>
        </w:rPr>
      </w:pPr>
      <w:r>
        <w:rPr>
          <w:rFonts w:hint="eastAsia" w:ascii="Times New Roman" w:hAnsi="Times New Roman" w:eastAsia="方正仿宋_GBK" w:cs="方正仿宋_GBK"/>
          <w:sz w:val="32"/>
          <w:szCs w:val="32"/>
          <w:shd w:val="clear" w:color="auto" w:fill="FFFFFF"/>
          <w:lang w:eastAsia="zh-CN"/>
        </w:rPr>
        <w:t>2024年度“三公”经费支出共计0.00万元，较年初预算数无增减，主要原因是本单位2024年度未发生“三公”经费支出，</w:t>
      </w:r>
      <w:r>
        <w:rPr>
          <w:rFonts w:hint="eastAsia" w:ascii="Times New Roman" w:hAnsi="Times New Roman" w:eastAsia="方正仿宋_GBK" w:cs="方正仿宋_GBK"/>
          <w:sz w:val="32"/>
          <w:szCs w:val="32"/>
          <w:shd w:val="clear" w:color="auto" w:fill="FFFFFF"/>
          <w:lang w:val="en-US" w:eastAsia="zh-CN"/>
        </w:rPr>
        <w:t>与上年数持平</w:t>
      </w:r>
      <w:r>
        <w:rPr>
          <w:rFonts w:hint="eastAsia" w:ascii="Times New Roman" w:hAnsi="Times New Roman" w:eastAsia="方正仿宋_GBK" w:cs="方正仿宋_GBK"/>
          <w:sz w:val="32"/>
          <w:szCs w:val="32"/>
          <w:shd w:val="clear" w:color="auto" w:fill="FFFFFF"/>
          <w:lang w:eastAsia="zh-CN"/>
        </w:rPr>
        <w:t>。较上年支出数无增减，主要原因是本单位2024年度未发生“三公”经费支出，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val="en-US" w:eastAsia="zh-CN"/>
        </w:rPr>
        <w:t>与上年决算数持平。</w:t>
      </w:r>
    </w:p>
    <w:p w14:paraId="475F60CC">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（二）“三公”经费分项支出情况</w:t>
      </w:r>
    </w:p>
    <w:p w14:paraId="37FE7CB2">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2024年度本单位因公出国（境）费用0.00万元，</w:t>
      </w:r>
      <w:r>
        <w:rPr>
          <w:rFonts w:ascii="Times New Roman" w:hAnsi="Times New Roman" w:eastAsia="方正仿宋_GBK" w:cs="方正仿宋_GBK"/>
          <w:sz w:val="32"/>
          <w:szCs w:val="32"/>
          <w:shd w:val="clear" w:color="auto" w:fill="FFFFFF"/>
        </w:rPr>
        <w:t>费用支出较年初预算数无增减，较上年支出数无增减，主要原因是主要原因是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年度未发生因公出国（境）费用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52B93E25">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公务车购置费0.00万元，主要是本单位本年度未购置公务车费。费用支出较年初预算数无增减，较上年支出数无增减，主要原因是本单位本年度未购置公务车费，</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7C001AB9">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公务车运行维护费0.00万元，主要是本单位无公务车。费用支出较年初预算数无增减，较上年支出数无增减，主要原因是本单位无公务车，</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1472F3A2">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eastAsia="zh-CN"/>
        </w:rPr>
      </w:pPr>
      <w:r>
        <w:rPr>
          <w:rFonts w:hint="eastAsia" w:ascii="Times New Roman" w:hAnsi="Times New Roman" w:eastAsia="方正仿宋_GBK" w:cs="方正仿宋_GBK"/>
          <w:sz w:val="32"/>
          <w:szCs w:val="32"/>
          <w:shd w:val="clear" w:color="auto" w:fill="FFFFFF"/>
          <w:lang w:eastAsia="zh-CN"/>
        </w:rPr>
        <w:t>公务接待费0.00万元，主要是2024年度未发生公务接待费用。费用支出较年初预算数无增减，较上年支出数无增减，主要原因是2024年度未发生公务接待费用，</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7B337573">
      <w:pPr>
        <w:pStyle w:val="8"/>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Style w:val="11"/>
          <w:rFonts w:hint="eastAsia" w:ascii="Times New Roman" w:hAnsi="Times New Roman" w:eastAsia="方正楷体_GBK" w:cs="Times New Roman"/>
          <w:b w:val="0"/>
          <w:sz w:val="32"/>
          <w:szCs w:val="32"/>
        </w:rPr>
      </w:pPr>
      <w:r>
        <w:rPr>
          <w:rStyle w:val="11"/>
          <w:rFonts w:hint="eastAsia" w:ascii="Times New Roman" w:hAnsi="Times New Roman" w:eastAsia="方正楷体_GBK" w:cs="Times New Roman"/>
          <w:b w:val="0"/>
          <w:sz w:val="32"/>
          <w:szCs w:val="32"/>
        </w:rPr>
        <w:t>（三）“三公”经费实物量情况</w:t>
      </w:r>
    </w:p>
    <w:p w14:paraId="494DAEF5">
      <w:pPr>
        <w:pStyle w:val="8"/>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086EDFED">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hint="default" w:ascii="Times New Roman" w:hAnsi="Times New Roman" w:eastAsia="方正黑体_GBK" w:cs="Times New Roman"/>
          <w:kern w:val="2"/>
          <w:sz w:val="32"/>
          <w:szCs w:val="32"/>
          <w:lang w:eastAsia="zh-Hans"/>
        </w:rPr>
      </w:pPr>
      <w:r>
        <w:rPr>
          <w:rFonts w:hint="eastAsia" w:ascii="Times New Roman" w:hAnsi="Times New Roman" w:eastAsia="方正黑体_GBK" w:cs="Times New Roman"/>
          <w:kern w:val="2"/>
          <w:sz w:val="32"/>
          <w:szCs w:val="32"/>
          <w:lang w:eastAsia="zh-Hans"/>
        </w:rPr>
        <w:t>四、其他需要说明的事项</w:t>
      </w:r>
    </w:p>
    <w:p w14:paraId="13931F1D">
      <w:pPr>
        <w:pStyle w:val="12"/>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（一）财政拨款会议费和培训费情况说明</w:t>
      </w:r>
    </w:p>
    <w:p w14:paraId="0A8F86BE">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left"/>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万元，与2023年度相比，无增减，主要原因是我单位202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年度未发生会议费支出。本年度培训费支出</w:t>
      </w:r>
      <w:r>
        <w:rPr>
          <w:rFonts w:ascii="Times New Roman" w:hAnsi="Times New Roman" w:eastAsia="方正仿宋_GBK" w:cs="方正仿宋_GBK"/>
          <w:sz w:val="32"/>
          <w:szCs w:val="32"/>
        </w:rPr>
        <w:t>3.56</w:t>
      </w:r>
      <w:r>
        <w:rPr>
          <w:rFonts w:ascii="Times New Roman" w:hAnsi="Times New Roman" w:eastAsia="方正仿宋_GBK" w:cs="方正仿宋_GBK"/>
          <w:sz w:val="32"/>
          <w:szCs w:val="32"/>
          <w:shd w:val="clear" w:color="auto" w:fill="FFFFFF"/>
        </w:rPr>
        <w:t>万元，与2023年度相比，增加1.11万元，增长45.3%，主要原因是</w:t>
      </w:r>
      <w:r>
        <w:rPr>
          <w:rFonts w:hint="eastAsia" w:ascii="Times New Roman" w:hAnsi="Times New Roman" w:eastAsia="方正仿宋_GBK" w:cs="方正仿宋_GBK"/>
          <w:sz w:val="32"/>
          <w:szCs w:val="32"/>
          <w:shd w:val="clear" w:color="auto" w:fill="FFFFFF"/>
          <w:lang w:eastAsia="zh-CN"/>
        </w:rPr>
        <w:t>增加了外出培训的人数和次数。</w:t>
      </w:r>
    </w:p>
    <w:p w14:paraId="736ABC0C">
      <w:pPr>
        <w:pStyle w:val="12"/>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（二）机关运行经费情况说明</w:t>
      </w:r>
    </w:p>
    <w:p w14:paraId="58EDFAF1">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val="en-US" w:eastAsia="zh-CN" w:bidi="ar-SA"/>
        </w:rPr>
      </w:pPr>
      <w:r>
        <w:rPr>
          <w:rFonts w:hint="eastAsia" w:ascii="Times New Roman" w:hAnsi="Times New Roman" w:eastAsia="方正仿宋_GBK" w:cs="方正仿宋_GBK"/>
          <w:sz w:val="32"/>
          <w:szCs w:val="32"/>
          <w:shd w:val="clear" w:color="auto" w:fill="FFFFFF"/>
          <w:lang w:val="en-US" w:eastAsia="zh-CN" w:bidi="ar-SA"/>
        </w:rPr>
        <w:t>按照单位决算列报口径，我单位不在机关运行经费统计范围之内。</w:t>
      </w:r>
    </w:p>
    <w:p w14:paraId="70CFF1FE">
      <w:pPr>
        <w:pStyle w:val="12"/>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（三）国有资产占用情况说明</w:t>
      </w:r>
    </w:p>
    <w:p w14:paraId="1882545B">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5913F5FC">
      <w:pPr>
        <w:pStyle w:val="12"/>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（四）政府采购支出情况说明</w:t>
      </w:r>
    </w:p>
    <w:p w14:paraId="2CE2F627">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eastAsia" w:ascii="Times New Roman" w:hAnsi="Times New Roman" w:eastAsia="方正仿宋_GBK" w:cs="宋体"/>
          <w:kern w:val="0"/>
          <w:szCs w:val="32"/>
          <w:lang w:eastAsia="zh-CN"/>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政府采购支出总额</w:t>
      </w:r>
      <w:r>
        <w:rPr>
          <w:rFonts w:ascii="Times New Roman" w:hAnsi="Times New Roman" w:eastAsia="方正仿宋_GBK" w:cs="方正仿宋_GBK"/>
          <w:sz w:val="32"/>
          <w:szCs w:val="32"/>
        </w:rPr>
        <w:t>473.64</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105.39</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368.25</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473.64万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473.64</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w:t>
      </w:r>
      <w:r>
        <w:rPr>
          <w:rFonts w:ascii="Times New Roman" w:hAnsi="Times New Roman" w:eastAsia="方正仿宋_GBK" w:cs="方正仿宋_GBK"/>
          <w:sz w:val="32"/>
          <w:szCs w:val="32"/>
          <w:shd w:val="clear" w:color="auto" w:fill="FFFFFF"/>
        </w:rPr>
        <w:t>%。主要用于采购</w:t>
      </w:r>
      <w:r>
        <w:rPr>
          <w:rFonts w:hint="eastAsia" w:ascii="Times New Roman" w:hAnsi="Times New Roman" w:eastAsia="方正仿宋_GBK" w:cs="方正仿宋_GBK"/>
          <w:sz w:val="32"/>
          <w:szCs w:val="32"/>
          <w:shd w:val="clear" w:color="auto" w:fill="FFFFFF"/>
          <w:lang w:eastAsia="zh-CN"/>
        </w:rPr>
        <w:t>功能室及实验室设施设备采购以及文化建设服务采购。</w:t>
      </w:r>
    </w:p>
    <w:p w14:paraId="1379AF19">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left"/>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五、2024年度预算绩效管理情况说明</w:t>
      </w:r>
    </w:p>
    <w:p w14:paraId="029A12A1">
      <w:pPr>
        <w:pStyle w:val="12"/>
        <w:keepNext w:val="0"/>
        <w:keepLines w:val="0"/>
        <w:pageBreakBefore w:val="0"/>
        <w:widowControl w:val="0"/>
        <w:kinsoku/>
        <w:wordWrap/>
        <w:overflowPunct/>
        <w:topLinePunct w:val="0"/>
        <w:autoSpaceDE w:val="0"/>
        <w:autoSpaceDN/>
        <w:bidi w:val="0"/>
        <w:spacing w:line="600" w:lineRule="exact"/>
        <w:ind w:firstLine="640" w:firstLineChars="200"/>
        <w:jc w:val="left"/>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（一）预算绩效管理工作开展情况</w:t>
      </w:r>
    </w:p>
    <w:p w14:paraId="6DC9E1DB">
      <w:pPr>
        <w:keepNext w:val="0"/>
        <w:keepLines w:val="0"/>
        <w:pageBreakBefore w:val="0"/>
        <w:widowControl w:val="0"/>
        <w:kinsoku/>
        <w:wordWrap/>
        <w:overflowPunct/>
        <w:topLinePunct w:val="0"/>
        <w:autoSpaceDN/>
        <w:bidi w:val="0"/>
        <w:spacing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根据预算绩效管理要求，我单位对9个二级项目开展了绩效自评，涉及财政拨款项目支出89.56万元。</w:t>
      </w:r>
    </w:p>
    <w:p w14:paraId="0DD15662">
      <w:pPr>
        <w:tabs>
          <w:tab w:val="center" w:pos="4153"/>
          <w:tab w:val="left" w:pos="7275"/>
        </w:tabs>
        <w:spacing w:line="596" w:lineRule="exact"/>
        <w:jc w:val="center"/>
        <w:rPr>
          <w:rFonts w:hint="eastAsia" w:ascii="Times New Roman" w:hAnsi="Times New Roman" w:eastAsia="方正小标宋_GBK" w:cs="方正小标宋_GBK"/>
          <w:color w:val="000000"/>
          <w:kern w:val="0"/>
          <w:sz w:val="28"/>
          <w:szCs w:val="28"/>
          <w:lang w:eastAsia="zh-CN" w:bidi="ar"/>
        </w:rPr>
      </w:pPr>
      <w:r>
        <w:rPr>
          <w:rFonts w:hint="eastAsia" w:ascii="Times New Roman" w:hAnsi="Times New Roman" w:eastAsia="方正小标宋_GBK" w:cs="方正小标宋_GBK"/>
          <w:color w:val="000000"/>
          <w:kern w:val="0"/>
          <w:sz w:val="28"/>
          <w:szCs w:val="28"/>
          <w:lang w:eastAsia="zh-CN" w:bidi="ar"/>
        </w:rPr>
        <w:t>重庆市九龙坡区明诚育才</w:t>
      </w:r>
    </w:p>
    <w:p w14:paraId="7DFA34BD">
      <w:pPr>
        <w:tabs>
          <w:tab w:val="center" w:pos="4153"/>
          <w:tab w:val="left" w:pos="7275"/>
        </w:tabs>
        <w:spacing w:line="596" w:lineRule="exact"/>
        <w:jc w:val="center"/>
        <w:rPr>
          <w:rFonts w:ascii="Times New Roman" w:hAnsi="Times New Roman" w:cs="宋体"/>
          <w:kern w:val="0"/>
          <w:sz w:val="21"/>
          <w:szCs w:val="24"/>
        </w:rPr>
      </w:pPr>
      <w:r>
        <w:rPr>
          <w:rFonts w:hint="eastAsia" w:ascii="Times New Roman" w:hAnsi="Times New Roman" w:eastAsia="方正小标宋_GBK" w:cs="方正小标宋_GBK"/>
          <w:color w:val="000000"/>
          <w:kern w:val="0"/>
          <w:sz w:val="28"/>
          <w:szCs w:val="28"/>
          <w:lang w:bidi="ar"/>
        </w:rPr>
        <w:t>2024年度</w:t>
      </w:r>
      <w:r>
        <w:rPr>
          <w:rFonts w:hint="eastAsia" w:ascii="Times New Roman" w:hAnsi="Times New Roman" w:eastAsia="方正小标宋_GBK" w:cs="方正小标宋_GBK"/>
          <w:color w:val="000000"/>
          <w:kern w:val="0"/>
          <w:sz w:val="28"/>
          <w:szCs w:val="28"/>
          <w:lang w:val="en-US" w:eastAsia="zh-CN" w:bidi="ar"/>
        </w:rPr>
        <w:t>重点</w:t>
      </w:r>
      <w:r>
        <w:rPr>
          <w:rFonts w:hint="eastAsia" w:ascii="Times New Roman" w:hAnsi="Times New Roman" w:eastAsia="方正小标宋_GBK" w:cs="方正小标宋_GBK"/>
          <w:color w:val="000000"/>
          <w:kern w:val="0"/>
          <w:sz w:val="28"/>
          <w:szCs w:val="28"/>
          <w:lang w:bidi="ar"/>
        </w:rPr>
        <w:t>项目支出绩效自评表</w:t>
      </w:r>
    </w:p>
    <w:tbl>
      <w:tblPr>
        <w:tblStyle w:val="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766"/>
        <w:gridCol w:w="1620"/>
        <w:gridCol w:w="1452"/>
        <w:gridCol w:w="624"/>
        <w:gridCol w:w="1032"/>
        <w:gridCol w:w="612"/>
        <w:gridCol w:w="648"/>
        <w:gridCol w:w="744"/>
        <w:gridCol w:w="732"/>
        <w:gridCol w:w="835"/>
        <w:gridCol w:w="710"/>
      </w:tblGrid>
      <w:tr w14:paraId="333B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719" w:hRule="atLeast"/>
          <w:tblHeader/>
          <w:jc w:val="center"/>
        </w:trPr>
        <w:tc>
          <w:tcPr>
            <w:tcW w:w="766" w:type="dxa"/>
            <w:tcBorders>
              <w:top w:val="single" w:color="auto" w:sz="4" w:space="0"/>
            </w:tcBorders>
            <w:noWrap w:val="0"/>
            <w:vAlign w:val="center"/>
          </w:tcPr>
          <w:p w14:paraId="45CA2487">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序号</w:t>
            </w:r>
          </w:p>
        </w:tc>
        <w:tc>
          <w:tcPr>
            <w:tcW w:w="1620" w:type="dxa"/>
            <w:tcBorders>
              <w:top w:val="single" w:color="auto" w:sz="4" w:space="0"/>
            </w:tcBorders>
            <w:noWrap w:val="0"/>
            <w:vAlign w:val="center"/>
          </w:tcPr>
          <w:p w14:paraId="55F83A52">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项目名称</w:t>
            </w:r>
          </w:p>
        </w:tc>
        <w:tc>
          <w:tcPr>
            <w:tcW w:w="1452" w:type="dxa"/>
            <w:tcBorders>
              <w:top w:val="single" w:color="auto" w:sz="4" w:space="0"/>
            </w:tcBorders>
            <w:noWrap w:val="0"/>
            <w:vAlign w:val="center"/>
          </w:tcPr>
          <w:p w14:paraId="45D0A6FC">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指标名称</w:t>
            </w:r>
          </w:p>
        </w:tc>
        <w:tc>
          <w:tcPr>
            <w:tcW w:w="624" w:type="dxa"/>
            <w:tcBorders>
              <w:top w:val="single" w:color="auto" w:sz="4" w:space="0"/>
            </w:tcBorders>
            <w:noWrap w:val="0"/>
            <w:vAlign w:val="center"/>
          </w:tcPr>
          <w:p w14:paraId="51AE8C70">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指标性质</w:t>
            </w:r>
          </w:p>
        </w:tc>
        <w:tc>
          <w:tcPr>
            <w:tcW w:w="1032" w:type="dxa"/>
            <w:tcBorders>
              <w:top w:val="single" w:color="auto" w:sz="4" w:space="0"/>
            </w:tcBorders>
            <w:noWrap w:val="0"/>
            <w:vAlign w:val="center"/>
          </w:tcPr>
          <w:p w14:paraId="7FB39724">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指标值</w:t>
            </w:r>
          </w:p>
        </w:tc>
        <w:tc>
          <w:tcPr>
            <w:tcW w:w="612" w:type="dxa"/>
            <w:tcBorders>
              <w:top w:val="single" w:color="auto" w:sz="4" w:space="0"/>
            </w:tcBorders>
            <w:noWrap w:val="0"/>
            <w:vAlign w:val="center"/>
          </w:tcPr>
          <w:p w14:paraId="6F592F52">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计量单位</w:t>
            </w:r>
          </w:p>
        </w:tc>
        <w:tc>
          <w:tcPr>
            <w:tcW w:w="648" w:type="dxa"/>
            <w:tcBorders>
              <w:top w:val="single" w:color="auto" w:sz="4" w:space="0"/>
            </w:tcBorders>
            <w:noWrap w:val="0"/>
            <w:vAlign w:val="center"/>
          </w:tcPr>
          <w:p w14:paraId="4FC92EAA">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指标权重</w:t>
            </w:r>
          </w:p>
        </w:tc>
        <w:tc>
          <w:tcPr>
            <w:tcW w:w="744" w:type="dxa"/>
            <w:tcBorders>
              <w:top w:val="single" w:color="auto" w:sz="4" w:space="0"/>
            </w:tcBorders>
            <w:noWrap w:val="0"/>
            <w:vAlign w:val="center"/>
          </w:tcPr>
          <w:p w14:paraId="608C5C45">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全年完成值</w:t>
            </w:r>
          </w:p>
        </w:tc>
        <w:tc>
          <w:tcPr>
            <w:tcW w:w="732" w:type="dxa"/>
            <w:tcBorders>
              <w:top w:val="single" w:color="auto" w:sz="4" w:space="0"/>
            </w:tcBorders>
            <w:noWrap w:val="0"/>
            <w:vAlign w:val="center"/>
          </w:tcPr>
          <w:p w14:paraId="5F2E88CD">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指标得分</w:t>
            </w:r>
          </w:p>
        </w:tc>
        <w:tc>
          <w:tcPr>
            <w:tcW w:w="835" w:type="dxa"/>
            <w:tcBorders>
              <w:top w:val="single" w:color="auto" w:sz="4" w:space="0"/>
            </w:tcBorders>
            <w:noWrap w:val="0"/>
            <w:vAlign w:val="center"/>
          </w:tcPr>
          <w:p w14:paraId="4744758B">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说明</w:t>
            </w:r>
          </w:p>
        </w:tc>
        <w:tc>
          <w:tcPr>
            <w:tcW w:w="710" w:type="dxa"/>
            <w:tcBorders>
              <w:top w:val="single" w:color="auto" w:sz="4" w:space="0"/>
            </w:tcBorders>
            <w:noWrap w:val="0"/>
            <w:vAlign w:val="center"/>
          </w:tcPr>
          <w:p w14:paraId="47F18C16">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自评得分</w:t>
            </w:r>
          </w:p>
        </w:tc>
      </w:tr>
      <w:tr w14:paraId="6138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766" w:type="dxa"/>
            <w:vMerge w:val="restart"/>
            <w:noWrap/>
            <w:vAlign w:val="center"/>
          </w:tcPr>
          <w:p w14:paraId="6A3EE212">
            <w:pPr>
              <w:snapToGrid w:val="0"/>
              <w:jc w:val="center"/>
              <w:textAlignment w:val="center"/>
              <w:rPr>
                <w:rFonts w:ascii="宋体" w:eastAsia="宋体"/>
                <w:color w:val="000000"/>
                <w:sz w:val="22"/>
              </w:rPr>
            </w:pPr>
            <w:r>
              <w:rPr>
                <w:rFonts w:ascii="宋体" w:eastAsia="宋体"/>
                <w:color w:val="000000"/>
                <w:kern w:val="0"/>
                <w:sz w:val="22"/>
                <w:lang w:bidi="ar"/>
              </w:rPr>
              <w:t>1</w:t>
            </w:r>
          </w:p>
        </w:tc>
        <w:tc>
          <w:tcPr>
            <w:tcW w:w="1620" w:type="dxa"/>
            <w:vMerge w:val="restart"/>
            <w:noWrap/>
            <w:vAlign w:val="center"/>
          </w:tcPr>
          <w:p w14:paraId="01C23257">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2024年学前教育家庭经济困难幼儿资助专项经费</w:t>
            </w:r>
          </w:p>
        </w:tc>
        <w:tc>
          <w:tcPr>
            <w:tcW w:w="1452" w:type="dxa"/>
            <w:noWrap/>
            <w:vAlign w:val="center"/>
          </w:tcPr>
          <w:p w14:paraId="00884059">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成本指标</w:t>
            </w:r>
          </w:p>
        </w:tc>
        <w:tc>
          <w:tcPr>
            <w:tcW w:w="624" w:type="dxa"/>
            <w:noWrap/>
            <w:vAlign w:val="center"/>
          </w:tcPr>
          <w:p w14:paraId="147D30B3">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32" w:type="dxa"/>
            <w:noWrap/>
            <w:vAlign w:val="center"/>
          </w:tcPr>
          <w:p w14:paraId="7A166430">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15600</w:t>
            </w:r>
          </w:p>
        </w:tc>
        <w:tc>
          <w:tcPr>
            <w:tcW w:w="612" w:type="dxa"/>
            <w:noWrap/>
            <w:vAlign w:val="center"/>
          </w:tcPr>
          <w:p w14:paraId="0EA4E447">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元</w:t>
            </w:r>
          </w:p>
        </w:tc>
        <w:tc>
          <w:tcPr>
            <w:tcW w:w="648" w:type="dxa"/>
            <w:noWrap/>
            <w:vAlign w:val="center"/>
          </w:tcPr>
          <w:p w14:paraId="392F0AA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0745477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15600</w:t>
            </w:r>
          </w:p>
        </w:tc>
        <w:tc>
          <w:tcPr>
            <w:tcW w:w="732" w:type="dxa"/>
            <w:noWrap/>
            <w:vAlign w:val="center"/>
          </w:tcPr>
          <w:p w14:paraId="1D63A3F0">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835" w:type="dxa"/>
            <w:noWrap/>
            <w:vAlign w:val="center"/>
          </w:tcPr>
          <w:p w14:paraId="2F0586EB">
            <w:pPr>
              <w:snapToGrid w:val="0"/>
              <w:jc w:val="center"/>
              <w:rPr>
                <w:rFonts w:ascii="宋体" w:eastAsia="宋体" w:cs="宋体"/>
                <w:color w:val="000000"/>
                <w:sz w:val="22"/>
              </w:rPr>
            </w:pPr>
          </w:p>
        </w:tc>
        <w:tc>
          <w:tcPr>
            <w:tcW w:w="710" w:type="dxa"/>
            <w:vMerge w:val="restart"/>
            <w:noWrap/>
            <w:vAlign w:val="center"/>
          </w:tcPr>
          <w:p w14:paraId="3FDEDF33">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100</w:t>
            </w:r>
          </w:p>
        </w:tc>
      </w:tr>
      <w:tr w14:paraId="30E1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766" w:type="dxa"/>
            <w:vMerge w:val="continue"/>
            <w:noWrap/>
            <w:vAlign w:val="center"/>
          </w:tcPr>
          <w:p w14:paraId="09F732EA">
            <w:pPr>
              <w:snapToGrid w:val="0"/>
              <w:jc w:val="center"/>
              <w:textAlignment w:val="center"/>
              <w:rPr>
                <w:rFonts w:ascii="宋体" w:eastAsia="宋体"/>
                <w:color w:val="000000"/>
                <w:sz w:val="22"/>
              </w:rPr>
            </w:pPr>
          </w:p>
        </w:tc>
        <w:tc>
          <w:tcPr>
            <w:tcW w:w="1620" w:type="dxa"/>
            <w:vMerge w:val="continue"/>
            <w:noWrap/>
            <w:vAlign w:val="center"/>
          </w:tcPr>
          <w:p w14:paraId="3B3AEE50">
            <w:pPr>
              <w:snapToGrid w:val="0"/>
              <w:jc w:val="center"/>
              <w:rPr>
                <w:rFonts w:ascii="宋体" w:eastAsia="宋体" w:cs="宋体"/>
                <w:color w:val="000000"/>
                <w:sz w:val="22"/>
              </w:rPr>
            </w:pPr>
          </w:p>
        </w:tc>
        <w:tc>
          <w:tcPr>
            <w:tcW w:w="1452" w:type="dxa"/>
            <w:noWrap/>
            <w:vAlign w:val="center"/>
          </w:tcPr>
          <w:p w14:paraId="11DD648C">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数量指标</w:t>
            </w:r>
          </w:p>
        </w:tc>
        <w:tc>
          <w:tcPr>
            <w:tcW w:w="624" w:type="dxa"/>
            <w:noWrap/>
            <w:vAlign w:val="center"/>
          </w:tcPr>
          <w:p w14:paraId="3D5AFDC6">
            <w:pPr>
              <w:snapToGrid w:val="0"/>
              <w:jc w:val="center"/>
              <w:rPr>
                <w:rFonts w:ascii="宋体" w:eastAsia="宋体" w:cs="宋体"/>
                <w:color w:val="000000"/>
                <w:sz w:val="22"/>
              </w:rPr>
            </w:pPr>
            <w:r>
              <w:rPr>
                <w:rFonts w:hint="default" w:ascii="宋体" w:hAnsi="Arial" w:eastAsia="宋体" w:cs="Arial"/>
                <w:color w:val="000000"/>
                <w:sz w:val="22"/>
              </w:rPr>
              <w:t>≥</w:t>
            </w:r>
          </w:p>
        </w:tc>
        <w:tc>
          <w:tcPr>
            <w:tcW w:w="1032" w:type="dxa"/>
            <w:noWrap/>
            <w:vAlign w:val="center"/>
          </w:tcPr>
          <w:p w14:paraId="3CFF3F19">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4</w:t>
            </w:r>
          </w:p>
        </w:tc>
        <w:tc>
          <w:tcPr>
            <w:tcW w:w="612" w:type="dxa"/>
            <w:noWrap/>
            <w:vAlign w:val="center"/>
          </w:tcPr>
          <w:p w14:paraId="23F3E00C">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人次</w:t>
            </w:r>
          </w:p>
        </w:tc>
        <w:tc>
          <w:tcPr>
            <w:tcW w:w="648" w:type="dxa"/>
            <w:noWrap/>
            <w:vAlign w:val="center"/>
          </w:tcPr>
          <w:p w14:paraId="7883A76C">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208B5010">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4</w:t>
            </w:r>
          </w:p>
        </w:tc>
        <w:tc>
          <w:tcPr>
            <w:tcW w:w="732" w:type="dxa"/>
            <w:noWrap/>
            <w:vAlign w:val="center"/>
          </w:tcPr>
          <w:p w14:paraId="11B7A774">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835" w:type="dxa"/>
            <w:noWrap/>
            <w:vAlign w:val="center"/>
          </w:tcPr>
          <w:p w14:paraId="291731CB">
            <w:pPr>
              <w:snapToGrid w:val="0"/>
              <w:jc w:val="center"/>
              <w:rPr>
                <w:rFonts w:ascii="宋体" w:eastAsia="宋体" w:cs="宋体"/>
                <w:color w:val="000000"/>
                <w:sz w:val="22"/>
              </w:rPr>
            </w:pPr>
          </w:p>
        </w:tc>
        <w:tc>
          <w:tcPr>
            <w:tcW w:w="710" w:type="dxa"/>
            <w:vMerge w:val="continue"/>
            <w:noWrap/>
            <w:vAlign w:val="center"/>
          </w:tcPr>
          <w:p w14:paraId="7A2C19C9">
            <w:pPr>
              <w:snapToGrid w:val="0"/>
              <w:jc w:val="center"/>
              <w:rPr>
                <w:rFonts w:ascii="宋体" w:eastAsia="宋体" w:cs="宋体"/>
                <w:color w:val="000000"/>
                <w:sz w:val="22"/>
              </w:rPr>
            </w:pPr>
          </w:p>
        </w:tc>
      </w:tr>
      <w:tr w14:paraId="636E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766" w:type="dxa"/>
            <w:vMerge w:val="continue"/>
            <w:noWrap/>
            <w:vAlign w:val="center"/>
          </w:tcPr>
          <w:p w14:paraId="509266CF">
            <w:pPr>
              <w:snapToGrid w:val="0"/>
              <w:jc w:val="center"/>
              <w:textAlignment w:val="center"/>
              <w:rPr>
                <w:rFonts w:ascii="宋体" w:eastAsia="宋体"/>
                <w:color w:val="000000"/>
                <w:sz w:val="22"/>
              </w:rPr>
            </w:pPr>
          </w:p>
        </w:tc>
        <w:tc>
          <w:tcPr>
            <w:tcW w:w="1620" w:type="dxa"/>
            <w:vMerge w:val="continue"/>
            <w:noWrap/>
            <w:vAlign w:val="center"/>
          </w:tcPr>
          <w:p w14:paraId="489E596B">
            <w:pPr>
              <w:snapToGrid w:val="0"/>
              <w:jc w:val="center"/>
              <w:rPr>
                <w:rFonts w:ascii="宋体" w:eastAsia="宋体" w:cs="宋体"/>
                <w:color w:val="000000"/>
                <w:sz w:val="22"/>
              </w:rPr>
            </w:pPr>
          </w:p>
        </w:tc>
        <w:tc>
          <w:tcPr>
            <w:tcW w:w="1452" w:type="dxa"/>
            <w:noWrap/>
            <w:vAlign w:val="center"/>
          </w:tcPr>
          <w:p w14:paraId="3250404A">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时效指标</w:t>
            </w:r>
          </w:p>
        </w:tc>
        <w:tc>
          <w:tcPr>
            <w:tcW w:w="624" w:type="dxa"/>
            <w:noWrap/>
            <w:vAlign w:val="center"/>
          </w:tcPr>
          <w:p w14:paraId="6F81D49B">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32" w:type="dxa"/>
            <w:noWrap/>
            <w:vAlign w:val="center"/>
          </w:tcPr>
          <w:p w14:paraId="2CEF73A4">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612" w:type="dxa"/>
            <w:noWrap/>
            <w:vAlign w:val="center"/>
          </w:tcPr>
          <w:p w14:paraId="25ED89BA">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年</w:t>
            </w:r>
          </w:p>
        </w:tc>
        <w:tc>
          <w:tcPr>
            <w:tcW w:w="648" w:type="dxa"/>
            <w:noWrap/>
            <w:vAlign w:val="center"/>
          </w:tcPr>
          <w:p w14:paraId="1F083E1B">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640B089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2024</w:t>
            </w:r>
          </w:p>
        </w:tc>
        <w:tc>
          <w:tcPr>
            <w:tcW w:w="732" w:type="dxa"/>
            <w:noWrap/>
            <w:vAlign w:val="center"/>
          </w:tcPr>
          <w:p w14:paraId="283B23D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835" w:type="dxa"/>
            <w:noWrap/>
            <w:vAlign w:val="center"/>
          </w:tcPr>
          <w:p w14:paraId="64D3D08B">
            <w:pPr>
              <w:snapToGrid w:val="0"/>
              <w:jc w:val="center"/>
              <w:rPr>
                <w:rFonts w:ascii="宋体" w:eastAsia="宋体" w:cs="宋体"/>
                <w:color w:val="000000"/>
                <w:sz w:val="22"/>
              </w:rPr>
            </w:pPr>
          </w:p>
        </w:tc>
        <w:tc>
          <w:tcPr>
            <w:tcW w:w="710" w:type="dxa"/>
            <w:vMerge w:val="continue"/>
            <w:noWrap/>
            <w:vAlign w:val="center"/>
          </w:tcPr>
          <w:p w14:paraId="066FE908">
            <w:pPr>
              <w:snapToGrid w:val="0"/>
              <w:jc w:val="center"/>
              <w:rPr>
                <w:rFonts w:ascii="宋体" w:eastAsia="宋体" w:cs="宋体"/>
                <w:color w:val="000000"/>
                <w:sz w:val="22"/>
              </w:rPr>
            </w:pPr>
          </w:p>
        </w:tc>
      </w:tr>
      <w:tr w14:paraId="4B7C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766" w:type="dxa"/>
            <w:vMerge w:val="continue"/>
            <w:noWrap/>
            <w:vAlign w:val="center"/>
          </w:tcPr>
          <w:p w14:paraId="78AEBD30">
            <w:pPr>
              <w:snapToGrid w:val="0"/>
              <w:jc w:val="center"/>
              <w:textAlignment w:val="center"/>
              <w:rPr>
                <w:rFonts w:ascii="宋体" w:eastAsia="宋体"/>
                <w:color w:val="000000"/>
                <w:sz w:val="22"/>
              </w:rPr>
            </w:pPr>
          </w:p>
        </w:tc>
        <w:tc>
          <w:tcPr>
            <w:tcW w:w="1620" w:type="dxa"/>
            <w:vMerge w:val="continue"/>
            <w:noWrap/>
            <w:vAlign w:val="center"/>
          </w:tcPr>
          <w:p w14:paraId="5FCF6A37">
            <w:pPr>
              <w:snapToGrid w:val="0"/>
              <w:jc w:val="center"/>
              <w:rPr>
                <w:rFonts w:ascii="宋体" w:eastAsia="宋体" w:cs="宋体"/>
                <w:color w:val="000000"/>
                <w:sz w:val="22"/>
              </w:rPr>
            </w:pPr>
          </w:p>
        </w:tc>
        <w:tc>
          <w:tcPr>
            <w:tcW w:w="1452" w:type="dxa"/>
            <w:noWrap/>
            <w:vAlign w:val="center"/>
          </w:tcPr>
          <w:p w14:paraId="1F898081">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经济指标</w:t>
            </w:r>
          </w:p>
        </w:tc>
        <w:tc>
          <w:tcPr>
            <w:tcW w:w="624" w:type="dxa"/>
            <w:noWrap/>
            <w:vAlign w:val="center"/>
          </w:tcPr>
          <w:p w14:paraId="060AFCE5">
            <w:pPr>
              <w:snapToGrid w:val="0"/>
              <w:jc w:val="center"/>
              <w:rPr>
                <w:rFonts w:ascii="宋体" w:eastAsia="宋体" w:cs="宋体"/>
                <w:color w:val="000000"/>
                <w:sz w:val="22"/>
              </w:rPr>
            </w:pPr>
            <w:r>
              <w:rPr>
                <w:rFonts w:hint="default" w:ascii="宋体" w:hAnsi="Arial" w:eastAsia="宋体" w:cs="Arial"/>
                <w:color w:val="000000"/>
                <w:sz w:val="22"/>
              </w:rPr>
              <w:t>≥</w:t>
            </w:r>
          </w:p>
        </w:tc>
        <w:tc>
          <w:tcPr>
            <w:tcW w:w="1032" w:type="dxa"/>
            <w:noWrap/>
            <w:vAlign w:val="center"/>
          </w:tcPr>
          <w:p w14:paraId="1F225D11">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98</w:t>
            </w:r>
          </w:p>
        </w:tc>
        <w:tc>
          <w:tcPr>
            <w:tcW w:w="612" w:type="dxa"/>
            <w:noWrap/>
            <w:vAlign w:val="center"/>
          </w:tcPr>
          <w:p w14:paraId="02259D76">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648" w:type="dxa"/>
            <w:noWrap/>
            <w:vAlign w:val="center"/>
          </w:tcPr>
          <w:p w14:paraId="7EF337D8">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744" w:type="dxa"/>
            <w:noWrap/>
            <w:vAlign w:val="center"/>
          </w:tcPr>
          <w:p w14:paraId="39B8238B">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98</w:t>
            </w:r>
          </w:p>
        </w:tc>
        <w:tc>
          <w:tcPr>
            <w:tcW w:w="732" w:type="dxa"/>
            <w:noWrap/>
            <w:vAlign w:val="center"/>
          </w:tcPr>
          <w:p w14:paraId="30F2DD5C">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20</w:t>
            </w:r>
          </w:p>
        </w:tc>
        <w:tc>
          <w:tcPr>
            <w:tcW w:w="835" w:type="dxa"/>
            <w:noWrap/>
            <w:vAlign w:val="center"/>
          </w:tcPr>
          <w:p w14:paraId="5BA48976">
            <w:pPr>
              <w:snapToGrid w:val="0"/>
              <w:jc w:val="center"/>
              <w:rPr>
                <w:rFonts w:ascii="宋体" w:eastAsia="宋体" w:cs="宋体"/>
                <w:color w:val="000000"/>
                <w:sz w:val="22"/>
              </w:rPr>
            </w:pPr>
          </w:p>
        </w:tc>
        <w:tc>
          <w:tcPr>
            <w:tcW w:w="710" w:type="dxa"/>
            <w:vMerge w:val="continue"/>
            <w:noWrap/>
            <w:vAlign w:val="center"/>
          </w:tcPr>
          <w:p w14:paraId="6936FF11">
            <w:pPr>
              <w:snapToGrid w:val="0"/>
              <w:jc w:val="center"/>
              <w:rPr>
                <w:rFonts w:ascii="宋体" w:eastAsia="宋体" w:cs="宋体"/>
                <w:color w:val="000000"/>
                <w:sz w:val="22"/>
              </w:rPr>
            </w:pPr>
          </w:p>
        </w:tc>
      </w:tr>
      <w:tr w14:paraId="5318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362" w:hRule="atLeast"/>
          <w:jc w:val="center"/>
        </w:trPr>
        <w:tc>
          <w:tcPr>
            <w:tcW w:w="766" w:type="dxa"/>
            <w:vMerge w:val="continue"/>
            <w:noWrap/>
            <w:vAlign w:val="center"/>
          </w:tcPr>
          <w:p w14:paraId="23B99575">
            <w:pPr>
              <w:snapToGrid w:val="0"/>
              <w:jc w:val="center"/>
              <w:textAlignment w:val="center"/>
              <w:rPr>
                <w:rFonts w:ascii="宋体" w:eastAsia="宋体"/>
                <w:color w:val="000000"/>
                <w:sz w:val="22"/>
              </w:rPr>
            </w:pPr>
          </w:p>
        </w:tc>
        <w:tc>
          <w:tcPr>
            <w:tcW w:w="1620" w:type="dxa"/>
            <w:vMerge w:val="continue"/>
            <w:noWrap/>
            <w:vAlign w:val="center"/>
          </w:tcPr>
          <w:p w14:paraId="3E4676DD">
            <w:pPr>
              <w:snapToGrid w:val="0"/>
              <w:jc w:val="center"/>
              <w:rPr>
                <w:rFonts w:ascii="宋体" w:eastAsia="宋体" w:cs="宋体"/>
                <w:color w:val="000000"/>
                <w:sz w:val="22"/>
              </w:rPr>
            </w:pPr>
          </w:p>
        </w:tc>
        <w:tc>
          <w:tcPr>
            <w:tcW w:w="1452" w:type="dxa"/>
            <w:noWrap/>
            <w:vAlign w:val="center"/>
          </w:tcPr>
          <w:p w14:paraId="22749774">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可持续影响指标</w:t>
            </w:r>
          </w:p>
        </w:tc>
        <w:tc>
          <w:tcPr>
            <w:tcW w:w="624" w:type="dxa"/>
            <w:noWrap/>
            <w:vAlign w:val="center"/>
          </w:tcPr>
          <w:p w14:paraId="127012B5">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1032" w:type="dxa"/>
            <w:noWrap/>
            <w:vAlign w:val="center"/>
          </w:tcPr>
          <w:p w14:paraId="6F1F5D3E">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1</w:t>
            </w:r>
          </w:p>
        </w:tc>
        <w:tc>
          <w:tcPr>
            <w:tcW w:w="612" w:type="dxa"/>
            <w:noWrap/>
            <w:vAlign w:val="center"/>
          </w:tcPr>
          <w:p w14:paraId="41B12994">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年</w:t>
            </w:r>
          </w:p>
        </w:tc>
        <w:tc>
          <w:tcPr>
            <w:tcW w:w="648" w:type="dxa"/>
            <w:noWrap/>
            <w:vAlign w:val="center"/>
          </w:tcPr>
          <w:p w14:paraId="33EF6DDB">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4CDD6093">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w:t>
            </w:r>
          </w:p>
        </w:tc>
        <w:tc>
          <w:tcPr>
            <w:tcW w:w="732" w:type="dxa"/>
            <w:noWrap/>
            <w:vAlign w:val="center"/>
          </w:tcPr>
          <w:p w14:paraId="0A345EFC">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835" w:type="dxa"/>
            <w:noWrap/>
            <w:vAlign w:val="center"/>
          </w:tcPr>
          <w:p w14:paraId="1B2E7491">
            <w:pPr>
              <w:snapToGrid w:val="0"/>
              <w:jc w:val="center"/>
              <w:rPr>
                <w:rFonts w:ascii="宋体" w:eastAsia="宋体" w:cs="宋体"/>
                <w:color w:val="000000"/>
                <w:sz w:val="22"/>
              </w:rPr>
            </w:pPr>
          </w:p>
        </w:tc>
        <w:tc>
          <w:tcPr>
            <w:tcW w:w="710" w:type="dxa"/>
            <w:vMerge w:val="continue"/>
            <w:noWrap/>
            <w:vAlign w:val="center"/>
          </w:tcPr>
          <w:p w14:paraId="0402F140">
            <w:pPr>
              <w:snapToGrid w:val="0"/>
              <w:jc w:val="center"/>
              <w:rPr>
                <w:rFonts w:ascii="宋体" w:eastAsia="宋体" w:cs="宋体"/>
                <w:color w:val="000000"/>
                <w:sz w:val="22"/>
              </w:rPr>
            </w:pPr>
          </w:p>
        </w:tc>
      </w:tr>
      <w:tr w14:paraId="1F27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83" w:hRule="atLeast"/>
          <w:jc w:val="center"/>
        </w:trPr>
        <w:tc>
          <w:tcPr>
            <w:tcW w:w="766" w:type="dxa"/>
            <w:vMerge w:val="continue"/>
            <w:noWrap/>
            <w:vAlign w:val="center"/>
          </w:tcPr>
          <w:p w14:paraId="5395878F">
            <w:pPr>
              <w:snapToGrid w:val="0"/>
              <w:jc w:val="center"/>
              <w:textAlignment w:val="center"/>
              <w:rPr>
                <w:rFonts w:ascii="宋体" w:eastAsia="宋体"/>
                <w:color w:val="000000"/>
                <w:sz w:val="22"/>
              </w:rPr>
            </w:pPr>
          </w:p>
        </w:tc>
        <w:tc>
          <w:tcPr>
            <w:tcW w:w="1620" w:type="dxa"/>
            <w:vMerge w:val="continue"/>
            <w:noWrap/>
            <w:vAlign w:val="center"/>
          </w:tcPr>
          <w:p w14:paraId="45E41514">
            <w:pPr>
              <w:snapToGrid w:val="0"/>
              <w:jc w:val="center"/>
              <w:rPr>
                <w:rFonts w:ascii="宋体" w:eastAsia="宋体" w:cs="宋体"/>
                <w:color w:val="000000"/>
                <w:sz w:val="22"/>
              </w:rPr>
            </w:pPr>
          </w:p>
        </w:tc>
        <w:tc>
          <w:tcPr>
            <w:tcW w:w="1452" w:type="dxa"/>
            <w:noWrap/>
            <w:vAlign w:val="center"/>
          </w:tcPr>
          <w:p w14:paraId="223A4EB0">
            <w:pPr>
              <w:snapToGrid w:val="0"/>
              <w:jc w:val="center"/>
              <w:rPr>
                <w:rFonts w:hint="default" w:ascii="宋体" w:eastAsia="宋体" w:cs="宋体"/>
                <w:color w:val="000000"/>
                <w:sz w:val="22"/>
                <w:lang w:val="en-US" w:eastAsia="zh-CN"/>
              </w:rPr>
            </w:pPr>
            <w:r>
              <w:rPr>
                <w:rFonts w:hint="eastAsia" w:cs="宋体"/>
                <w:color w:val="000000"/>
                <w:sz w:val="22"/>
                <w:lang w:val="en-US" w:eastAsia="zh-CN"/>
              </w:rPr>
              <w:t>执行率</w:t>
            </w:r>
          </w:p>
        </w:tc>
        <w:tc>
          <w:tcPr>
            <w:tcW w:w="624" w:type="dxa"/>
            <w:noWrap/>
            <w:vAlign w:val="center"/>
          </w:tcPr>
          <w:p w14:paraId="445E0A11">
            <w:pPr>
              <w:snapToGrid w:val="0"/>
              <w:jc w:val="center"/>
              <w:rPr>
                <w:rFonts w:hint="default" w:ascii="宋体" w:eastAsia="宋体" w:cs="宋体"/>
                <w:color w:val="000000"/>
                <w:sz w:val="22"/>
                <w:lang w:val="en-US" w:eastAsia="zh-CN"/>
              </w:rPr>
            </w:pPr>
            <w:r>
              <w:rPr>
                <w:rFonts w:hint="eastAsia" w:cs="宋体"/>
                <w:color w:val="000000"/>
                <w:sz w:val="22"/>
                <w:lang w:val="en-US" w:eastAsia="zh-CN"/>
              </w:rPr>
              <w:t>=</w:t>
            </w:r>
          </w:p>
        </w:tc>
        <w:tc>
          <w:tcPr>
            <w:tcW w:w="1032" w:type="dxa"/>
            <w:noWrap/>
            <w:vAlign w:val="center"/>
          </w:tcPr>
          <w:p w14:paraId="214A2E03">
            <w:pPr>
              <w:snapToGrid w:val="0"/>
              <w:jc w:val="center"/>
              <w:rPr>
                <w:rFonts w:hint="default" w:ascii="宋体" w:eastAsia="宋体" w:cs="宋体"/>
                <w:color w:val="000000"/>
                <w:sz w:val="22"/>
                <w:lang w:val="en-US" w:eastAsia="zh-CN"/>
              </w:rPr>
            </w:pPr>
            <w:r>
              <w:rPr>
                <w:rFonts w:hint="eastAsia" w:cs="宋体"/>
                <w:color w:val="000000"/>
                <w:sz w:val="22"/>
                <w:lang w:val="en-US" w:eastAsia="zh-CN"/>
              </w:rPr>
              <w:t>100</w:t>
            </w:r>
          </w:p>
        </w:tc>
        <w:tc>
          <w:tcPr>
            <w:tcW w:w="612" w:type="dxa"/>
            <w:noWrap/>
            <w:vAlign w:val="center"/>
          </w:tcPr>
          <w:p w14:paraId="2B1B6A41">
            <w:pPr>
              <w:snapToGrid w:val="0"/>
              <w:jc w:val="center"/>
              <w:rPr>
                <w:rFonts w:hint="default" w:ascii="宋体" w:eastAsia="宋体" w:cs="宋体"/>
                <w:color w:val="000000"/>
                <w:sz w:val="22"/>
                <w:lang w:val="en-US" w:eastAsia="zh-CN"/>
              </w:rPr>
            </w:pPr>
            <w:r>
              <w:rPr>
                <w:rFonts w:hint="eastAsia" w:cs="宋体"/>
                <w:color w:val="000000"/>
                <w:sz w:val="22"/>
                <w:lang w:val="en-US" w:eastAsia="zh-CN"/>
              </w:rPr>
              <w:t>%</w:t>
            </w:r>
          </w:p>
        </w:tc>
        <w:tc>
          <w:tcPr>
            <w:tcW w:w="648" w:type="dxa"/>
            <w:noWrap/>
            <w:vAlign w:val="center"/>
          </w:tcPr>
          <w:p w14:paraId="149CCA2F">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744" w:type="dxa"/>
            <w:noWrap/>
            <w:vAlign w:val="center"/>
          </w:tcPr>
          <w:p w14:paraId="3C8CB4B2">
            <w:pPr>
              <w:snapToGrid w:val="0"/>
              <w:jc w:val="center"/>
              <w:rPr>
                <w:rFonts w:hint="default" w:ascii="宋体" w:eastAsia="宋体" w:cs="宋体"/>
                <w:color w:val="000000"/>
                <w:sz w:val="22"/>
                <w:lang w:val="en-US" w:eastAsia="zh-CN"/>
              </w:rPr>
            </w:pPr>
            <w:r>
              <w:rPr>
                <w:rFonts w:hint="eastAsia" w:cs="宋体"/>
                <w:color w:val="000000"/>
                <w:sz w:val="22"/>
                <w:lang w:val="en-US" w:eastAsia="zh-CN"/>
              </w:rPr>
              <w:t>100</w:t>
            </w:r>
          </w:p>
        </w:tc>
        <w:tc>
          <w:tcPr>
            <w:tcW w:w="732" w:type="dxa"/>
            <w:noWrap/>
            <w:vAlign w:val="center"/>
          </w:tcPr>
          <w:p w14:paraId="345139A1">
            <w:pPr>
              <w:snapToGrid w:val="0"/>
              <w:jc w:val="center"/>
              <w:rPr>
                <w:rFonts w:hint="default" w:ascii="宋体" w:eastAsia="宋体" w:cs="宋体"/>
                <w:color w:val="000000"/>
                <w:sz w:val="22"/>
                <w:lang w:val="en-US" w:eastAsia="zh-CN"/>
              </w:rPr>
            </w:pPr>
            <w:r>
              <w:rPr>
                <w:rFonts w:hint="eastAsia" w:cs="宋体"/>
                <w:color w:val="000000"/>
                <w:sz w:val="22"/>
                <w:lang w:val="en-US" w:eastAsia="zh-CN"/>
              </w:rPr>
              <w:t>10</w:t>
            </w:r>
          </w:p>
        </w:tc>
        <w:tc>
          <w:tcPr>
            <w:tcW w:w="835" w:type="dxa"/>
            <w:noWrap/>
            <w:vAlign w:val="center"/>
          </w:tcPr>
          <w:p w14:paraId="47154A10">
            <w:pPr>
              <w:snapToGrid w:val="0"/>
              <w:jc w:val="center"/>
              <w:rPr>
                <w:rFonts w:ascii="宋体" w:eastAsia="宋体" w:cs="宋体"/>
                <w:color w:val="000000"/>
                <w:sz w:val="22"/>
              </w:rPr>
            </w:pPr>
          </w:p>
        </w:tc>
        <w:tc>
          <w:tcPr>
            <w:tcW w:w="710" w:type="dxa"/>
            <w:vMerge w:val="continue"/>
            <w:noWrap/>
            <w:vAlign w:val="center"/>
          </w:tcPr>
          <w:p w14:paraId="39E72195">
            <w:pPr>
              <w:snapToGrid w:val="0"/>
              <w:jc w:val="center"/>
              <w:rPr>
                <w:rFonts w:ascii="宋体" w:eastAsia="宋体" w:cs="宋体"/>
                <w:color w:val="000000"/>
                <w:sz w:val="22"/>
              </w:rPr>
            </w:pPr>
          </w:p>
        </w:tc>
      </w:tr>
      <w:tr w14:paraId="6643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46" w:hRule="atLeast"/>
          <w:jc w:val="center"/>
        </w:trPr>
        <w:tc>
          <w:tcPr>
            <w:tcW w:w="766" w:type="dxa"/>
            <w:vMerge w:val="continue"/>
            <w:noWrap/>
            <w:vAlign w:val="center"/>
          </w:tcPr>
          <w:p w14:paraId="45E2661E">
            <w:pPr>
              <w:snapToGrid w:val="0"/>
              <w:jc w:val="center"/>
              <w:textAlignment w:val="center"/>
              <w:rPr>
                <w:rFonts w:ascii="宋体" w:eastAsia="宋体"/>
                <w:color w:val="000000"/>
                <w:sz w:val="22"/>
              </w:rPr>
            </w:pPr>
          </w:p>
        </w:tc>
        <w:tc>
          <w:tcPr>
            <w:tcW w:w="1620" w:type="dxa"/>
            <w:vMerge w:val="continue"/>
            <w:noWrap/>
            <w:vAlign w:val="center"/>
          </w:tcPr>
          <w:p w14:paraId="08189292">
            <w:pPr>
              <w:snapToGrid w:val="0"/>
              <w:jc w:val="center"/>
              <w:rPr>
                <w:rFonts w:ascii="宋体" w:eastAsia="宋体" w:cs="宋体"/>
                <w:color w:val="000000"/>
                <w:sz w:val="22"/>
              </w:rPr>
            </w:pPr>
          </w:p>
        </w:tc>
        <w:tc>
          <w:tcPr>
            <w:tcW w:w="1452" w:type="dxa"/>
            <w:noWrap/>
            <w:vAlign w:val="center"/>
          </w:tcPr>
          <w:p w14:paraId="57D7B120">
            <w:pPr>
              <w:snapToGrid w:val="0"/>
              <w:jc w:val="center"/>
              <w:rPr>
                <w:rFonts w:hint="eastAsia" w:ascii="宋体" w:eastAsia="宋体" w:cs="宋体"/>
                <w:color w:val="000000"/>
                <w:sz w:val="22"/>
                <w:lang w:eastAsia="zh-CN"/>
              </w:rPr>
            </w:pPr>
            <w:r>
              <w:rPr>
                <w:rFonts w:hint="eastAsia" w:ascii="宋体" w:eastAsia="宋体" w:cs="宋体"/>
                <w:color w:val="000000"/>
                <w:sz w:val="22"/>
                <w:lang w:eastAsia="zh-CN"/>
              </w:rPr>
              <w:t>服务对象满意度指标</w:t>
            </w:r>
          </w:p>
        </w:tc>
        <w:tc>
          <w:tcPr>
            <w:tcW w:w="624" w:type="dxa"/>
            <w:noWrap/>
            <w:vAlign w:val="center"/>
          </w:tcPr>
          <w:p w14:paraId="22D59E1F">
            <w:pPr>
              <w:snapToGrid w:val="0"/>
              <w:jc w:val="center"/>
              <w:rPr>
                <w:rFonts w:ascii="宋体" w:eastAsia="宋体" w:cs="宋体"/>
                <w:color w:val="000000"/>
                <w:sz w:val="22"/>
              </w:rPr>
            </w:pPr>
            <w:r>
              <w:rPr>
                <w:rFonts w:hint="default" w:ascii="宋体" w:hAnsi="Arial" w:eastAsia="宋体" w:cs="Arial"/>
                <w:color w:val="000000"/>
                <w:sz w:val="22"/>
              </w:rPr>
              <w:t>≥</w:t>
            </w:r>
          </w:p>
        </w:tc>
        <w:tc>
          <w:tcPr>
            <w:tcW w:w="1032" w:type="dxa"/>
            <w:noWrap/>
            <w:vAlign w:val="center"/>
          </w:tcPr>
          <w:p w14:paraId="73BFE955">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612" w:type="dxa"/>
            <w:noWrap/>
            <w:vAlign w:val="center"/>
          </w:tcPr>
          <w:p w14:paraId="0D23A5DB">
            <w:pPr>
              <w:snapToGrid w:val="0"/>
              <w:jc w:val="center"/>
              <w:rPr>
                <w:rFonts w:hint="eastAsia" w:ascii="宋体" w:eastAsia="宋体" w:cs="宋体"/>
                <w:color w:val="000000"/>
                <w:sz w:val="22"/>
                <w:lang w:val="en-US" w:eastAsia="zh-CN"/>
              </w:rPr>
            </w:pPr>
            <w:r>
              <w:rPr>
                <w:rFonts w:hint="eastAsia" w:ascii="宋体" w:eastAsia="宋体" w:cs="宋体"/>
                <w:color w:val="000000"/>
                <w:sz w:val="22"/>
                <w:lang w:val="en-US" w:eastAsia="zh-CN"/>
              </w:rPr>
              <w:t>%</w:t>
            </w:r>
          </w:p>
        </w:tc>
        <w:tc>
          <w:tcPr>
            <w:tcW w:w="648" w:type="dxa"/>
            <w:noWrap/>
            <w:vAlign w:val="center"/>
          </w:tcPr>
          <w:p w14:paraId="0DF42EEF">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744" w:type="dxa"/>
            <w:noWrap/>
            <w:vAlign w:val="center"/>
          </w:tcPr>
          <w:p w14:paraId="12BE7526">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95</w:t>
            </w:r>
          </w:p>
        </w:tc>
        <w:tc>
          <w:tcPr>
            <w:tcW w:w="732" w:type="dxa"/>
            <w:noWrap/>
            <w:vAlign w:val="center"/>
          </w:tcPr>
          <w:p w14:paraId="53C3C3FA">
            <w:pPr>
              <w:snapToGrid w:val="0"/>
              <w:jc w:val="center"/>
              <w:rPr>
                <w:rFonts w:hint="default" w:ascii="宋体" w:eastAsia="宋体" w:cs="宋体"/>
                <w:color w:val="000000"/>
                <w:sz w:val="22"/>
                <w:lang w:val="en-US" w:eastAsia="zh-CN"/>
              </w:rPr>
            </w:pPr>
            <w:r>
              <w:rPr>
                <w:rFonts w:hint="eastAsia" w:ascii="宋体" w:eastAsia="宋体" w:cs="宋体"/>
                <w:color w:val="000000"/>
                <w:sz w:val="22"/>
                <w:lang w:val="en-US" w:eastAsia="zh-CN"/>
              </w:rPr>
              <w:t>10</w:t>
            </w:r>
          </w:p>
        </w:tc>
        <w:tc>
          <w:tcPr>
            <w:tcW w:w="835" w:type="dxa"/>
            <w:noWrap/>
            <w:vAlign w:val="center"/>
          </w:tcPr>
          <w:p w14:paraId="2AB71468">
            <w:pPr>
              <w:snapToGrid w:val="0"/>
              <w:jc w:val="center"/>
              <w:rPr>
                <w:rFonts w:ascii="宋体" w:eastAsia="宋体" w:cs="宋体"/>
                <w:color w:val="000000"/>
                <w:sz w:val="22"/>
              </w:rPr>
            </w:pPr>
          </w:p>
        </w:tc>
        <w:tc>
          <w:tcPr>
            <w:tcW w:w="710" w:type="dxa"/>
            <w:vMerge w:val="continue"/>
            <w:noWrap/>
            <w:vAlign w:val="center"/>
          </w:tcPr>
          <w:p w14:paraId="5F46DB32">
            <w:pPr>
              <w:snapToGrid w:val="0"/>
              <w:jc w:val="center"/>
              <w:rPr>
                <w:rFonts w:ascii="宋体" w:eastAsia="宋体" w:cs="宋体"/>
                <w:color w:val="000000"/>
                <w:sz w:val="22"/>
              </w:rPr>
            </w:pPr>
          </w:p>
        </w:tc>
      </w:tr>
    </w:tbl>
    <w:p w14:paraId="114723E7">
      <w:pPr>
        <w:keepNext w:val="0"/>
        <w:keepLines w:val="0"/>
        <w:pageBreakBefore w:val="0"/>
        <w:widowControl/>
        <w:tabs>
          <w:tab w:val="center" w:pos="4153"/>
          <w:tab w:val="left" w:pos="7275"/>
        </w:tabs>
        <w:kinsoku/>
        <w:wordWrap/>
        <w:overflowPunct/>
        <w:topLinePunct w:val="0"/>
        <w:autoSpaceDE/>
        <w:autoSpaceDN/>
        <w:bidi w:val="0"/>
        <w:adjustRightInd/>
        <w:snapToGrid/>
        <w:spacing w:line="600" w:lineRule="exact"/>
        <w:ind w:firstLine="640" w:firstLineChars="200"/>
        <w:textAlignment w:val="auto"/>
        <w:rPr>
          <w:rStyle w:val="11"/>
          <w:rFonts w:hint="eastAsia" w:ascii="方正楷体_GBK" w:hAnsi="方正楷体_GBK" w:eastAsia="方正楷体_GBK" w:cs="方正楷体_GBK"/>
          <w:b w:val="0"/>
          <w:bCs/>
          <w:sz w:val="32"/>
          <w:szCs w:val="32"/>
          <w:shd w:val="clear" w:color="auto" w:fill="FFFFFF"/>
          <w:lang w:val="en-US" w:eastAsia="zh-CN" w:bidi="ar-SA"/>
        </w:rPr>
      </w:pPr>
      <w:r>
        <w:rPr>
          <w:rStyle w:val="11"/>
          <w:rFonts w:hint="eastAsia" w:ascii="方正楷体_GBK" w:hAnsi="方正楷体_GBK" w:eastAsia="方正楷体_GBK" w:cs="方正楷体_GBK"/>
          <w:b w:val="0"/>
          <w:bCs/>
          <w:sz w:val="32"/>
          <w:szCs w:val="32"/>
          <w:shd w:val="clear" w:color="auto" w:fill="FFFFFF"/>
          <w:lang w:val="en-US" w:eastAsia="zh-CN" w:bidi="ar-SA"/>
        </w:rPr>
        <w:t>（二）单位重点绩效评价情况</w:t>
      </w:r>
    </w:p>
    <w:p w14:paraId="64BB7DB8">
      <w:pPr>
        <w:keepNext w:val="0"/>
        <w:keepLines w:val="0"/>
        <w:pageBreakBefore w:val="0"/>
        <w:widowControl w:val="0"/>
        <w:tabs>
          <w:tab w:val="center" w:pos="4153"/>
          <w:tab w:val="left" w:pos="7275"/>
        </w:tabs>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我单位对</w:t>
      </w:r>
      <w:r>
        <w:rPr>
          <w:rFonts w:hint="eastAsia" w:ascii="Times New Roman" w:hAnsi="Times New Roman" w:eastAsia="方正仿宋_GBK" w:cs="方正仿宋_GBK"/>
          <w:sz w:val="32"/>
          <w:szCs w:val="32"/>
          <w:shd w:val="clear" w:color="auto" w:fill="FFFFFF"/>
          <w:lang w:val="en-US" w:eastAsia="zh-CN"/>
        </w:rPr>
        <w:t>2024年学前教育家庭经济困难幼儿资助专项经费</w:t>
      </w:r>
      <w:r>
        <w:rPr>
          <w:rFonts w:ascii="Times New Roman" w:hAnsi="Times New Roman" w:eastAsia="方正仿宋_GBK" w:cs="方正仿宋_GBK"/>
          <w:sz w:val="32"/>
          <w:szCs w:val="32"/>
          <w:shd w:val="clear" w:color="auto" w:fill="FFFFFF"/>
        </w:rPr>
        <w:t>开展了绩效评价，涉及财政拨款项目资金</w:t>
      </w:r>
      <w:r>
        <w:rPr>
          <w:rFonts w:hint="eastAsia" w:ascii="Times New Roman" w:hAnsi="Times New Roman" w:eastAsia="方正仿宋_GBK" w:cs="方正仿宋_GBK"/>
          <w:sz w:val="32"/>
          <w:szCs w:val="32"/>
          <w:shd w:val="clear" w:color="auto" w:fill="FFFFFF"/>
          <w:lang w:val="en-US" w:eastAsia="zh-CN"/>
        </w:rPr>
        <w:t>1.56</w:t>
      </w:r>
      <w:r>
        <w:rPr>
          <w:rFonts w:ascii="Times New Roman" w:hAnsi="Times New Roman" w:eastAsia="方正仿宋_GBK" w:cs="方正仿宋_GBK"/>
          <w:sz w:val="32"/>
          <w:szCs w:val="32"/>
          <w:shd w:val="clear" w:color="auto" w:fill="FFFFFF"/>
        </w:rPr>
        <w:t>万元，评价得分</w:t>
      </w:r>
      <w:r>
        <w:rPr>
          <w:rFonts w:hint="eastAsia" w:ascii="Times New Roman" w:hAnsi="Times New Roman" w:eastAsia="方正仿宋_GBK" w:cs="方正仿宋_GBK"/>
          <w:sz w:val="32"/>
          <w:szCs w:val="32"/>
          <w:shd w:val="clear" w:color="auto" w:fill="FFFFFF"/>
          <w:lang w:val="en-US" w:eastAsia="zh-CN"/>
        </w:rPr>
        <w:t>100</w:t>
      </w:r>
      <w:r>
        <w:rPr>
          <w:rFonts w:ascii="Times New Roman" w:hAnsi="Times New Roman" w:eastAsia="方正仿宋_GBK" w:cs="方正仿宋_GBK"/>
          <w:sz w:val="32"/>
          <w:szCs w:val="32"/>
          <w:shd w:val="clear" w:color="auto" w:fill="FFFFFF"/>
        </w:rPr>
        <w:t>分，评价等次为</w:t>
      </w:r>
      <w:r>
        <w:rPr>
          <w:rFonts w:hint="eastAsia" w:ascii="Times New Roman" w:hAnsi="Times New Roman" w:eastAsia="方正仿宋_GBK" w:cs="方正仿宋_GBK"/>
          <w:sz w:val="32"/>
          <w:szCs w:val="32"/>
          <w:shd w:val="clear" w:color="auto" w:fill="FFFFFF"/>
          <w:lang w:eastAsia="zh-CN"/>
        </w:rPr>
        <w:t>优</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rPr>
        <w:t>绩效评价中，未发现明显问题，财政资金均实行专项管理，专款专用。在项目实施过程中，严格按专项资金管理办法和各项财务管理制度执行，审批流程齐全、附件资料完整，资金使用无截留、挤占、挪用、虚列支出等情况。</w:t>
      </w:r>
    </w:p>
    <w:p w14:paraId="7771C3E6">
      <w:pPr>
        <w:pStyle w:val="12"/>
        <w:keepNext w:val="0"/>
        <w:keepLines w:val="0"/>
        <w:pageBreakBefore w:val="0"/>
        <w:widowControl w:val="0"/>
        <w:kinsoku/>
        <w:wordWrap/>
        <w:overflowPunct/>
        <w:topLinePunct w:val="0"/>
        <w:autoSpaceDE w:val="0"/>
        <w:autoSpaceDN/>
        <w:bidi w:val="0"/>
        <w:spacing w:line="600" w:lineRule="exact"/>
        <w:ind w:firstLine="640" w:firstLineChars="200"/>
        <w:jc w:val="both"/>
        <w:textAlignment w:val="auto"/>
        <w:rPr>
          <w:rStyle w:val="11"/>
          <w:rFonts w:hint="eastAsia" w:ascii="Times New Roman" w:hAnsi="Times New Roman" w:eastAsia="方正楷体_GBK" w:cs="Times New Roman"/>
          <w:b w:val="0"/>
          <w:sz w:val="32"/>
          <w:szCs w:val="32"/>
          <w:lang w:val="en-US" w:eastAsia="zh-CN" w:bidi="ar-SA"/>
        </w:rPr>
      </w:pPr>
      <w:r>
        <w:rPr>
          <w:rStyle w:val="11"/>
          <w:rFonts w:hint="eastAsia" w:ascii="Times New Roman" w:hAnsi="Times New Roman" w:eastAsia="方正楷体_GBK" w:cs="Times New Roman"/>
          <w:b w:val="0"/>
          <w:sz w:val="32"/>
          <w:szCs w:val="32"/>
          <w:lang w:val="en-US" w:eastAsia="zh-CN" w:bidi="ar-SA"/>
        </w:rPr>
        <w:t>（三）财政绩效评价情况</w:t>
      </w:r>
    </w:p>
    <w:p w14:paraId="60237915">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4D21DEBB">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六、专业名词解释</w:t>
      </w:r>
    </w:p>
    <w:p w14:paraId="1A51E4FE">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1BB8A5E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4F3759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18B25478">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04074C6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E8B788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39827DF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184987C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582D939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D4568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7419F28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75ABAAF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489BA8A">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79654D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1C176F06">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1A22B94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38E0247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Times New Roman"/>
          <w:b w:val="0"/>
          <w:sz w:val="32"/>
          <w:szCs w:val="32"/>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790A3CCD">
      <w:pPr>
        <w:pStyle w:val="8"/>
        <w:keepNext w:val="0"/>
        <w:keepLines w:val="0"/>
        <w:pageBreakBefore w:val="0"/>
        <w:widowControl w:val="0"/>
        <w:shd w:val="clear" w:color="auto" w:fill="FFFFFF"/>
        <w:kinsoku/>
        <w:wordWrap/>
        <w:overflowPunct/>
        <w:topLinePunct w:val="0"/>
        <w:autoSpaceDN/>
        <w:bidi w:val="0"/>
        <w:spacing w:before="0" w:beforeAutospacing="0" w:after="0" w:afterAutospacing="0" w:line="600" w:lineRule="exact"/>
        <w:ind w:firstLine="640" w:firstLineChars="200"/>
        <w:jc w:val="both"/>
        <w:textAlignment w:val="auto"/>
        <w:rPr>
          <w:rFonts w:hint="eastAsia" w:ascii="Times New Roman" w:hAnsi="Times New Roman" w:eastAsia="方正黑体_GBK" w:cs="Times New Roman"/>
          <w:kern w:val="2"/>
          <w:sz w:val="32"/>
          <w:szCs w:val="32"/>
          <w:lang w:val="en-US" w:eastAsia="zh-CN"/>
        </w:rPr>
      </w:pPr>
      <w:r>
        <w:rPr>
          <w:rFonts w:hint="eastAsia" w:ascii="Times New Roman" w:hAnsi="Times New Roman" w:eastAsia="方正黑体_GBK" w:cs="Times New Roman"/>
          <w:kern w:val="2"/>
          <w:sz w:val="32"/>
          <w:szCs w:val="32"/>
          <w:lang w:val="en-US" w:eastAsia="zh-CN"/>
        </w:rPr>
        <w:t>七、决算公开联系方式及信息反馈渠道</w:t>
      </w:r>
    </w:p>
    <w:p w14:paraId="4BA2010A">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ascii="Times New Roman" w:hAnsi="Times New Roman"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kern w:val="0"/>
          <w:sz w:val="32"/>
          <w:szCs w:val="32"/>
          <w:shd w:val="clear" w:fill="FFFFFF"/>
          <w:lang w:val="en-US" w:eastAsia="zh-CN" w:bidi="ar-SA"/>
        </w:rPr>
        <w:t>023-68166659</w:t>
      </w:r>
    </w:p>
    <w:p w14:paraId="2FD344ED">
      <w:pPr>
        <w:keepNext w:val="0"/>
        <w:keepLines w:val="0"/>
        <w:pageBreakBefore w:val="0"/>
        <w:kinsoku/>
        <w:wordWrap/>
        <w:overflowPunct/>
        <w:topLinePunct w:val="0"/>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p>
    <w:p w14:paraId="6FA685AE">
      <w:pPr>
        <w:keepNext w:val="0"/>
        <w:keepLines w:val="0"/>
        <w:pageBreakBefore w:val="0"/>
        <w:kinsoku/>
        <w:wordWrap/>
        <w:overflowPunct/>
        <w:topLinePunct w:val="0"/>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2AFBA95E">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7EDF8E61">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058A9A51">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43BC315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kern w:val="0"/>
          <w:sz w:val="32"/>
          <w:szCs w:val="32"/>
          <w:shd w:val="clear" w:fill="FFFFFF"/>
          <w:lang w:val="en-US" w:eastAsia="zh-CN" w:bidi="ar-SA"/>
        </w:rPr>
        <w:t>5.</w:t>
      </w:r>
      <w:r>
        <w:rPr>
          <w:rFonts w:ascii="Times New Roman" w:hAnsi="Times New Roman" w:eastAsia="方正仿宋_GBK" w:cs="方正仿宋_GBK"/>
          <w:sz w:val="32"/>
          <w:szCs w:val="32"/>
          <w:shd w:val="clear" w:color="auto" w:fill="FFFFFF"/>
        </w:rPr>
        <w:t>一般公共预算财政拨款支出决算表</w:t>
      </w:r>
    </w:p>
    <w:p w14:paraId="2FE57381">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6DEF41A7">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728C38B8">
      <w:pPr>
        <w:keepNext w:val="0"/>
        <w:keepLines w:val="0"/>
        <w:pageBreakBefore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248D19D7">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42F50AB0">
      <w:pPr>
        <w:pStyle w:val="12"/>
        <w:keepNext w:val="0"/>
        <w:keepLines w:val="0"/>
        <w:pageBreakBefore w:val="0"/>
        <w:kinsoku/>
        <w:wordWrap/>
        <w:overflowPunct/>
        <w:topLinePunct w:val="0"/>
        <w:autoSpaceDE w:val="0"/>
        <w:autoSpaceDN/>
        <w:bidi w:val="0"/>
        <w:spacing w:line="600" w:lineRule="exact"/>
        <w:ind w:left="0" w:leftChars="0" w:firstLine="0" w:firstLineChars="0"/>
        <w:jc w:val="left"/>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bookmarkStart w:id="0" w:name="_GoBack"/>
      <w:bookmarkEnd w:id="0"/>
    </w:p>
    <w:p w14:paraId="6DC76312">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5450C6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E58689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CB56B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882BC6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BCFF0A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B2625A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497F6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0D6609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C75E97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重庆市九龙坡区明诚育才学校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E58020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280D9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82D87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556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E1116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D1A2B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27B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16C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283D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F7E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1CAEC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4D2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DF6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583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CFF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A46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352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6F0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F1A9A">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17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F3FA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2F06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7D6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3CAA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02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EA33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3FC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58C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7BA3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16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3784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B2F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9E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2F6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C0B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236.48</w:t>
            </w:r>
            <w:r>
              <w:rPr>
                <w:rFonts w:ascii="Times New Roman" w:hAnsi="Times New Roman"/>
                <w:color w:val="000000"/>
                <w:sz w:val="20"/>
                <w:u w:color="auto"/>
              </w:rPr>
              <w:t xml:space="preserve"> </w:t>
            </w:r>
          </w:p>
        </w:tc>
      </w:tr>
      <w:tr w14:paraId="131A8A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33C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AA9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4F4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EB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24A0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C0C7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70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401D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5F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41EE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2E7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AE1F4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1BEB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13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w:t>
            </w:r>
            <w:r>
              <w:rPr>
                <w:rFonts w:ascii="Times New Roman" w:hAnsi="Times New Roman"/>
                <w:color w:val="000000"/>
                <w:sz w:val="20"/>
                <w:u w:color="auto"/>
              </w:rPr>
              <w:t xml:space="preserve"> </w:t>
            </w:r>
          </w:p>
        </w:tc>
      </w:tr>
      <w:tr w14:paraId="4499BE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1C2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3799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A20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35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u w:color="auto"/>
              </w:rPr>
              <w:t xml:space="preserve"> </w:t>
            </w:r>
          </w:p>
        </w:tc>
      </w:tr>
      <w:tr w14:paraId="470714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FB0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75E6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1ACD">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61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03CB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31B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4F70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6DE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9F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CE9B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20E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631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DDA3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3E4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F498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0D2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9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4E59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D4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6D81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FC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65E1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87625">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F99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3101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AD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79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204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4D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0926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01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2F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D39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B8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8D86D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2E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7E5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C6A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23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C30F6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0A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F1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343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DAD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58C9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AD5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B4E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9AD6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B5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r>
      <w:tr w14:paraId="3272A4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DA4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E5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20E0">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1C8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59CC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6A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58C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49DD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04C7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F48D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766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20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07614">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CE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32A177">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EA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BE3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9730">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F46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915A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77E2">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9AD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7D0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FCC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D33F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112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61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343C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52A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36C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D7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4E9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678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176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18B5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C15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281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3E55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80F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257.08</w:t>
            </w:r>
            <w:r>
              <w:rPr>
                <w:rFonts w:ascii="Times New Roman" w:hAnsi="Times New Roman"/>
                <w:color w:val="000000"/>
                <w:sz w:val="20"/>
                <w:u w:color="auto"/>
              </w:rPr>
              <w:t xml:space="preserve"> </w:t>
            </w:r>
          </w:p>
        </w:tc>
      </w:tr>
      <w:tr w14:paraId="21104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317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75E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CE35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76F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23CC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3B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D01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F7D0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2C1E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8E09B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447A">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BDF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ACC1C1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028F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257.08</w:t>
            </w:r>
            <w:r>
              <w:rPr>
                <w:rFonts w:ascii="Times New Roman" w:hAnsi="Times New Roman"/>
                <w:color w:val="000000"/>
                <w:sz w:val="20"/>
                <w:u w:color="auto"/>
              </w:rPr>
              <w:t xml:space="preserve"> </w:t>
            </w:r>
          </w:p>
        </w:tc>
      </w:tr>
    </w:tbl>
    <w:p w14:paraId="5FD768E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6C2C6B">
      <w:pPr>
        <w:rPr>
          <w:rFonts w:hint="default" w:cs="宋体"/>
          <w:sz w:val="21"/>
          <w:szCs w:val="21"/>
        </w:rPr>
      </w:pPr>
    </w:p>
    <w:tbl>
      <w:tblPr>
        <w:tblStyle w:val="9"/>
        <w:tblW w:w="5002"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148"/>
      </w:tblGrid>
      <w:tr w14:paraId="3D0A5D55">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41A9230">
            <w:pPr>
              <w:jc w:val="center"/>
              <w:textAlignment w:val="bottom"/>
              <w:rPr>
                <w:rFonts w:hint="default" w:cs="宋体"/>
                <w:b/>
                <w:color w:val="000000"/>
                <w:sz w:val="32"/>
                <w:szCs w:val="32"/>
              </w:rPr>
            </w:pPr>
            <w:r>
              <w:rPr>
                <w:rFonts w:cs="宋体"/>
                <w:b/>
                <w:color w:val="000000"/>
                <w:sz w:val="32"/>
                <w:szCs w:val="32"/>
              </w:rPr>
              <w:t>收入决算表</w:t>
            </w:r>
          </w:p>
        </w:tc>
      </w:tr>
      <w:tr w14:paraId="4C12081B">
        <w:tblPrEx>
          <w:tblCellMar>
            <w:top w:w="0" w:type="dxa"/>
            <w:left w:w="0" w:type="dxa"/>
            <w:bottom w:w="0" w:type="dxa"/>
            <w:right w:w="0" w:type="dxa"/>
          </w:tblCellMar>
        </w:tblPrEx>
        <w:trPr>
          <w:trHeight w:val="328" w:hRule="atLeast"/>
        </w:trPr>
        <w:tc>
          <w:tcPr>
            <w:tcW w:w="1934" w:type="pct"/>
            <w:gridSpan w:val="3"/>
            <w:vMerge w:val="restart"/>
            <w:tcBorders>
              <w:top w:val="nil"/>
              <w:left w:val="nil"/>
              <w:right w:val="nil"/>
            </w:tcBorders>
            <w:shd w:val="clear" w:color="auto" w:fill="auto"/>
            <w:noWrap/>
            <w:tcMar>
              <w:top w:w="15" w:type="dxa"/>
              <w:left w:w="15" w:type="dxa"/>
              <w:right w:w="15" w:type="dxa"/>
            </w:tcMar>
            <w:vAlign w:val="bottom"/>
          </w:tcPr>
          <w:p w14:paraId="1A4DC2C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重庆市九龙坡区明诚育才学校</w:t>
            </w:r>
          </w:p>
        </w:tc>
        <w:tc>
          <w:tcPr>
            <w:tcW w:w="473" w:type="pct"/>
            <w:tcBorders>
              <w:top w:val="nil"/>
              <w:left w:val="nil"/>
              <w:bottom w:val="nil"/>
              <w:right w:val="nil"/>
            </w:tcBorders>
            <w:shd w:val="clear" w:color="auto" w:fill="auto"/>
            <w:noWrap/>
            <w:tcMar>
              <w:top w:w="15" w:type="dxa"/>
              <w:left w:w="15" w:type="dxa"/>
              <w:right w:w="15" w:type="dxa"/>
            </w:tcMar>
            <w:vAlign w:val="bottom"/>
          </w:tcPr>
          <w:p w14:paraId="3A187946">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14:paraId="2235828B">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6775424E">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1B094B9">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09C10A30">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1AF47D21">
            <w:pPr>
              <w:rPr>
                <w:rFonts w:hint="default" w:cs="宋体"/>
                <w:color w:val="000000"/>
                <w:sz w:val="20"/>
                <w:szCs w:val="20"/>
              </w:rPr>
            </w:pPr>
          </w:p>
        </w:tc>
        <w:tc>
          <w:tcPr>
            <w:tcW w:w="374" w:type="pct"/>
            <w:tcBorders>
              <w:top w:val="nil"/>
              <w:left w:val="nil"/>
              <w:bottom w:val="nil"/>
              <w:right w:val="nil"/>
            </w:tcBorders>
            <w:shd w:val="clear" w:color="auto" w:fill="auto"/>
            <w:noWrap/>
            <w:tcMar>
              <w:top w:w="15" w:type="dxa"/>
              <w:left w:w="15" w:type="dxa"/>
              <w:right w:w="15" w:type="dxa"/>
            </w:tcMar>
            <w:vAlign w:val="bottom"/>
          </w:tcPr>
          <w:p w14:paraId="1CFE22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6EC4468">
        <w:tblPrEx>
          <w:tblCellMar>
            <w:top w:w="0" w:type="dxa"/>
            <w:left w:w="0" w:type="dxa"/>
            <w:bottom w:w="0" w:type="dxa"/>
            <w:right w:w="0" w:type="dxa"/>
          </w:tblCellMar>
        </w:tblPrEx>
        <w:trPr>
          <w:trHeight w:val="328" w:hRule="atLeast"/>
        </w:trPr>
        <w:tc>
          <w:tcPr>
            <w:tcW w:w="1934" w:type="pct"/>
            <w:gridSpan w:val="3"/>
            <w:vMerge w:val="continue"/>
            <w:tcBorders>
              <w:left w:val="nil"/>
              <w:bottom w:val="nil"/>
              <w:right w:val="nil"/>
            </w:tcBorders>
            <w:shd w:val="clear" w:color="auto" w:fill="auto"/>
            <w:noWrap/>
            <w:tcMar>
              <w:top w:w="15" w:type="dxa"/>
              <w:left w:w="15" w:type="dxa"/>
              <w:right w:w="15" w:type="dxa"/>
            </w:tcMar>
            <w:vAlign w:val="bottom"/>
          </w:tcPr>
          <w:p w14:paraId="271C1F3B">
            <w:pPr>
              <w:rPr>
                <w:rFonts w:hint="default" w:cs="宋体"/>
                <w:color w:val="000000"/>
                <w:sz w:val="20"/>
                <w:szCs w:val="20"/>
              </w:rPr>
            </w:pPr>
          </w:p>
        </w:tc>
        <w:tc>
          <w:tcPr>
            <w:tcW w:w="473" w:type="pct"/>
            <w:tcBorders>
              <w:top w:val="nil"/>
              <w:left w:val="nil"/>
              <w:bottom w:val="nil"/>
              <w:right w:val="nil"/>
            </w:tcBorders>
            <w:shd w:val="clear" w:color="auto" w:fill="auto"/>
            <w:noWrap/>
            <w:tcMar>
              <w:top w:w="15" w:type="dxa"/>
              <w:left w:w="15" w:type="dxa"/>
              <w:right w:w="15" w:type="dxa"/>
            </w:tcMar>
            <w:vAlign w:val="bottom"/>
          </w:tcPr>
          <w:p w14:paraId="7F3823C0">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14:paraId="29FFE9C6">
            <w:pPr>
              <w:rPr>
                <w:rFonts w:hint="default" w:cs="宋体"/>
                <w:color w:val="000000"/>
                <w:sz w:val="20"/>
                <w:szCs w:val="20"/>
              </w:rPr>
            </w:pPr>
          </w:p>
        </w:tc>
        <w:tc>
          <w:tcPr>
            <w:tcW w:w="469" w:type="pct"/>
            <w:tcBorders>
              <w:top w:val="nil"/>
              <w:left w:val="nil"/>
              <w:bottom w:val="nil"/>
              <w:right w:val="nil"/>
            </w:tcBorders>
            <w:shd w:val="clear" w:color="auto" w:fill="auto"/>
            <w:noWrap/>
            <w:tcMar>
              <w:top w:w="15" w:type="dxa"/>
              <w:left w:w="15" w:type="dxa"/>
              <w:right w:w="15" w:type="dxa"/>
            </w:tcMar>
            <w:vAlign w:val="bottom"/>
          </w:tcPr>
          <w:p w14:paraId="5B1CC33A">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0C6ABA7D">
            <w:pPr>
              <w:rPr>
                <w:rFonts w:hint="default" w:cs="宋体"/>
                <w:color w:val="000000"/>
                <w:sz w:val="20"/>
                <w:szCs w:val="20"/>
              </w:rPr>
            </w:pPr>
          </w:p>
        </w:tc>
        <w:tc>
          <w:tcPr>
            <w:tcW w:w="422" w:type="pct"/>
            <w:tcBorders>
              <w:top w:val="nil"/>
              <w:left w:val="nil"/>
              <w:bottom w:val="nil"/>
              <w:right w:val="nil"/>
            </w:tcBorders>
            <w:shd w:val="clear" w:color="auto" w:fill="auto"/>
            <w:noWrap/>
            <w:tcMar>
              <w:top w:w="15" w:type="dxa"/>
              <w:left w:w="15" w:type="dxa"/>
              <w:right w:w="15" w:type="dxa"/>
            </w:tcMar>
            <w:vAlign w:val="bottom"/>
          </w:tcPr>
          <w:p w14:paraId="7B9F0A4A">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6F79BCEF">
            <w:pPr>
              <w:rPr>
                <w:rFonts w:hint="default" w:cs="宋体"/>
                <w:color w:val="000000"/>
                <w:sz w:val="20"/>
                <w:szCs w:val="20"/>
              </w:rPr>
            </w:pPr>
          </w:p>
        </w:tc>
        <w:tc>
          <w:tcPr>
            <w:tcW w:w="374" w:type="pct"/>
            <w:tcBorders>
              <w:top w:val="nil"/>
              <w:left w:val="nil"/>
              <w:bottom w:val="nil"/>
              <w:right w:val="nil"/>
            </w:tcBorders>
            <w:shd w:val="clear" w:color="auto" w:fill="auto"/>
            <w:noWrap/>
            <w:tcMar>
              <w:top w:w="15" w:type="dxa"/>
              <w:left w:w="15" w:type="dxa"/>
              <w:right w:w="15" w:type="dxa"/>
            </w:tcMar>
            <w:vAlign w:val="bottom"/>
          </w:tcPr>
          <w:p w14:paraId="0D6518E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65A200">
        <w:tblPrEx>
          <w:tblCellMar>
            <w:top w:w="0" w:type="dxa"/>
            <w:left w:w="0" w:type="dxa"/>
            <w:bottom w:w="0" w:type="dxa"/>
            <w:right w:w="0" w:type="dxa"/>
          </w:tblCellMar>
        </w:tblPrEx>
        <w:trPr>
          <w:trHeight w:val="431" w:hRule="atLeast"/>
        </w:trPr>
        <w:tc>
          <w:tcPr>
            <w:tcW w:w="141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C02F69">
            <w:pPr>
              <w:jc w:val="center"/>
              <w:textAlignment w:val="bottom"/>
              <w:rPr>
                <w:rFonts w:hint="default" w:cs="宋体"/>
                <w:b/>
                <w:color w:val="000000"/>
                <w:sz w:val="20"/>
                <w:szCs w:val="20"/>
              </w:rPr>
            </w:pPr>
            <w:r>
              <w:rPr>
                <w:rFonts w:cs="宋体"/>
                <w:b/>
                <w:color w:val="000000"/>
                <w:sz w:val="20"/>
                <w:szCs w:val="20"/>
              </w:rPr>
              <w:t>项目</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1BA6">
            <w:pPr>
              <w:jc w:val="center"/>
              <w:textAlignment w:val="center"/>
              <w:rPr>
                <w:rFonts w:hint="default" w:cs="宋体"/>
                <w:b/>
                <w:color w:val="000000"/>
                <w:sz w:val="20"/>
                <w:szCs w:val="20"/>
              </w:rPr>
            </w:pPr>
            <w:r>
              <w:rPr>
                <w:rFonts w:cs="宋体"/>
                <w:b/>
                <w:color w:val="000000"/>
                <w:sz w:val="20"/>
                <w:szCs w:val="20"/>
              </w:rPr>
              <w:t>本年收入合计</w:t>
            </w:r>
          </w:p>
        </w:tc>
        <w:tc>
          <w:tcPr>
            <w:tcW w:w="4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8A5C1">
            <w:pPr>
              <w:jc w:val="center"/>
              <w:textAlignment w:val="center"/>
              <w:rPr>
                <w:rFonts w:hint="default" w:cs="宋体"/>
                <w:b/>
                <w:color w:val="000000"/>
                <w:sz w:val="20"/>
                <w:szCs w:val="20"/>
              </w:rPr>
            </w:pPr>
            <w:r>
              <w:rPr>
                <w:rFonts w:cs="宋体"/>
                <w:b/>
                <w:color w:val="000000"/>
                <w:sz w:val="20"/>
                <w:szCs w:val="20"/>
              </w:rPr>
              <w:t>财政拨款收入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1990">
            <w:pPr>
              <w:jc w:val="center"/>
              <w:textAlignment w:val="center"/>
              <w:rPr>
                <w:rFonts w:hint="default" w:cs="宋体"/>
                <w:b/>
                <w:color w:val="000000"/>
                <w:sz w:val="20"/>
                <w:szCs w:val="20"/>
              </w:rPr>
            </w:pPr>
            <w:r>
              <w:rPr>
                <w:rFonts w:cs="宋体"/>
                <w:b/>
                <w:color w:val="000000"/>
                <w:sz w:val="20"/>
                <w:szCs w:val="20"/>
              </w:rPr>
              <w:t>上级补助收入</w:t>
            </w:r>
          </w:p>
        </w:tc>
        <w:tc>
          <w:tcPr>
            <w:tcW w:w="9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5E01E5">
            <w:pPr>
              <w:jc w:val="center"/>
              <w:textAlignment w:val="bottom"/>
              <w:rPr>
                <w:rFonts w:hint="default" w:cs="宋体"/>
                <w:b/>
                <w:color w:val="000000"/>
                <w:sz w:val="20"/>
                <w:szCs w:val="20"/>
              </w:rPr>
            </w:pPr>
            <w:r>
              <w:rPr>
                <w:rFonts w:cs="宋体"/>
                <w:b/>
                <w:color w:val="000000"/>
                <w:sz w:val="20"/>
                <w:szCs w:val="20"/>
              </w:rPr>
              <w:t>事业收入</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CBD91">
            <w:pPr>
              <w:jc w:val="center"/>
              <w:textAlignment w:val="center"/>
              <w:rPr>
                <w:rFonts w:hint="default" w:cs="宋体"/>
                <w:b/>
                <w:color w:val="000000"/>
                <w:sz w:val="20"/>
                <w:szCs w:val="20"/>
              </w:rPr>
            </w:pPr>
            <w:r>
              <w:rPr>
                <w:rFonts w:cs="宋体"/>
                <w:b/>
                <w:color w:val="000000"/>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EBFE">
            <w:pPr>
              <w:jc w:val="center"/>
              <w:textAlignment w:val="center"/>
              <w:rPr>
                <w:rFonts w:hint="default" w:cs="宋体"/>
                <w:b/>
                <w:color w:val="000000"/>
                <w:sz w:val="20"/>
                <w:szCs w:val="20"/>
              </w:rPr>
            </w:pPr>
            <w:r>
              <w:rPr>
                <w:rFonts w:cs="宋体"/>
                <w:b/>
                <w:color w:val="000000"/>
                <w:sz w:val="20"/>
                <w:szCs w:val="20"/>
              </w:rPr>
              <w:t>附属单位上缴收入</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2391E">
            <w:pPr>
              <w:jc w:val="center"/>
              <w:textAlignment w:val="center"/>
              <w:rPr>
                <w:rFonts w:hint="default" w:cs="宋体"/>
                <w:b/>
                <w:color w:val="000000"/>
                <w:sz w:val="20"/>
                <w:szCs w:val="20"/>
              </w:rPr>
            </w:pPr>
            <w:r>
              <w:rPr>
                <w:rFonts w:cs="宋体"/>
                <w:b/>
                <w:color w:val="000000"/>
                <w:sz w:val="20"/>
                <w:szCs w:val="20"/>
              </w:rPr>
              <w:t>其他收入</w:t>
            </w:r>
          </w:p>
        </w:tc>
      </w:tr>
      <w:tr w14:paraId="1CCDBAB7">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C3C">
            <w:pPr>
              <w:jc w:val="center"/>
              <w:textAlignment w:val="center"/>
              <w:rPr>
                <w:rFonts w:hint="default" w:cs="宋体"/>
                <w:b/>
                <w:color w:val="000000"/>
                <w:sz w:val="20"/>
                <w:szCs w:val="20"/>
              </w:rPr>
            </w:pPr>
            <w:r>
              <w:rPr>
                <w:rFonts w:cs="宋体"/>
                <w:b/>
                <w:color w:val="000000"/>
                <w:sz w:val="20"/>
                <w:szCs w:val="20"/>
              </w:rPr>
              <w:t>功能分类科目编码</w:t>
            </w:r>
          </w:p>
        </w:tc>
        <w:tc>
          <w:tcPr>
            <w:tcW w:w="95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8D167F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E253">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465F2">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0398">
            <w:pPr>
              <w:jc w:val="center"/>
              <w:rPr>
                <w:rFonts w:hint="default" w:cs="宋体"/>
                <w:b/>
                <w:color w:val="000000"/>
                <w:sz w:val="20"/>
                <w:szCs w:val="20"/>
              </w:rPr>
            </w:pP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CFB4">
            <w:pPr>
              <w:jc w:val="center"/>
              <w:textAlignment w:val="center"/>
              <w:rPr>
                <w:rFonts w:hint="default" w:cs="宋体"/>
                <w:b/>
                <w:color w:val="000000"/>
                <w:sz w:val="20"/>
                <w:szCs w:val="20"/>
              </w:rPr>
            </w:pPr>
            <w:r>
              <w:rPr>
                <w:rFonts w:cs="宋体"/>
                <w:b/>
                <w:color w:val="000000"/>
                <w:sz w:val="20"/>
                <w:szCs w:val="20"/>
              </w:rPr>
              <w:t>小计</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DA433">
            <w:pPr>
              <w:jc w:val="center"/>
              <w:textAlignment w:val="center"/>
              <w:rPr>
                <w:rFonts w:hint="default" w:cs="宋体"/>
                <w:b/>
                <w:color w:val="000000"/>
                <w:sz w:val="20"/>
                <w:szCs w:val="20"/>
              </w:rPr>
            </w:pPr>
            <w:r>
              <w:rPr>
                <w:rFonts w:cs="宋体"/>
                <w:b/>
                <w:color w:val="000000"/>
                <w:sz w:val="20"/>
                <w:szCs w:val="20"/>
              </w:rPr>
              <w:t>其中：教育收费</w:t>
            </w: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5FC58">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E411">
            <w:pPr>
              <w:jc w:val="center"/>
              <w:rPr>
                <w:rFonts w:hint="default" w:cs="宋体"/>
                <w:b/>
                <w:color w:val="000000"/>
                <w:sz w:val="20"/>
                <w:szCs w:val="20"/>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CA7E9">
            <w:pPr>
              <w:jc w:val="center"/>
              <w:rPr>
                <w:rFonts w:hint="default" w:cs="宋体"/>
                <w:b/>
                <w:color w:val="000000"/>
                <w:sz w:val="20"/>
                <w:szCs w:val="20"/>
              </w:rPr>
            </w:pPr>
          </w:p>
        </w:tc>
      </w:tr>
      <w:tr w14:paraId="5C55BEB5">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57A4">
            <w:pPr>
              <w:jc w:val="center"/>
              <w:rPr>
                <w:rFonts w:hint="default" w:cs="宋体"/>
                <w:b/>
                <w:color w:val="000000"/>
                <w:sz w:val="20"/>
                <w:szCs w:val="20"/>
              </w:rPr>
            </w:pPr>
          </w:p>
        </w:tc>
        <w:tc>
          <w:tcPr>
            <w:tcW w:w="9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BF7C46">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C255">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F890">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2BAD">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D7D3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E6027">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51D9">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D575">
            <w:pPr>
              <w:jc w:val="center"/>
              <w:rPr>
                <w:rFonts w:hint="default" w:cs="宋体"/>
                <w:b/>
                <w:color w:val="000000"/>
                <w:sz w:val="20"/>
                <w:szCs w:val="20"/>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18CF">
            <w:pPr>
              <w:jc w:val="center"/>
              <w:rPr>
                <w:rFonts w:hint="default" w:cs="宋体"/>
                <w:b/>
                <w:color w:val="000000"/>
                <w:sz w:val="20"/>
                <w:szCs w:val="20"/>
              </w:rPr>
            </w:pPr>
          </w:p>
        </w:tc>
      </w:tr>
      <w:tr w14:paraId="58DBBBAF">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0A12">
            <w:pPr>
              <w:jc w:val="center"/>
              <w:rPr>
                <w:rFonts w:hint="default" w:cs="宋体"/>
                <w:b/>
                <w:color w:val="000000"/>
                <w:sz w:val="20"/>
                <w:szCs w:val="20"/>
              </w:rPr>
            </w:pPr>
          </w:p>
        </w:tc>
        <w:tc>
          <w:tcPr>
            <w:tcW w:w="9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D8FDF3">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5260">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8E20">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FDB34">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D6FC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C8EB">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284A3">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646EA">
            <w:pPr>
              <w:jc w:val="center"/>
              <w:rPr>
                <w:rFonts w:hint="default" w:cs="宋体"/>
                <w:b/>
                <w:color w:val="000000"/>
                <w:sz w:val="20"/>
                <w:szCs w:val="20"/>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BFF23">
            <w:pPr>
              <w:jc w:val="center"/>
              <w:rPr>
                <w:rFonts w:hint="default" w:cs="宋体"/>
                <w:b/>
                <w:color w:val="000000"/>
                <w:sz w:val="20"/>
                <w:szCs w:val="20"/>
              </w:rPr>
            </w:pPr>
          </w:p>
        </w:tc>
      </w:tr>
      <w:tr w14:paraId="13A69F51">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B390">
            <w:pPr>
              <w:jc w:val="center"/>
              <w:rPr>
                <w:rFonts w:hint="default" w:cs="宋体"/>
                <w:b/>
                <w:color w:val="000000"/>
                <w:sz w:val="20"/>
                <w:szCs w:val="20"/>
              </w:rPr>
            </w:pPr>
          </w:p>
        </w:tc>
        <w:tc>
          <w:tcPr>
            <w:tcW w:w="95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DD205E">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72308">
            <w:pPr>
              <w:jc w:val="center"/>
              <w:rPr>
                <w:rFonts w:hint="default" w:cs="宋体"/>
                <w:b/>
                <w:color w:val="000000"/>
                <w:sz w:val="20"/>
                <w:szCs w:val="20"/>
              </w:rPr>
            </w:pPr>
          </w:p>
        </w:tc>
        <w:tc>
          <w:tcPr>
            <w:tcW w:w="4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54ED">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56AE9">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66E1F">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0F6A">
            <w:pPr>
              <w:jc w:val="center"/>
              <w:rPr>
                <w:rFonts w:hint="default" w:cs="宋体"/>
                <w:b/>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4C9C">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DC0C">
            <w:pPr>
              <w:jc w:val="center"/>
              <w:rPr>
                <w:rFonts w:hint="default" w:cs="宋体"/>
                <w:b/>
                <w:color w:val="000000"/>
                <w:sz w:val="20"/>
                <w:szCs w:val="20"/>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E21D">
            <w:pPr>
              <w:jc w:val="center"/>
              <w:rPr>
                <w:rFonts w:hint="default" w:cs="宋体"/>
                <w:b/>
                <w:color w:val="000000"/>
                <w:sz w:val="20"/>
                <w:szCs w:val="20"/>
              </w:rPr>
            </w:pPr>
          </w:p>
        </w:tc>
      </w:tr>
      <w:tr w14:paraId="7EE881A0">
        <w:tblPrEx>
          <w:tblCellMar>
            <w:top w:w="0" w:type="dxa"/>
            <w:left w:w="0" w:type="dxa"/>
            <w:bottom w:w="0" w:type="dxa"/>
            <w:right w:w="0" w:type="dxa"/>
          </w:tblCellMar>
        </w:tblPrEx>
        <w:trPr>
          <w:trHeight w:val="329" w:hRule="exact"/>
        </w:trPr>
        <w:tc>
          <w:tcPr>
            <w:tcW w:w="141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6ED5">
            <w:pPr>
              <w:jc w:val="center"/>
              <w:textAlignment w:val="center"/>
              <w:rPr>
                <w:rFonts w:hint="default" w:cs="宋体"/>
                <w:b/>
                <w:color w:val="000000"/>
                <w:sz w:val="20"/>
                <w:szCs w:val="20"/>
              </w:rPr>
            </w:pPr>
            <w:r>
              <w:rPr>
                <w:rFonts w:cs="宋体"/>
                <w:b/>
                <w:color w:val="000000"/>
                <w:sz w:val="20"/>
                <w:szCs w:val="20"/>
              </w:rPr>
              <w:t>合计</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DAD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257.08</w:t>
            </w:r>
            <w:r>
              <w:rPr>
                <w:rFonts w:ascii="Times New Roman" w:hAnsi="Times New Roman"/>
                <w:b/>
                <w:color w:val="000000"/>
                <w:sz w:val="20"/>
                <w:u w:color="auto"/>
              </w:rPr>
              <w:t xml:space="preserve"> </w:t>
            </w:r>
          </w:p>
        </w:tc>
        <w:tc>
          <w:tcPr>
            <w:tcW w:w="4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F99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217.98</w:t>
            </w:r>
            <w:r>
              <w:rPr>
                <w:rFonts w:ascii="Times New Roman" w:hAnsi="Times New Roman"/>
                <w:b/>
                <w:color w:val="000000"/>
                <w:sz w:val="20"/>
                <w:u w:color="auto"/>
              </w:rPr>
              <w:t xml:space="preserve"> </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5B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18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39.10</w:t>
            </w:r>
            <w:r>
              <w:rPr>
                <w:rFonts w:ascii="Times New Roman" w:hAnsi="Times New Roman"/>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635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39.10</w:t>
            </w:r>
            <w:r>
              <w:rPr>
                <w:rFonts w:ascii="Times New Roman" w:hAnsi="Times New Roman"/>
                <w:b/>
                <w:color w:val="000000"/>
                <w:sz w:val="20"/>
                <w:u w:color="auto"/>
              </w:rPr>
              <w:t xml:space="preserve"> </w:t>
            </w:r>
          </w:p>
        </w:tc>
        <w:tc>
          <w:tcPr>
            <w:tcW w:w="4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4A7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02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9D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5E1F6F4">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CB26">
            <w:pPr>
              <w:textAlignment w:val="center"/>
              <w:rPr>
                <w:rFonts w:hint="default" w:cs="宋体"/>
                <w:color w:val="000000"/>
                <w:sz w:val="20"/>
                <w:szCs w:val="20"/>
              </w:rPr>
            </w:pPr>
            <w:r>
              <w:rPr>
                <w:rFonts w:cs="宋体"/>
                <w:b/>
                <w:color w:val="000000"/>
                <w:sz w:val="20"/>
                <w:szCs w:val="20"/>
              </w:rPr>
              <w:t>205</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569AE">
            <w:pPr>
              <w:textAlignment w:val="center"/>
              <w:rPr>
                <w:rFonts w:hint="default" w:cs="宋体"/>
                <w:color w:val="000000"/>
                <w:sz w:val="20"/>
                <w:szCs w:val="20"/>
              </w:rPr>
            </w:pPr>
            <w:r>
              <w:rPr>
                <w:rFonts w:cs="宋体"/>
                <w:b/>
                <w:color w:val="000000"/>
                <w:sz w:val="20"/>
                <w:szCs w:val="20"/>
              </w:rPr>
              <w:t>教育支出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0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236.48</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91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197.38</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E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3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6B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7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F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1B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68CF8">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4FD6">
            <w:pPr>
              <w:textAlignment w:val="center"/>
              <w:rPr>
                <w:rFonts w:hint="default" w:cs="宋体"/>
                <w:color w:val="000000"/>
                <w:sz w:val="20"/>
                <w:szCs w:val="20"/>
              </w:rPr>
            </w:pPr>
            <w:r>
              <w:rPr>
                <w:rFonts w:cs="宋体"/>
                <w:b/>
                <w:color w:val="000000"/>
                <w:sz w:val="20"/>
                <w:szCs w:val="20"/>
              </w:rPr>
              <w:t>20502</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AC73">
            <w:pPr>
              <w:textAlignment w:val="center"/>
              <w:rPr>
                <w:rFonts w:hint="default" w:cs="宋体"/>
                <w:color w:val="000000"/>
                <w:sz w:val="20"/>
                <w:szCs w:val="20"/>
              </w:rPr>
            </w:pPr>
            <w:r>
              <w:rPr>
                <w:rFonts w:cs="宋体"/>
                <w:b/>
                <w:color w:val="000000"/>
                <w:sz w:val="20"/>
                <w:szCs w:val="20"/>
              </w:rPr>
              <w:t>普通教育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236.48</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26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197.38</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5C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8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2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2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5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BE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C9CA23">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C2EC">
            <w:pPr>
              <w:textAlignment w:val="center"/>
              <w:rPr>
                <w:rFonts w:hint="default" w:cs="宋体"/>
                <w:color w:val="000000"/>
                <w:sz w:val="20"/>
                <w:szCs w:val="20"/>
              </w:rPr>
            </w:pPr>
            <w:r>
              <w:rPr>
                <w:rFonts w:cs="宋体"/>
                <w:color w:val="000000"/>
                <w:sz w:val="20"/>
                <w:szCs w:val="20"/>
              </w:rPr>
              <w:t>2050201</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1501D">
            <w:pPr>
              <w:textAlignment w:val="center"/>
              <w:rPr>
                <w:rFonts w:hint="default" w:cs="宋体"/>
                <w:color w:val="000000"/>
                <w:sz w:val="20"/>
                <w:szCs w:val="20"/>
              </w:rPr>
            </w:pPr>
            <w:r>
              <w:rPr>
                <w:rFonts w:cs="宋体"/>
                <w:color w:val="000000"/>
                <w:sz w:val="20"/>
                <w:szCs w:val="20"/>
              </w:rPr>
              <w:t>学前教育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47A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A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0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6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C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39.10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3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D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C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B8644F">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2017">
            <w:pPr>
              <w:textAlignment w:val="center"/>
              <w:rPr>
                <w:rFonts w:hint="default" w:cs="宋体"/>
                <w:color w:val="000000"/>
                <w:sz w:val="20"/>
                <w:szCs w:val="20"/>
              </w:rPr>
            </w:pPr>
            <w:r>
              <w:rPr>
                <w:rFonts w:cs="宋体"/>
                <w:color w:val="000000"/>
                <w:sz w:val="20"/>
                <w:szCs w:val="20"/>
              </w:rPr>
              <w:t>2050202</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6422">
            <w:pPr>
              <w:textAlignment w:val="center"/>
              <w:rPr>
                <w:rFonts w:hint="default" w:cs="宋体"/>
                <w:color w:val="000000"/>
                <w:sz w:val="20"/>
                <w:szCs w:val="20"/>
              </w:rPr>
            </w:pPr>
            <w:r>
              <w:rPr>
                <w:rFonts w:cs="宋体"/>
                <w:color w:val="000000"/>
                <w:sz w:val="20"/>
                <w:szCs w:val="20"/>
              </w:rPr>
              <w:t>小学教育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9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A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9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5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C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9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0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B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E1158D">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34D0">
            <w:pPr>
              <w:textAlignment w:val="center"/>
              <w:rPr>
                <w:rFonts w:hint="default" w:cs="宋体"/>
                <w:color w:val="000000"/>
                <w:sz w:val="20"/>
                <w:szCs w:val="20"/>
              </w:rPr>
            </w:pPr>
            <w:r>
              <w:rPr>
                <w:rFonts w:cs="宋体"/>
                <w:color w:val="000000"/>
                <w:sz w:val="20"/>
                <w:szCs w:val="20"/>
              </w:rPr>
              <w:t>2050203</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E33C9">
            <w:pPr>
              <w:textAlignment w:val="center"/>
              <w:rPr>
                <w:rFonts w:hint="default" w:cs="宋体"/>
                <w:color w:val="000000"/>
                <w:sz w:val="20"/>
                <w:szCs w:val="20"/>
              </w:rPr>
            </w:pPr>
            <w:r>
              <w:rPr>
                <w:rFonts w:cs="宋体"/>
                <w:color w:val="000000"/>
                <w:sz w:val="20"/>
                <w:szCs w:val="20"/>
              </w:rPr>
              <w:t>初中教育</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7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E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8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F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9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5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5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0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FA620">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9F2">
            <w:pPr>
              <w:textAlignment w:val="center"/>
              <w:rPr>
                <w:rFonts w:hint="default" w:cs="宋体"/>
                <w:color w:val="000000"/>
                <w:sz w:val="20"/>
                <w:szCs w:val="20"/>
              </w:rPr>
            </w:pPr>
            <w:r>
              <w:rPr>
                <w:rFonts w:cs="宋体"/>
                <w:b/>
                <w:color w:val="000000"/>
                <w:sz w:val="20"/>
                <w:szCs w:val="20"/>
              </w:rPr>
              <w:t>208</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F025">
            <w:pPr>
              <w:textAlignment w:val="center"/>
              <w:rPr>
                <w:rFonts w:hint="default" w:cs="宋体"/>
                <w:color w:val="000000"/>
                <w:sz w:val="20"/>
                <w:szCs w:val="20"/>
              </w:rPr>
            </w:pPr>
            <w:r>
              <w:rPr>
                <w:rFonts w:cs="宋体"/>
                <w:b/>
                <w:color w:val="000000"/>
                <w:sz w:val="20"/>
                <w:szCs w:val="20"/>
              </w:rPr>
              <w:t>社会保障和就业支出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5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D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45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9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9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4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5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E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BBC445">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3084B">
            <w:pPr>
              <w:textAlignment w:val="center"/>
              <w:rPr>
                <w:rFonts w:hint="default" w:cs="宋体"/>
                <w:color w:val="000000"/>
                <w:sz w:val="20"/>
                <w:szCs w:val="20"/>
              </w:rPr>
            </w:pPr>
            <w:r>
              <w:rPr>
                <w:rFonts w:cs="宋体"/>
                <w:b/>
                <w:color w:val="000000"/>
                <w:sz w:val="20"/>
                <w:szCs w:val="20"/>
              </w:rPr>
              <w:t>20805</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46B68">
            <w:pPr>
              <w:textAlignment w:val="center"/>
              <w:rPr>
                <w:rFonts w:hint="default" w:cs="宋体"/>
                <w:color w:val="000000"/>
                <w:sz w:val="20"/>
                <w:szCs w:val="20"/>
              </w:rPr>
            </w:pPr>
            <w:r>
              <w:rPr>
                <w:rFonts w:cs="宋体"/>
                <w:b/>
                <w:color w:val="000000"/>
                <w:sz w:val="20"/>
                <w:szCs w:val="20"/>
              </w:rPr>
              <w:t>行政事业单位养老支出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2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E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9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4C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27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3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5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9C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436FC">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EFE9">
            <w:pPr>
              <w:textAlignment w:val="center"/>
              <w:rPr>
                <w:rFonts w:hint="default" w:cs="宋体"/>
                <w:color w:val="000000"/>
                <w:sz w:val="20"/>
                <w:szCs w:val="20"/>
              </w:rPr>
            </w:pPr>
            <w:r>
              <w:rPr>
                <w:rFonts w:cs="宋体"/>
                <w:color w:val="000000"/>
                <w:sz w:val="20"/>
                <w:szCs w:val="20"/>
              </w:rPr>
              <w:t>2080505</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8BE14">
            <w:pPr>
              <w:textAlignment w:val="center"/>
              <w:rPr>
                <w:rFonts w:hint="default" w:cs="宋体"/>
                <w:color w:val="000000"/>
                <w:sz w:val="20"/>
                <w:szCs w:val="20"/>
              </w:rPr>
            </w:pPr>
            <w:r>
              <w:rPr>
                <w:rFonts w:cs="宋体"/>
                <w:color w:val="000000"/>
                <w:sz w:val="20"/>
                <w:szCs w:val="20"/>
              </w:rPr>
              <w:t>机关事业单位基本养老保险缴费支出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0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F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C0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C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E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7B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E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EF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411A26">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7C78">
            <w:pPr>
              <w:textAlignment w:val="center"/>
              <w:rPr>
                <w:rFonts w:hint="default" w:cs="宋体"/>
                <w:color w:val="000000"/>
                <w:sz w:val="20"/>
                <w:szCs w:val="20"/>
              </w:rPr>
            </w:pPr>
            <w:r>
              <w:rPr>
                <w:rFonts w:cs="宋体"/>
                <w:color w:val="000000"/>
                <w:sz w:val="20"/>
                <w:szCs w:val="20"/>
              </w:rPr>
              <w:t>2080506</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7CF49">
            <w:pPr>
              <w:textAlignment w:val="center"/>
              <w:rPr>
                <w:rFonts w:hint="default" w:cs="宋体"/>
                <w:color w:val="000000"/>
                <w:sz w:val="20"/>
                <w:szCs w:val="20"/>
              </w:rPr>
            </w:pPr>
            <w:r>
              <w:rPr>
                <w:rFonts w:cs="宋体"/>
                <w:color w:val="000000"/>
                <w:sz w:val="20"/>
                <w:szCs w:val="20"/>
              </w:rPr>
              <w:t>机关事业单位职业年金缴费支出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6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2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C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F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E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61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3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A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D89220">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4348">
            <w:pPr>
              <w:textAlignment w:val="center"/>
              <w:rPr>
                <w:rFonts w:hint="default" w:cs="宋体"/>
                <w:color w:val="000000"/>
                <w:sz w:val="20"/>
                <w:szCs w:val="20"/>
              </w:rPr>
            </w:pPr>
            <w:r>
              <w:rPr>
                <w:rFonts w:cs="宋体"/>
                <w:b/>
                <w:color w:val="000000"/>
                <w:sz w:val="20"/>
                <w:szCs w:val="20"/>
              </w:rPr>
              <w:t>210</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219BC">
            <w:pPr>
              <w:textAlignment w:val="center"/>
              <w:rPr>
                <w:rFonts w:hint="default" w:cs="宋体"/>
                <w:color w:val="000000"/>
                <w:sz w:val="20"/>
                <w:szCs w:val="20"/>
              </w:rPr>
            </w:pPr>
            <w:r>
              <w:rPr>
                <w:rFonts w:cs="宋体"/>
                <w:b/>
                <w:color w:val="000000"/>
                <w:sz w:val="20"/>
                <w:szCs w:val="20"/>
              </w:rPr>
              <w:t>卫生健康支出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1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C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2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4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7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5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A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5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0C9CF4">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BA8E">
            <w:pPr>
              <w:textAlignment w:val="center"/>
              <w:rPr>
                <w:rFonts w:hint="default" w:cs="宋体"/>
                <w:color w:val="000000"/>
                <w:sz w:val="20"/>
                <w:szCs w:val="20"/>
              </w:rPr>
            </w:pPr>
            <w:r>
              <w:rPr>
                <w:rFonts w:cs="宋体"/>
                <w:b/>
                <w:color w:val="000000"/>
                <w:sz w:val="20"/>
                <w:szCs w:val="20"/>
              </w:rPr>
              <w:t>21011</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1DDA6">
            <w:pPr>
              <w:textAlignment w:val="center"/>
              <w:rPr>
                <w:rFonts w:hint="default" w:cs="宋体"/>
                <w:color w:val="000000"/>
                <w:sz w:val="20"/>
                <w:szCs w:val="20"/>
              </w:rPr>
            </w:pPr>
            <w:r>
              <w:rPr>
                <w:rFonts w:cs="宋体"/>
                <w:b/>
                <w:color w:val="000000"/>
                <w:sz w:val="20"/>
                <w:szCs w:val="20"/>
              </w:rPr>
              <w:t>行政事业单位医疗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1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5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2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5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A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5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1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F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85F6C">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7CEB">
            <w:pPr>
              <w:textAlignment w:val="center"/>
              <w:rPr>
                <w:rFonts w:hint="default" w:cs="宋体"/>
                <w:color w:val="000000"/>
                <w:sz w:val="20"/>
                <w:szCs w:val="20"/>
              </w:rPr>
            </w:pPr>
            <w:r>
              <w:rPr>
                <w:rFonts w:cs="宋体"/>
                <w:color w:val="000000"/>
                <w:sz w:val="20"/>
                <w:szCs w:val="20"/>
              </w:rPr>
              <w:t>2101102</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1ED71">
            <w:pPr>
              <w:textAlignment w:val="center"/>
              <w:rPr>
                <w:rFonts w:hint="default" w:cs="宋体"/>
                <w:color w:val="000000"/>
                <w:sz w:val="20"/>
                <w:szCs w:val="20"/>
              </w:rPr>
            </w:pPr>
            <w:r>
              <w:rPr>
                <w:rFonts w:cs="宋体"/>
                <w:color w:val="000000"/>
                <w:sz w:val="20"/>
                <w:szCs w:val="20"/>
              </w:rPr>
              <w:t>事业单位医疗</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9AC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C6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88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6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EE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A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E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53B3D2">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84E8">
            <w:pPr>
              <w:textAlignment w:val="center"/>
              <w:rPr>
                <w:rFonts w:hint="default" w:cs="宋体"/>
                <w:color w:val="000000"/>
                <w:sz w:val="20"/>
                <w:szCs w:val="20"/>
              </w:rPr>
            </w:pPr>
            <w:r>
              <w:rPr>
                <w:rFonts w:cs="宋体"/>
                <w:color w:val="000000"/>
                <w:sz w:val="20"/>
                <w:szCs w:val="20"/>
              </w:rPr>
              <w:t>2101199</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05AD8">
            <w:pPr>
              <w:textAlignment w:val="center"/>
              <w:rPr>
                <w:rFonts w:hint="default" w:cs="宋体"/>
                <w:color w:val="000000"/>
                <w:sz w:val="20"/>
                <w:szCs w:val="20"/>
              </w:rPr>
            </w:pPr>
            <w:r>
              <w:rPr>
                <w:rFonts w:cs="宋体"/>
                <w:color w:val="000000"/>
                <w:sz w:val="20"/>
                <w:szCs w:val="20"/>
              </w:rPr>
              <w:t>其他行政事业单位医疗支出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B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8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D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E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7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3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9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9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C87D1C">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C4AC">
            <w:pPr>
              <w:textAlignment w:val="center"/>
              <w:rPr>
                <w:rFonts w:hint="default" w:cs="宋体"/>
                <w:color w:val="000000"/>
                <w:sz w:val="20"/>
                <w:szCs w:val="20"/>
              </w:rPr>
            </w:pPr>
            <w:r>
              <w:rPr>
                <w:rFonts w:cs="宋体"/>
                <w:b/>
                <w:color w:val="000000"/>
                <w:sz w:val="20"/>
                <w:szCs w:val="20"/>
              </w:rPr>
              <w:t>221</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72025">
            <w:pPr>
              <w:textAlignment w:val="center"/>
              <w:rPr>
                <w:rFonts w:hint="default" w:cs="宋体"/>
                <w:color w:val="000000"/>
                <w:sz w:val="20"/>
                <w:szCs w:val="20"/>
              </w:rPr>
            </w:pPr>
            <w:r>
              <w:rPr>
                <w:rFonts w:cs="宋体"/>
                <w:b/>
                <w:color w:val="000000"/>
                <w:sz w:val="20"/>
                <w:szCs w:val="20"/>
              </w:rPr>
              <w:t>住房保障支出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C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5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6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6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6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9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7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6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3D361">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FC81">
            <w:pPr>
              <w:textAlignment w:val="center"/>
              <w:rPr>
                <w:rFonts w:hint="default" w:cs="宋体"/>
                <w:color w:val="000000"/>
                <w:sz w:val="20"/>
                <w:szCs w:val="20"/>
              </w:rPr>
            </w:pPr>
            <w:r>
              <w:rPr>
                <w:rFonts w:cs="宋体"/>
                <w:b/>
                <w:color w:val="000000"/>
                <w:sz w:val="20"/>
                <w:szCs w:val="20"/>
              </w:rPr>
              <w:t>22102</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12DE6">
            <w:pPr>
              <w:textAlignment w:val="center"/>
              <w:rPr>
                <w:rFonts w:hint="default" w:cs="宋体"/>
                <w:color w:val="000000"/>
                <w:sz w:val="20"/>
                <w:szCs w:val="20"/>
              </w:rPr>
            </w:pPr>
            <w:r>
              <w:rPr>
                <w:rFonts w:cs="宋体"/>
                <w:b/>
                <w:color w:val="000000"/>
                <w:sz w:val="20"/>
                <w:szCs w:val="20"/>
              </w:rPr>
              <w:t>住房改革支出</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67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B9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3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A1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0B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6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D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D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8CCBAE">
        <w:tblPrEx>
          <w:tblCellMar>
            <w:top w:w="0" w:type="dxa"/>
            <w:left w:w="0" w:type="dxa"/>
            <w:bottom w:w="0" w:type="dxa"/>
            <w:right w:w="0" w:type="dxa"/>
          </w:tblCellMar>
        </w:tblPrEx>
        <w:trPr>
          <w:trHeight w:val="329" w:hRule="exac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44D8">
            <w:pPr>
              <w:textAlignment w:val="center"/>
              <w:rPr>
                <w:rFonts w:hint="default" w:cs="宋体"/>
                <w:color w:val="000000"/>
                <w:sz w:val="20"/>
                <w:szCs w:val="20"/>
              </w:rPr>
            </w:pPr>
            <w:r>
              <w:rPr>
                <w:rFonts w:cs="宋体"/>
                <w:color w:val="000000"/>
                <w:sz w:val="20"/>
                <w:szCs w:val="20"/>
              </w:rPr>
              <w:t>2210201</w:t>
            </w:r>
          </w:p>
        </w:tc>
        <w:tc>
          <w:tcPr>
            <w:tcW w:w="9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0CD7">
            <w:pPr>
              <w:textAlignment w:val="center"/>
              <w:rPr>
                <w:rFonts w:hint="default" w:cs="宋体"/>
                <w:color w:val="000000"/>
                <w:sz w:val="20"/>
                <w:szCs w:val="20"/>
              </w:rPr>
            </w:pPr>
            <w:r>
              <w:rPr>
                <w:rFonts w:cs="宋体"/>
                <w:color w:val="000000"/>
                <w:sz w:val="20"/>
                <w:szCs w:val="20"/>
              </w:rPr>
              <w:t>住房公积金</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F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5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40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06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2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E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2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7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2927D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6A7A673">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184CF913">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5DBBEB">
            <w:pPr>
              <w:jc w:val="center"/>
              <w:textAlignment w:val="bottom"/>
              <w:rPr>
                <w:rFonts w:hint="default" w:cs="宋体"/>
                <w:b/>
                <w:color w:val="000000"/>
                <w:sz w:val="32"/>
                <w:szCs w:val="32"/>
              </w:rPr>
            </w:pPr>
            <w:r>
              <w:rPr>
                <w:rFonts w:cs="宋体"/>
                <w:b/>
                <w:color w:val="000000"/>
                <w:sz w:val="32"/>
                <w:szCs w:val="32"/>
              </w:rPr>
              <w:t>支出决算表</w:t>
            </w:r>
          </w:p>
        </w:tc>
      </w:tr>
      <w:tr w14:paraId="48F2C6B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834439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重庆市九龙坡区明诚育才学校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F3E68C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ED9A29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E519B8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B6235E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1499B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9A142E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0C4EBF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1AF602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1D95BF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28922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7627DF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C49F1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FBC2D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E6E433">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A51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BFC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2D8F0">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FC6C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FA4E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8673">
            <w:pPr>
              <w:jc w:val="center"/>
              <w:textAlignment w:val="center"/>
              <w:rPr>
                <w:rFonts w:hint="default" w:cs="宋体"/>
                <w:b/>
                <w:color w:val="000000"/>
                <w:sz w:val="20"/>
                <w:szCs w:val="20"/>
              </w:rPr>
            </w:pPr>
            <w:r>
              <w:rPr>
                <w:rFonts w:cs="宋体"/>
                <w:b/>
                <w:color w:val="000000"/>
                <w:sz w:val="20"/>
                <w:szCs w:val="20"/>
              </w:rPr>
              <w:t>对附属单位补助支出</w:t>
            </w:r>
          </w:p>
        </w:tc>
      </w:tr>
      <w:tr w14:paraId="72D2D72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E1C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41442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8DE9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115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A4E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EB74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5BD8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00BE8">
            <w:pPr>
              <w:jc w:val="center"/>
              <w:rPr>
                <w:rFonts w:hint="default" w:cs="宋体"/>
                <w:b/>
                <w:color w:val="000000"/>
                <w:sz w:val="20"/>
                <w:szCs w:val="20"/>
              </w:rPr>
            </w:pPr>
          </w:p>
        </w:tc>
      </w:tr>
      <w:tr w14:paraId="54B92AC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55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24A28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C72A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8AEB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BB2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9D2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3C3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8059">
            <w:pPr>
              <w:jc w:val="center"/>
              <w:rPr>
                <w:rFonts w:hint="default" w:cs="宋体"/>
                <w:b/>
                <w:color w:val="000000"/>
                <w:sz w:val="20"/>
                <w:szCs w:val="20"/>
              </w:rPr>
            </w:pPr>
          </w:p>
        </w:tc>
      </w:tr>
      <w:tr w14:paraId="35B0160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16C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B39B0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704B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3E1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6D50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A870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45B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881EE">
            <w:pPr>
              <w:jc w:val="center"/>
              <w:rPr>
                <w:rFonts w:hint="default" w:cs="宋体"/>
                <w:b/>
                <w:color w:val="000000"/>
                <w:sz w:val="20"/>
                <w:szCs w:val="20"/>
              </w:rPr>
            </w:pPr>
          </w:p>
        </w:tc>
      </w:tr>
      <w:tr w14:paraId="670DBFE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8EA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01E99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844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282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DC3C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73B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B432">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981E">
            <w:pPr>
              <w:jc w:val="center"/>
              <w:rPr>
                <w:rFonts w:hint="default" w:cs="宋体"/>
                <w:b/>
                <w:color w:val="000000"/>
                <w:sz w:val="20"/>
                <w:szCs w:val="20"/>
              </w:rPr>
            </w:pPr>
          </w:p>
        </w:tc>
      </w:tr>
      <w:tr w14:paraId="79A7F2B5">
        <w:tblPrEx>
          <w:tblCellMar>
            <w:top w:w="0" w:type="dxa"/>
            <w:left w:w="0" w:type="dxa"/>
            <w:bottom w:w="0" w:type="dxa"/>
            <w:right w:w="0" w:type="dxa"/>
          </w:tblCellMar>
        </w:tblPrEx>
        <w:trPr>
          <w:trHeight w:val="340"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A325">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DC1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257.08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46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128.42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B61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128.66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0C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BF7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0BB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A2C5E4C">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8E51">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712CC">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4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8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8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1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7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7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3EB99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39AB">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EFE6A">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C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8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107.82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4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B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A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3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8C2AB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15FD">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2850">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3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F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B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E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A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9161E0">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C036">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A82D6">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1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4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D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2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4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FE5892">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274F">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2464A">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F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FA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0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2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00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3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57AA1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82E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79BF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47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2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1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0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9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F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225D15">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9B9C">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7C66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9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6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3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B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2E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4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B05882">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CB6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FCC9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5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3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3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8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BA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4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6664FD">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45E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D10E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4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13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0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1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C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D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598CD9">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8B20">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43F46">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DC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B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A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F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3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1D1B42">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1F3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95CE">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B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4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3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6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5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3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CCA86E">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360D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7608">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9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A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0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1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E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C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FBB57">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61B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65A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B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A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C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0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D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AA37DA">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73D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86E6">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AC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F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3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1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6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90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C09D5D">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8B2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4EFD">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7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31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0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1F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3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FEDF56">
        <w:tblPrEx>
          <w:tblCellMar>
            <w:top w:w="0" w:type="dxa"/>
            <w:left w:w="0" w:type="dxa"/>
            <w:bottom w:w="0" w:type="dxa"/>
            <w:right w:w="0" w:type="dxa"/>
          </w:tblCellMar>
        </w:tblPrEx>
        <w:trPr>
          <w:trHeight w:val="340"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13B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3A3F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0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6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E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D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5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D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F88BEF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31B261">
      <w:pPr>
        <w:rPr>
          <w:rFonts w:hint="default" w:cs="宋体"/>
          <w:sz w:val="21"/>
          <w:szCs w:val="21"/>
        </w:rPr>
      </w:pPr>
      <w:r>
        <w:rPr>
          <w:rFonts w:cs="宋体"/>
          <w:sz w:val="21"/>
          <w:szCs w:val="21"/>
        </w:rPr>
        <w:br w:type="page"/>
      </w:r>
    </w:p>
    <w:p w14:paraId="5AE49AAD">
      <w:pPr>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01BBCF2F">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EDAEE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C33686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23CF2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重庆市九龙坡区明诚育才学校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601A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60B901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DB9D4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6DCB8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E2CFF0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091535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1664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120E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55CA4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CB202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E4877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A729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EF2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A3B32D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0331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EFA2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4B42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F6A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24C7A3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ABA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D504">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72EF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392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888A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CAAF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06D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4C148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1CA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88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E1A1">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AC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9F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33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6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CD7C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3195">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B9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0F7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6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1A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6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B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C5FE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E0A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A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969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AB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8B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F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3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FA57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2D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A11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981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39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8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3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1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51C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815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CC49D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99B0">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8D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7B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4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2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CC32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02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77D25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CF4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58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A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A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6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C3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A3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F751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251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57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56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9F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A67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63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F72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546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3B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42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7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F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B82B2">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E5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7E2A1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A8E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39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84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F9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F5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AD10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75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57E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C94C">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6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BF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74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1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688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C2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D9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077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F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0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8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5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57F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AD9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7E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96C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7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37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E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091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CB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43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809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B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F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E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91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6650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062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24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F58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A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E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5C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7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204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8D2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0A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309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3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A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4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D3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59B3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1E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BD7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D5C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093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5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5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F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89DD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09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299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3A8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DA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B8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67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E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3805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0E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3F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A56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6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18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EE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85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01A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69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A3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305C">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0C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80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9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9F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0881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A6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6F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15C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8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B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5B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D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8ADA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8B3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AF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C70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A1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BC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1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A7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4B6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F71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B4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CE7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03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F1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5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0D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99E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6B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E62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121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2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F5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028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D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3DC2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929E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A6B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979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04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99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1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3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60E8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721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26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8C0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F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3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B5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6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449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D78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5F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DD1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9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C3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1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A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DBCF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B726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05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A52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97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C5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82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A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3575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BDE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EC8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24F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D5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B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83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4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7DA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A2C2">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3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E66C9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32AF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8BE9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8AD64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E49A04">
            <w:pPr>
              <w:spacing w:line="200" w:lineRule="exact"/>
              <w:rPr>
                <w:rFonts w:hint="default" w:ascii="Times New Roman" w:hAnsi="Times New Roman"/>
                <w:color w:val="000000"/>
                <w:sz w:val="18"/>
                <w:szCs w:val="18"/>
              </w:rPr>
            </w:pPr>
          </w:p>
        </w:tc>
      </w:tr>
      <w:tr w14:paraId="26DCCA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448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2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A47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BC6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D57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2E2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6682">
            <w:pPr>
              <w:spacing w:line="200" w:lineRule="exact"/>
              <w:jc w:val="right"/>
              <w:rPr>
                <w:rFonts w:hint="default" w:ascii="Times New Roman" w:hAnsi="Times New Roman"/>
                <w:color w:val="000000"/>
                <w:sz w:val="18"/>
                <w:szCs w:val="18"/>
              </w:rPr>
            </w:pPr>
          </w:p>
        </w:tc>
      </w:tr>
      <w:tr w14:paraId="052CC0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0BC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2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17E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1AD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050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FF8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1638">
            <w:pPr>
              <w:spacing w:line="200" w:lineRule="exact"/>
              <w:jc w:val="right"/>
              <w:rPr>
                <w:rFonts w:hint="default" w:ascii="Times New Roman" w:hAnsi="Times New Roman"/>
                <w:color w:val="000000"/>
                <w:sz w:val="18"/>
                <w:szCs w:val="18"/>
              </w:rPr>
            </w:pPr>
          </w:p>
        </w:tc>
      </w:tr>
      <w:tr w14:paraId="721FF2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449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36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1AD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88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579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C1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9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289DDB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2059CAB1">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B82639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CE13765">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282939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重庆市九龙坡区明诚育才学校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97B88E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46BBA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EF4084">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29BF65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49C81B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4EFA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2E3CF9">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5D616">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6FEE0A">
            <w:pPr>
              <w:jc w:val="center"/>
              <w:textAlignment w:val="center"/>
              <w:rPr>
                <w:rFonts w:hint="default" w:cs="宋体"/>
                <w:b/>
                <w:color w:val="000000"/>
                <w:sz w:val="20"/>
                <w:szCs w:val="20"/>
              </w:rPr>
            </w:pPr>
            <w:r>
              <w:rPr>
                <w:rFonts w:cs="宋体"/>
                <w:b/>
                <w:color w:val="000000"/>
                <w:sz w:val="20"/>
                <w:szCs w:val="20"/>
              </w:rPr>
              <w:t>本年支出</w:t>
            </w:r>
          </w:p>
        </w:tc>
      </w:tr>
      <w:tr w14:paraId="6CEA9D11">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FC9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7AD3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F18D0">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F816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4A348">
            <w:pPr>
              <w:jc w:val="center"/>
              <w:textAlignment w:val="center"/>
              <w:rPr>
                <w:rFonts w:hint="default" w:cs="宋体"/>
                <w:b/>
                <w:color w:val="000000"/>
                <w:sz w:val="20"/>
                <w:szCs w:val="20"/>
              </w:rPr>
            </w:pPr>
            <w:r>
              <w:rPr>
                <w:rFonts w:cs="宋体"/>
                <w:b/>
                <w:color w:val="000000"/>
                <w:sz w:val="20"/>
                <w:szCs w:val="20"/>
              </w:rPr>
              <w:t>项目支出</w:t>
            </w:r>
          </w:p>
        </w:tc>
      </w:tr>
      <w:tr w14:paraId="46ACB1C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25F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D60B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554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A54B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B3FD6">
            <w:pPr>
              <w:jc w:val="center"/>
              <w:rPr>
                <w:rFonts w:hint="default" w:cs="宋体"/>
                <w:b/>
                <w:color w:val="000000"/>
                <w:sz w:val="20"/>
                <w:szCs w:val="20"/>
              </w:rPr>
            </w:pPr>
          </w:p>
        </w:tc>
      </w:tr>
      <w:tr w14:paraId="3D432DF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746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9DB4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E9ED0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7377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9BF0">
            <w:pPr>
              <w:jc w:val="center"/>
              <w:rPr>
                <w:rFonts w:hint="default" w:cs="宋体"/>
                <w:b/>
                <w:color w:val="000000"/>
                <w:sz w:val="20"/>
                <w:szCs w:val="20"/>
              </w:rPr>
            </w:pPr>
          </w:p>
        </w:tc>
      </w:tr>
      <w:tr w14:paraId="13D5060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66FE">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B41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217.98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33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128.42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04C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89.56</w:t>
            </w:r>
            <w:r>
              <w:rPr>
                <w:rFonts w:ascii="Times New Roman" w:hAnsi="Times New Roman"/>
                <w:b/>
                <w:color w:val="000000"/>
                <w:sz w:val="20"/>
                <w:u w:color="auto"/>
              </w:rPr>
              <w:t xml:space="preserve"> </w:t>
            </w:r>
          </w:p>
        </w:tc>
      </w:tr>
      <w:tr w14:paraId="2AB4E1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EEDC">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CC82">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9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25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345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89.56</w:t>
            </w:r>
            <w:r>
              <w:rPr>
                <w:rFonts w:ascii="Times New Roman" w:hAnsi="Times New Roman"/>
                <w:b/>
                <w:color w:val="000000"/>
                <w:sz w:val="20"/>
                <w:u w:color="auto"/>
              </w:rPr>
              <w:t xml:space="preserve"> </w:t>
            </w:r>
          </w:p>
        </w:tc>
      </w:tr>
      <w:tr w14:paraId="638F56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5B07">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17D06">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BB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B8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107.82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3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89.56</w:t>
            </w:r>
            <w:r>
              <w:rPr>
                <w:rFonts w:ascii="Times New Roman" w:hAnsi="Times New Roman"/>
                <w:b/>
                <w:color w:val="000000"/>
                <w:sz w:val="20"/>
                <w:u w:color="auto"/>
              </w:rPr>
              <w:t xml:space="preserve"> </w:t>
            </w:r>
          </w:p>
        </w:tc>
      </w:tr>
      <w:tr w14:paraId="0A84C2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A835">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02D1E">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23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948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A9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34.09</w:t>
            </w:r>
            <w:r>
              <w:rPr>
                <w:rFonts w:ascii="Times New Roman" w:hAnsi="Times New Roman"/>
                <w:color w:val="000000"/>
                <w:sz w:val="20"/>
                <w:u w:color="auto"/>
              </w:rPr>
              <w:t xml:space="preserve"> </w:t>
            </w:r>
          </w:p>
        </w:tc>
      </w:tr>
      <w:tr w14:paraId="119248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B1DC5">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2E779">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C22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152.27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5E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A58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55.28</w:t>
            </w:r>
            <w:r>
              <w:rPr>
                <w:rFonts w:ascii="Times New Roman" w:hAnsi="Times New Roman"/>
                <w:color w:val="000000"/>
                <w:sz w:val="20"/>
                <w:u w:color="auto"/>
              </w:rPr>
              <w:t xml:space="preserve"> </w:t>
            </w:r>
          </w:p>
        </w:tc>
      </w:tr>
      <w:tr w14:paraId="0A8EE0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3DCB">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0471">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E1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055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B1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0.19</w:t>
            </w:r>
            <w:r>
              <w:rPr>
                <w:rFonts w:ascii="Times New Roman" w:hAnsi="Times New Roman"/>
                <w:color w:val="000000"/>
                <w:sz w:val="20"/>
                <w:u w:color="auto"/>
              </w:rPr>
              <w:t xml:space="preserve"> </w:t>
            </w:r>
          </w:p>
        </w:tc>
      </w:tr>
      <w:tr w14:paraId="645D072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DE5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1F0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0B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0DE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9C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201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289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D58F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93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C19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F31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B2C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88A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913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35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40A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6E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95E7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0FF0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51A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596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A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0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F78D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98BC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82849">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112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7F0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C5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1B68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8540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966F4">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CF2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7D1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F05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FCBB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4FA5">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E73C">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2D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17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96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77D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BE2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A160">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52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CB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54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34FD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1A4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9AAC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5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7C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8DA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B078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BF79">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F5C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EDD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5D9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F5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0EA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309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375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8DB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B03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8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AE7D5B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E4B55A8">
      <w:pPr>
        <w:ind w:firstLine="630" w:firstLineChars="300"/>
        <w:rPr>
          <w:rFonts w:hint="default" w:cs="宋体"/>
          <w:sz w:val="21"/>
          <w:szCs w:val="21"/>
        </w:rPr>
      </w:pPr>
      <w:r>
        <w:rPr>
          <w:rFonts w:cs="宋体"/>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5B5E600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260190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3BFD2B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CD5374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重庆市九龙坡区明诚育才学校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0A9B1ED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2E38D1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11F692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CC5A2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8D1FC2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98513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4FEC00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B7AC2A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3F5AD2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CCE045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B2CDA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AD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34AD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F1251E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E2A7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5572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A01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FC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88FE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A348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93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9742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4EC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726F64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76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F027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55B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747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2394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3B67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22B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5032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5D1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8AF37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47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3B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DA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C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1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3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7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1B9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D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5F195F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C7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4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D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E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F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A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7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F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E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EE0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D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F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0E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1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9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2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E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0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12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r>
      <w:tr w14:paraId="2C3856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A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C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75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4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88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F5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A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0B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7C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7E1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F0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5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18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5AE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19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2D8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E3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3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4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A1A8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0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2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22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9F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44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C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6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7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52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301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2E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3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77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6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F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85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3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5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5D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E3BC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D5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2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0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8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8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4F7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8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B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C5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A8C9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7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25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74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31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4E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87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7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5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1A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0C1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C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B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7E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9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2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A5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E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7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A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E24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3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2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34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3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9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D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F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4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B8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F08F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A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6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81B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4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B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36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F9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3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31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F5F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3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7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9EC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0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65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F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0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D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5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110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89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5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644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7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D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FF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7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8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1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7A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4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3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41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6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E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2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3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A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6D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080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30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3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D2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4B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AD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A7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F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B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81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A34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0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C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A8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7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E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30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12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36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A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F67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79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8F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B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2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D1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87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B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4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2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65AAD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EF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D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7B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6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B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F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EA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2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5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B1B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D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D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D9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8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A1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D2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A1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7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86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305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6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8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AF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3F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4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1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67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3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9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D06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B1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3A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F8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44E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2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FA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8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8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91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90E9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B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63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2C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ED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2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37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8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405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B4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B4F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80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F9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25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0E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C1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B6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85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AA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467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9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1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43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10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8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4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3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B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10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9F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F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6D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5F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8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F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BB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D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7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6F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CA2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0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F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00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81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02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38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77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0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A2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93C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A2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D4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2455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C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3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5F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8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A58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02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6D3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8B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B5F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2B8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299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F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5A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C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C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D9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CDD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4DD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B0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90D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3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4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A0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6F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8F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E1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A9B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668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28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AF4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43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1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6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B7E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5CEB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B00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B1DF9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4A4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B2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06F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C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65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FD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03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47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FC2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8C6EDF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6CB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D2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75C0B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DE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2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95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67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FC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897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619C56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D10E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B68E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72.85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683F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152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55.57</w:t>
            </w:r>
            <w:r>
              <w:rPr>
                <w:rFonts w:ascii="Times New Roman" w:hAnsi="Times New Roman"/>
                <w:color w:val="000000"/>
                <w:sz w:val="18"/>
                <w:u w:color="auto"/>
              </w:rPr>
              <w:t xml:space="preserve"> </w:t>
            </w:r>
          </w:p>
        </w:tc>
      </w:tr>
    </w:tbl>
    <w:p w14:paraId="64848F2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6338E5B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CE8477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6A4965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E10E1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重庆市九龙坡区明诚育才学校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6ED08D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A5348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EF647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590E2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017F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826E39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27B20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6D9D1C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69E199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82E9E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E845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05C6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266B1C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A3AF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D8B44C">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225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573DE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3AC5E">
            <w:pPr>
              <w:jc w:val="center"/>
              <w:textAlignment w:val="center"/>
              <w:rPr>
                <w:rFonts w:hint="default" w:cs="宋体"/>
                <w:b/>
                <w:color w:val="000000"/>
                <w:sz w:val="20"/>
                <w:szCs w:val="20"/>
              </w:rPr>
            </w:pPr>
            <w:r>
              <w:rPr>
                <w:rFonts w:cs="宋体"/>
                <w:b/>
                <w:color w:val="000000"/>
                <w:sz w:val="20"/>
                <w:szCs w:val="20"/>
              </w:rPr>
              <w:t>年末结转和结余</w:t>
            </w:r>
          </w:p>
        </w:tc>
      </w:tr>
      <w:tr w14:paraId="49AE6921">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0FD9">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23E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A8331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EF378">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479A8">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54342D">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5ADBC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22AF">
            <w:pPr>
              <w:jc w:val="center"/>
              <w:rPr>
                <w:rFonts w:hint="default" w:cs="宋体"/>
                <w:b/>
                <w:color w:val="000000"/>
                <w:sz w:val="20"/>
                <w:szCs w:val="20"/>
              </w:rPr>
            </w:pPr>
          </w:p>
        </w:tc>
      </w:tr>
      <w:tr w14:paraId="1E3E26F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0295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384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D87BD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99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943F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58C41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540B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AC8BF">
            <w:pPr>
              <w:jc w:val="center"/>
              <w:rPr>
                <w:rFonts w:hint="default" w:cs="宋体"/>
                <w:b/>
                <w:color w:val="000000"/>
                <w:sz w:val="20"/>
                <w:szCs w:val="20"/>
              </w:rPr>
            </w:pPr>
          </w:p>
        </w:tc>
      </w:tr>
      <w:tr w14:paraId="58A936B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0836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2DA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2D2BD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E762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01C1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A18F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CE92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5A29">
            <w:pPr>
              <w:jc w:val="center"/>
              <w:rPr>
                <w:rFonts w:hint="default" w:cs="宋体"/>
                <w:b/>
                <w:color w:val="000000"/>
                <w:sz w:val="20"/>
                <w:szCs w:val="20"/>
              </w:rPr>
            </w:pPr>
          </w:p>
        </w:tc>
      </w:tr>
      <w:tr w14:paraId="6001769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788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4A1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8BE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EC7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059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804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A5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D91EE2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8F68">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7F131">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5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FA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9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CBB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32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E24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9DCA301">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98565D8">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622E79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617BD0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D63757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C27D78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重庆市九龙坡区明诚育才学校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DB1425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69651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9B2CD4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DA08BA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4AE22C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A17AB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5BB21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8229B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05838">
            <w:pPr>
              <w:jc w:val="center"/>
              <w:textAlignment w:val="bottom"/>
              <w:rPr>
                <w:rFonts w:hint="default" w:cs="宋体"/>
                <w:b/>
                <w:color w:val="000000"/>
                <w:sz w:val="20"/>
                <w:szCs w:val="20"/>
              </w:rPr>
            </w:pPr>
            <w:r>
              <w:rPr>
                <w:rFonts w:cs="宋体"/>
                <w:b/>
                <w:color w:val="000000"/>
                <w:sz w:val="20"/>
                <w:szCs w:val="20"/>
              </w:rPr>
              <w:t>本年支出</w:t>
            </w:r>
          </w:p>
        </w:tc>
      </w:tr>
      <w:tr w14:paraId="61582F8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F5B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34BB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6D90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3B15F">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1EB08">
            <w:pPr>
              <w:jc w:val="center"/>
              <w:textAlignment w:val="center"/>
              <w:rPr>
                <w:rFonts w:hint="default" w:cs="宋体"/>
                <w:b/>
                <w:color w:val="000000"/>
                <w:sz w:val="20"/>
                <w:szCs w:val="20"/>
              </w:rPr>
            </w:pPr>
            <w:r>
              <w:rPr>
                <w:rFonts w:cs="宋体"/>
                <w:b/>
                <w:color w:val="000000"/>
                <w:sz w:val="20"/>
                <w:szCs w:val="20"/>
              </w:rPr>
              <w:t>项目支出</w:t>
            </w:r>
          </w:p>
        </w:tc>
      </w:tr>
      <w:tr w14:paraId="59C5C1A1">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13C8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D08A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74B2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951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5C3D3">
            <w:pPr>
              <w:jc w:val="center"/>
              <w:rPr>
                <w:rFonts w:hint="default" w:cs="宋体"/>
                <w:b/>
                <w:color w:val="000000"/>
                <w:sz w:val="20"/>
                <w:szCs w:val="20"/>
              </w:rPr>
            </w:pPr>
          </w:p>
        </w:tc>
      </w:tr>
      <w:tr w14:paraId="589EADB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9D9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AE89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E0F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16BB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A9BB8">
            <w:pPr>
              <w:jc w:val="center"/>
              <w:rPr>
                <w:rFonts w:hint="default" w:cs="宋体"/>
                <w:b/>
                <w:color w:val="000000"/>
                <w:sz w:val="20"/>
                <w:szCs w:val="20"/>
              </w:rPr>
            </w:pPr>
          </w:p>
        </w:tc>
      </w:tr>
      <w:tr w14:paraId="76E8887F">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C2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FC4A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CD9F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4FAB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0AD5C">
            <w:pPr>
              <w:jc w:val="center"/>
              <w:rPr>
                <w:rFonts w:hint="default" w:cs="宋体"/>
                <w:b/>
                <w:color w:val="000000"/>
                <w:sz w:val="20"/>
                <w:szCs w:val="20"/>
              </w:rPr>
            </w:pPr>
          </w:p>
        </w:tc>
      </w:tr>
      <w:tr w14:paraId="0AE3343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7F3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4A3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85B7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29E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471CB1F">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A96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01A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E6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C565B">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080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2BE416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4577EC7">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73FED47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B69143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3228E3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FD49DB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FA4380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B0406CF">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D6D695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FA4F5C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9F96F8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23C9D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重庆市九龙坡区明诚育才学校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0AA49B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76020B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9C5C9B">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12F87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6D0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801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E30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F60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48E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B94AB7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BFF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A12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1F7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E8F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E89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665EC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563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96A3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D491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EF9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E62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202E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38C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716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3D3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7A0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A57C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F6C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6DE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49A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114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B2E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A1E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7E0C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301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9D4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74F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A94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7F3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19FE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85C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2C7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485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578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3B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B21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E55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A8A0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46F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3DA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C5F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8B1B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DE3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066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963D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0B7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5BA0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A0F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3C13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90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A73F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BED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0F4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381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98D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4225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707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647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09E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92C2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DD4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DC1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F1D4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76F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BA6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32830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73A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7C5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617C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D10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567F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E194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C28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6FC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D7D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510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749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89A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6C8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277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8F0F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92F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ECC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CD2D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F64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F294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172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746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9CB2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BDE87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F9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235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A39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D23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985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473.64</w:t>
            </w:r>
            <w:r>
              <w:rPr>
                <w:rFonts w:ascii="Times New Roman" w:hAnsi="Times New Roman"/>
                <w:color w:val="000000"/>
                <w:sz w:val="18"/>
                <w:u w:color="auto"/>
              </w:rPr>
              <w:t xml:space="preserve"> </w:t>
            </w:r>
          </w:p>
        </w:tc>
      </w:tr>
      <w:tr w14:paraId="1577C8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1060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796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75B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232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F3CB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105.39</w:t>
            </w:r>
            <w:r>
              <w:rPr>
                <w:rFonts w:ascii="Times New Roman" w:hAnsi="Times New Roman"/>
                <w:color w:val="000000"/>
                <w:sz w:val="18"/>
                <w:u w:color="auto"/>
              </w:rPr>
              <w:t xml:space="preserve"> </w:t>
            </w:r>
          </w:p>
        </w:tc>
      </w:tr>
      <w:tr w14:paraId="0380C3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04D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3FC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4EA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611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8EF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79A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454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F08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B31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2B4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106E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368.25</w:t>
            </w:r>
            <w:r>
              <w:rPr>
                <w:rFonts w:ascii="Times New Roman" w:hAnsi="Times New Roman"/>
                <w:color w:val="000000"/>
                <w:sz w:val="18"/>
                <w:u w:color="auto"/>
              </w:rPr>
              <w:t xml:space="preserve"> </w:t>
            </w:r>
          </w:p>
        </w:tc>
      </w:tr>
      <w:tr w14:paraId="607E6F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57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EFCA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996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3CC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E8C4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473.64</w:t>
            </w:r>
            <w:r>
              <w:rPr>
                <w:rFonts w:ascii="Times New Roman" w:hAnsi="Times New Roman"/>
                <w:color w:val="000000"/>
                <w:sz w:val="18"/>
                <w:u w:color="auto"/>
              </w:rPr>
              <w:t xml:space="preserve"> </w:t>
            </w:r>
          </w:p>
        </w:tc>
      </w:tr>
      <w:tr w14:paraId="46499EA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BCE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AE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55C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5D0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1A9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473.64</w:t>
            </w:r>
            <w:r>
              <w:rPr>
                <w:rFonts w:ascii="Times New Roman" w:hAnsi="Times New Roman"/>
                <w:color w:val="000000"/>
                <w:sz w:val="18"/>
                <w:u w:color="auto"/>
              </w:rPr>
              <w:t xml:space="preserve"> </w:t>
            </w:r>
          </w:p>
        </w:tc>
      </w:tr>
      <w:tr w14:paraId="39CBFA54">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8DD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F90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80C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4900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40EAB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507076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611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5C2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C3C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68BB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C9B7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DA1A61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BEF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3D7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B42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C50A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0D4B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DD0D799">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02A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FAC142">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FAC142">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7D3D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26087A">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E26087A">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351320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351320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E92A">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474EBF"/>
    <w:rsid w:val="019020B1"/>
    <w:rsid w:val="01F3521E"/>
    <w:rsid w:val="02056D00"/>
    <w:rsid w:val="02251CF9"/>
    <w:rsid w:val="03A52548"/>
    <w:rsid w:val="03E3214F"/>
    <w:rsid w:val="04446191"/>
    <w:rsid w:val="044C50BA"/>
    <w:rsid w:val="0536621F"/>
    <w:rsid w:val="05E71467"/>
    <w:rsid w:val="06181294"/>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52674D"/>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B224BF"/>
    <w:rsid w:val="1CC57360"/>
    <w:rsid w:val="1CE157EE"/>
    <w:rsid w:val="1D014A01"/>
    <w:rsid w:val="1D022362"/>
    <w:rsid w:val="1D091B60"/>
    <w:rsid w:val="1D6D1692"/>
    <w:rsid w:val="1D794AE5"/>
    <w:rsid w:val="1DD26311"/>
    <w:rsid w:val="1DE57DAF"/>
    <w:rsid w:val="1EF67CA4"/>
    <w:rsid w:val="1F213FD9"/>
    <w:rsid w:val="1F3F08E5"/>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496093B"/>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C46910"/>
    <w:rsid w:val="55EF4EA6"/>
    <w:rsid w:val="56530F5D"/>
    <w:rsid w:val="56EE372E"/>
    <w:rsid w:val="570D735E"/>
    <w:rsid w:val="5842572D"/>
    <w:rsid w:val="58A73F45"/>
    <w:rsid w:val="598A28E2"/>
    <w:rsid w:val="5A6279C1"/>
    <w:rsid w:val="5AD563E4"/>
    <w:rsid w:val="5C1336B7"/>
    <w:rsid w:val="5C263CE4"/>
    <w:rsid w:val="5C5D2777"/>
    <w:rsid w:val="5C722D7F"/>
    <w:rsid w:val="5C905892"/>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84717A"/>
    <w:rsid w:val="64E5191A"/>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607C2A"/>
    <w:rsid w:val="6F6C05F7"/>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5388</Words>
  <Characters>5969</Characters>
  <Lines>161</Lines>
  <Paragraphs>45</Paragraphs>
  <TotalTime>0</TotalTime>
  <ScaleCrop>false</ScaleCrop>
  <LinksUpToDate>false</LinksUpToDate>
  <CharactersWithSpaces>6017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cp:lastPrinted>2025-10-21T23:57:00Z</cp:lastPrinted>
  <dcterms:modified xsi:type="dcterms:W3CDTF">2025-10-23T07:47:49Z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