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DBBA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重庆市九龙坡区西彭镇第三小学校</w:t>
      </w:r>
    </w:p>
    <w:p w14:paraId="5E3CE68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w:t>
      </w:r>
      <w:r>
        <w:rPr>
          <w:rFonts w:hint="eastAsia" w:ascii="Times New Roman" w:hAnsi="Times New Roman" w:eastAsia="方正小标宋_GBK" w:cs="方正小标宋_GBK"/>
          <w:sz w:val="44"/>
          <w:szCs w:val="44"/>
          <w:shd w:val="clear" w:color="auto" w:fill="FFFFFF"/>
          <w:lang w:val="en-US" w:eastAsia="zh-CN"/>
        </w:rPr>
        <w:t>单位</w:t>
      </w:r>
      <w:r>
        <w:rPr>
          <w:rFonts w:ascii="Times New Roman" w:hAnsi="Times New Roman" w:eastAsia="方正小标宋_GBK" w:cs="方正小标宋_GBK"/>
          <w:sz w:val="44"/>
          <w:szCs w:val="44"/>
          <w:shd w:val="clear" w:color="auto" w:fill="FFFFFF"/>
        </w:rPr>
        <w:t>决算</w:t>
      </w:r>
      <w:r>
        <w:rPr>
          <w:rFonts w:hint="eastAsia" w:ascii="Times New Roman" w:hAnsi="Times New Roman" w:eastAsia="方正小标宋_GBK" w:cs="方正小标宋_GBK"/>
          <w:sz w:val="44"/>
          <w:szCs w:val="44"/>
          <w:shd w:val="clear" w:color="auto" w:fill="FFFFFF"/>
          <w:lang w:val="en-US" w:eastAsia="zh-CN"/>
        </w:rPr>
        <w:t>情况</w:t>
      </w:r>
      <w:r>
        <w:rPr>
          <w:rFonts w:ascii="Times New Roman" w:hAnsi="Times New Roman" w:eastAsia="方正小标宋_GBK" w:cs="方正小标宋_GBK"/>
          <w:sz w:val="44"/>
          <w:szCs w:val="44"/>
          <w:shd w:val="clear" w:color="auto" w:fill="FFFFFF"/>
        </w:rPr>
        <w:t>说明</w:t>
      </w:r>
    </w:p>
    <w:p w14:paraId="224B8C99">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ascii="Times New Roman" w:hAnsi="Times New Roman" w:eastAsia="方正黑体_GBK" w:cs="宋体"/>
          <w:bCs/>
          <w:sz w:val="32"/>
          <w:szCs w:val="32"/>
        </w:rPr>
      </w:pPr>
    </w:p>
    <w:p w14:paraId="46DF6DF1">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ascii="Times New Roman" w:hAnsi="Times New Roman" w:eastAsia="方正黑体_GBK" w:cs="宋体"/>
          <w:bCs/>
          <w:sz w:val="32"/>
          <w:szCs w:val="32"/>
        </w:rPr>
      </w:pPr>
      <w:r>
        <w:rPr>
          <w:rFonts w:ascii="Times New Roman" w:hAnsi="Times New Roman" w:eastAsia="方正黑体_GBK" w:cs="宋体"/>
          <w:bCs/>
          <w:sz w:val="32"/>
          <w:szCs w:val="32"/>
        </w:rPr>
        <w:t>一、单位基本情况</w:t>
      </w:r>
    </w:p>
    <w:p w14:paraId="3C6A7CF6">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方正楷体_GBK" w:cs="方正仿宋_GBK"/>
          <w:b/>
          <w:sz w:val="32"/>
          <w:szCs w:val="32"/>
        </w:rPr>
      </w:pPr>
      <w:r>
        <w:rPr>
          <w:rStyle w:val="11"/>
          <w:rFonts w:ascii="Times New Roman" w:hAnsi="Times New Roman" w:eastAsia="方正楷体_GBK" w:cs="楷体"/>
          <w:b w:val="0"/>
          <w:sz w:val="32"/>
          <w:szCs w:val="32"/>
          <w:shd w:val="clear" w:color="auto" w:fill="FFFFFF"/>
        </w:rPr>
        <w:t>（一）职能职责</w:t>
      </w:r>
    </w:p>
    <w:p w14:paraId="5DCDDC47">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重庆市九龙坡区西彭镇第三小学校，是政府举办的全额拨款的事业单位，主要开展教育教学工作。主要包括开展普通小学各类课程教学及管理、教育科研、学籍管理等工作。开展学校德育工作。主要包括对学生进行思想品德教育，开展课外教育活动、社会实践活动等工作。开展学校体育、卫生、艺术工作。主要包括开展课外体育和艺术活动、课余体育训练与竞赛、艺术展演展评、对传染病及学生常见病的预防和治疗工作。负责学校行政管理工作。主要包括人事、财务、档案及后勤管理工作。开展对外交流工作。主要包括汉语志愿者派遣、对外文化教育交流、对口支教等工作。维护校园安全，提供后勤保障服务。主要包括维护校园安全稳定、提供食堂餐饮服务、物业服务等工作。按政策规定开展学前教育。主要包括开展幼儿保教活动与服务。</w:t>
      </w:r>
    </w:p>
    <w:p w14:paraId="56CBB560">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ascii="Times New Roman" w:hAnsi="Times New Roman"/>
        </w:rPr>
        <w:t>（二）机构设置</w:t>
      </w:r>
    </w:p>
    <w:p w14:paraId="5FB23F3E">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rPr>
      </w:pPr>
      <w:r>
        <w:rPr>
          <w:rFonts w:ascii="Times New Roman" w:hAnsi="Times New Roman" w:eastAsia="方正仿宋_GBK" w:cs="方正仿宋_GBK"/>
          <w:sz w:val="32"/>
          <w:szCs w:val="32"/>
        </w:rPr>
        <w:t>重庆市九龙坡区西彭镇第三小学校是财政全额拨款的事业单位，学校内设总务处、教务处、德育处、后勤等办公室。</w:t>
      </w:r>
    </w:p>
    <w:p w14:paraId="17419409">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方正黑体_GBK" w:cs="宋体"/>
          <w:bCs/>
          <w:sz w:val="32"/>
          <w:szCs w:val="32"/>
        </w:rPr>
      </w:pPr>
      <w:r>
        <w:rPr>
          <w:rFonts w:ascii="Times New Roman" w:hAnsi="Times New Roman" w:eastAsia="方正黑体_GBK" w:cs="宋体"/>
          <w:bCs/>
          <w:sz w:val="32"/>
          <w:szCs w:val="32"/>
        </w:rPr>
        <w:t>二、单位决算收支情况说明</w:t>
      </w:r>
    </w:p>
    <w:p w14:paraId="30683D99">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hint="eastAsia" w:ascii="Times New Roman" w:hAnsi="Times New Roman"/>
        </w:rPr>
        <w:t>（一）收入支出决算总体情况说明</w:t>
      </w:r>
    </w:p>
    <w:p w14:paraId="5306B232">
      <w:pPr>
        <w:keepNext w:val="0"/>
        <w:keepLines w:val="0"/>
        <w:pageBreakBefore w:val="0"/>
        <w:widowControl w:val="0"/>
        <w:kinsoku/>
        <w:wordWrap/>
        <w:overflowPunct/>
        <w:topLinePunct w:val="0"/>
        <w:autoSpaceDE/>
        <w:autoSpaceDN/>
        <w:bidi w:val="0"/>
        <w:spacing w:beforeAutospacing="0" w:afterAutospacing="0" w:line="600" w:lineRule="exact"/>
        <w:ind w:firstLine="630" w:firstLineChars="196"/>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2024年度收入总计1030.25万元，支出总计</w:t>
      </w:r>
      <w:r>
        <w:rPr>
          <w:rFonts w:ascii="Times New Roman" w:hAnsi="Times New Roman" w:eastAsia="方正仿宋_GBK" w:cs="方正仿宋_GBK"/>
          <w:sz w:val="32"/>
          <w:szCs w:val="32"/>
        </w:rPr>
        <w:t>1030.25</w:t>
      </w:r>
      <w:r>
        <w:rPr>
          <w:rFonts w:ascii="Times New Roman" w:hAnsi="Times New Roman" w:eastAsia="方正仿宋_GBK" w:cs="方正仿宋_GBK"/>
          <w:sz w:val="32"/>
          <w:szCs w:val="32"/>
          <w:shd w:val="clear" w:color="auto" w:fill="FFFFFF"/>
        </w:rPr>
        <w:t>万元。收、支与2023年度相比，增加10.48万元，增长1.0%，主要原因是工资标准调整补发，人员经费增长。</w:t>
      </w:r>
    </w:p>
    <w:p w14:paraId="7E2C45EE">
      <w:pPr>
        <w:keepNext w:val="0"/>
        <w:keepLines w:val="0"/>
        <w:pageBreakBefore w:val="0"/>
        <w:widowControl w:val="0"/>
        <w:kinsoku/>
        <w:wordWrap/>
        <w:overflowPunct/>
        <w:topLinePunct w:val="0"/>
        <w:autoSpaceDE/>
        <w:autoSpaceDN/>
        <w:bidi w:val="0"/>
        <w:spacing w:beforeAutospacing="0" w:afterAutospacing="0" w:line="600" w:lineRule="exact"/>
        <w:ind w:firstLine="630" w:firstLineChars="196"/>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2024年度收入合计1030.25万元，与2023年度相比，增加10.48万元，增长1.0%，主要原因是工资标准调整补发，人员经费增长。其中：财政拨款收入</w:t>
      </w:r>
      <w:r>
        <w:rPr>
          <w:rFonts w:ascii="Times New Roman" w:hAnsi="Times New Roman" w:eastAsia="方正仿宋_GBK" w:cs="方正仿宋_GBK"/>
          <w:sz w:val="32"/>
          <w:szCs w:val="32"/>
        </w:rPr>
        <w:t>998.45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96.91</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31.80</w:t>
      </w:r>
      <w:r>
        <w:rPr>
          <w:rFonts w:ascii="Times New Roman" w:hAnsi="Times New Roman" w:eastAsia="方正仿宋_GBK" w:cs="方正仿宋_GBK"/>
          <w:sz w:val="32"/>
          <w:szCs w:val="32"/>
          <w:shd w:val="clear" w:color="auto" w:fill="FFFFFF"/>
        </w:rPr>
        <w:t>万元，占3.09%。</w:t>
      </w:r>
    </w:p>
    <w:p w14:paraId="4E76D0EF">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1030.25</w:t>
      </w:r>
      <w:r>
        <w:rPr>
          <w:rFonts w:ascii="Times New Roman" w:hAnsi="Times New Roman" w:eastAsia="方正仿宋_GBK" w:cs="方正仿宋_GBK"/>
          <w:sz w:val="32"/>
          <w:szCs w:val="32"/>
          <w:shd w:val="clear" w:color="auto" w:fill="FFFFFF"/>
        </w:rPr>
        <w:t>万元，与2023年度相比，增加10.48万元，增长1.0%，主要原因是工资标准调整补发，人员经费增长。其中：基本支出</w:t>
      </w:r>
      <w:r>
        <w:rPr>
          <w:rFonts w:ascii="Times New Roman" w:hAnsi="Times New Roman" w:eastAsia="方正仿宋_GBK" w:cs="方正仿宋_GBK"/>
          <w:sz w:val="32"/>
          <w:szCs w:val="32"/>
        </w:rPr>
        <w:t>845.75</w:t>
      </w:r>
      <w:r>
        <w:rPr>
          <w:rFonts w:ascii="Times New Roman" w:hAnsi="Times New Roman" w:eastAsia="方正仿宋_GBK" w:cs="方正仿宋_GBK"/>
          <w:sz w:val="32"/>
          <w:szCs w:val="32"/>
          <w:shd w:val="clear" w:color="auto" w:fill="FFFFFF"/>
        </w:rPr>
        <w:t>万元，占82.09%；项目支出</w:t>
      </w:r>
      <w:r>
        <w:rPr>
          <w:rFonts w:ascii="Times New Roman" w:hAnsi="Times New Roman" w:eastAsia="方正仿宋_GBK" w:cs="方正仿宋_GBK"/>
          <w:sz w:val="32"/>
          <w:szCs w:val="32"/>
        </w:rPr>
        <w:t>184.50</w:t>
      </w:r>
      <w:r>
        <w:rPr>
          <w:rFonts w:ascii="Times New Roman" w:hAnsi="Times New Roman" w:eastAsia="方正仿宋_GBK" w:cs="方正仿宋_GBK"/>
          <w:sz w:val="32"/>
          <w:szCs w:val="32"/>
          <w:shd w:val="clear" w:color="auto" w:fill="FFFFFF"/>
        </w:rPr>
        <w:t>万元，占17.91%。</w:t>
      </w:r>
    </w:p>
    <w:p w14:paraId="735AB396">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w:t>
      </w:r>
      <w:r>
        <w:rPr>
          <w:rFonts w:hint="eastAsia" w:ascii="Times New Roman" w:hAnsi="Times New Roman" w:eastAsia="方正仿宋_GBK" w:cs="方正仿宋_GBK"/>
          <w:sz w:val="32"/>
          <w:szCs w:val="32"/>
          <w:shd w:val="clear" w:color="auto" w:fill="FFFFFF"/>
        </w:rPr>
        <w:t>，主要原因是本年度收支平衡</w:t>
      </w:r>
      <w:r>
        <w:rPr>
          <w:rFonts w:ascii="Times New Roman" w:hAnsi="Times New Roman" w:eastAsia="方正仿宋_GBK" w:cs="方正仿宋_GBK"/>
          <w:sz w:val="32"/>
          <w:szCs w:val="32"/>
          <w:shd w:val="clear" w:color="auto" w:fill="FFFFFF"/>
        </w:rPr>
        <w:t>。</w:t>
      </w:r>
    </w:p>
    <w:p w14:paraId="76DAADD8">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hint="eastAsia" w:ascii="Times New Roman" w:hAnsi="Times New Roman"/>
        </w:rPr>
        <w:t>（二）财政拨款收入支出决算总体情况说明</w:t>
      </w:r>
    </w:p>
    <w:p w14:paraId="23908567">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2024年度财政拨款收、支总计998.45万元。与2023年相比，财政拨款收、支总计各增加16.08万元，增长1.6%。主要原因是工资标准调整补发，人员经费增长。</w:t>
      </w:r>
    </w:p>
    <w:p w14:paraId="78DB7D25">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hint="eastAsia" w:ascii="Times New Roman" w:hAnsi="Times New Roman"/>
        </w:rPr>
        <w:t>（三）一般公共预算财政拨款收入支出决算情况说明</w:t>
      </w:r>
    </w:p>
    <w:p w14:paraId="2A1766C4">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996.45</w:t>
      </w:r>
      <w:r>
        <w:rPr>
          <w:rFonts w:ascii="Times New Roman" w:hAnsi="Times New Roman" w:eastAsia="方正仿宋_GBK" w:cs="方正仿宋_GBK"/>
          <w:sz w:val="32"/>
          <w:szCs w:val="32"/>
          <w:shd w:val="clear" w:color="auto" w:fill="FFFFFF"/>
        </w:rPr>
        <w:t>万元，与2023年度相比，增加16.08万元，增长1.6%。主要原因是工资标准调整补发，人员经费增长。较年初预算数增加121.49万元，增长13.9%。主要原因是</w:t>
      </w:r>
      <w:r>
        <w:rPr>
          <w:rFonts w:hint="eastAsia" w:ascii="Times New Roman" w:hAnsi="Times New Roman" w:eastAsia="方正仿宋_GBK" w:cs="方正仿宋_GBK"/>
          <w:sz w:val="32"/>
          <w:szCs w:val="32"/>
          <w:shd w:val="clear" w:color="auto" w:fill="FFFFFF"/>
          <w:lang w:val="en-US" w:eastAsia="zh-CN"/>
        </w:rPr>
        <w:t>年中追加项目经费</w:t>
      </w:r>
      <w:r>
        <w:rPr>
          <w:rFonts w:ascii="Times New Roman" w:hAnsi="Times New Roman" w:eastAsia="方正仿宋_GBK" w:cs="方正仿宋_GBK"/>
          <w:sz w:val="32"/>
          <w:szCs w:val="32"/>
          <w:shd w:val="clear" w:color="auto" w:fill="FFFFFF"/>
        </w:rPr>
        <w:t>。</w:t>
      </w:r>
    </w:p>
    <w:p w14:paraId="3AF8A9E1">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996.45</w:t>
      </w:r>
      <w:r>
        <w:rPr>
          <w:rFonts w:ascii="Times New Roman" w:hAnsi="Times New Roman" w:eastAsia="方正仿宋_GBK" w:cs="方正仿宋_GBK"/>
          <w:sz w:val="32"/>
          <w:szCs w:val="32"/>
          <w:shd w:val="clear" w:color="auto" w:fill="FFFFFF"/>
        </w:rPr>
        <w:t>万元，与2023年度相比，增加16.08万元，增长1.6%。主要原因是</w:t>
      </w:r>
      <w:r>
        <w:rPr>
          <w:rFonts w:hint="eastAsia" w:ascii="Times New Roman" w:hAnsi="Times New Roman" w:eastAsia="方正仿宋_GBK" w:cs="方正仿宋_GBK"/>
          <w:sz w:val="32"/>
          <w:szCs w:val="32"/>
          <w:shd w:val="clear" w:color="auto" w:fill="FFFFFF"/>
          <w:lang w:val="en-US" w:eastAsia="zh-CN"/>
        </w:rPr>
        <w:t>人员</w:t>
      </w:r>
      <w:r>
        <w:rPr>
          <w:rFonts w:ascii="Times New Roman" w:hAnsi="Times New Roman" w:eastAsia="方正仿宋_GBK" w:cs="方正仿宋_GBK"/>
          <w:sz w:val="32"/>
          <w:szCs w:val="32"/>
          <w:shd w:val="clear" w:color="auto" w:fill="FFFFFF"/>
        </w:rPr>
        <w:t>工资标准调整补发，人员经费增长。较年初预算数增加121.49万元，增长13.9%。主要原因是</w:t>
      </w:r>
      <w:r>
        <w:rPr>
          <w:rFonts w:hint="eastAsia" w:ascii="Times New Roman" w:hAnsi="Times New Roman" w:eastAsia="方正仿宋_GBK" w:cs="方正仿宋_GBK"/>
          <w:sz w:val="32"/>
          <w:szCs w:val="32"/>
          <w:shd w:val="clear" w:color="auto" w:fill="FFFFFF"/>
        </w:rPr>
        <w:t>年中追加项目经费</w:t>
      </w:r>
      <w:r>
        <w:rPr>
          <w:rFonts w:ascii="Times New Roman" w:hAnsi="Times New Roman" w:eastAsia="方正仿宋_GBK" w:cs="方正仿宋_GBK"/>
          <w:sz w:val="32"/>
          <w:szCs w:val="32"/>
          <w:shd w:val="clear" w:color="auto" w:fill="FFFFFF"/>
        </w:rPr>
        <w:t>。</w:t>
      </w:r>
    </w:p>
    <w:p w14:paraId="371DD2AE">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w:t>
      </w:r>
      <w:r>
        <w:rPr>
          <w:rFonts w:hint="eastAsia" w:ascii="Times New Roman" w:hAnsi="Times New Roman" w:eastAsia="方正仿宋_GBK" w:cs="方正仿宋_GBK"/>
          <w:sz w:val="32"/>
          <w:szCs w:val="32"/>
          <w:shd w:val="clear" w:color="auto" w:fill="FFFFFF"/>
        </w:rPr>
        <w:t>，主要原因是本年度收支平衡</w:t>
      </w:r>
      <w:r>
        <w:rPr>
          <w:rFonts w:ascii="Times New Roman" w:hAnsi="Times New Roman" w:eastAsia="方正仿宋_GBK" w:cs="方正仿宋_GBK"/>
          <w:sz w:val="32"/>
          <w:szCs w:val="32"/>
          <w:shd w:val="clear" w:color="auto" w:fill="FFFFFF"/>
        </w:rPr>
        <w:t>。</w:t>
      </w:r>
    </w:p>
    <w:p w14:paraId="469F326F">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14:paraId="37C24C77">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1</w:t>
      </w:r>
      <w:r>
        <w:rPr>
          <w:rFonts w:ascii="Times New Roman" w:hAnsi="Times New Roman" w:eastAsia="方正仿宋_GBK" w:cs="方正仿宋_GBK"/>
          <w:sz w:val="32"/>
          <w:szCs w:val="32"/>
          <w:shd w:val="clear" w:color="auto" w:fill="FFFFFF"/>
        </w:rPr>
        <w:t>）教育支出</w:t>
      </w:r>
      <w:r>
        <w:rPr>
          <w:rFonts w:ascii="Times New Roman" w:hAnsi="Times New Roman" w:eastAsia="方正仿宋_GBK" w:cs="方正仿宋_GBK"/>
          <w:sz w:val="32"/>
          <w:szCs w:val="32"/>
        </w:rPr>
        <w:t>813.25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81.61</w:t>
      </w:r>
      <w:r>
        <w:rPr>
          <w:rFonts w:ascii="Times New Roman" w:hAnsi="Times New Roman" w:eastAsia="方正仿宋_GBK" w:cs="方正仿宋_GBK"/>
          <w:sz w:val="32"/>
          <w:szCs w:val="32"/>
          <w:shd w:val="clear" w:color="auto" w:fill="FFFFFF"/>
        </w:rPr>
        <w:t>%，较年初预算数增加222.49万元，增长37.7%，主要原因是</w:t>
      </w:r>
      <w:r>
        <w:rPr>
          <w:rFonts w:hint="eastAsia" w:ascii="Times New Roman" w:hAnsi="Times New Roman" w:eastAsia="方正仿宋_GBK" w:cs="方正仿宋_GBK"/>
          <w:sz w:val="32"/>
          <w:szCs w:val="32"/>
          <w:shd w:val="clear" w:color="auto" w:fill="FFFFFF"/>
          <w:lang w:val="en-US" w:eastAsia="zh-CN"/>
        </w:rPr>
        <w:t>政策性调整。</w:t>
      </w:r>
    </w:p>
    <w:p w14:paraId="273EFE7C">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92.52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9.28</w:t>
      </w:r>
      <w:r>
        <w:rPr>
          <w:rFonts w:ascii="Times New Roman" w:hAnsi="Times New Roman" w:eastAsia="方正仿宋_GBK" w:cs="方正仿宋_GBK"/>
          <w:sz w:val="32"/>
          <w:szCs w:val="32"/>
          <w:shd w:val="clear" w:color="auto" w:fill="FFFFFF"/>
        </w:rPr>
        <w:t>%，较年初预算数减少100.30万元，下降52.0%，主要原因是</w:t>
      </w:r>
      <w:r>
        <w:rPr>
          <w:rFonts w:hint="eastAsia" w:ascii="Times New Roman" w:hAnsi="Times New Roman" w:eastAsia="方正仿宋_GBK" w:cs="方正仿宋_GBK"/>
          <w:sz w:val="32"/>
          <w:szCs w:val="32"/>
          <w:shd w:val="clear" w:color="auto" w:fill="FFFFFF"/>
          <w:lang w:val="en-US" w:eastAsia="zh-CN"/>
        </w:rPr>
        <w:t>政策性调整。</w:t>
      </w:r>
    </w:p>
    <w:p w14:paraId="0E763DB6">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38.31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3.84</w:t>
      </w:r>
      <w:r>
        <w:rPr>
          <w:rFonts w:ascii="Times New Roman" w:hAnsi="Times New Roman" w:eastAsia="方正仿宋_GBK" w:cs="方正仿宋_GBK"/>
          <w:sz w:val="32"/>
          <w:szCs w:val="32"/>
          <w:shd w:val="clear" w:color="auto" w:fill="FFFFFF"/>
        </w:rPr>
        <w:t>%，较年初预算数减少0.06万元，下降0.2%，主要原因是人员减少。</w:t>
      </w:r>
    </w:p>
    <w:p w14:paraId="0828606C">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6</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住房保障支出52.38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5.26</w:t>
      </w:r>
      <w:r>
        <w:rPr>
          <w:rFonts w:ascii="Times New Roman" w:hAnsi="Times New Roman" w:eastAsia="方正仿宋_GBK" w:cs="方正仿宋_GBK"/>
          <w:sz w:val="32"/>
          <w:szCs w:val="32"/>
          <w:shd w:val="clear" w:color="auto" w:fill="FFFFFF"/>
        </w:rPr>
        <w:t>%，较年初预算数减少0.63万元，下降1.2%，主要原因是人员退休住房公积金减少。</w:t>
      </w:r>
    </w:p>
    <w:p w14:paraId="5B0880F8">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eastAsia="楷体" w:cs="楷体"/>
          <w:b/>
          <w:bCs/>
        </w:rPr>
      </w:pPr>
      <w:r>
        <w:rPr>
          <w:rFonts w:hint="eastAsia" w:ascii="Times New Roman" w:hAnsi="Times New Roman"/>
        </w:rPr>
        <w:t>（四）一般公共预算财政拨款基本支出决算情况说明</w:t>
      </w:r>
    </w:p>
    <w:p w14:paraId="6400E2DC">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2024年度一般公共财政拨款基本支出</w:t>
      </w:r>
      <w:r>
        <w:rPr>
          <w:rFonts w:ascii="Times New Roman" w:hAnsi="Times New Roman" w:eastAsia="方正仿宋_GBK" w:cs="方正仿宋_GBK"/>
          <w:sz w:val="32"/>
          <w:szCs w:val="32"/>
        </w:rPr>
        <w:t>845.75</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746.66</w:t>
      </w:r>
      <w:r>
        <w:rPr>
          <w:rFonts w:ascii="Times New Roman" w:hAnsi="Times New Roman" w:eastAsia="方正仿宋_GBK" w:cs="方正仿宋_GBK"/>
          <w:sz w:val="32"/>
          <w:szCs w:val="32"/>
          <w:shd w:val="clear" w:color="auto" w:fill="FFFFFF"/>
        </w:rPr>
        <w:t>万元，与2023年度相比，增加10.91万元，增长1.5%，主要原因是工资标准调整，人员经费用途主要包括</w:t>
      </w:r>
      <w:r>
        <w:rPr>
          <w:rFonts w:ascii="Times New Roman" w:hAnsi="Times New Roman" w:eastAsia="方正仿宋_GBK" w:cs="方正仿宋_GBK"/>
          <w:sz w:val="32"/>
          <w:szCs w:val="32"/>
        </w:rPr>
        <w:t>基本工资、津补贴、绩效工资、超额绩效、目标绩效、社会保障、住房保障等。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99.10</w:t>
      </w:r>
      <w:r>
        <w:rPr>
          <w:rFonts w:ascii="Times New Roman" w:hAnsi="Times New Roman" w:eastAsia="方正仿宋_GBK" w:cs="方正仿宋_GBK"/>
          <w:sz w:val="32"/>
          <w:szCs w:val="32"/>
          <w:shd w:val="clear" w:color="auto" w:fill="FFFFFF"/>
        </w:rPr>
        <w:t>万元，与2023年度相比，减少20.98万元，下降17.5%，主要原因是学生</w:t>
      </w:r>
      <w:r>
        <w:rPr>
          <w:rFonts w:hint="eastAsia" w:ascii="Times New Roman" w:hAnsi="Times New Roman" w:eastAsia="方正仿宋_GBK" w:cs="方正仿宋_GBK"/>
          <w:sz w:val="32"/>
          <w:szCs w:val="32"/>
          <w:shd w:val="clear" w:color="auto" w:fill="FFFFFF"/>
          <w:lang w:eastAsia="zh-CN"/>
        </w:rPr>
        <w:t>人数</w:t>
      </w:r>
      <w:r>
        <w:rPr>
          <w:rFonts w:ascii="Times New Roman" w:hAnsi="Times New Roman" w:eastAsia="方正仿宋_GBK" w:cs="方正仿宋_GBK"/>
          <w:sz w:val="32"/>
          <w:szCs w:val="32"/>
          <w:shd w:val="clear" w:color="auto" w:fill="FFFFFF"/>
        </w:rPr>
        <w:t>减少。公用经费用途主要包括</w:t>
      </w:r>
      <w:r>
        <w:rPr>
          <w:rFonts w:ascii="Times New Roman" w:hAnsi="Times New Roman" w:eastAsia="方正仿宋_GBK" w:cs="方正仿宋_GBK"/>
          <w:sz w:val="32"/>
          <w:szCs w:val="32"/>
        </w:rPr>
        <w:t>日常办公费、印刷费、咨询费、水电费、邮电费、物业管理费、维修（护）费、租赁费、培训费、专用材料费、劳</w:t>
      </w:r>
      <w:bookmarkStart w:id="0" w:name="_GoBack"/>
      <w:bookmarkEnd w:id="0"/>
      <w:r>
        <w:rPr>
          <w:rFonts w:ascii="Times New Roman" w:hAnsi="Times New Roman" w:eastAsia="方正仿宋_GBK" w:cs="方正仿宋_GBK"/>
          <w:sz w:val="32"/>
          <w:szCs w:val="32"/>
        </w:rPr>
        <w:t>务费等。</w:t>
      </w:r>
    </w:p>
    <w:p w14:paraId="12D35E86">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ascii="Times New Roman" w:hAnsi="Times New Roman"/>
        </w:rPr>
        <w:t>（五）政府性基金预算收支决算情况说明</w:t>
      </w:r>
    </w:p>
    <w:p w14:paraId="6D863CF4">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2.00</w:t>
      </w:r>
      <w:r>
        <w:rPr>
          <w:rFonts w:ascii="Times New Roman" w:hAnsi="Times New Roman" w:eastAsia="方正仿宋_GBK" w:cs="方正仿宋_GBK"/>
          <w:sz w:val="32"/>
          <w:szCs w:val="32"/>
          <w:shd w:val="clear" w:color="auto" w:fill="FFFFFF"/>
        </w:rPr>
        <w:t>万元，与2023年度相比，无增减。</w:t>
      </w:r>
    </w:p>
    <w:p w14:paraId="70CBB27B">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hint="eastAsia" w:ascii="Times New Roman" w:hAnsi="Times New Roman"/>
        </w:rPr>
        <w:t>（六）国有资本经营预算财政拨款支出决算情况说明</w:t>
      </w:r>
    </w:p>
    <w:p w14:paraId="367EECC3">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年度无国有资本经营预算财政拨款支出。</w:t>
      </w:r>
    </w:p>
    <w:p w14:paraId="5F5DF085">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eastAsia="方正黑体_GBK"/>
          <w:shd w:val="clear" w:color="auto" w:fill="auto"/>
        </w:rPr>
      </w:pPr>
      <w:r>
        <w:rPr>
          <w:rFonts w:hint="eastAsia" w:ascii="Times New Roman" w:hAnsi="Times New Roman" w:eastAsia="方正黑体_GBK"/>
          <w:shd w:val="clear" w:color="auto" w:fill="auto"/>
        </w:rPr>
        <w:t>三、财政拨款“三公”经费情况说明</w:t>
      </w:r>
    </w:p>
    <w:p w14:paraId="78DFEC74">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hint="eastAsia" w:ascii="Times New Roman" w:hAnsi="Times New Roman"/>
        </w:rPr>
        <w:t>（一）“三公”经费支出总体情况说明</w:t>
      </w:r>
    </w:p>
    <w:p w14:paraId="485CF36D">
      <w:pPr>
        <w:pStyle w:val="8"/>
        <w:widowControl w:val="0"/>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2024年度“三公”经费支出共计</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万元，较年初预算数无增减，较上年支出数无增减，主要原因是本单位2024年度未发生三公经费支出，</w:t>
      </w:r>
      <w:r>
        <w:rPr>
          <w:rFonts w:hint="eastAsia" w:ascii="方正仿宋_GBK" w:hAnsi="方正仿宋_GBK" w:eastAsia="方正仿宋_GBK" w:cs="方正仿宋_GBK"/>
          <w:sz w:val="32"/>
          <w:szCs w:val="32"/>
          <w:shd w:val="clear" w:color="auto" w:fill="FFFFFF"/>
          <w:lang w:val="en-US" w:eastAsia="zh-CN"/>
        </w:rPr>
        <w:t>与上年决算数</w:t>
      </w:r>
      <w:r>
        <w:rPr>
          <w:rFonts w:hint="eastAsia" w:ascii="方正仿宋_GBK" w:hAnsi="方正仿宋_GBK" w:eastAsia="方正仿宋_GBK" w:cs="方正仿宋_GBK"/>
          <w:sz w:val="32"/>
          <w:szCs w:val="32"/>
          <w:shd w:val="clear" w:color="auto" w:fill="FFFFFF"/>
        </w:rPr>
        <w:t>持平。</w:t>
      </w:r>
    </w:p>
    <w:p w14:paraId="1F4C06E2">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hint="eastAsia" w:ascii="Times New Roman" w:hAnsi="Times New Roman"/>
        </w:rPr>
        <w:t>（二）“三公”经费分项支出情况</w:t>
      </w:r>
    </w:p>
    <w:p w14:paraId="4A706070">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2024年度本单位因公出国（境）费用0.00万元。费用支出较年初预算数无增减，较上年支出数无增减，主要原因是本单位2024年度未发生因公出国（境）支出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与上年决算数</w:t>
      </w:r>
      <w:r>
        <w:rPr>
          <w:rFonts w:hint="eastAsia" w:ascii="方正仿宋_GBK" w:hAnsi="方正仿宋_GBK" w:eastAsia="方正仿宋_GBK" w:cs="方正仿宋_GBK"/>
          <w:sz w:val="32"/>
          <w:szCs w:val="32"/>
          <w:shd w:val="clear" w:color="auto" w:fill="FFFFFF"/>
        </w:rPr>
        <w:t>持平。</w:t>
      </w:r>
    </w:p>
    <w:p w14:paraId="291227CC">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公务车购置费0.00万元，费用支出较年初预算数无增减，较上年支出数无增减，主要原因是本单位2024年度未发生公务车购置支出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与上年决算数</w:t>
      </w:r>
      <w:r>
        <w:rPr>
          <w:rFonts w:hint="eastAsia" w:ascii="方正仿宋_GBK" w:hAnsi="方正仿宋_GBK" w:eastAsia="方正仿宋_GBK" w:cs="方正仿宋_GBK"/>
          <w:sz w:val="32"/>
          <w:szCs w:val="32"/>
          <w:shd w:val="clear" w:color="auto" w:fill="FFFFFF"/>
        </w:rPr>
        <w:t>持平。</w:t>
      </w:r>
    </w:p>
    <w:p w14:paraId="071E3383">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rPr>
        <w:t>本单位2024年度未发生公务车运行维护经费支出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与上年决算数</w:t>
      </w:r>
      <w:r>
        <w:rPr>
          <w:rFonts w:hint="eastAsia" w:ascii="方正仿宋_GBK" w:hAnsi="方正仿宋_GBK" w:eastAsia="方正仿宋_GBK" w:cs="方正仿宋_GBK"/>
          <w:sz w:val="32"/>
          <w:szCs w:val="32"/>
          <w:shd w:val="clear" w:color="auto" w:fill="FFFFFF"/>
        </w:rPr>
        <w:t>持平。</w:t>
      </w:r>
    </w:p>
    <w:p w14:paraId="016835B3">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公务接待费0.00万元，费用支出较年初预算数无增减，较上年支出数无增减，主要原因是本单位2024年度未发生公务接待费支出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与上年决算数</w:t>
      </w:r>
      <w:r>
        <w:rPr>
          <w:rFonts w:hint="eastAsia" w:ascii="方正仿宋_GBK" w:hAnsi="方正仿宋_GBK" w:eastAsia="方正仿宋_GBK" w:cs="方正仿宋_GBK"/>
          <w:sz w:val="32"/>
          <w:szCs w:val="32"/>
          <w:shd w:val="clear" w:color="auto" w:fill="FFFFFF"/>
        </w:rPr>
        <w:t>持平。</w:t>
      </w:r>
    </w:p>
    <w:p w14:paraId="73A4D90E">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hint="eastAsia" w:ascii="Times New Roman" w:hAnsi="Times New Roman"/>
        </w:rPr>
        <w:t>（三）“三公”经费实物量情况</w:t>
      </w:r>
    </w:p>
    <w:p w14:paraId="1D45EB8D">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2024年度本单位因公出国（境）共计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人。2024年本单位人均接待费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70854542">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default" w:ascii="Times New Roman" w:hAnsi="Times New Roman" w:eastAsia="方正黑体_GBK" w:cs="宋体"/>
          <w:bCs/>
          <w:sz w:val="32"/>
          <w:szCs w:val="32"/>
        </w:rPr>
      </w:pPr>
      <w:r>
        <w:rPr>
          <w:rFonts w:ascii="Times New Roman" w:hAnsi="Times New Roman" w:eastAsia="方正黑体_GBK" w:cs="宋体"/>
          <w:bCs/>
          <w:sz w:val="32"/>
          <w:szCs w:val="32"/>
        </w:rPr>
        <w:t>四、其他需要说明的事项</w:t>
      </w:r>
    </w:p>
    <w:p w14:paraId="33D53232">
      <w:pPr>
        <w:pStyle w:val="13"/>
        <w:keepNext w:val="0"/>
        <w:keepLines w:val="0"/>
        <w:pageBreakBefore w:val="0"/>
        <w:widowControl w:val="0"/>
        <w:kinsoku/>
        <w:wordWrap/>
        <w:overflowPunct/>
        <w:topLinePunct w:val="0"/>
        <w:autoSpaceDE/>
        <w:autoSpaceDN/>
        <w:bidi w:val="0"/>
        <w:spacing w:beforeAutospacing="0" w:afterAutospacing="0" w:line="600" w:lineRule="exact"/>
        <w:ind w:firstLine="643"/>
        <w:jc w:val="both"/>
        <w:textAlignment w:val="auto"/>
        <w:rPr>
          <w:rFonts w:ascii="Times New Roman" w:hAnsi="Times New Roman" w:eastAsia="楷体" w:cs="楷体"/>
          <w:b/>
          <w:bCs/>
        </w:rPr>
      </w:pPr>
      <w:r>
        <w:rPr>
          <w:rFonts w:hint="eastAsia" w:ascii="Times New Roman" w:hAnsi="Times New Roman"/>
        </w:rPr>
        <w:t>（一）财政拨款会议费和培训费情况说明</w:t>
      </w:r>
    </w:p>
    <w:p w14:paraId="43EF20ED">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万元，与2023年度相比，无增减。本年度培训费支出</w:t>
      </w:r>
      <w:r>
        <w:rPr>
          <w:rFonts w:hint="eastAsia" w:ascii="方正仿宋_GBK" w:hAnsi="方正仿宋_GBK" w:eastAsia="方正仿宋_GBK" w:cs="方正仿宋_GBK"/>
          <w:sz w:val="32"/>
          <w:szCs w:val="32"/>
        </w:rPr>
        <w:t>8.83</w:t>
      </w:r>
      <w:r>
        <w:rPr>
          <w:rFonts w:hint="eastAsia" w:ascii="方正仿宋_GBK" w:hAnsi="方正仿宋_GBK" w:eastAsia="方正仿宋_GBK" w:cs="方正仿宋_GBK"/>
          <w:sz w:val="32"/>
          <w:szCs w:val="32"/>
          <w:shd w:val="clear" w:color="auto" w:fill="FFFFFF"/>
        </w:rPr>
        <w:t>万元，与2023年度相比，减少0.32万元，下降3.5%，主要原因是组织教师外出培训活动人次的减少。</w:t>
      </w:r>
    </w:p>
    <w:p w14:paraId="1CB3A44B">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hint="eastAsia" w:ascii="Times New Roman" w:hAnsi="Times New Roman"/>
        </w:rPr>
        <w:t>（二）机关运行经费情况说明</w:t>
      </w:r>
    </w:p>
    <w:p w14:paraId="13491577">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按照单位决算列报口径，我单位不在机关运行经费统计范围之内。</w:t>
      </w:r>
    </w:p>
    <w:p w14:paraId="569087FA">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hint="eastAsia" w:ascii="Times New Roman" w:hAnsi="Times New Roman"/>
        </w:rPr>
        <w:t>（三）国有资产占用情况说明</w:t>
      </w:r>
    </w:p>
    <w:p w14:paraId="5E9C0FC2">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截至2024年12月31日，本单位共有车辆</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14:paraId="45E63B91">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hint="eastAsia" w:ascii="Times New Roman" w:hAnsi="Times New Roman"/>
        </w:rPr>
        <w:t>（四）政府采购支出情况说明</w:t>
      </w:r>
    </w:p>
    <w:p w14:paraId="69C9344B">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2024年度本单位政府采购支出总额</w:t>
      </w:r>
      <w:r>
        <w:rPr>
          <w:rFonts w:hint="eastAsia" w:ascii="方正仿宋_GBK" w:hAnsi="方正仿宋_GBK" w:eastAsia="方正仿宋_GBK" w:cs="方正仿宋_GBK"/>
          <w:sz w:val="32"/>
          <w:szCs w:val="32"/>
        </w:rPr>
        <w:t>8.48</w:t>
      </w:r>
      <w:r>
        <w:rPr>
          <w:rFonts w:hint="eastAsia"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rPr>
        <w:t>8.48</w:t>
      </w:r>
      <w:r>
        <w:rPr>
          <w:rFonts w:hint="eastAsia"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rPr>
        <w:t>7.48万</w:t>
      </w:r>
      <w:r>
        <w:rPr>
          <w:rFonts w:hint="eastAsia"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rPr>
        <w:t>88.21</w:t>
      </w:r>
      <w:r>
        <w:rPr>
          <w:rFonts w:hint="eastAsia"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rPr>
        <w:t>7.48</w:t>
      </w:r>
      <w:r>
        <w:rPr>
          <w:rFonts w:hint="eastAsia"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rPr>
        <w:t>88.21</w:t>
      </w:r>
      <w:r>
        <w:rPr>
          <w:rFonts w:hint="eastAsia" w:ascii="方正仿宋_GBK" w:hAnsi="方正仿宋_GBK" w:eastAsia="方正仿宋_GBK" w:cs="方正仿宋_GBK"/>
          <w:sz w:val="32"/>
          <w:szCs w:val="32"/>
          <w:shd w:val="clear" w:color="auto" w:fill="FFFFFF"/>
        </w:rPr>
        <w:t>%。主要用于采购办公电脑、食堂设备购置。</w:t>
      </w:r>
    </w:p>
    <w:p w14:paraId="3DB65526">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Style w:val="11"/>
          <w:rFonts w:ascii="Times New Roman" w:hAnsi="Times New Roman" w:eastAsia="方正黑体_GBK"/>
          <w:b w:val="0"/>
        </w:rPr>
      </w:pPr>
      <w:r>
        <w:rPr>
          <w:rStyle w:val="11"/>
          <w:rFonts w:hint="eastAsia" w:ascii="Times New Roman" w:hAnsi="Times New Roman" w:eastAsia="方正黑体_GBK"/>
          <w:b w:val="0"/>
        </w:rPr>
        <w:t>五、2024年度预算绩效管理情况说明</w:t>
      </w:r>
    </w:p>
    <w:p w14:paraId="231E79A8">
      <w:pPr>
        <w:pStyle w:val="13"/>
        <w:keepNext w:val="0"/>
        <w:keepLines w:val="0"/>
        <w:pageBreakBefore w:val="0"/>
        <w:widowControl w:val="0"/>
        <w:kinsoku/>
        <w:wordWrap/>
        <w:overflowPunct/>
        <w:topLinePunct w:val="0"/>
        <w:autoSpaceDE/>
        <w:autoSpaceDN/>
        <w:bidi w:val="0"/>
        <w:spacing w:beforeAutospacing="0" w:afterAutospacing="0" w:line="600" w:lineRule="exact"/>
        <w:jc w:val="both"/>
        <w:textAlignment w:val="auto"/>
        <w:rPr>
          <w:rFonts w:ascii="Times New Roman" w:hAnsi="Times New Roman"/>
        </w:rPr>
      </w:pPr>
      <w:r>
        <w:rPr>
          <w:rFonts w:hint="eastAsia" w:ascii="Times New Roman" w:hAnsi="Times New Roman"/>
        </w:rPr>
        <w:t>（一）预算绩效管理工作开展情况</w:t>
      </w:r>
    </w:p>
    <w:p w14:paraId="144CC862">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对16个</w:t>
      </w:r>
      <w:r>
        <w:rPr>
          <w:rFonts w:hint="eastAsia" w:ascii="方正仿宋_GBK" w:hAnsi="方正仿宋_GBK" w:eastAsia="方正仿宋_GBK" w:cs="方正仿宋_GBK"/>
          <w:sz w:val="32"/>
          <w:szCs w:val="32"/>
          <w:lang w:val="en-US" w:eastAsia="zh-CN"/>
        </w:rPr>
        <w:t>二级</w:t>
      </w:r>
      <w:r>
        <w:rPr>
          <w:rFonts w:hint="eastAsia" w:ascii="方正仿宋_GBK" w:hAnsi="方正仿宋_GBK" w:eastAsia="方正仿宋_GBK" w:cs="方正仿宋_GBK"/>
          <w:sz w:val="32"/>
          <w:szCs w:val="32"/>
        </w:rPr>
        <w:t>项目开展了绩效自评，涉及财政拨款项目支出</w:t>
      </w:r>
      <w:r>
        <w:rPr>
          <w:rFonts w:hint="eastAsia" w:ascii="方正仿宋_GBK" w:hAnsi="方正仿宋_GBK" w:eastAsia="方正仿宋_GBK" w:cs="方正仿宋_GBK"/>
          <w:sz w:val="32"/>
          <w:szCs w:val="32"/>
          <w:lang w:val="en-US" w:eastAsia="zh-CN"/>
        </w:rPr>
        <w:t>150.7</w:t>
      </w:r>
      <w:r>
        <w:rPr>
          <w:rFonts w:hint="eastAsia" w:ascii="方正仿宋_GBK" w:hAnsi="方正仿宋_GBK" w:eastAsia="方正仿宋_GBK" w:cs="方正仿宋_GBK"/>
          <w:sz w:val="32"/>
          <w:szCs w:val="32"/>
        </w:rPr>
        <w:t>万元。</w:t>
      </w:r>
    </w:p>
    <w:tbl>
      <w:tblPr>
        <w:tblStyle w:val="9"/>
        <w:tblW w:w="8981" w:type="dxa"/>
        <w:jc w:val="center"/>
        <w:tblLayout w:type="fixed"/>
        <w:tblCellMar>
          <w:top w:w="40" w:type="dxa"/>
          <w:left w:w="64" w:type="dxa"/>
          <w:bottom w:w="40" w:type="dxa"/>
          <w:right w:w="64" w:type="dxa"/>
        </w:tblCellMar>
      </w:tblPr>
      <w:tblGrid>
        <w:gridCol w:w="657"/>
        <w:gridCol w:w="1812"/>
        <w:gridCol w:w="1272"/>
        <w:gridCol w:w="672"/>
        <w:gridCol w:w="744"/>
        <w:gridCol w:w="696"/>
        <w:gridCol w:w="624"/>
        <w:gridCol w:w="828"/>
        <w:gridCol w:w="624"/>
        <w:gridCol w:w="420"/>
        <w:gridCol w:w="632"/>
      </w:tblGrid>
      <w:tr w14:paraId="4015E76E">
        <w:tblPrEx>
          <w:tblCellMar>
            <w:top w:w="40" w:type="dxa"/>
            <w:left w:w="64" w:type="dxa"/>
            <w:bottom w:w="40" w:type="dxa"/>
            <w:right w:w="64" w:type="dxa"/>
          </w:tblCellMar>
        </w:tblPrEx>
        <w:trPr>
          <w:trHeight w:val="0" w:hRule="atLeast"/>
          <w:jc w:val="center"/>
        </w:trPr>
        <w:tc>
          <w:tcPr>
            <w:tcW w:w="8981" w:type="dxa"/>
            <w:gridSpan w:val="11"/>
            <w:noWrap/>
            <w:vAlign w:val="center"/>
          </w:tcPr>
          <w:p w14:paraId="53727186">
            <w:pPr>
              <w:keepNext/>
              <w:tabs>
                <w:tab w:val="center" w:pos="4153"/>
                <w:tab w:val="left" w:pos="7275"/>
              </w:tabs>
              <w:spacing w:line="596" w:lineRule="exact"/>
              <w:jc w:val="center"/>
              <w:rPr>
                <w:rFonts w:hint="default" w:ascii="Times New Roman" w:hAnsi="Times New Roman" w:eastAsia="方正小标宋_GBK"/>
                <w:color w:val="000000"/>
                <w:sz w:val="36"/>
                <w:szCs w:val="36"/>
              </w:rPr>
            </w:pPr>
            <w:r>
              <w:rPr>
                <w:rFonts w:hint="eastAsia" w:ascii="Times New Roman" w:hAnsi="Times New Roman" w:eastAsia="方正小标宋_GBK" w:cs="方正小标宋_GBK"/>
                <w:color w:val="000000"/>
                <w:sz w:val="28"/>
                <w:szCs w:val="28"/>
                <w:lang w:eastAsia="zh-CN" w:bidi="ar"/>
              </w:rPr>
              <w:t>重庆市九龙坡区西彭镇第三小学校</w:t>
            </w:r>
            <w:r>
              <w:rPr>
                <w:rFonts w:ascii="Times New Roman" w:hAnsi="Times New Roman" w:eastAsia="方正小标宋_GBK" w:cs="方正小标宋_GBK"/>
                <w:color w:val="000000"/>
                <w:sz w:val="28"/>
                <w:szCs w:val="28"/>
                <w:lang w:bidi="ar"/>
              </w:rPr>
              <w:t>2024年度</w:t>
            </w:r>
            <w:r>
              <w:rPr>
                <w:rFonts w:hint="eastAsia" w:ascii="Times New Roman" w:hAnsi="Times New Roman" w:eastAsia="方正小标宋_GBK" w:cs="方正小标宋_GBK"/>
                <w:color w:val="000000"/>
                <w:sz w:val="28"/>
                <w:szCs w:val="28"/>
                <w:lang w:bidi="ar"/>
              </w:rPr>
              <w:t>重点</w:t>
            </w:r>
            <w:r>
              <w:rPr>
                <w:rFonts w:ascii="Times New Roman" w:hAnsi="Times New Roman" w:eastAsia="方正小标宋_GBK" w:cs="方正小标宋_GBK"/>
                <w:color w:val="000000"/>
                <w:sz w:val="28"/>
                <w:szCs w:val="28"/>
                <w:lang w:bidi="ar"/>
              </w:rPr>
              <w:t>项目支出绩效自评表</w:t>
            </w:r>
          </w:p>
        </w:tc>
      </w:tr>
      <w:tr w14:paraId="32902E6A">
        <w:tblPrEx>
          <w:tblCellMar>
            <w:top w:w="40" w:type="dxa"/>
            <w:left w:w="64" w:type="dxa"/>
            <w:bottom w:w="40" w:type="dxa"/>
            <w:right w:w="64" w:type="dxa"/>
          </w:tblCellMar>
        </w:tblPrEx>
        <w:trPr>
          <w:trHeight w:val="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45FEB9B7">
            <w:pPr>
              <w:keepNext/>
              <w:snapToGrid w:val="0"/>
              <w:jc w:val="center"/>
              <w:rPr>
                <w:rFonts w:hint="default" w:ascii="方正黑体_GBK" w:hAnsi="等线" w:eastAsia="方正黑体_GBK"/>
                <w:color w:val="000000"/>
                <w:sz w:val="22"/>
                <w:szCs w:val="22"/>
              </w:rPr>
            </w:pPr>
            <w:r>
              <w:rPr>
                <w:rFonts w:ascii="方正黑体_GBK" w:hAnsi="等线" w:eastAsia="方正黑体_GBK"/>
                <w:color w:val="000000"/>
                <w:sz w:val="22"/>
                <w:szCs w:val="22"/>
              </w:rPr>
              <w:t>序号</w:t>
            </w:r>
          </w:p>
        </w:tc>
        <w:tc>
          <w:tcPr>
            <w:tcW w:w="1812" w:type="dxa"/>
            <w:tcBorders>
              <w:top w:val="single" w:color="auto" w:sz="4" w:space="0"/>
              <w:left w:val="nil"/>
              <w:bottom w:val="single" w:color="auto" w:sz="4" w:space="0"/>
              <w:right w:val="single" w:color="auto" w:sz="4" w:space="0"/>
            </w:tcBorders>
            <w:vAlign w:val="center"/>
          </w:tcPr>
          <w:p w14:paraId="72C29CA0">
            <w:pPr>
              <w:keepNext/>
              <w:snapToGrid w:val="0"/>
              <w:jc w:val="center"/>
              <w:rPr>
                <w:rFonts w:hint="default" w:ascii="方正黑体_GBK" w:hAnsi="等线" w:eastAsia="方正黑体_GBK"/>
                <w:color w:val="000000"/>
                <w:sz w:val="22"/>
                <w:szCs w:val="22"/>
              </w:rPr>
            </w:pPr>
            <w:r>
              <w:rPr>
                <w:rFonts w:ascii="方正黑体_GBK" w:hAnsi="等线" w:eastAsia="方正黑体_GBK"/>
                <w:color w:val="000000"/>
                <w:sz w:val="22"/>
                <w:szCs w:val="22"/>
              </w:rPr>
              <w:t>项目名称</w:t>
            </w:r>
          </w:p>
        </w:tc>
        <w:tc>
          <w:tcPr>
            <w:tcW w:w="1272" w:type="dxa"/>
            <w:tcBorders>
              <w:top w:val="single" w:color="auto" w:sz="4" w:space="0"/>
              <w:left w:val="nil"/>
              <w:bottom w:val="single" w:color="auto" w:sz="4" w:space="0"/>
              <w:right w:val="single" w:color="auto" w:sz="4" w:space="0"/>
            </w:tcBorders>
            <w:vAlign w:val="center"/>
          </w:tcPr>
          <w:p w14:paraId="0F9C782F">
            <w:pPr>
              <w:keepNext/>
              <w:snapToGrid w:val="0"/>
              <w:rPr>
                <w:rFonts w:hint="default" w:ascii="方正黑体_GBK" w:hAnsi="等线" w:eastAsia="方正黑体_GBK"/>
                <w:color w:val="000000"/>
                <w:sz w:val="22"/>
                <w:szCs w:val="22"/>
              </w:rPr>
            </w:pPr>
            <w:r>
              <w:rPr>
                <w:rFonts w:ascii="方正黑体_GBK" w:hAnsi="等线" w:eastAsia="方正黑体_GBK"/>
                <w:color w:val="000000"/>
                <w:sz w:val="22"/>
                <w:szCs w:val="22"/>
              </w:rPr>
              <w:t>指标名称</w:t>
            </w:r>
          </w:p>
        </w:tc>
        <w:tc>
          <w:tcPr>
            <w:tcW w:w="672" w:type="dxa"/>
            <w:tcBorders>
              <w:top w:val="single" w:color="auto" w:sz="4" w:space="0"/>
              <w:left w:val="nil"/>
              <w:bottom w:val="single" w:color="auto" w:sz="4" w:space="0"/>
              <w:right w:val="single" w:color="auto" w:sz="4" w:space="0"/>
            </w:tcBorders>
            <w:vAlign w:val="center"/>
          </w:tcPr>
          <w:p w14:paraId="32AED619">
            <w:pPr>
              <w:keepNext/>
              <w:snapToGrid w:val="0"/>
              <w:jc w:val="center"/>
              <w:rPr>
                <w:rFonts w:hint="default" w:ascii="方正黑体_GBK" w:hAnsi="等线" w:eastAsia="方正黑体_GBK"/>
                <w:color w:val="000000"/>
                <w:sz w:val="22"/>
                <w:szCs w:val="22"/>
              </w:rPr>
            </w:pPr>
            <w:r>
              <w:rPr>
                <w:rFonts w:ascii="方正黑体_GBK" w:hAnsi="等线" w:eastAsia="方正黑体_GBK"/>
                <w:color w:val="000000"/>
                <w:sz w:val="22"/>
                <w:szCs w:val="22"/>
              </w:rPr>
              <w:t>指标性质</w:t>
            </w:r>
          </w:p>
        </w:tc>
        <w:tc>
          <w:tcPr>
            <w:tcW w:w="744" w:type="dxa"/>
            <w:tcBorders>
              <w:top w:val="single" w:color="auto" w:sz="4" w:space="0"/>
              <w:left w:val="nil"/>
              <w:bottom w:val="single" w:color="auto" w:sz="4" w:space="0"/>
              <w:right w:val="single" w:color="auto" w:sz="4" w:space="0"/>
            </w:tcBorders>
            <w:vAlign w:val="center"/>
          </w:tcPr>
          <w:p w14:paraId="314CA45F">
            <w:pPr>
              <w:keepNext/>
              <w:snapToGrid w:val="0"/>
              <w:jc w:val="center"/>
              <w:rPr>
                <w:rFonts w:hint="default" w:ascii="方正黑体_GBK" w:hAnsi="等线" w:eastAsia="方正黑体_GBK"/>
                <w:color w:val="000000"/>
                <w:sz w:val="22"/>
                <w:szCs w:val="22"/>
              </w:rPr>
            </w:pPr>
            <w:r>
              <w:rPr>
                <w:rFonts w:ascii="方正黑体_GBK" w:hAnsi="等线" w:eastAsia="方正黑体_GBK"/>
                <w:color w:val="000000"/>
                <w:sz w:val="22"/>
                <w:szCs w:val="22"/>
              </w:rPr>
              <w:t>指标值</w:t>
            </w:r>
          </w:p>
        </w:tc>
        <w:tc>
          <w:tcPr>
            <w:tcW w:w="696" w:type="dxa"/>
            <w:tcBorders>
              <w:top w:val="single" w:color="auto" w:sz="4" w:space="0"/>
              <w:left w:val="nil"/>
              <w:bottom w:val="single" w:color="auto" w:sz="4" w:space="0"/>
              <w:right w:val="single" w:color="auto" w:sz="4" w:space="0"/>
            </w:tcBorders>
            <w:vAlign w:val="center"/>
          </w:tcPr>
          <w:p w14:paraId="72B17BE3">
            <w:pPr>
              <w:keepNext/>
              <w:snapToGrid w:val="0"/>
              <w:jc w:val="center"/>
              <w:rPr>
                <w:rFonts w:hint="default" w:ascii="方正黑体_GBK" w:hAnsi="等线" w:eastAsia="方正黑体_GBK"/>
                <w:color w:val="000000"/>
                <w:sz w:val="22"/>
                <w:szCs w:val="22"/>
              </w:rPr>
            </w:pPr>
            <w:r>
              <w:rPr>
                <w:rFonts w:ascii="方正黑体_GBK" w:hAnsi="等线" w:eastAsia="方正黑体_GBK"/>
                <w:color w:val="000000"/>
                <w:sz w:val="22"/>
                <w:szCs w:val="22"/>
              </w:rPr>
              <w:t>计量单位</w:t>
            </w:r>
          </w:p>
        </w:tc>
        <w:tc>
          <w:tcPr>
            <w:tcW w:w="624" w:type="dxa"/>
            <w:tcBorders>
              <w:top w:val="single" w:color="auto" w:sz="4" w:space="0"/>
              <w:left w:val="nil"/>
              <w:bottom w:val="single" w:color="auto" w:sz="4" w:space="0"/>
              <w:right w:val="single" w:color="auto" w:sz="4" w:space="0"/>
            </w:tcBorders>
            <w:vAlign w:val="center"/>
          </w:tcPr>
          <w:p w14:paraId="4EB907AB">
            <w:pPr>
              <w:keepNext/>
              <w:snapToGrid w:val="0"/>
              <w:jc w:val="center"/>
              <w:rPr>
                <w:rFonts w:hint="default" w:ascii="方正黑体_GBK" w:hAnsi="等线" w:eastAsia="方正黑体_GBK"/>
                <w:color w:val="000000"/>
                <w:sz w:val="22"/>
                <w:szCs w:val="22"/>
              </w:rPr>
            </w:pPr>
            <w:r>
              <w:rPr>
                <w:rFonts w:ascii="方正黑体_GBK" w:hAnsi="等线" w:eastAsia="方正黑体_GBK"/>
                <w:color w:val="000000"/>
                <w:sz w:val="22"/>
                <w:szCs w:val="22"/>
              </w:rPr>
              <w:t>指标权重</w:t>
            </w:r>
          </w:p>
        </w:tc>
        <w:tc>
          <w:tcPr>
            <w:tcW w:w="828" w:type="dxa"/>
            <w:tcBorders>
              <w:top w:val="single" w:color="auto" w:sz="4" w:space="0"/>
              <w:left w:val="nil"/>
              <w:bottom w:val="single" w:color="auto" w:sz="4" w:space="0"/>
              <w:right w:val="single" w:color="auto" w:sz="4" w:space="0"/>
            </w:tcBorders>
            <w:vAlign w:val="center"/>
          </w:tcPr>
          <w:p w14:paraId="2D4BE9AB">
            <w:pPr>
              <w:keepNext/>
              <w:snapToGrid w:val="0"/>
              <w:jc w:val="center"/>
              <w:rPr>
                <w:rFonts w:hint="default" w:ascii="方正黑体_GBK" w:hAnsi="等线" w:eastAsia="方正黑体_GBK"/>
                <w:color w:val="000000"/>
                <w:sz w:val="22"/>
                <w:szCs w:val="22"/>
              </w:rPr>
            </w:pPr>
            <w:r>
              <w:rPr>
                <w:rFonts w:ascii="方正黑体_GBK" w:hAnsi="等线" w:eastAsia="方正黑体_GBK"/>
                <w:color w:val="000000"/>
                <w:sz w:val="22"/>
                <w:szCs w:val="22"/>
              </w:rPr>
              <w:t>全年完成值</w:t>
            </w:r>
          </w:p>
        </w:tc>
        <w:tc>
          <w:tcPr>
            <w:tcW w:w="624" w:type="dxa"/>
            <w:tcBorders>
              <w:top w:val="single" w:color="auto" w:sz="4" w:space="0"/>
              <w:left w:val="nil"/>
              <w:bottom w:val="single" w:color="auto" w:sz="4" w:space="0"/>
              <w:right w:val="single" w:color="auto" w:sz="4" w:space="0"/>
            </w:tcBorders>
            <w:vAlign w:val="center"/>
          </w:tcPr>
          <w:p w14:paraId="4DBDFD7C">
            <w:pPr>
              <w:keepNext/>
              <w:snapToGrid w:val="0"/>
              <w:jc w:val="center"/>
              <w:rPr>
                <w:rFonts w:hint="default" w:ascii="方正黑体_GBK" w:hAnsi="等线" w:eastAsia="方正黑体_GBK"/>
                <w:color w:val="000000"/>
                <w:sz w:val="22"/>
                <w:szCs w:val="22"/>
              </w:rPr>
            </w:pPr>
            <w:r>
              <w:rPr>
                <w:rFonts w:ascii="方正黑体_GBK" w:hAnsi="等线" w:eastAsia="方正黑体_GBK"/>
                <w:color w:val="000000"/>
                <w:sz w:val="22"/>
                <w:szCs w:val="22"/>
              </w:rPr>
              <w:t>指标得分</w:t>
            </w:r>
          </w:p>
        </w:tc>
        <w:tc>
          <w:tcPr>
            <w:tcW w:w="420" w:type="dxa"/>
            <w:tcBorders>
              <w:top w:val="single" w:color="auto" w:sz="4" w:space="0"/>
              <w:left w:val="nil"/>
              <w:bottom w:val="single" w:color="auto" w:sz="4" w:space="0"/>
              <w:right w:val="single" w:color="auto" w:sz="4" w:space="0"/>
            </w:tcBorders>
            <w:vAlign w:val="center"/>
          </w:tcPr>
          <w:p w14:paraId="59B4FA49">
            <w:pPr>
              <w:keepNext/>
              <w:snapToGrid w:val="0"/>
              <w:jc w:val="center"/>
              <w:rPr>
                <w:rFonts w:hint="default" w:ascii="方正黑体_GBK" w:hAnsi="等线" w:eastAsia="方正黑体_GBK"/>
                <w:color w:val="000000"/>
                <w:sz w:val="22"/>
                <w:szCs w:val="22"/>
              </w:rPr>
            </w:pPr>
            <w:r>
              <w:rPr>
                <w:rFonts w:ascii="方正黑体_GBK" w:hAnsi="等线" w:eastAsia="方正黑体_GBK"/>
                <w:color w:val="000000"/>
                <w:sz w:val="22"/>
                <w:szCs w:val="22"/>
              </w:rPr>
              <w:t>说明</w:t>
            </w:r>
          </w:p>
        </w:tc>
        <w:tc>
          <w:tcPr>
            <w:tcW w:w="632" w:type="dxa"/>
            <w:tcBorders>
              <w:top w:val="single" w:color="auto" w:sz="4" w:space="0"/>
              <w:left w:val="nil"/>
              <w:bottom w:val="single" w:color="auto" w:sz="4" w:space="0"/>
              <w:right w:val="single" w:color="auto" w:sz="4" w:space="0"/>
            </w:tcBorders>
            <w:vAlign w:val="center"/>
          </w:tcPr>
          <w:p w14:paraId="55056F02">
            <w:pPr>
              <w:keepNext/>
              <w:snapToGrid w:val="0"/>
              <w:jc w:val="center"/>
              <w:rPr>
                <w:rFonts w:hint="default" w:ascii="方正黑体_GBK" w:hAnsi="等线" w:eastAsia="方正黑体_GBK"/>
                <w:color w:val="000000"/>
                <w:sz w:val="22"/>
                <w:szCs w:val="22"/>
              </w:rPr>
            </w:pPr>
            <w:r>
              <w:rPr>
                <w:rFonts w:ascii="方正黑体_GBK" w:hAnsi="等线" w:eastAsia="方正黑体_GBK"/>
                <w:color w:val="000000"/>
                <w:sz w:val="22"/>
                <w:szCs w:val="22"/>
              </w:rPr>
              <w:t>自评得分</w:t>
            </w:r>
          </w:p>
        </w:tc>
      </w:tr>
      <w:tr w14:paraId="2A2E2261">
        <w:tblPrEx>
          <w:tblCellMar>
            <w:top w:w="40" w:type="dxa"/>
            <w:left w:w="64" w:type="dxa"/>
            <w:bottom w:w="40" w:type="dxa"/>
            <w:right w:w="64" w:type="dxa"/>
          </w:tblCellMar>
        </w:tblPrEx>
        <w:trPr>
          <w:trHeight w:val="0" w:hRule="atLeast"/>
          <w:jc w:val="center"/>
        </w:trPr>
        <w:tc>
          <w:tcPr>
            <w:tcW w:w="657" w:type="dxa"/>
            <w:vMerge w:val="restart"/>
            <w:tcBorders>
              <w:top w:val="nil"/>
              <w:left w:val="single" w:color="auto" w:sz="4" w:space="0"/>
              <w:bottom w:val="single" w:color="auto" w:sz="4" w:space="0"/>
              <w:right w:val="single" w:color="auto" w:sz="4" w:space="0"/>
            </w:tcBorders>
            <w:noWrap/>
            <w:vAlign w:val="center"/>
          </w:tcPr>
          <w:p w14:paraId="798D6764">
            <w:pPr>
              <w:keepNext/>
              <w:snapToGrid w:val="0"/>
              <w:jc w:val="center"/>
              <w:rPr>
                <w:rFonts w:hint="default" w:ascii="Times New Roman" w:hAnsi="Times New Roman" w:eastAsia="等线"/>
                <w:color w:val="000000"/>
                <w:sz w:val="22"/>
                <w:szCs w:val="22"/>
              </w:rPr>
            </w:pPr>
            <w:r>
              <w:rPr>
                <w:rFonts w:hint="default" w:ascii="Times New Roman" w:hAnsi="Times New Roman" w:eastAsia="等线"/>
                <w:color w:val="000000"/>
                <w:sz w:val="22"/>
                <w:szCs w:val="22"/>
              </w:rPr>
              <w:t>1</w:t>
            </w:r>
          </w:p>
        </w:tc>
        <w:tc>
          <w:tcPr>
            <w:tcW w:w="1812" w:type="dxa"/>
            <w:vMerge w:val="restart"/>
            <w:tcBorders>
              <w:top w:val="nil"/>
              <w:left w:val="single" w:color="auto" w:sz="4" w:space="0"/>
              <w:bottom w:val="single" w:color="auto" w:sz="4" w:space="0"/>
              <w:right w:val="single" w:color="auto" w:sz="4" w:space="0"/>
            </w:tcBorders>
            <w:vAlign w:val="center"/>
          </w:tcPr>
          <w:p w14:paraId="0722B675">
            <w:pPr>
              <w:keepNext/>
              <w:snapToGrid w:val="0"/>
              <w:rPr>
                <w:rFonts w:hint="eastAsia" w:ascii="方正仿宋_GBK" w:hAnsi="等线" w:eastAsia="方正仿宋_GBK"/>
                <w:color w:val="000000"/>
                <w:sz w:val="22"/>
                <w:szCs w:val="22"/>
                <w:lang w:val="en-US" w:eastAsia="zh-CN"/>
              </w:rPr>
            </w:pPr>
            <w:r>
              <w:rPr>
                <w:rFonts w:ascii="方正仿宋_GBK" w:hAnsi="等线" w:eastAsia="方正仿宋_GBK"/>
                <w:color w:val="000000"/>
                <w:sz w:val="22"/>
                <w:szCs w:val="22"/>
              </w:rPr>
              <w:t>202</w:t>
            </w:r>
            <w:r>
              <w:rPr>
                <w:rFonts w:hint="default" w:ascii="方正仿宋_GBK" w:hAnsi="等线" w:eastAsia="方正仿宋_GBK"/>
                <w:color w:val="000000"/>
                <w:sz w:val="22"/>
                <w:szCs w:val="22"/>
              </w:rPr>
              <w:t>4</w:t>
            </w:r>
            <w:r>
              <w:rPr>
                <w:rFonts w:ascii="方正仿宋_GBK" w:hAnsi="等线" w:eastAsia="方正仿宋_GBK"/>
                <w:color w:val="000000"/>
                <w:sz w:val="22"/>
                <w:szCs w:val="22"/>
              </w:rPr>
              <w:t>年学前教育家庭经济困难幼儿资助专项补助</w:t>
            </w:r>
            <w:r>
              <w:rPr>
                <w:rFonts w:hint="eastAsia" w:ascii="方正仿宋_GBK" w:hAnsi="等线" w:eastAsia="方正仿宋_GBK"/>
                <w:color w:val="000000"/>
                <w:sz w:val="22"/>
                <w:szCs w:val="22"/>
                <w:lang w:val="en-US" w:eastAsia="zh-CN"/>
              </w:rPr>
              <w:t>经费</w:t>
            </w:r>
          </w:p>
        </w:tc>
        <w:tc>
          <w:tcPr>
            <w:tcW w:w="1272" w:type="dxa"/>
            <w:tcBorders>
              <w:top w:val="nil"/>
              <w:left w:val="nil"/>
              <w:bottom w:val="single" w:color="auto" w:sz="4" w:space="0"/>
              <w:right w:val="single" w:color="auto" w:sz="4" w:space="0"/>
            </w:tcBorders>
            <w:vAlign w:val="center"/>
          </w:tcPr>
          <w:p w14:paraId="4C31B6FB">
            <w:pPr>
              <w:keepNext/>
              <w:snapToGrid w:val="0"/>
              <w:rPr>
                <w:rFonts w:hint="default" w:ascii="方正仿宋_GBK" w:hAnsi="等线" w:eastAsia="方正仿宋_GBK"/>
                <w:color w:val="000000"/>
                <w:sz w:val="22"/>
                <w:szCs w:val="22"/>
              </w:rPr>
            </w:pPr>
            <w:r>
              <w:rPr>
                <w:rFonts w:ascii="方正仿宋_GBK" w:hAnsi="等线" w:eastAsia="方正仿宋_GBK"/>
                <w:color w:val="000000"/>
                <w:sz w:val="22"/>
                <w:szCs w:val="22"/>
              </w:rPr>
              <w:t>资助学生数量</w:t>
            </w:r>
          </w:p>
        </w:tc>
        <w:tc>
          <w:tcPr>
            <w:tcW w:w="672" w:type="dxa"/>
            <w:tcBorders>
              <w:top w:val="nil"/>
              <w:left w:val="nil"/>
              <w:bottom w:val="single" w:color="auto" w:sz="4" w:space="0"/>
              <w:right w:val="single" w:color="auto" w:sz="4" w:space="0"/>
            </w:tcBorders>
            <w:noWrap/>
            <w:vAlign w:val="center"/>
          </w:tcPr>
          <w:p w14:paraId="6D7C52AD">
            <w:pPr>
              <w:keepNext/>
              <w:snapToGrid w:val="0"/>
              <w:jc w:val="center"/>
              <w:rPr>
                <w:rFonts w:hint="default" w:ascii="方正仿宋_GBK" w:hAnsi="等线" w:eastAsia="方正仿宋_GBK"/>
                <w:color w:val="000000"/>
                <w:sz w:val="22"/>
                <w:szCs w:val="22"/>
              </w:rPr>
            </w:pPr>
            <w:r>
              <w:rPr>
                <w:rFonts w:ascii="方正仿宋_GBK" w:hAnsi="等线" w:eastAsia="方正仿宋_GBK"/>
                <w:color w:val="000000"/>
                <w:sz w:val="22"/>
                <w:szCs w:val="22"/>
              </w:rPr>
              <w:t>＝</w:t>
            </w:r>
          </w:p>
        </w:tc>
        <w:tc>
          <w:tcPr>
            <w:tcW w:w="744" w:type="dxa"/>
            <w:tcBorders>
              <w:top w:val="nil"/>
              <w:left w:val="nil"/>
              <w:bottom w:val="single" w:color="auto" w:sz="4" w:space="0"/>
              <w:right w:val="single" w:color="auto" w:sz="4" w:space="0"/>
            </w:tcBorders>
            <w:noWrap/>
            <w:vAlign w:val="center"/>
          </w:tcPr>
          <w:p w14:paraId="61EAFFA8">
            <w:pPr>
              <w:keepNext/>
              <w:snapToGrid w:val="0"/>
              <w:jc w:val="center"/>
              <w:rPr>
                <w:rFonts w:hint="default"/>
                <w:color w:val="000000"/>
                <w:sz w:val="22"/>
                <w:szCs w:val="22"/>
              </w:rPr>
            </w:pPr>
            <w:r>
              <w:rPr>
                <w:rFonts w:hint="default"/>
                <w:color w:val="000000"/>
                <w:sz w:val="22"/>
                <w:szCs w:val="22"/>
              </w:rPr>
              <w:t>9</w:t>
            </w:r>
          </w:p>
        </w:tc>
        <w:tc>
          <w:tcPr>
            <w:tcW w:w="696" w:type="dxa"/>
            <w:tcBorders>
              <w:top w:val="nil"/>
              <w:left w:val="nil"/>
              <w:bottom w:val="single" w:color="auto" w:sz="4" w:space="0"/>
              <w:right w:val="single" w:color="auto" w:sz="4" w:space="0"/>
            </w:tcBorders>
            <w:noWrap/>
            <w:vAlign w:val="center"/>
          </w:tcPr>
          <w:p w14:paraId="641C3647">
            <w:pPr>
              <w:keepNext/>
              <w:snapToGrid w:val="0"/>
              <w:jc w:val="center"/>
              <w:rPr>
                <w:rFonts w:hint="default" w:ascii="方正仿宋_GBK" w:hAnsi="等线" w:eastAsia="方正仿宋_GBK"/>
                <w:color w:val="000000"/>
                <w:sz w:val="22"/>
                <w:szCs w:val="22"/>
              </w:rPr>
            </w:pPr>
            <w:r>
              <w:rPr>
                <w:rFonts w:ascii="方正仿宋_GBK" w:hAnsi="等线" w:eastAsia="方正仿宋_GBK"/>
                <w:color w:val="000000"/>
                <w:sz w:val="22"/>
                <w:szCs w:val="22"/>
              </w:rPr>
              <w:t>个</w:t>
            </w:r>
          </w:p>
        </w:tc>
        <w:tc>
          <w:tcPr>
            <w:tcW w:w="624" w:type="dxa"/>
            <w:tcBorders>
              <w:top w:val="nil"/>
              <w:left w:val="nil"/>
              <w:bottom w:val="single" w:color="auto" w:sz="4" w:space="0"/>
              <w:right w:val="single" w:color="auto" w:sz="4" w:space="0"/>
            </w:tcBorders>
            <w:noWrap/>
            <w:vAlign w:val="center"/>
          </w:tcPr>
          <w:p w14:paraId="37C1C75B">
            <w:pPr>
              <w:keepNext/>
              <w:snapToGrid w:val="0"/>
              <w:jc w:val="center"/>
              <w:rPr>
                <w:rFonts w:hint="default"/>
                <w:color w:val="000000"/>
                <w:sz w:val="22"/>
                <w:szCs w:val="22"/>
              </w:rPr>
            </w:pPr>
            <w:r>
              <w:rPr>
                <w:rFonts w:hint="default"/>
                <w:color w:val="000000"/>
                <w:sz w:val="22"/>
                <w:szCs w:val="22"/>
              </w:rPr>
              <w:t>20</w:t>
            </w:r>
          </w:p>
        </w:tc>
        <w:tc>
          <w:tcPr>
            <w:tcW w:w="828" w:type="dxa"/>
            <w:tcBorders>
              <w:top w:val="nil"/>
              <w:left w:val="nil"/>
              <w:bottom w:val="single" w:color="auto" w:sz="4" w:space="0"/>
              <w:right w:val="single" w:color="auto" w:sz="4" w:space="0"/>
            </w:tcBorders>
            <w:noWrap/>
            <w:vAlign w:val="center"/>
          </w:tcPr>
          <w:p w14:paraId="561FB40F">
            <w:pPr>
              <w:keepNext/>
              <w:snapToGrid w:val="0"/>
              <w:jc w:val="center"/>
              <w:rPr>
                <w:rFonts w:hint="default"/>
                <w:color w:val="000000"/>
                <w:sz w:val="22"/>
                <w:szCs w:val="22"/>
              </w:rPr>
            </w:pPr>
            <w:r>
              <w:rPr>
                <w:color w:val="000000"/>
                <w:sz w:val="22"/>
                <w:szCs w:val="22"/>
              </w:rPr>
              <w:t>100</w:t>
            </w:r>
          </w:p>
        </w:tc>
        <w:tc>
          <w:tcPr>
            <w:tcW w:w="624" w:type="dxa"/>
            <w:tcBorders>
              <w:top w:val="nil"/>
              <w:left w:val="nil"/>
              <w:bottom w:val="single" w:color="auto" w:sz="4" w:space="0"/>
              <w:right w:val="single" w:color="auto" w:sz="4" w:space="0"/>
            </w:tcBorders>
            <w:noWrap/>
            <w:vAlign w:val="center"/>
          </w:tcPr>
          <w:p w14:paraId="312884A4">
            <w:pPr>
              <w:keepNext/>
              <w:snapToGrid w:val="0"/>
              <w:jc w:val="both"/>
              <w:rPr>
                <w:rFonts w:hint="default"/>
                <w:color w:val="000000"/>
                <w:sz w:val="22"/>
                <w:szCs w:val="22"/>
              </w:rPr>
            </w:pPr>
            <w:r>
              <w:rPr>
                <w:rFonts w:hint="default"/>
                <w:color w:val="000000"/>
                <w:sz w:val="22"/>
                <w:szCs w:val="22"/>
              </w:rPr>
              <w:t>20</w:t>
            </w:r>
          </w:p>
        </w:tc>
        <w:tc>
          <w:tcPr>
            <w:tcW w:w="420" w:type="dxa"/>
            <w:tcBorders>
              <w:top w:val="nil"/>
              <w:left w:val="nil"/>
              <w:bottom w:val="single" w:color="auto" w:sz="4" w:space="0"/>
              <w:right w:val="single" w:color="auto" w:sz="4" w:space="0"/>
            </w:tcBorders>
            <w:noWrap/>
            <w:vAlign w:val="center"/>
          </w:tcPr>
          <w:p w14:paraId="5B1527A3">
            <w:pPr>
              <w:keepNext/>
              <w:snapToGrid w:val="0"/>
              <w:jc w:val="both"/>
              <w:rPr>
                <w:rFonts w:hint="default"/>
                <w:color w:val="000000"/>
                <w:sz w:val="22"/>
                <w:szCs w:val="22"/>
              </w:rPr>
            </w:pPr>
            <w:r>
              <w:rPr>
                <w:color w:val="000000"/>
                <w:sz w:val="22"/>
                <w:szCs w:val="22"/>
              </w:rPr>
              <w:t>　</w:t>
            </w:r>
          </w:p>
        </w:tc>
        <w:tc>
          <w:tcPr>
            <w:tcW w:w="632" w:type="dxa"/>
            <w:vMerge w:val="restart"/>
            <w:tcBorders>
              <w:top w:val="nil"/>
              <w:left w:val="single" w:color="auto" w:sz="4" w:space="0"/>
              <w:bottom w:val="single" w:color="auto" w:sz="4" w:space="0"/>
              <w:right w:val="single" w:color="auto" w:sz="4" w:space="0"/>
            </w:tcBorders>
            <w:noWrap/>
            <w:vAlign w:val="center"/>
          </w:tcPr>
          <w:p w14:paraId="4AD9AE11">
            <w:pPr>
              <w:keepNext/>
              <w:snapToGrid w:val="0"/>
              <w:jc w:val="center"/>
              <w:rPr>
                <w:rFonts w:hint="default" w:eastAsia="宋体"/>
                <w:color w:val="000000"/>
                <w:sz w:val="22"/>
                <w:szCs w:val="22"/>
                <w:lang w:val="en-US" w:eastAsia="zh-CN"/>
              </w:rPr>
            </w:pPr>
            <w:r>
              <w:rPr>
                <w:rFonts w:hint="eastAsia"/>
                <w:color w:val="000000"/>
                <w:sz w:val="22"/>
                <w:szCs w:val="22"/>
                <w:lang w:val="en-US" w:eastAsia="zh-CN"/>
              </w:rPr>
              <w:t>100</w:t>
            </w:r>
          </w:p>
        </w:tc>
      </w:tr>
      <w:tr w14:paraId="40E57C29">
        <w:tblPrEx>
          <w:tblCellMar>
            <w:top w:w="40" w:type="dxa"/>
            <w:left w:w="64" w:type="dxa"/>
            <w:bottom w:w="40" w:type="dxa"/>
            <w:right w:w="64" w:type="dxa"/>
          </w:tblCellMar>
        </w:tblPrEx>
        <w:trPr>
          <w:trHeight w:val="0" w:hRule="atLeast"/>
          <w:jc w:val="center"/>
        </w:trPr>
        <w:tc>
          <w:tcPr>
            <w:tcW w:w="657" w:type="dxa"/>
            <w:vMerge w:val="continue"/>
            <w:tcBorders>
              <w:top w:val="nil"/>
              <w:left w:val="single" w:color="auto" w:sz="4" w:space="0"/>
              <w:bottom w:val="single" w:color="auto" w:sz="4" w:space="0"/>
              <w:right w:val="single" w:color="auto" w:sz="4" w:space="0"/>
            </w:tcBorders>
            <w:vAlign w:val="center"/>
          </w:tcPr>
          <w:p w14:paraId="7F0B6791">
            <w:pPr>
              <w:keepNext/>
              <w:snapToGrid w:val="0"/>
              <w:rPr>
                <w:rFonts w:hint="default" w:ascii="Times New Roman" w:hAnsi="Times New Roman" w:eastAsia="等线"/>
                <w:color w:val="000000"/>
                <w:sz w:val="22"/>
                <w:szCs w:val="22"/>
              </w:rPr>
            </w:pPr>
          </w:p>
        </w:tc>
        <w:tc>
          <w:tcPr>
            <w:tcW w:w="1812" w:type="dxa"/>
            <w:vMerge w:val="continue"/>
            <w:tcBorders>
              <w:top w:val="nil"/>
              <w:left w:val="single" w:color="auto" w:sz="4" w:space="0"/>
              <w:bottom w:val="single" w:color="auto" w:sz="4" w:space="0"/>
              <w:right w:val="single" w:color="auto" w:sz="4" w:space="0"/>
            </w:tcBorders>
            <w:vAlign w:val="center"/>
          </w:tcPr>
          <w:p w14:paraId="20AC8608">
            <w:pPr>
              <w:keepNext/>
              <w:snapToGrid w:val="0"/>
              <w:rPr>
                <w:rFonts w:hint="default" w:ascii="方正仿宋_GBK" w:hAnsi="等线" w:eastAsia="方正仿宋_GBK"/>
                <w:color w:val="000000"/>
                <w:sz w:val="22"/>
                <w:szCs w:val="22"/>
              </w:rPr>
            </w:pPr>
          </w:p>
        </w:tc>
        <w:tc>
          <w:tcPr>
            <w:tcW w:w="1272" w:type="dxa"/>
            <w:tcBorders>
              <w:top w:val="nil"/>
              <w:left w:val="nil"/>
              <w:bottom w:val="single" w:color="auto" w:sz="4" w:space="0"/>
              <w:right w:val="single" w:color="auto" w:sz="4" w:space="0"/>
            </w:tcBorders>
            <w:vAlign w:val="center"/>
          </w:tcPr>
          <w:p w14:paraId="31394EF9">
            <w:pPr>
              <w:keepNext/>
              <w:snapToGrid w:val="0"/>
              <w:rPr>
                <w:rFonts w:hint="default" w:ascii="方正仿宋_GBK" w:hAnsi="等线" w:eastAsia="方正仿宋_GBK"/>
                <w:color w:val="000000"/>
                <w:sz w:val="22"/>
                <w:szCs w:val="22"/>
              </w:rPr>
            </w:pPr>
            <w:r>
              <w:rPr>
                <w:rFonts w:ascii="方正仿宋_GBK" w:hAnsi="等线" w:eastAsia="方正仿宋_GBK"/>
                <w:color w:val="000000"/>
                <w:sz w:val="22"/>
                <w:szCs w:val="22"/>
              </w:rPr>
              <w:t>资助到位时间</w:t>
            </w:r>
          </w:p>
        </w:tc>
        <w:tc>
          <w:tcPr>
            <w:tcW w:w="672" w:type="dxa"/>
            <w:tcBorders>
              <w:top w:val="nil"/>
              <w:left w:val="nil"/>
              <w:bottom w:val="single" w:color="auto" w:sz="4" w:space="0"/>
              <w:right w:val="single" w:color="auto" w:sz="4" w:space="0"/>
            </w:tcBorders>
            <w:noWrap/>
            <w:vAlign w:val="center"/>
          </w:tcPr>
          <w:p w14:paraId="72046165">
            <w:pPr>
              <w:keepNext/>
              <w:snapToGrid w:val="0"/>
              <w:jc w:val="center"/>
              <w:rPr>
                <w:rFonts w:hint="default" w:ascii="方正仿宋_GBK" w:hAnsi="等线" w:eastAsia="方正仿宋_GBK"/>
                <w:color w:val="000000"/>
                <w:sz w:val="22"/>
                <w:szCs w:val="22"/>
              </w:rPr>
            </w:pPr>
            <w:r>
              <w:rPr>
                <w:rFonts w:ascii="方正仿宋_GBK" w:hAnsi="等线" w:eastAsia="方正仿宋_GBK"/>
                <w:color w:val="000000"/>
                <w:sz w:val="22"/>
                <w:szCs w:val="22"/>
              </w:rPr>
              <w:t>＝</w:t>
            </w:r>
          </w:p>
        </w:tc>
        <w:tc>
          <w:tcPr>
            <w:tcW w:w="744" w:type="dxa"/>
            <w:tcBorders>
              <w:top w:val="nil"/>
              <w:left w:val="nil"/>
              <w:bottom w:val="single" w:color="auto" w:sz="4" w:space="0"/>
              <w:right w:val="single" w:color="auto" w:sz="4" w:space="0"/>
            </w:tcBorders>
            <w:noWrap/>
            <w:vAlign w:val="center"/>
          </w:tcPr>
          <w:p w14:paraId="622D0B00">
            <w:pPr>
              <w:keepNext/>
              <w:snapToGrid w:val="0"/>
              <w:jc w:val="center"/>
              <w:rPr>
                <w:rFonts w:hint="default"/>
                <w:color w:val="000000"/>
                <w:sz w:val="22"/>
                <w:szCs w:val="22"/>
              </w:rPr>
            </w:pPr>
            <w:r>
              <w:rPr>
                <w:color w:val="000000"/>
                <w:sz w:val="22"/>
                <w:szCs w:val="22"/>
              </w:rPr>
              <w:t>202</w:t>
            </w:r>
            <w:r>
              <w:rPr>
                <w:rFonts w:hint="default"/>
                <w:color w:val="000000"/>
                <w:sz w:val="22"/>
                <w:szCs w:val="22"/>
              </w:rPr>
              <w:t>4</w:t>
            </w:r>
          </w:p>
        </w:tc>
        <w:tc>
          <w:tcPr>
            <w:tcW w:w="696" w:type="dxa"/>
            <w:tcBorders>
              <w:top w:val="nil"/>
              <w:left w:val="nil"/>
              <w:bottom w:val="single" w:color="auto" w:sz="4" w:space="0"/>
              <w:right w:val="single" w:color="auto" w:sz="4" w:space="0"/>
            </w:tcBorders>
            <w:noWrap/>
            <w:vAlign w:val="center"/>
          </w:tcPr>
          <w:p w14:paraId="6E24103B">
            <w:pPr>
              <w:keepNext/>
              <w:snapToGrid w:val="0"/>
              <w:jc w:val="center"/>
              <w:rPr>
                <w:rFonts w:hint="default" w:ascii="方正仿宋_GBK" w:hAnsi="等线" w:eastAsia="方正仿宋_GBK"/>
                <w:color w:val="000000"/>
                <w:sz w:val="22"/>
                <w:szCs w:val="22"/>
              </w:rPr>
            </w:pPr>
            <w:r>
              <w:rPr>
                <w:rFonts w:ascii="方正仿宋_GBK" w:hAnsi="等线" w:eastAsia="方正仿宋_GBK"/>
                <w:color w:val="000000"/>
                <w:sz w:val="22"/>
                <w:szCs w:val="22"/>
              </w:rPr>
              <w:t>年</w:t>
            </w:r>
          </w:p>
        </w:tc>
        <w:tc>
          <w:tcPr>
            <w:tcW w:w="624" w:type="dxa"/>
            <w:tcBorders>
              <w:top w:val="nil"/>
              <w:left w:val="nil"/>
              <w:bottom w:val="single" w:color="auto" w:sz="4" w:space="0"/>
              <w:right w:val="single" w:color="auto" w:sz="4" w:space="0"/>
            </w:tcBorders>
            <w:noWrap/>
            <w:vAlign w:val="center"/>
          </w:tcPr>
          <w:p w14:paraId="79A94165">
            <w:pPr>
              <w:keepNext/>
              <w:snapToGrid w:val="0"/>
              <w:jc w:val="center"/>
              <w:rPr>
                <w:rFonts w:hint="default"/>
                <w:color w:val="000000"/>
                <w:sz w:val="22"/>
                <w:szCs w:val="22"/>
              </w:rPr>
            </w:pPr>
            <w:r>
              <w:rPr>
                <w:rFonts w:hint="default"/>
                <w:color w:val="000000"/>
                <w:sz w:val="22"/>
                <w:szCs w:val="22"/>
              </w:rPr>
              <w:t>10</w:t>
            </w:r>
          </w:p>
        </w:tc>
        <w:tc>
          <w:tcPr>
            <w:tcW w:w="828" w:type="dxa"/>
            <w:tcBorders>
              <w:top w:val="nil"/>
              <w:left w:val="nil"/>
              <w:bottom w:val="single" w:color="auto" w:sz="4" w:space="0"/>
              <w:right w:val="single" w:color="auto" w:sz="4" w:space="0"/>
            </w:tcBorders>
            <w:noWrap/>
            <w:vAlign w:val="center"/>
          </w:tcPr>
          <w:p w14:paraId="1D3EDF18">
            <w:pPr>
              <w:keepNext/>
              <w:snapToGrid w:val="0"/>
              <w:jc w:val="center"/>
              <w:rPr>
                <w:rFonts w:hint="default"/>
                <w:color w:val="000000"/>
                <w:sz w:val="22"/>
                <w:szCs w:val="22"/>
              </w:rPr>
            </w:pPr>
            <w:r>
              <w:rPr>
                <w:color w:val="000000"/>
                <w:sz w:val="22"/>
                <w:szCs w:val="22"/>
              </w:rPr>
              <w:t>100</w:t>
            </w:r>
          </w:p>
        </w:tc>
        <w:tc>
          <w:tcPr>
            <w:tcW w:w="624" w:type="dxa"/>
            <w:tcBorders>
              <w:top w:val="nil"/>
              <w:left w:val="nil"/>
              <w:bottom w:val="single" w:color="auto" w:sz="4" w:space="0"/>
              <w:right w:val="single" w:color="auto" w:sz="4" w:space="0"/>
            </w:tcBorders>
            <w:noWrap/>
            <w:vAlign w:val="center"/>
          </w:tcPr>
          <w:p w14:paraId="2A4BF56F">
            <w:pPr>
              <w:keepNext/>
              <w:snapToGrid w:val="0"/>
              <w:jc w:val="both"/>
              <w:rPr>
                <w:rFonts w:hint="default"/>
                <w:color w:val="000000"/>
                <w:sz w:val="22"/>
                <w:szCs w:val="22"/>
              </w:rPr>
            </w:pPr>
            <w:r>
              <w:rPr>
                <w:rFonts w:hint="default"/>
                <w:color w:val="000000"/>
                <w:sz w:val="22"/>
                <w:szCs w:val="22"/>
              </w:rPr>
              <w:t>10</w:t>
            </w:r>
          </w:p>
        </w:tc>
        <w:tc>
          <w:tcPr>
            <w:tcW w:w="420" w:type="dxa"/>
            <w:tcBorders>
              <w:top w:val="nil"/>
              <w:left w:val="nil"/>
              <w:bottom w:val="single" w:color="auto" w:sz="4" w:space="0"/>
              <w:right w:val="single" w:color="auto" w:sz="4" w:space="0"/>
            </w:tcBorders>
            <w:noWrap/>
            <w:vAlign w:val="center"/>
          </w:tcPr>
          <w:p w14:paraId="1A3B066F">
            <w:pPr>
              <w:keepNext/>
              <w:snapToGrid w:val="0"/>
              <w:jc w:val="both"/>
              <w:rPr>
                <w:rFonts w:hint="default"/>
                <w:color w:val="000000"/>
                <w:sz w:val="22"/>
                <w:szCs w:val="22"/>
              </w:rPr>
            </w:pPr>
            <w:r>
              <w:rPr>
                <w:color w:val="000000"/>
                <w:sz w:val="22"/>
                <w:szCs w:val="22"/>
              </w:rPr>
              <w:t>　</w:t>
            </w:r>
          </w:p>
        </w:tc>
        <w:tc>
          <w:tcPr>
            <w:tcW w:w="632" w:type="dxa"/>
            <w:vMerge w:val="continue"/>
            <w:tcBorders>
              <w:top w:val="nil"/>
              <w:left w:val="single" w:color="auto" w:sz="4" w:space="0"/>
              <w:bottom w:val="single" w:color="auto" w:sz="4" w:space="0"/>
              <w:right w:val="single" w:color="auto" w:sz="4" w:space="0"/>
            </w:tcBorders>
            <w:vAlign w:val="center"/>
          </w:tcPr>
          <w:p w14:paraId="3B7CEF7E">
            <w:pPr>
              <w:keepNext/>
              <w:snapToGrid w:val="0"/>
              <w:rPr>
                <w:rFonts w:hint="default"/>
                <w:color w:val="000000"/>
                <w:sz w:val="22"/>
                <w:szCs w:val="22"/>
              </w:rPr>
            </w:pPr>
          </w:p>
        </w:tc>
      </w:tr>
      <w:tr w14:paraId="33424D89">
        <w:tblPrEx>
          <w:tblCellMar>
            <w:top w:w="40" w:type="dxa"/>
            <w:left w:w="64" w:type="dxa"/>
            <w:bottom w:w="40" w:type="dxa"/>
            <w:right w:w="64" w:type="dxa"/>
          </w:tblCellMar>
        </w:tblPrEx>
        <w:trPr>
          <w:trHeight w:val="0" w:hRule="atLeast"/>
          <w:jc w:val="center"/>
        </w:trPr>
        <w:tc>
          <w:tcPr>
            <w:tcW w:w="657" w:type="dxa"/>
            <w:vMerge w:val="continue"/>
            <w:tcBorders>
              <w:top w:val="nil"/>
              <w:left w:val="single" w:color="auto" w:sz="4" w:space="0"/>
              <w:bottom w:val="single" w:color="auto" w:sz="4" w:space="0"/>
              <w:right w:val="single" w:color="auto" w:sz="4" w:space="0"/>
            </w:tcBorders>
            <w:vAlign w:val="center"/>
          </w:tcPr>
          <w:p w14:paraId="2F5A0C50">
            <w:pPr>
              <w:keepNext/>
              <w:snapToGrid w:val="0"/>
              <w:rPr>
                <w:rFonts w:hint="default" w:ascii="Times New Roman" w:hAnsi="Times New Roman" w:eastAsia="等线"/>
                <w:color w:val="000000"/>
                <w:sz w:val="22"/>
                <w:szCs w:val="22"/>
              </w:rPr>
            </w:pPr>
          </w:p>
        </w:tc>
        <w:tc>
          <w:tcPr>
            <w:tcW w:w="1812" w:type="dxa"/>
            <w:vMerge w:val="continue"/>
            <w:tcBorders>
              <w:top w:val="nil"/>
              <w:left w:val="single" w:color="auto" w:sz="4" w:space="0"/>
              <w:bottom w:val="single" w:color="auto" w:sz="4" w:space="0"/>
              <w:right w:val="single" w:color="auto" w:sz="4" w:space="0"/>
            </w:tcBorders>
            <w:vAlign w:val="center"/>
          </w:tcPr>
          <w:p w14:paraId="4581FE1D">
            <w:pPr>
              <w:keepNext/>
              <w:snapToGrid w:val="0"/>
              <w:rPr>
                <w:rFonts w:hint="default" w:ascii="方正仿宋_GBK" w:hAnsi="等线" w:eastAsia="方正仿宋_GBK"/>
                <w:color w:val="000000"/>
                <w:sz w:val="22"/>
                <w:szCs w:val="22"/>
              </w:rPr>
            </w:pPr>
          </w:p>
        </w:tc>
        <w:tc>
          <w:tcPr>
            <w:tcW w:w="1272" w:type="dxa"/>
            <w:tcBorders>
              <w:top w:val="nil"/>
              <w:left w:val="nil"/>
              <w:bottom w:val="single" w:color="auto" w:sz="4" w:space="0"/>
              <w:right w:val="single" w:color="auto" w:sz="4" w:space="0"/>
            </w:tcBorders>
            <w:vAlign w:val="center"/>
          </w:tcPr>
          <w:p w14:paraId="552FDB8F">
            <w:pPr>
              <w:keepNext/>
              <w:snapToGrid w:val="0"/>
              <w:rPr>
                <w:rFonts w:hint="default" w:ascii="方正仿宋_GBK" w:hAnsi="等线" w:eastAsia="方正仿宋_GBK"/>
                <w:color w:val="000000"/>
                <w:sz w:val="22"/>
                <w:szCs w:val="22"/>
              </w:rPr>
            </w:pPr>
            <w:r>
              <w:rPr>
                <w:rFonts w:ascii="方正仿宋_GBK" w:hAnsi="等线" w:eastAsia="方正仿宋_GBK"/>
                <w:color w:val="000000"/>
                <w:sz w:val="22"/>
                <w:szCs w:val="22"/>
              </w:rPr>
              <w:t>指标金额</w:t>
            </w:r>
          </w:p>
        </w:tc>
        <w:tc>
          <w:tcPr>
            <w:tcW w:w="672" w:type="dxa"/>
            <w:tcBorders>
              <w:top w:val="nil"/>
              <w:left w:val="nil"/>
              <w:bottom w:val="single" w:color="auto" w:sz="4" w:space="0"/>
              <w:right w:val="single" w:color="auto" w:sz="4" w:space="0"/>
            </w:tcBorders>
            <w:noWrap/>
            <w:vAlign w:val="center"/>
          </w:tcPr>
          <w:p w14:paraId="6564B94E">
            <w:pPr>
              <w:keepNext/>
              <w:snapToGrid w:val="0"/>
              <w:jc w:val="center"/>
              <w:rPr>
                <w:rFonts w:hint="default" w:ascii="方正仿宋_GBK" w:hAnsi="等线" w:eastAsia="方正仿宋_GBK"/>
                <w:color w:val="000000"/>
                <w:sz w:val="22"/>
                <w:szCs w:val="22"/>
              </w:rPr>
            </w:pPr>
            <w:r>
              <w:rPr>
                <w:rFonts w:ascii="方正仿宋_GBK" w:hAnsi="等线" w:eastAsia="方正仿宋_GBK"/>
                <w:color w:val="000000"/>
                <w:sz w:val="22"/>
                <w:szCs w:val="22"/>
              </w:rPr>
              <w:t>＝</w:t>
            </w:r>
          </w:p>
        </w:tc>
        <w:tc>
          <w:tcPr>
            <w:tcW w:w="744" w:type="dxa"/>
            <w:tcBorders>
              <w:top w:val="nil"/>
              <w:left w:val="nil"/>
              <w:bottom w:val="single" w:color="auto" w:sz="4" w:space="0"/>
              <w:right w:val="single" w:color="auto" w:sz="4" w:space="0"/>
            </w:tcBorders>
            <w:noWrap/>
            <w:vAlign w:val="center"/>
          </w:tcPr>
          <w:p w14:paraId="441090D1">
            <w:pPr>
              <w:keepNext/>
              <w:snapToGrid w:val="0"/>
              <w:jc w:val="center"/>
              <w:rPr>
                <w:rFonts w:hint="default"/>
                <w:color w:val="000000"/>
                <w:sz w:val="22"/>
                <w:szCs w:val="22"/>
              </w:rPr>
            </w:pPr>
            <w:r>
              <w:rPr>
                <w:rFonts w:hint="default"/>
                <w:color w:val="000000"/>
                <w:sz w:val="22"/>
                <w:szCs w:val="22"/>
              </w:rPr>
              <w:t>25200</w:t>
            </w:r>
          </w:p>
        </w:tc>
        <w:tc>
          <w:tcPr>
            <w:tcW w:w="696" w:type="dxa"/>
            <w:tcBorders>
              <w:top w:val="nil"/>
              <w:left w:val="nil"/>
              <w:bottom w:val="single" w:color="auto" w:sz="4" w:space="0"/>
              <w:right w:val="single" w:color="auto" w:sz="4" w:space="0"/>
            </w:tcBorders>
            <w:noWrap/>
            <w:vAlign w:val="center"/>
          </w:tcPr>
          <w:p w14:paraId="02ACCF8D">
            <w:pPr>
              <w:keepNext/>
              <w:snapToGrid w:val="0"/>
              <w:jc w:val="center"/>
              <w:rPr>
                <w:rFonts w:hint="default" w:ascii="方正仿宋_GBK" w:hAnsi="等线" w:eastAsia="方正仿宋_GBK"/>
                <w:color w:val="000000"/>
                <w:sz w:val="22"/>
                <w:szCs w:val="22"/>
              </w:rPr>
            </w:pPr>
            <w:r>
              <w:rPr>
                <w:rFonts w:ascii="方正仿宋_GBK" w:hAnsi="等线" w:eastAsia="方正仿宋_GBK"/>
                <w:color w:val="000000"/>
                <w:sz w:val="22"/>
                <w:szCs w:val="22"/>
              </w:rPr>
              <w:t>元</w:t>
            </w:r>
          </w:p>
        </w:tc>
        <w:tc>
          <w:tcPr>
            <w:tcW w:w="624" w:type="dxa"/>
            <w:tcBorders>
              <w:top w:val="nil"/>
              <w:left w:val="nil"/>
              <w:bottom w:val="single" w:color="auto" w:sz="4" w:space="0"/>
              <w:right w:val="single" w:color="auto" w:sz="4" w:space="0"/>
            </w:tcBorders>
            <w:noWrap/>
            <w:vAlign w:val="center"/>
          </w:tcPr>
          <w:p w14:paraId="1891DAC6">
            <w:pPr>
              <w:keepNext/>
              <w:snapToGrid w:val="0"/>
              <w:jc w:val="center"/>
              <w:rPr>
                <w:rFonts w:hint="default"/>
                <w:color w:val="000000"/>
                <w:sz w:val="22"/>
                <w:szCs w:val="22"/>
              </w:rPr>
            </w:pPr>
            <w:r>
              <w:rPr>
                <w:rFonts w:hint="default"/>
                <w:color w:val="000000"/>
                <w:sz w:val="22"/>
                <w:szCs w:val="22"/>
              </w:rPr>
              <w:t>20</w:t>
            </w:r>
          </w:p>
        </w:tc>
        <w:tc>
          <w:tcPr>
            <w:tcW w:w="828" w:type="dxa"/>
            <w:tcBorders>
              <w:top w:val="nil"/>
              <w:left w:val="nil"/>
              <w:bottom w:val="single" w:color="auto" w:sz="4" w:space="0"/>
              <w:right w:val="single" w:color="auto" w:sz="4" w:space="0"/>
            </w:tcBorders>
            <w:noWrap/>
            <w:vAlign w:val="center"/>
          </w:tcPr>
          <w:p w14:paraId="0ABD3426">
            <w:pPr>
              <w:keepNext/>
              <w:snapToGrid w:val="0"/>
              <w:jc w:val="center"/>
              <w:rPr>
                <w:rFonts w:hint="default"/>
                <w:color w:val="000000"/>
                <w:sz w:val="22"/>
                <w:szCs w:val="22"/>
              </w:rPr>
            </w:pPr>
            <w:r>
              <w:rPr>
                <w:color w:val="000000"/>
                <w:sz w:val="22"/>
                <w:szCs w:val="22"/>
              </w:rPr>
              <w:t>100</w:t>
            </w:r>
          </w:p>
        </w:tc>
        <w:tc>
          <w:tcPr>
            <w:tcW w:w="624" w:type="dxa"/>
            <w:tcBorders>
              <w:top w:val="nil"/>
              <w:left w:val="nil"/>
              <w:bottom w:val="single" w:color="auto" w:sz="4" w:space="0"/>
              <w:right w:val="single" w:color="auto" w:sz="4" w:space="0"/>
            </w:tcBorders>
            <w:noWrap/>
            <w:vAlign w:val="center"/>
          </w:tcPr>
          <w:p w14:paraId="64B6F5FB">
            <w:pPr>
              <w:keepNext/>
              <w:snapToGrid w:val="0"/>
              <w:jc w:val="both"/>
              <w:rPr>
                <w:rFonts w:hint="default"/>
                <w:color w:val="000000"/>
                <w:sz w:val="22"/>
                <w:szCs w:val="22"/>
              </w:rPr>
            </w:pPr>
            <w:r>
              <w:rPr>
                <w:rFonts w:hint="default"/>
                <w:color w:val="000000"/>
                <w:sz w:val="22"/>
                <w:szCs w:val="22"/>
              </w:rPr>
              <w:t>20</w:t>
            </w:r>
          </w:p>
        </w:tc>
        <w:tc>
          <w:tcPr>
            <w:tcW w:w="420" w:type="dxa"/>
            <w:tcBorders>
              <w:top w:val="nil"/>
              <w:left w:val="nil"/>
              <w:bottom w:val="single" w:color="auto" w:sz="4" w:space="0"/>
              <w:right w:val="single" w:color="auto" w:sz="4" w:space="0"/>
            </w:tcBorders>
            <w:noWrap/>
            <w:vAlign w:val="center"/>
          </w:tcPr>
          <w:p w14:paraId="7C09BF52">
            <w:pPr>
              <w:keepNext/>
              <w:snapToGrid w:val="0"/>
              <w:jc w:val="both"/>
              <w:rPr>
                <w:rFonts w:hint="default"/>
                <w:color w:val="000000"/>
                <w:sz w:val="22"/>
                <w:szCs w:val="22"/>
              </w:rPr>
            </w:pPr>
            <w:r>
              <w:rPr>
                <w:color w:val="000000"/>
                <w:sz w:val="22"/>
                <w:szCs w:val="22"/>
              </w:rPr>
              <w:t>　</w:t>
            </w:r>
          </w:p>
        </w:tc>
        <w:tc>
          <w:tcPr>
            <w:tcW w:w="632" w:type="dxa"/>
            <w:vMerge w:val="continue"/>
            <w:tcBorders>
              <w:top w:val="nil"/>
              <w:left w:val="single" w:color="auto" w:sz="4" w:space="0"/>
              <w:bottom w:val="single" w:color="auto" w:sz="4" w:space="0"/>
              <w:right w:val="single" w:color="auto" w:sz="4" w:space="0"/>
            </w:tcBorders>
            <w:vAlign w:val="center"/>
          </w:tcPr>
          <w:p w14:paraId="7AFBC840">
            <w:pPr>
              <w:keepNext/>
              <w:snapToGrid w:val="0"/>
              <w:rPr>
                <w:rFonts w:hint="default"/>
                <w:color w:val="000000"/>
                <w:sz w:val="22"/>
                <w:szCs w:val="22"/>
              </w:rPr>
            </w:pPr>
          </w:p>
        </w:tc>
      </w:tr>
      <w:tr w14:paraId="24B1DD95">
        <w:tblPrEx>
          <w:tblCellMar>
            <w:top w:w="40" w:type="dxa"/>
            <w:left w:w="64" w:type="dxa"/>
            <w:bottom w:w="40" w:type="dxa"/>
            <w:right w:w="64" w:type="dxa"/>
          </w:tblCellMar>
        </w:tblPrEx>
        <w:trPr>
          <w:trHeight w:val="0" w:hRule="atLeast"/>
          <w:jc w:val="center"/>
        </w:trPr>
        <w:tc>
          <w:tcPr>
            <w:tcW w:w="657" w:type="dxa"/>
            <w:vMerge w:val="continue"/>
            <w:tcBorders>
              <w:top w:val="nil"/>
              <w:left w:val="single" w:color="auto" w:sz="4" w:space="0"/>
              <w:bottom w:val="single" w:color="auto" w:sz="4" w:space="0"/>
              <w:right w:val="single" w:color="auto" w:sz="4" w:space="0"/>
            </w:tcBorders>
            <w:vAlign w:val="center"/>
          </w:tcPr>
          <w:p w14:paraId="0CA99446">
            <w:pPr>
              <w:keepNext/>
              <w:snapToGrid w:val="0"/>
              <w:rPr>
                <w:rFonts w:hint="default" w:ascii="Times New Roman" w:hAnsi="Times New Roman" w:eastAsia="等线"/>
                <w:color w:val="000000"/>
                <w:sz w:val="22"/>
                <w:szCs w:val="22"/>
              </w:rPr>
            </w:pPr>
          </w:p>
        </w:tc>
        <w:tc>
          <w:tcPr>
            <w:tcW w:w="1812" w:type="dxa"/>
            <w:vMerge w:val="continue"/>
            <w:tcBorders>
              <w:top w:val="nil"/>
              <w:left w:val="single" w:color="auto" w:sz="4" w:space="0"/>
              <w:bottom w:val="single" w:color="auto" w:sz="4" w:space="0"/>
              <w:right w:val="single" w:color="auto" w:sz="4" w:space="0"/>
            </w:tcBorders>
            <w:vAlign w:val="center"/>
          </w:tcPr>
          <w:p w14:paraId="08422174">
            <w:pPr>
              <w:keepNext/>
              <w:snapToGrid w:val="0"/>
              <w:rPr>
                <w:rFonts w:hint="default" w:ascii="方正仿宋_GBK" w:hAnsi="等线" w:eastAsia="方正仿宋_GBK"/>
                <w:color w:val="000000"/>
                <w:sz w:val="22"/>
                <w:szCs w:val="22"/>
              </w:rPr>
            </w:pPr>
          </w:p>
        </w:tc>
        <w:tc>
          <w:tcPr>
            <w:tcW w:w="1272" w:type="dxa"/>
            <w:tcBorders>
              <w:top w:val="nil"/>
              <w:left w:val="nil"/>
              <w:bottom w:val="single" w:color="auto" w:sz="4" w:space="0"/>
              <w:right w:val="single" w:color="auto" w:sz="4" w:space="0"/>
            </w:tcBorders>
            <w:vAlign w:val="center"/>
          </w:tcPr>
          <w:p w14:paraId="3E6D8401">
            <w:pPr>
              <w:keepNext/>
              <w:snapToGrid w:val="0"/>
              <w:rPr>
                <w:rFonts w:hint="default" w:ascii="方正仿宋_GBK" w:hAnsi="等线" w:eastAsia="方正仿宋_GBK"/>
                <w:color w:val="000000"/>
                <w:sz w:val="22"/>
                <w:szCs w:val="22"/>
              </w:rPr>
            </w:pPr>
            <w:r>
              <w:rPr>
                <w:rFonts w:ascii="方正仿宋_GBK" w:hAnsi="等线" w:eastAsia="方正仿宋_GBK"/>
                <w:color w:val="000000"/>
                <w:sz w:val="22"/>
                <w:szCs w:val="22"/>
              </w:rPr>
              <w:t>资助公示率</w:t>
            </w:r>
          </w:p>
        </w:tc>
        <w:tc>
          <w:tcPr>
            <w:tcW w:w="672" w:type="dxa"/>
            <w:tcBorders>
              <w:top w:val="nil"/>
              <w:left w:val="nil"/>
              <w:bottom w:val="single" w:color="auto" w:sz="4" w:space="0"/>
              <w:right w:val="single" w:color="auto" w:sz="4" w:space="0"/>
            </w:tcBorders>
            <w:noWrap/>
            <w:vAlign w:val="center"/>
          </w:tcPr>
          <w:p w14:paraId="2B66F0B4">
            <w:pPr>
              <w:keepNext/>
              <w:snapToGrid w:val="0"/>
              <w:jc w:val="center"/>
              <w:rPr>
                <w:rFonts w:hint="default" w:ascii="方正仿宋_GBK" w:hAnsi="等线" w:eastAsia="方正仿宋_GBK"/>
                <w:color w:val="000000"/>
                <w:sz w:val="22"/>
                <w:szCs w:val="22"/>
              </w:rPr>
            </w:pPr>
            <w:r>
              <w:rPr>
                <w:rFonts w:ascii="方正仿宋_GBK" w:hAnsi="等线" w:eastAsia="方正仿宋_GBK"/>
                <w:color w:val="000000"/>
                <w:sz w:val="22"/>
                <w:szCs w:val="22"/>
              </w:rPr>
              <w:t>＝</w:t>
            </w:r>
          </w:p>
        </w:tc>
        <w:tc>
          <w:tcPr>
            <w:tcW w:w="744" w:type="dxa"/>
            <w:tcBorders>
              <w:top w:val="nil"/>
              <w:left w:val="nil"/>
              <w:bottom w:val="single" w:color="auto" w:sz="4" w:space="0"/>
              <w:right w:val="single" w:color="auto" w:sz="4" w:space="0"/>
            </w:tcBorders>
            <w:noWrap/>
            <w:vAlign w:val="center"/>
          </w:tcPr>
          <w:p w14:paraId="1C6A7D32">
            <w:pPr>
              <w:keepNext/>
              <w:snapToGrid w:val="0"/>
              <w:jc w:val="center"/>
              <w:rPr>
                <w:rFonts w:hint="default"/>
                <w:color w:val="000000"/>
                <w:sz w:val="22"/>
                <w:szCs w:val="22"/>
              </w:rPr>
            </w:pPr>
            <w:r>
              <w:rPr>
                <w:color w:val="000000"/>
                <w:sz w:val="22"/>
                <w:szCs w:val="22"/>
              </w:rPr>
              <w:t>100</w:t>
            </w:r>
          </w:p>
        </w:tc>
        <w:tc>
          <w:tcPr>
            <w:tcW w:w="696" w:type="dxa"/>
            <w:tcBorders>
              <w:top w:val="nil"/>
              <w:left w:val="nil"/>
              <w:bottom w:val="single" w:color="auto" w:sz="4" w:space="0"/>
              <w:right w:val="single" w:color="auto" w:sz="4" w:space="0"/>
            </w:tcBorders>
            <w:noWrap/>
            <w:vAlign w:val="center"/>
          </w:tcPr>
          <w:p w14:paraId="6311A624">
            <w:pPr>
              <w:keepNext/>
              <w:snapToGrid w:val="0"/>
              <w:jc w:val="center"/>
              <w:rPr>
                <w:rFonts w:hint="default"/>
                <w:color w:val="000000"/>
                <w:sz w:val="22"/>
                <w:szCs w:val="22"/>
              </w:rPr>
            </w:pPr>
            <w:r>
              <w:rPr>
                <w:color w:val="000000"/>
                <w:sz w:val="22"/>
                <w:szCs w:val="22"/>
              </w:rPr>
              <w:t>%</w:t>
            </w:r>
          </w:p>
        </w:tc>
        <w:tc>
          <w:tcPr>
            <w:tcW w:w="624" w:type="dxa"/>
            <w:tcBorders>
              <w:top w:val="nil"/>
              <w:left w:val="nil"/>
              <w:bottom w:val="single" w:color="auto" w:sz="4" w:space="0"/>
              <w:right w:val="single" w:color="auto" w:sz="4" w:space="0"/>
            </w:tcBorders>
            <w:noWrap/>
            <w:vAlign w:val="center"/>
          </w:tcPr>
          <w:p w14:paraId="2CD04661">
            <w:pPr>
              <w:keepNext/>
              <w:snapToGrid w:val="0"/>
              <w:jc w:val="center"/>
              <w:rPr>
                <w:rFonts w:hint="eastAsia" w:eastAsia="宋体"/>
                <w:color w:val="000000"/>
                <w:sz w:val="22"/>
                <w:szCs w:val="22"/>
                <w:lang w:val="en-US" w:eastAsia="zh-CN"/>
              </w:rPr>
            </w:pPr>
            <w:r>
              <w:rPr>
                <w:color w:val="000000"/>
                <w:sz w:val="22"/>
                <w:szCs w:val="22"/>
              </w:rPr>
              <w:t>1</w:t>
            </w:r>
            <w:r>
              <w:rPr>
                <w:rFonts w:hint="eastAsia"/>
                <w:color w:val="000000"/>
                <w:sz w:val="22"/>
                <w:szCs w:val="22"/>
                <w:lang w:val="en-US" w:eastAsia="zh-CN"/>
              </w:rPr>
              <w:t>5</w:t>
            </w:r>
          </w:p>
        </w:tc>
        <w:tc>
          <w:tcPr>
            <w:tcW w:w="828" w:type="dxa"/>
            <w:tcBorders>
              <w:top w:val="nil"/>
              <w:left w:val="nil"/>
              <w:bottom w:val="single" w:color="auto" w:sz="4" w:space="0"/>
              <w:right w:val="single" w:color="auto" w:sz="4" w:space="0"/>
            </w:tcBorders>
            <w:noWrap/>
            <w:vAlign w:val="center"/>
          </w:tcPr>
          <w:p w14:paraId="72A82B77">
            <w:pPr>
              <w:keepNext/>
              <w:snapToGrid w:val="0"/>
              <w:jc w:val="center"/>
              <w:rPr>
                <w:rFonts w:hint="default"/>
                <w:color w:val="000000"/>
                <w:sz w:val="22"/>
                <w:szCs w:val="22"/>
              </w:rPr>
            </w:pPr>
            <w:r>
              <w:rPr>
                <w:color w:val="000000"/>
                <w:sz w:val="22"/>
                <w:szCs w:val="22"/>
              </w:rPr>
              <w:t>100</w:t>
            </w:r>
          </w:p>
        </w:tc>
        <w:tc>
          <w:tcPr>
            <w:tcW w:w="624" w:type="dxa"/>
            <w:tcBorders>
              <w:top w:val="nil"/>
              <w:left w:val="nil"/>
              <w:bottom w:val="single" w:color="auto" w:sz="4" w:space="0"/>
              <w:right w:val="single" w:color="auto" w:sz="4" w:space="0"/>
            </w:tcBorders>
            <w:noWrap/>
            <w:vAlign w:val="center"/>
          </w:tcPr>
          <w:p w14:paraId="6C740191">
            <w:pPr>
              <w:keepNext/>
              <w:snapToGrid w:val="0"/>
              <w:jc w:val="both"/>
              <w:rPr>
                <w:rFonts w:hint="eastAsia" w:eastAsia="宋体"/>
                <w:color w:val="000000"/>
                <w:sz w:val="22"/>
                <w:szCs w:val="22"/>
                <w:lang w:val="en-US" w:eastAsia="zh-CN"/>
              </w:rPr>
            </w:pPr>
            <w:r>
              <w:rPr>
                <w:color w:val="000000"/>
                <w:sz w:val="22"/>
                <w:szCs w:val="22"/>
              </w:rPr>
              <w:t>1</w:t>
            </w:r>
            <w:r>
              <w:rPr>
                <w:rFonts w:hint="eastAsia"/>
                <w:color w:val="000000"/>
                <w:sz w:val="22"/>
                <w:szCs w:val="22"/>
                <w:lang w:val="en-US" w:eastAsia="zh-CN"/>
              </w:rPr>
              <w:t>5</w:t>
            </w:r>
          </w:p>
        </w:tc>
        <w:tc>
          <w:tcPr>
            <w:tcW w:w="420" w:type="dxa"/>
            <w:tcBorders>
              <w:top w:val="nil"/>
              <w:left w:val="nil"/>
              <w:bottom w:val="single" w:color="auto" w:sz="4" w:space="0"/>
              <w:right w:val="single" w:color="auto" w:sz="4" w:space="0"/>
            </w:tcBorders>
            <w:noWrap/>
            <w:vAlign w:val="center"/>
          </w:tcPr>
          <w:p w14:paraId="00687267">
            <w:pPr>
              <w:keepNext/>
              <w:snapToGrid w:val="0"/>
              <w:jc w:val="both"/>
              <w:rPr>
                <w:rFonts w:hint="default"/>
                <w:color w:val="000000"/>
                <w:sz w:val="22"/>
                <w:szCs w:val="22"/>
              </w:rPr>
            </w:pPr>
            <w:r>
              <w:rPr>
                <w:color w:val="000000"/>
                <w:sz w:val="22"/>
                <w:szCs w:val="22"/>
              </w:rPr>
              <w:t>　</w:t>
            </w:r>
          </w:p>
        </w:tc>
        <w:tc>
          <w:tcPr>
            <w:tcW w:w="632" w:type="dxa"/>
            <w:vMerge w:val="continue"/>
            <w:tcBorders>
              <w:top w:val="nil"/>
              <w:left w:val="single" w:color="auto" w:sz="4" w:space="0"/>
              <w:bottom w:val="single" w:color="auto" w:sz="4" w:space="0"/>
              <w:right w:val="single" w:color="auto" w:sz="4" w:space="0"/>
            </w:tcBorders>
            <w:vAlign w:val="center"/>
          </w:tcPr>
          <w:p w14:paraId="6133F973">
            <w:pPr>
              <w:keepNext/>
              <w:snapToGrid w:val="0"/>
              <w:rPr>
                <w:rFonts w:hint="default"/>
                <w:color w:val="000000"/>
                <w:sz w:val="22"/>
                <w:szCs w:val="22"/>
              </w:rPr>
            </w:pPr>
          </w:p>
        </w:tc>
      </w:tr>
      <w:tr w14:paraId="43E3E353">
        <w:tblPrEx>
          <w:tblCellMar>
            <w:top w:w="40" w:type="dxa"/>
            <w:left w:w="64" w:type="dxa"/>
            <w:bottom w:w="40" w:type="dxa"/>
            <w:right w:w="64" w:type="dxa"/>
          </w:tblCellMar>
        </w:tblPrEx>
        <w:trPr>
          <w:trHeight w:val="0" w:hRule="atLeast"/>
          <w:jc w:val="center"/>
        </w:trPr>
        <w:tc>
          <w:tcPr>
            <w:tcW w:w="657" w:type="dxa"/>
            <w:vMerge w:val="continue"/>
            <w:tcBorders>
              <w:top w:val="nil"/>
              <w:left w:val="single" w:color="auto" w:sz="4" w:space="0"/>
              <w:bottom w:val="single" w:color="auto" w:sz="4" w:space="0"/>
              <w:right w:val="single" w:color="auto" w:sz="4" w:space="0"/>
            </w:tcBorders>
            <w:vAlign w:val="center"/>
          </w:tcPr>
          <w:p w14:paraId="10EE4F7F">
            <w:pPr>
              <w:keepNext/>
              <w:snapToGrid w:val="0"/>
              <w:rPr>
                <w:rFonts w:hint="default" w:ascii="Times New Roman" w:hAnsi="Times New Roman" w:eastAsia="等线"/>
                <w:color w:val="000000"/>
                <w:sz w:val="22"/>
                <w:szCs w:val="22"/>
              </w:rPr>
            </w:pPr>
          </w:p>
        </w:tc>
        <w:tc>
          <w:tcPr>
            <w:tcW w:w="1812" w:type="dxa"/>
            <w:vMerge w:val="continue"/>
            <w:tcBorders>
              <w:top w:val="nil"/>
              <w:left w:val="single" w:color="auto" w:sz="4" w:space="0"/>
              <w:bottom w:val="single" w:color="auto" w:sz="4" w:space="0"/>
              <w:right w:val="single" w:color="auto" w:sz="4" w:space="0"/>
            </w:tcBorders>
            <w:vAlign w:val="center"/>
          </w:tcPr>
          <w:p w14:paraId="1B0FA327">
            <w:pPr>
              <w:keepNext/>
              <w:snapToGrid w:val="0"/>
              <w:rPr>
                <w:rFonts w:hint="default" w:ascii="方正仿宋_GBK" w:hAnsi="等线" w:eastAsia="方正仿宋_GBK"/>
                <w:color w:val="000000"/>
                <w:sz w:val="22"/>
                <w:szCs w:val="22"/>
              </w:rPr>
            </w:pPr>
          </w:p>
        </w:tc>
        <w:tc>
          <w:tcPr>
            <w:tcW w:w="1272" w:type="dxa"/>
            <w:tcBorders>
              <w:top w:val="nil"/>
              <w:left w:val="nil"/>
              <w:bottom w:val="single" w:color="auto" w:sz="4" w:space="0"/>
              <w:right w:val="single" w:color="auto" w:sz="4" w:space="0"/>
            </w:tcBorders>
            <w:vAlign w:val="center"/>
          </w:tcPr>
          <w:p w14:paraId="1EEE9A33">
            <w:pPr>
              <w:keepNext/>
              <w:snapToGrid w:val="0"/>
              <w:rPr>
                <w:rFonts w:hint="default" w:ascii="方正仿宋_GBK" w:hAnsi="等线" w:eastAsia="方正仿宋_GBK"/>
                <w:color w:val="000000"/>
                <w:sz w:val="22"/>
                <w:szCs w:val="22"/>
              </w:rPr>
            </w:pPr>
            <w:r>
              <w:rPr>
                <w:rFonts w:ascii="方正仿宋_GBK" w:hAnsi="等线" w:eastAsia="方正仿宋_GBK"/>
                <w:color w:val="000000"/>
                <w:sz w:val="22"/>
                <w:szCs w:val="22"/>
              </w:rPr>
              <w:t>促进少年儿童健康成长</w:t>
            </w:r>
          </w:p>
        </w:tc>
        <w:tc>
          <w:tcPr>
            <w:tcW w:w="672" w:type="dxa"/>
            <w:tcBorders>
              <w:top w:val="nil"/>
              <w:left w:val="nil"/>
              <w:bottom w:val="single" w:color="auto" w:sz="4" w:space="0"/>
              <w:right w:val="single" w:color="auto" w:sz="4" w:space="0"/>
            </w:tcBorders>
            <w:noWrap/>
            <w:vAlign w:val="center"/>
          </w:tcPr>
          <w:p w14:paraId="569ADAC5">
            <w:pPr>
              <w:keepNext/>
              <w:snapToGrid w:val="0"/>
              <w:jc w:val="center"/>
              <w:rPr>
                <w:rFonts w:hint="default" w:ascii="方正仿宋_GBK" w:hAnsi="等线" w:eastAsia="方正仿宋_GBK"/>
                <w:color w:val="000000"/>
                <w:sz w:val="22"/>
                <w:szCs w:val="22"/>
              </w:rPr>
            </w:pPr>
            <w:r>
              <w:rPr>
                <w:rFonts w:ascii="方正仿宋_GBK" w:hAnsi="等线" w:eastAsia="方正仿宋_GBK"/>
                <w:color w:val="000000"/>
                <w:sz w:val="22"/>
                <w:szCs w:val="22"/>
              </w:rPr>
              <w:t>定性</w:t>
            </w:r>
          </w:p>
        </w:tc>
        <w:tc>
          <w:tcPr>
            <w:tcW w:w="744" w:type="dxa"/>
            <w:tcBorders>
              <w:top w:val="nil"/>
              <w:left w:val="nil"/>
              <w:bottom w:val="single" w:color="auto" w:sz="4" w:space="0"/>
              <w:right w:val="single" w:color="auto" w:sz="4" w:space="0"/>
            </w:tcBorders>
            <w:noWrap/>
            <w:vAlign w:val="center"/>
          </w:tcPr>
          <w:p w14:paraId="4919E8E8">
            <w:pPr>
              <w:keepNext/>
              <w:snapToGrid w:val="0"/>
              <w:jc w:val="center"/>
              <w:rPr>
                <w:rFonts w:hint="default" w:ascii="方正仿宋_GBK" w:hAnsi="等线" w:eastAsia="方正仿宋_GBK"/>
                <w:color w:val="000000"/>
                <w:sz w:val="22"/>
                <w:szCs w:val="22"/>
              </w:rPr>
            </w:pPr>
            <w:r>
              <w:rPr>
                <w:rFonts w:ascii="方正仿宋_GBK" w:hAnsi="等线" w:eastAsia="方正仿宋_GBK"/>
                <w:color w:val="000000"/>
                <w:sz w:val="22"/>
                <w:szCs w:val="22"/>
              </w:rPr>
              <w:t>好</w:t>
            </w:r>
          </w:p>
        </w:tc>
        <w:tc>
          <w:tcPr>
            <w:tcW w:w="696" w:type="dxa"/>
            <w:tcBorders>
              <w:top w:val="nil"/>
              <w:left w:val="nil"/>
              <w:bottom w:val="single" w:color="auto" w:sz="4" w:space="0"/>
              <w:right w:val="single" w:color="auto" w:sz="4" w:space="0"/>
            </w:tcBorders>
            <w:noWrap/>
            <w:vAlign w:val="center"/>
          </w:tcPr>
          <w:p w14:paraId="08EBF45C">
            <w:pPr>
              <w:keepNext/>
              <w:snapToGrid w:val="0"/>
              <w:jc w:val="center"/>
              <w:rPr>
                <w:rFonts w:hint="default"/>
                <w:color w:val="000000"/>
                <w:sz w:val="22"/>
                <w:szCs w:val="22"/>
              </w:rPr>
            </w:pPr>
            <w:r>
              <w:rPr>
                <w:color w:val="000000"/>
                <w:sz w:val="22"/>
                <w:szCs w:val="22"/>
              </w:rPr>
              <w:t>　</w:t>
            </w:r>
          </w:p>
        </w:tc>
        <w:tc>
          <w:tcPr>
            <w:tcW w:w="624" w:type="dxa"/>
            <w:tcBorders>
              <w:top w:val="nil"/>
              <w:left w:val="nil"/>
              <w:bottom w:val="single" w:color="auto" w:sz="4" w:space="0"/>
              <w:right w:val="single" w:color="auto" w:sz="4" w:space="0"/>
            </w:tcBorders>
            <w:noWrap/>
            <w:vAlign w:val="center"/>
          </w:tcPr>
          <w:p w14:paraId="62554C1A">
            <w:pPr>
              <w:keepNext/>
              <w:snapToGrid w:val="0"/>
              <w:jc w:val="center"/>
              <w:rPr>
                <w:rFonts w:hint="default"/>
                <w:color w:val="000000"/>
                <w:sz w:val="22"/>
                <w:szCs w:val="22"/>
              </w:rPr>
            </w:pPr>
            <w:r>
              <w:rPr>
                <w:rFonts w:hint="default"/>
                <w:color w:val="000000"/>
                <w:sz w:val="22"/>
                <w:szCs w:val="22"/>
              </w:rPr>
              <w:t>15</w:t>
            </w:r>
          </w:p>
        </w:tc>
        <w:tc>
          <w:tcPr>
            <w:tcW w:w="828" w:type="dxa"/>
            <w:tcBorders>
              <w:top w:val="nil"/>
              <w:left w:val="nil"/>
              <w:bottom w:val="single" w:color="auto" w:sz="4" w:space="0"/>
              <w:right w:val="single" w:color="auto" w:sz="4" w:space="0"/>
            </w:tcBorders>
            <w:noWrap/>
            <w:vAlign w:val="center"/>
          </w:tcPr>
          <w:p w14:paraId="0E2C61B7">
            <w:pPr>
              <w:keepNext/>
              <w:snapToGrid w:val="0"/>
              <w:jc w:val="center"/>
              <w:rPr>
                <w:rFonts w:hint="default"/>
                <w:color w:val="000000"/>
                <w:sz w:val="22"/>
                <w:szCs w:val="22"/>
              </w:rPr>
            </w:pPr>
            <w:r>
              <w:rPr>
                <w:color w:val="000000"/>
                <w:sz w:val="22"/>
                <w:szCs w:val="22"/>
              </w:rPr>
              <w:t>100</w:t>
            </w:r>
          </w:p>
        </w:tc>
        <w:tc>
          <w:tcPr>
            <w:tcW w:w="624" w:type="dxa"/>
            <w:tcBorders>
              <w:top w:val="nil"/>
              <w:left w:val="nil"/>
              <w:bottom w:val="single" w:color="auto" w:sz="4" w:space="0"/>
              <w:right w:val="single" w:color="auto" w:sz="4" w:space="0"/>
            </w:tcBorders>
            <w:noWrap/>
            <w:vAlign w:val="center"/>
          </w:tcPr>
          <w:p w14:paraId="3819B881">
            <w:pPr>
              <w:keepNext/>
              <w:snapToGrid w:val="0"/>
              <w:jc w:val="both"/>
              <w:rPr>
                <w:rFonts w:hint="default"/>
                <w:color w:val="000000"/>
                <w:sz w:val="22"/>
                <w:szCs w:val="22"/>
              </w:rPr>
            </w:pPr>
            <w:r>
              <w:rPr>
                <w:rFonts w:hint="default"/>
                <w:color w:val="000000"/>
                <w:sz w:val="22"/>
                <w:szCs w:val="22"/>
              </w:rPr>
              <w:t>15</w:t>
            </w:r>
          </w:p>
        </w:tc>
        <w:tc>
          <w:tcPr>
            <w:tcW w:w="420" w:type="dxa"/>
            <w:tcBorders>
              <w:top w:val="nil"/>
              <w:left w:val="nil"/>
              <w:bottom w:val="single" w:color="auto" w:sz="4" w:space="0"/>
              <w:right w:val="single" w:color="auto" w:sz="4" w:space="0"/>
            </w:tcBorders>
            <w:noWrap/>
            <w:vAlign w:val="center"/>
          </w:tcPr>
          <w:p w14:paraId="721450DF">
            <w:pPr>
              <w:keepNext/>
              <w:snapToGrid w:val="0"/>
              <w:jc w:val="both"/>
              <w:rPr>
                <w:rFonts w:hint="default"/>
                <w:color w:val="000000"/>
                <w:sz w:val="22"/>
                <w:szCs w:val="22"/>
              </w:rPr>
            </w:pPr>
            <w:r>
              <w:rPr>
                <w:color w:val="000000"/>
                <w:sz w:val="22"/>
                <w:szCs w:val="22"/>
              </w:rPr>
              <w:t>　</w:t>
            </w:r>
          </w:p>
        </w:tc>
        <w:tc>
          <w:tcPr>
            <w:tcW w:w="632" w:type="dxa"/>
            <w:vMerge w:val="continue"/>
            <w:tcBorders>
              <w:top w:val="nil"/>
              <w:left w:val="single" w:color="auto" w:sz="4" w:space="0"/>
              <w:bottom w:val="single" w:color="auto" w:sz="4" w:space="0"/>
              <w:right w:val="single" w:color="auto" w:sz="4" w:space="0"/>
            </w:tcBorders>
            <w:vAlign w:val="center"/>
          </w:tcPr>
          <w:p w14:paraId="49180F7D">
            <w:pPr>
              <w:keepNext/>
              <w:snapToGrid w:val="0"/>
              <w:rPr>
                <w:rFonts w:hint="default"/>
                <w:color w:val="000000"/>
                <w:sz w:val="22"/>
                <w:szCs w:val="22"/>
              </w:rPr>
            </w:pPr>
          </w:p>
        </w:tc>
      </w:tr>
      <w:tr w14:paraId="6C183D42">
        <w:tblPrEx>
          <w:tblCellMar>
            <w:top w:w="40" w:type="dxa"/>
            <w:left w:w="64" w:type="dxa"/>
            <w:bottom w:w="40" w:type="dxa"/>
            <w:right w:w="64" w:type="dxa"/>
          </w:tblCellMar>
        </w:tblPrEx>
        <w:trPr>
          <w:trHeight w:val="0" w:hRule="atLeast"/>
          <w:jc w:val="center"/>
        </w:trPr>
        <w:tc>
          <w:tcPr>
            <w:tcW w:w="657" w:type="dxa"/>
            <w:vMerge w:val="continue"/>
            <w:tcBorders>
              <w:top w:val="nil"/>
              <w:left w:val="single" w:color="auto" w:sz="4" w:space="0"/>
              <w:bottom w:val="single" w:color="auto" w:sz="4" w:space="0"/>
              <w:right w:val="single" w:color="auto" w:sz="4" w:space="0"/>
            </w:tcBorders>
            <w:vAlign w:val="center"/>
          </w:tcPr>
          <w:p w14:paraId="5303CF1D">
            <w:pPr>
              <w:keepNext/>
              <w:snapToGrid w:val="0"/>
              <w:rPr>
                <w:rFonts w:hint="default" w:ascii="Times New Roman" w:hAnsi="Times New Roman" w:eastAsia="等线"/>
                <w:color w:val="000000"/>
                <w:sz w:val="22"/>
                <w:szCs w:val="22"/>
              </w:rPr>
            </w:pPr>
          </w:p>
        </w:tc>
        <w:tc>
          <w:tcPr>
            <w:tcW w:w="1812" w:type="dxa"/>
            <w:vMerge w:val="continue"/>
            <w:tcBorders>
              <w:top w:val="nil"/>
              <w:left w:val="single" w:color="auto" w:sz="4" w:space="0"/>
              <w:bottom w:val="single" w:color="auto" w:sz="4" w:space="0"/>
              <w:right w:val="single" w:color="auto" w:sz="4" w:space="0"/>
            </w:tcBorders>
            <w:vAlign w:val="center"/>
          </w:tcPr>
          <w:p w14:paraId="676AAE84">
            <w:pPr>
              <w:keepNext/>
              <w:snapToGrid w:val="0"/>
              <w:rPr>
                <w:rFonts w:hint="default" w:ascii="方正仿宋_GBK" w:hAnsi="等线" w:eastAsia="方正仿宋_GBK"/>
                <w:color w:val="000000"/>
                <w:sz w:val="22"/>
                <w:szCs w:val="22"/>
              </w:rPr>
            </w:pPr>
          </w:p>
        </w:tc>
        <w:tc>
          <w:tcPr>
            <w:tcW w:w="1272" w:type="dxa"/>
            <w:tcBorders>
              <w:top w:val="nil"/>
              <w:left w:val="nil"/>
              <w:bottom w:val="single" w:color="auto" w:sz="4" w:space="0"/>
              <w:right w:val="single" w:color="auto" w:sz="4" w:space="0"/>
            </w:tcBorders>
            <w:vAlign w:val="center"/>
          </w:tcPr>
          <w:p w14:paraId="66B4A897">
            <w:pPr>
              <w:keepNext/>
              <w:snapToGrid w:val="0"/>
              <w:rPr>
                <w:rFonts w:hint="eastAsia" w:ascii="方正仿宋_GBK" w:hAnsi="等线" w:eastAsia="方正仿宋_GBK"/>
                <w:color w:val="000000"/>
                <w:sz w:val="22"/>
                <w:szCs w:val="22"/>
                <w:lang w:val="en-US" w:eastAsia="zh-CN"/>
              </w:rPr>
            </w:pPr>
            <w:r>
              <w:rPr>
                <w:rFonts w:hint="eastAsia" w:ascii="方正仿宋_GBK" w:hAnsi="等线" w:eastAsia="方正仿宋_GBK"/>
                <w:color w:val="000000"/>
                <w:sz w:val="22"/>
                <w:szCs w:val="22"/>
                <w:lang w:val="en-US" w:eastAsia="zh-CN"/>
              </w:rPr>
              <w:t>执行率</w:t>
            </w:r>
          </w:p>
        </w:tc>
        <w:tc>
          <w:tcPr>
            <w:tcW w:w="672" w:type="dxa"/>
            <w:tcBorders>
              <w:top w:val="nil"/>
              <w:left w:val="nil"/>
              <w:bottom w:val="single" w:color="auto" w:sz="4" w:space="0"/>
              <w:right w:val="single" w:color="auto" w:sz="4" w:space="0"/>
            </w:tcBorders>
            <w:noWrap/>
            <w:vAlign w:val="center"/>
          </w:tcPr>
          <w:p w14:paraId="413A216D">
            <w:pPr>
              <w:keepNext/>
              <w:snapToGrid w:val="0"/>
              <w:jc w:val="center"/>
              <w:rPr>
                <w:rFonts w:hint="eastAsia" w:ascii="方正仿宋_GBK" w:hAnsi="等线" w:eastAsia="方正仿宋_GBK"/>
                <w:color w:val="000000"/>
                <w:sz w:val="22"/>
                <w:szCs w:val="22"/>
                <w:lang w:val="en-US" w:eastAsia="zh-CN"/>
              </w:rPr>
            </w:pPr>
            <w:r>
              <w:rPr>
                <w:rFonts w:hint="eastAsia" w:ascii="方正仿宋_GBK" w:hAnsi="等线" w:eastAsia="方正仿宋_GBK"/>
                <w:color w:val="000000"/>
                <w:sz w:val="22"/>
                <w:szCs w:val="22"/>
                <w:lang w:val="en-US" w:eastAsia="zh-CN"/>
              </w:rPr>
              <w:t>=</w:t>
            </w:r>
          </w:p>
        </w:tc>
        <w:tc>
          <w:tcPr>
            <w:tcW w:w="744" w:type="dxa"/>
            <w:tcBorders>
              <w:top w:val="nil"/>
              <w:left w:val="nil"/>
              <w:bottom w:val="single" w:color="auto" w:sz="4" w:space="0"/>
              <w:right w:val="single" w:color="auto" w:sz="4" w:space="0"/>
            </w:tcBorders>
            <w:noWrap/>
            <w:vAlign w:val="center"/>
          </w:tcPr>
          <w:p w14:paraId="7ECC201E">
            <w:pPr>
              <w:keepNext/>
              <w:snapToGrid w:val="0"/>
              <w:jc w:val="center"/>
              <w:rPr>
                <w:rFonts w:hint="default" w:ascii="方正仿宋_GBK" w:hAnsi="等线" w:eastAsia="方正仿宋_GBK"/>
                <w:color w:val="000000"/>
                <w:sz w:val="22"/>
                <w:szCs w:val="22"/>
                <w:lang w:val="en-US" w:eastAsia="zh-CN"/>
              </w:rPr>
            </w:pPr>
            <w:r>
              <w:rPr>
                <w:rFonts w:hint="eastAsia" w:ascii="方正仿宋_GBK" w:hAnsi="等线" w:eastAsia="方正仿宋_GBK"/>
                <w:color w:val="000000"/>
                <w:sz w:val="22"/>
                <w:szCs w:val="22"/>
                <w:lang w:val="en-US" w:eastAsia="zh-CN"/>
              </w:rPr>
              <w:t>100</w:t>
            </w:r>
          </w:p>
        </w:tc>
        <w:tc>
          <w:tcPr>
            <w:tcW w:w="696" w:type="dxa"/>
            <w:tcBorders>
              <w:top w:val="nil"/>
              <w:left w:val="nil"/>
              <w:bottom w:val="single" w:color="auto" w:sz="4" w:space="0"/>
              <w:right w:val="single" w:color="auto" w:sz="4" w:space="0"/>
            </w:tcBorders>
            <w:noWrap/>
            <w:vAlign w:val="center"/>
          </w:tcPr>
          <w:p w14:paraId="548E2A0D">
            <w:pPr>
              <w:keepNext/>
              <w:snapToGrid w:val="0"/>
              <w:jc w:val="center"/>
              <w:rPr>
                <w:rFonts w:hint="eastAsia" w:eastAsia="宋体"/>
                <w:color w:val="000000"/>
                <w:sz w:val="22"/>
                <w:szCs w:val="22"/>
                <w:lang w:val="en-US" w:eastAsia="zh-CN"/>
              </w:rPr>
            </w:pPr>
            <w:r>
              <w:rPr>
                <w:rFonts w:hint="eastAsia"/>
                <w:color w:val="000000"/>
                <w:sz w:val="22"/>
                <w:szCs w:val="22"/>
                <w:lang w:val="en-US" w:eastAsia="zh-CN"/>
              </w:rPr>
              <w:t>%</w:t>
            </w:r>
          </w:p>
        </w:tc>
        <w:tc>
          <w:tcPr>
            <w:tcW w:w="624" w:type="dxa"/>
            <w:tcBorders>
              <w:top w:val="nil"/>
              <w:left w:val="nil"/>
              <w:bottom w:val="single" w:color="auto" w:sz="4" w:space="0"/>
              <w:right w:val="single" w:color="auto" w:sz="4" w:space="0"/>
            </w:tcBorders>
            <w:noWrap/>
            <w:vAlign w:val="center"/>
          </w:tcPr>
          <w:p w14:paraId="0318B8F7">
            <w:pPr>
              <w:keepNext/>
              <w:snapToGrid w:val="0"/>
              <w:jc w:val="center"/>
              <w:rPr>
                <w:rFonts w:hint="default" w:eastAsia="宋体"/>
                <w:color w:val="000000"/>
                <w:sz w:val="22"/>
                <w:szCs w:val="22"/>
                <w:lang w:val="en-US" w:eastAsia="zh-CN"/>
              </w:rPr>
            </w:pPr>
            <w:r>
              <w:rPr>
                <w:rFonts w:hint="eastAsia"/>
                <w:color w:val="000000"/>
                <w:sz w:val="22"/>
                <w:szCs w:val="22"/>
                <w:lang w:val="en-US" w:eastAsia="zh-CN"/>
              </w:rPr>
              <w:t>10</w:t>
            </w:r>
          </w:p>
        </w:tc>
        <w:tc>
          <w:tcPr>
            <w:tcW w:w="828" w:type="dxa"/>
            <w:tcBorders>
              <w:top w:val="nil"/>
              <w:left w:val="nil"/>
              <w:bottom w:val="single" w:color="auto" w:sz="4" w:space="0"/>
              <w:right w:val="single" w:color="auto" w:sz="4" w:space="0"/>
            </w:tcBorders>
            <w:noWrap/>
            <w:vAlign w:val="center"/>
          </w:tcPr>
          <w:p w14:paraId="04EADFD6">
            <w:pPr>
              <w:keepNext/>
              <w:snapToGrid w:val="0"/>
              <w:jc w:val="center"/>
              <w:rPr>
                <w:rFonts w:hint="default" w:eastAsia="宋体"/>
                <w:color w:val="000000"/>
                <w:sz w:val="22"/>
                <w:szCs w:val="22"/>
                <w:lang w:val="en-US" w:eastAsia="zh-CN"/>
              </w:rPr>
            </w:pPr>
            <w:r>
              <w:rPr>
                <w:rFonts w:hint="eastAsia"/>
                <w:color w:val="000000"/>
                <w:sz w:val="22"/>
                <w:szCs w:val="22"/>
                <w:lang w:val="en-US" w:eastAsia="zh-CN"/>
              </w:rPr>
              <w:t>100</w:t>
            </w:r>
          </w:p>
        </w:tc>
        <w:tc>
          <w:tcPr>
            <w:tcW w:w="624" w:type="dxa"/>
            <w:tcBorders>
              <w:top w:val="nil"/>
              <w:left w:val="nil"/>
              <w:bottom w:val="single" w:color="auto" w:sz="4" w:space="0"/>
              <w:right w:val="single" w:color="auto" w:sz="4" w:space="0"/>
            </w:tcBorders>
            <w:noWrap/>
            <w:vAlign w:val="center"/>
          </w:tcPr>
          <w:p w14:paraId="42A46EB2">
            <w:pPr>
              <w:keepNext/>
              <w:snapToGrid w:val="0"/>
              <w:jc w:val="both"/>
              <w:rPr>
                <w:rFonts w:hint="default" w:eastAsia="宋体"/>
                <w:color w:val="000000"/>
                <w:sz w:val="22"/>
                <w:szCs w:val="22"/>
                <w:lang w:val="en-US" w:eastAsia="zh-CN"/>
              </w:rPr>
            </w:pPr>
            <w:r>
              <w:rPr>
                <w:rFonts w:hint="eastAsia"/>
                <w:color w:val="000000"/>
                <w:sz w:val="22"/>
                <w:szCs w:val="22"/>
                <w:lang w:val="en-US" w:eastAsia="zh-CN"/>
              </w:rPr>
              <w:t>10</w:t>
            </w:r>
          </w:p>
        </w:tc>
        <w:tc>
          <w:tcPr>
            <w:tcW w:w="420" w:type="dxa"/>
            <w:tcBorders>
              <w:top w:val="nil"/>
              <w:left w:val="nil"/>
              <w:bottom w:val="single" w:color="auto" w:sz="4" w:space="0"/>
              <w:right w:val="single" w:color="auto" w:sz="4" w:space="0"/>
            </w:tcBorders>
            <w:noWrap/>
            <w:vAlign w:val="center"/>
          </w:tcPr>
          <w:p w14:paraId="3084B2FB">
            <w:pPr>
              <w:keepNext/>
              <w:snapToGrid w:val="0"/>
              <w:jc w:val="both"/>
              <w:rPr>
                <w:color w:val="000000"/>
                <w:sz w:val="22"/>
                <w:szCs w:val="22"/>
              </w:rPr>
            </w:pPr>
          </w:p>
        </w:tc>
        <w:tc>
          <w:tcPr>
            <w:tcW w:w="632" w:type="dxa"/>
            <w:vMerge w:val="continue"/>
            <w:tcBorders>
              <w:top w:val="nil"/>
              <w:left w:val="single" w:color="auto" w:sz="4" w:space="0"/>
              <w:bottom w:val="single" w:color="auto" w:sz="4" w:space="0"/>
              <w:right w:val="single" w:color="auto" w:sz="4" w:space="0"/>
            </w:tcBorders>
            <w:vAlign w:val="center"/>
          </w:tcPr>
          <w:p w14:paraId="31715B85">
            <w:pPr>
              <w:keepNext/>
              <w:snapToGrid w:val="0"/>
              <w:rPr>
                <w:rFonts w:hint="default"/>
                <w:color w:val="000000"/>
                <w:sz w:val="22"/>
                <w:szCs w:val="22"/>
              </w:rPr>
            </w:pPr>
          </w:p>
        </w:tc>
      </w:tr>
      <w:tr w14:paraId="3B0875C3">
        <w:tblPrEx>
          <w:tblCellMar>
            <w:top w:w="40" w:type="dxa"/>
            <w:left w:w="64" w:type="dxa"/>
            <w:bottom w:w="40" w:type="dxa"/>
            <w:right w:w="64" w:type="dxa"/>
          </w:tblCellMar>
        </w:tblPrEx>
        <w:trPr>
          <w:trHeight w:val="0" w:hRule="atLeast"/>
          <w:jc w:val="center"/>
        </w:trPr>
        <w:tc>
          <w:tcPr>
            <w:tcW w:w="657" w:type="dxa"/>
            <w:vMerge w:val="continue"/>
            <w:tcBorders>
              <w:top w:val="nil"/>
              <w:left w:val="single" w:color="auto" w:sz="4" w:space="0"/>
              <w:bottom w:val="single" w:color="auto" w:sz="4" w:space="0"/>
              <w:right w:val="single" w:color="auto" w:sz="4" w:space="0"/>
            </w:tcBorders>
            <w:vAlign w:val="center"/>
          </w:tcPr>
          <w:p w14:paraId="1167A537">
            <w:pPr>
              <w:keepNext/>
              <w:snapToGrid w:val="0"/>
              <w:rPr>
                <w:rFonts w:hint="default" w:ascii="Times New Roman" w:hAnsi="Times New Roman" w:eastAsia="等线"/>
                <w:color w:val="000000"/>
                <w:sz w:val="22"/>
                <w:szCs w:val="22"/>
              </w:rPr>
            </w:pPr>
          </w:p>
        </w:tc>
        <w:tc>
          <w:tcPr>
            <w:tcW w:w="1812" w:type="dxa"/>
            <w:vMerge w:val="continue"/>
            <w:tcBorders>
              <w:top w:val="nil"/>
              <w:left w:val="single" w:color="auto" w:sz="4" w:space="0"/>
              <w:bottom w:val="single" w:color="auto" w:sz="4" w:space="0"/>
              <w:right w:val="single" w:color="auto" w:sz="4" w:space="0"/>
            </w:tcBorders>
            <w:vAlign w:val="center"/>
          </w:tcPr>
          <w:p w14:paraId="56C5B5E0">
            <w:pPr>
              <w:keepNext/>
              <w:snapToGrid w:val="0"/>
              <w:rPr>
                <w:rFonts w:hint="default" w:ascii="方正仿宋_GBK" w:hAnsi="等线" w:eastAsia="方正仿宋_GBK"/>
                <w:color w:val="000000"/>
                <w:sz w:val="22"/>
                <w:szCs w:val="22"/>
              </w:rPr>
            </w:pPr>
          </w:p>
        </w:tc>
        <w:tc>
          <w:tcPr>
            <w:tcW w:w="1272" w:type="dxa"/>
            <w:tcBorders>
              <w:top w:val="nil"/>
              <w:left w:val="nil"/>
              <w:bottom w:val="single" w:color="auto" w:sz="4" w:space="0"/>
              <w:right w:val="single" w:color="auto" w:sz="4" w:space="0"/>
            </w:tcBorders>
            <w:vAlign w:val="center"/>
          </w:tcPr>
          <w:p w14:paraId="39024B91">
            <w:pPr>
              <w:keepNext/>
              <w:snapToGrid w:val="0"/>
              <w:rPr>
                <w:rFonts w:hint="default" w:ascii="方正仿宋_GBK" w:hAnsi="等线" w:eastAsia="方正仿宋_GBK"/>
                <w:color w:val="000000"/>
                <w:sz w:val="22"/>
                <w:szCs w:val="22"/>
              </w:rPr>
            </w:pPr>
            <w:r>
              <w:rPr>
                <w:rFonts w:ascii="方正仿宋_GBK" w:hAnsi="等线" w:eastAsia="方正仿宋_GBK"/>
                <w:color w:val="000000"/>
                <w:sz w:val="22"/>
                <w:szCs w:val="22"/>
              </w:rPr>
              <w:t>家长满意度</w:t>
            </w:r>
          </w:p>
        </w:tc>
        <w:tc>
          <w:tcPr>
            <w:tcW w:w="672" w:type="dxa"/>
            <w:tcBorders>
              <w:top w:val="nil"/>
              <w:left w:val="nil"/>
              <w:bottom w:val="single" w:color="auto" w:sz="4" w:space="0"/>
              <w:right w:val="single" w:color="auto" w:sz="4" w:space="0"/>
            </w:tcBorders>
            <w:noWrap/>
            <w:vAlign w:val="center"/>
          </w:tcPr>
          <w:p w14:paraId="1E500949">
            <w:pPr>
              <w:keepNext/>
              <w:snapToGrid w:val="0"/>
              <w:jc w:val="center"/>
              <w:rPr>
                <w:rFonts w:hint="default" w:ascii="方正仿宋_GBK" w:hAnsi="等线" w:eastAsia="方正仿宋_GBK"/>
                <w:color w:val="000000"/>
                <w:sz w:val="22"/>
                <w:szCs w:val="22"/>
              </w:rPr>
            </w:pPr>
            <w:r>
              <w:rPr>
                <w:rFonts w:ascii="方正仿宋_GBK" w:hAnsi="等线" w:eastAsia="方正仿宋_GBK"/>
                <w:color w:val="000000"/>
                <w:sz w:val="22"/>
                <w:szCs w:val="22"/>
              </w:rPr>
              <w:t>＞</w:t>
            </w:r>
          </w:p>
        </w:tc>
        <w:tc>
          <w:tcPr>
            <w:tcW w:w="744" w:type="dxa"/>
            <w:tcBorders>
              <w:top w:val="nil"/>
              <w:left w:val="nil"/>
              <w:bottom w:val="single" w:color="auto" w:sz="4" w:space="0"/>
              <w:right w:val="single" w:color="auto" w:sz="4" w:space="0"/>
            </w:tcBorders>
            <w:noWrap/>
            <w:vAlign w:val="center"/>
          </w:tcPr>
          <w:p w14:paraId="5E51399E">
            <w:pPr>
              <w:keepNext/>
              <w:snapToGrid w:val="0"/>
              <w:jc w:val="center"/>
              <w:rPr>
                <w:rFonts w:hint="default"/>
                <w:color w:val="000000"/>
                <w:sz w:val="22"/>
                <w:szCs w:val="22"/>
              </w:rPr>
            </w:pPr>
            <w:r>
              <w:rPr>
                <w:color w:val="000000"/>
                <w:sz w:val="22"/>
                <w:szCs w:val="22"/>
              </w:rPr>
              <w:t>95</w:t>
            </w:r>
          </w:p>
        </w:tc>
        <w:tc>
          <w:tcPr>
            <w:tcW w:w="696" w:type="dxa"/>
            <w:tcBorders>
              <w:top w:val="nil"/>
              <w:left w:val="nil"/>
              <w:bottom w:val="single" w:color="auto" w:sz="4" w:space="0"/>
              <w:right w:val="single" w:color="auto" w:sz="4" w:space="0"/>
            </w:tcBorders>
            <w:noWrap/>
            <w:vAlign w:val="center"/>
          </w:tcPr>
          <w:p w14:paraId="721D3834">
            <w:pPr>
              <w:keepNext/>
              <w:snapToGrid w:val="0"/>
              <w:jc w:val="center"/>
              <w:rPr>
                <w:rFonts w:hint="default"/>
                <w:color w:val="000000"/>
                <w:sz w:val="22"/>
                <w:szCs w:val="22"/>
              </w:rPr>
            </w:pPr>
            <w:r>
              <w:rPr>
                <w:color w:val="000000"/>
                <w:sz w:val="22"/>
                <w:szCs w:val="22"/>
              </w:rPr>
              <w:t>%</w:t>
            </w:r>
          </w:p>
        </w:tc>
        <w:tc>
          <w:tcPr>
            <w:tcW w:w="624" w:type="dxa"/>
            <w:tcBorders>
              <w:top w:val="nil"/>
              <w:left w:val="nil"/>
              <w:bottom w:val="single" w:color="auto" w:sz="4" w:space="0"/>
              <w:right w:val="single" w:color="auto" w:sz="4" w:space="0"/>
            </w:tcBorders>
            <w:noWrap/>
            <w:vAlign w:val="center"/>
          </w:tcPr>
          <w:p w14:paraId="3E0DB75F">
            <w:pPr>
              <w:keepNext/>
              <w:snapToGrid w:val="0"/>
              <w:jc w:val="center"/>
              <w:rPr>
                <w:rFonts w:hint="default"/>
                <w:color w:val="000000"/>
                <w:sz w:val="22"/>
                <w:szCs w:val="22"/>
              </w:rPr>
            </w:pPr>
            <w:r>
              <w:rPr>
                <w:color w:val="000000"/>
                <w:sz w:val="22"/>
                <w:szCs w:val="22"/>
              </w:rPr>
              <w:t>10</w:t>
            </w:r>
          </w:p>
        </w:tc>
        <w:tc>
          <w:tcPr>
            <w:tcW w:w="828" w:type="dxa"/>
            <w:tcBorders>
              <w:top w:val="nil"/>
              <w:left w:val="nil"/>
              <w:bottom w:val="single" w:color="auto" w:sz="4" w:space="0"/>
              <w:right w:val="single" w:color="auto" w:sz="4" w:space="0"/>
            </w:tcBorders>
            <w:noWrap/>
            <w:vAlign w:val="center"/>
          </w:tcPr>
          <w:p w14:paraId="1D9953DF">
            <w:pPr>
              <w:keepNext/>
              <w:snapToGrid w:val="0"/>
              <w:jc w:val="center"/>
              <w:rPr>
                <w:rFonts w:hint="default"/>
                <w:color w:val="000000"/>
                <w:sz w:val="22"/>
                <w:szCs w:val="22"/>
              </w:rPr>
            </w:pPr>
            <w:r>
              <w:rPr>
                <w:color w:val="000000"/>
                <w:sz w:val="22"/>
                <w:szCs w:val="22"/>
              </w:rPr>
              <w:t>100</w:t>
            </w:r>
          </w:p>
        </w:tc>
        <w:tc>
          <w:tcPr>
            <w:tcW w:w="624" w:type="dxa"/>
            <w:tcBorders>
              <w:top w:val="nil"/>
              <w:left w:val="nil"/>
              <w:bottom w:val="single" w:color="auto" w:sz="4" w:space="0"/>
              <w:right w:val="single" w:color="auto" w:sz="4" w:space="0"/>
            </w:tcBorders>
            <w:noWrap/>
            <w:vAlign w:val="center"/>
          </w:tcPr>
          <w:p w14:paraId="7C602CC9">
            <w:pPr>
              <w:keepNext/>
              <w:snapToGrid w:val="0"/>
              <w:jc w:val="both"/>
              <w:rPr>
                <w:rFonts w:hint="default"/>
                <w:color w:val="000000"/>
                <w:sz w:val="22"/>
                <w:szCs w:val="22"/>
              </w:rPr>
            </w:pPr>
            <w:r>
              <w:rPr>
                <w:color w:val="000000"/>
                <w:sz w:val="22"/>
                <w:szCs w:val="22"/>
              </w:rPr>
              <w:t>10</w:t>
            </w:r>
          </w:p>
        </w:tc>
        <w:tc>
          <w:tcPr>
            <w:tcW w:w="420" w:type="dxa"/>
            <w:tcBorders>
              <w:top w:val="nil"/>
              <w:left w:val="nil"/>
              <w:bottom w:val="single" w:color="auto" w:sz="4" w:space="0"/>
              <w:right w:val="single" w:color="auto" w:sz="4" w:space="0"/>
            </w:tcBorders>
            <w:noWrap/>
            <w:vAlign w:val="center"/>
          </w:tcPr>
          <w:p w14:paraId="12C9C40C">
            <w:pPr>
              <w:keepNext/>
              <w:snapToGrid w:val="0"/>
              <w:jc w:val="both"/>
              <w:rPr>
                <w:rFonts w:hint="default"/>
                <w:color w:val="000000"/>
                <w:sz w:val="22"/>
                <w:szCs w:val="22"/>
              </w:rPr>
            </w:pPr>
            <w:r>
              <w:rPr>
                <w:color w:val="000000"/>
                <w:sz w:val="22"/>
                <w:szCs w:val="22"/>
              </w:rPr>
              <w:t>　</w:t>
            </w:r>
          </w:p>
        </w:tc>
        <w:tc>
          <w:tcPr>
            <w:tcW w:w="632" w:type="dxa"/>
            <w:vMerge w:val="continue"/>
            <w:tcBorders>
              <w:top w:val="nil"/>
              <w:left w:val="single" w:color="auto" w:sz="4" w:space="0"/>
              <w:bottom w:val="single" w:color="auto" w:sz="4" w:space="0"/>
              <w:right w:val="single" w:color="auto" w:sz="4" w:space="0"/>
            </w:tcBorders>
            <w:vAlign w:val="center"/>
          </w:tcPr>
          <w:p w14:paraId="18FF7588">
            <w:pPr>
              <w:keepNext/>
              <w:snapToGrid w:val="0"/>
              <w:rPr>
                <w:rFonts w:hint="default"/>
                <w:color w:val="000000"/>
                <w:sz w:val="22"/>
                <w:szCs w:val="22"/>
              </w:rPr>
            </w:pPr>
          </w:p>
        </w:tc>
      </w:tr>
    </w:tbl>
    <w:p w14:paraId="069EF5B0">
      <w:pPr>
        <w:pStyle w:val="13"/>
        <w:keepNext w:val="0"/>
        <w:keepLines w:val="0"/>
        <w:pageBreakBefore w:val="0"/>
        <w:widowControl w:val="0"/>
        <w:kinsoku/>
        <w:wordWrap/>
        <w:overflowPunct/>
        <w:topLinePunct w:val="0"/>
        <w:autoSpaceDN/>
        <w:bidi w:val="0"/>
        <w:jc w:val="both"/>
        <w:textAlignment w:val="auto"/>
        <w:rPr>
          <w:rFonts w:ascii="Times New Roman" w:hAnsi="Times New Roman"/>
        </w:rPr>
      </w:pPr>
      <w:r>
        <w:rPr>
          <w:rFonts w:hint="eastAsia" w:ascii="Times New Roman" w:hAnsi="Times New Roman"/>
        </w:rPr>
        <w:t>（二）单位绩效评价情况</w:t>
      </w:r>
    </w:p>
    <w:p w14:paraId="1B2BBF5E">
      <w:pPr>
        <w:pStyle w:val="8"/>
        <w:keepNext w:val="0"/>
        <w:keepLines w:val="0"/>
        <w:pageBreakBefore w:val="0"/>
        <w:widowControl w:val="0"/>
        <w:shd w:val="clear" w:color="auto" w:fill="FFFFFF"/>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本校本年重点对2024年学前教育家庭经济困难幼儿资助专项补助进行绩效评价，涉及财政拨款项目资金2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52</w:t>
      </w:r>
      <w:r>
        <w:rPr>
          <w:rFonts w:hint="eastAsia" w:ascii="方正仿宋_GBK" w:hAnsi="方正仿宋_GBK" w:eastAsia="方正仿宋_GBK" w:cs="方正仿宋_GBK"/>
          <w:sz w:val="32"/>
          <w:szCs w:val="32"/>
          <w:lang w:val="en-US" w:eastAsia="zh-CN"/>
        </w:rPr>
        <w:t>万</w:t>
      </w:r>
      <w:r>
        <w:rPr>
          <w:rFonts w:hint="eastAsia" w:ascii="方正仿宋_GBK" w:hAnsi="方正仿宋_GBK" w:eastAsia="方正仿宋_GBK" w:cs="方正仿宋_GBK"/>
          <w:sz w:val="32"/>
          <w:szCs w:val="32"/>
        </w:rPr>
        <w:t>元，评价得分100分，评价等次优秀，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53D8AA15">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Style w:val="11"/>
          <w:rFonts w:hint="default" w:ascii="Times New Roman" w:hAnsi="Times New Roman" w:eastAsia="方正楷体_GBK" w:cs="楷体"/>
          <w:b w:val="0"/>
          <w:sz w:val="32"/>
          <w:szCs w:val="32"/>
          <w:shd w:val="clear" w:color="auto" w:fill="FFFFFF"/>
        </w:rPr>
      </w:pPr>
      <w:r>
        <w:rPr>
          <w:rStyle w:val="11"/>
          <w:rFonts w:ascii="Times New Roman" w:hAnsi="Times New Roman" w:eastAsia="方正楷体_GBK" w:cs="楷体"/>
          <w:b w:val="0"/>
          <w:sz w:val="32"/>
          <w:szCs w:val="32"/>
          <w:shd w:val="clear" w:color="auto" w:fill="FFFFFF"/>
        </w:rPr>
        <w:t>（三）财政绩效评价情况</w:t>
      </w:r>
    </w:p>
    <w:p w14:paraId="098B7DFF">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财政重点绩效评价工作由区财政局统一公开。</w:t>
      </w:r>
    </w:p>
    <w:p w14:paraId="62A59139">
      <w:pPr>
        <w:keepNext w:val="0"/>
        <w:keepLines w:val="0"/>
        <w:pageBreakBefore w:val="0"/>
        <w:widowControl w:val="0"/>
        <w:kinsoku/>
        <w:wordWrap/>
        <w:overflowPunct/>
        <w:topLinePunct w:val="0"/>
        <w:autoSpaceDN/>
        <w:bidi w:val="0"/>
        <w:spacing w:line="600" w:lineRule="exact"/>
        <w:ind w:firstLine="630"/>
        <w:jc w:val="both"/>
        <w:textAlignment w:val="auto"/>
        <w:rPr>
          <w:rStyle w:val="14"/>
          <w:rFonts w:hint="eastAsia" w:ascii="Times New Roman" w:hAnsi="Times New Roman" w:eastAsia="方正黑体_GBK" w:cs="方正仿宋_GBK"/>
          <w:b w:val="0"/>
          <w:sz w:val="32"/>
          <w:szCs w:val="32"/>
          <w:shd w:val="clear" w:color="auto" w:fill="FFFFFF"/>
        </w:rPr>
      </w:pPr>
      <w:r>
        <w:rPr>
          <w:rStyle w:val="14"/>
          <w:rFonts w:hint="eastAsia" w:ascii="Times New Roman" w:hAnsi="Times New Roman" w:eastAsia="方正黑体_GBK" w:cs="方正仿宋_GBK"/>
          <w:b w:val="0"/>
          <w:sz w:val="32"/>
          <w:szCs w:val="32"/>
          <w:shd w:val="clear" w:color="auto" w:fill="FFFFFF"/>
        </w:rPr>
        <w:t>六、专业名词解释</w:t>
      </w:r>
    </w:p>
    <w:p w14:paraId="74B02084">
      <w:pPr>
        <w:pStyle w:val="13"/>
        <w:keepNext w:val="0"/>
        <w:keepLines w:val="0"/>
        <w:pageBreakBefore w:val="0"/>
        <w:widowControl w:val="0"/>
        <w:kinsoku/>
        <w:wordWrap/>
        <w:overflowPunct/>
        <w:topLinePunct w:val="0"/>
        <w:autoSpaceDN/>
        <w:bidi w:val="0"/>
        <w:jc w:val="both"/>
        <w:textAlignment w:val="auto"/>
        <w:rPr>
          <w:rFonts w:ascii="Times New Roman" w:hAnsi="Times New Roman" w:eastAsia="方正仿宋_GBK" w:cs="楷体"/>
        </w:rPr>
      </w:pPr>
      <w:r>
        <w:rPr>
          <w:rStyle w:val="11"/>
          <w:rFonts w:hint="eastAsia" w:ascii="Times New Roman" w:hAnsi="Times New Roman" w:cs="楷体"/>
          <w:b w:val="0"/>
        </w:rPr>
        <w:t>（一）财政拨款收入</w:t>
      </w:r>
      <w:r>
        <w:rPr>
          <w:rStyle w:val="11"/>
          <w:rFonts w:hint="eastAsia" w:ascii="Times New Roman" w:hAnsi="Times New Roman" w:eastAsia="楷体" w:cs="楷体"/>
        </w:rPr>
        <w:t>：</w:t>
      </w:r>
      <w:r>
        <w:rPr>
          <w:rFonts w:hint="eastAsia" w:ascii="方正仿宋_GBK" w:hAnsi="方正仿宋_GBK" w:eastAsia="方正仿宋_GBK" w:cs="方正仿宋_GBK"/>
        </w:rPr>
        <w:t>指本年度从本级财政单位取得的财政拨款，包括一般公共预算财政拨款和政府性基金预算财政拨款。</w:t>
      </w:r>
    </w:p>
    <w:p w14:paraId="0DACE852">
      <w:pPr>
        <w:pStyle w:val="13"/>
        <w:keepNext w:val="0"/>
        <w:keepLines w:val="0"/>
        <w:pageBreakBefore w:val="0"/>
        <w:widowControl w:val="0"/>
        <w:kinsoku/>
        <w:wordWrap/>
        <w:overflowPunct/>
        <w:topLinePunct w:val="0"/>
        <w:autoSpaceDN/>
        <w:bidi w:val="0"/>
        <w:jc w:val="both"/>
        <w:textAlignment w:val="auto"/>
        <w:rPr>
          <w:rFonts w:hint="eastAsia" w:ascii="方正仿宋_GBK" w:hAnsi="方正仿宋_GBK" w:eastAsia="方正仿宋_GBK" w:cs="方正仿宋_GBK"/>
        </w:rPr>
      </w:pPr>
      <w:r>
        <w:rPr>
          <w:rStyle w:val="11"/>
          <w:rFonts w:hint="eastAsia" w:ascii="Times New Roman" w:hAnsi="Times New Roman" w:cs="楷体"/>
          <w:b w:val="0"/>
        </w:rPr>
        <w:t>（二）事业收入：</w:t>
      </w:r>
      <w:r>
        <w:rPr>
          <w:rFonts w:hint="eastAsia" w:ascii="方正仿宋_GBK" w:hAnsi="方正仿宋_GBK" w:eastAsia="方正仿宋_GBK" w:cs="方正仿宋_GBK"/>
        </w:rPr>
        <w:t>指事业单位开展专业业务活动及其辅助活动取得的现金流入；事业单位收到的财政专户实际核拨的教育收费等资金在此反映。</w:t>
      </w:r>
    </w:p>
    <w:p w14:paraId="0B408364">
      <w:pPr>
        <w:pStyle w:val="13"/>
        <w:keepNext w:val="0"/>
        <w:keepLines w:val="0"/>
        <w:pageBreakBefore w:val="0"/>
        <w:widowControl w:val="0"/>
        <w:kinsoku/>
        <w:wordWrap/>
        <w:overflowPunct/>
        <w:topLinePunct w:val="0"/>
        <w:autoSpaceDN/>
        <w:bidi w:val="0"/>
        <w:jc w:val="both"/>
        <w:textAlignment w:val="auto"/>
        <w:rPr>
          <w:rFonts w:ascii="Times New Roman" w:hAnsi="Times New Roman"/>
        </w:rPr>
      </w:pPr>
      <w:r>
        <w:rPr>
          <w:rStyle w:val="11"/>
          <w:rFonts w:hint="eastAsia" w:ascii="Times New Roman" w:hAnsi="Times New Roman" w:cs="楷体"/>
          <w:b w:val="0"/>
        </w:rPr>
        <w:t>（三）经营收入</w:t>
      </w:r>
      <w:r>
        <w:rPr>
          <w:rStyle w:val="11"/>
          <w:rFonts w:hint="eastAsia" w:ascii="Times New Roman" w:hAnsi="Times New Roman" w:eastAsia="楷体" w:cs="楷体"/>
        </w:rPr>
        <w:t>：</w:t>
      </w:r>
      <w:r>
        <w:rPr>
          <w:rFonts w:hint="eastAsia" w:ascii="方正仿宋_GBK" w:hAnsi="方正仿宋_GBK" w:eastAsia="方正仿宋_GBK" w:cs="方正仿宋_GBK"/>
        </w:rPr>
        <w:t>指事业单位在专业业务活动及其辅助活动之外开展非独立核算经营活动取得的现金流入。</w:t>
      </w:r>
    </w:p>
    <w:p w14:paraId="2304032D">
      <w:pPr>
        <w:pStyle w:val="13"/>
        <w:keepNext w:val="0"/>
        <w:keepLines w:val="0"/>
        <w:pageBreakBefore w:val="0"/>
        <w:widowControl w:val="0"/>
        <w:kinsoku/>
        <w:wordWrap/>
        <w:overflowPunct/>
        <w:topLinePunct w:val="0"/>
        <w:autoSpaceDN/>
        <w:bidi w:val="0"/>
        <w:jc w:val="both"/>
        <w:textAlignment w:val="auto"/>
        <w:rPr>
          <w:rFonts w:hint="eastAsia" w:ascii="方正仿宋_GBK" w:hAnsi="方正仿宋_GBK" w:eastAsia="方正仿宋_GBK" w:cs="方正仿宋_GBK"/>
        </w:rPr>
      </w:pPr>
      <w:r>
        <w:rPr>
          <w:rStyle w:val="11"/>
          <w:rFonts w:hint="eastAsia" w:ascii="Times New Roman" w:hAnsi="Times New Roman" w:cs="楷体"/>
          <w:b w:val="0"/>
        </w:rPr>
        <w:t>（四）其他收入：</w:t>
      </w:r>
      <w:r>
        <w:rPr>
          <w:rFonts w:hint="eastAsia" w:ascii="方正仿宋_GBK" w:hAnsi="方正仿宋_GBK" w:eastAsia="方正仿宋_GBK" w:cs="方正仿宋_GBK"/>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12AAFC37">
      <w:pPr>
        <w:pStyle w:val="12"/>
        <w:keepNext w:val="0"/>
        <w:keepLines w:val="0"/>
        <w:pageBreakBefore w:val="0"/>
        <w:widowControl w:val="0"/>
        <w:kinsoku/>
        <w:wordWrap/>
        <w:overflowPunct/>
        <w:topLinePunct w:val="0"/>
        <w:autoSpaceDN/>
        <w:bidi w:val="0"/>
        <w:jc w:val="both"/>
        <w:textAlignment w:val="auto"/>
        <w:rPr>
          <w:rFonts w:hint="eastAsia" w:ascii="方正仿宋_GBK" w:hAnsi="方正仿宋_GBK" w:eastAsia="方正仿宋_GBK" w:cs="方正仿宋_GBK"/>
        </w:rPr>
      </w:pPr>
      <w:r>
        <w:rPr>
          <w:rStyle w:val="11"/>
          <w:rFonts w:hint="eastAsia" w:ascii="方正楷体_GBK" w:hAnsi="方正楷体_GBK" w:eastAsia="方正楷体_GBK" w:cs="方正楷体_GBK"/>
          <w:b w:val="0"/>
          <w:sz w:val="32"/>
          <w:szCs w:val="32"/>
          <w:shd w:val="clear" w:color="auto" w:fill="FFFFFF"/>
          <w:lang w:val="en-US" w:eastAsia="zh-CN" w:bidi="ar-SA"/>
        </w:rPr>
        <w:t>（五）使用非财政拨款结余：</w:t>
      </w:r>
      <w:r>
        <w:rPr>
          <w:rFonts w:hint="eastAsia" w:ascii="方正仿宋_GBK" w:hAnsi="方正仿宋_GBK" w:eastAsia="方正仿宋_GBK" w:cs="方正仿宋_GBK"/>
        </w:rPr>
        <w:t>指单位在当年的“财政拨款收入”、“事业收入”、“经营收入”、“其他收入”等不足以安排当年支出的情况下，使用以前年度积累的非财政拨款结余弥补本年度收支缺口的资金。</w:t>
      </w:r>
    </w:p>
    <w:p w14:paraId="0FCCABF0">
      <w:pPr>
        <w:pStyle w:val="13"/>
        <w:keepNext w:val="0"/>
        <w:keepLines w:val="0"/>
        <w:pageBreakBefore w:val="0"/>
        <w:widowControl w:val="0"/>
        <w:kinsoku/>
        <w:wordWrap/>
        <w:overflowPunct/>
        <w:topLinePunct w:val="0"/>
        <w:autoSpaceDN/>
        <w:bidi w:val="0"/>
        <w:jc w:val="both"/>
        <w:textAlignment w:val="auto"/>
        <w:rPr>
          <w:rFonts w:hint="eastAsia" w:ascii="方正仿宋_GBK" w:hAnsi="方正仿宋_GBK" w:eastAsia="方正仿宋_GBK" w:cs="方正仿宋_GBK"/>
        </w:rPr>
      </w:pPr>
      <w:r>
        <w:rPr>
          <w:rStyle w:val="11"/>
          <w:rFonts w:hint="eastAsia" w:ascii="Times New Roman" w:hAnsi="Times New Roman" w:cs="楷体"/>
          <w:b w:val="0"/>
        </w:rPr>
        <w:t>（六）年初结转和结余：</w:t>
      </w:r>
      <w:r>
        <w:rPr>
          <w:rFonts w:hint="eastAsia" w:ascii="方正仿宋_GBK" w:hAnsi="方正仿宋_GBK" w:eastAsia="方正仿宋_GBK" w:cs="方正仿宋_GBK"/>
        </w:rPr>
        <w:t>指单位上年结转本年使用的基本支出结转、项目支出结转和结余、经营结余。</w:t>
      </w:r>
    </w:p>
    <w:p w14:paraId="5446F519">
      <w:pPr>
        <w:pStyle w:val="13"/>
        <w:keepNext w:val="0"/>
        <w:keepLines w:val="0"/>
        <w:pageBreakBefore w:val="0"/>
        <w:widowControl w:val="0"/>
        <w:kinsoku/>
        <w:wordWrap/>
        <w:overflowPunct/>
        <w:topLinePunct w:val="0"/>
        <w:autoSpaceDN/>
        <w:bidi w:val="0"/>
        <w:jc w:val="both"/>
        <w:textAlignment w:val="auto"/>
        <w:rPr>
          <w:rFonts w:ascii="Times New Roman" w:hAnsi="Times New Roman"/>
        </w:rPr>
      </w:pPr>
      <w:r>
        <w:rPr>
          <w:rStyle w:val="11"/>
          <w:rFonts w:hint="eastAsia" w:ascii="Times New Roman" w:hAnsi="Times New Roman" w:cs="楷体"/>
          <w:b w:val="0"/>
        </w:rPr>
        <w:t>（七）结余分配：</w:t>
      </w:r>
      <w:r>
        <w:rPr>
          <w:rFonts w:hint="eastAsia" w:ascii="方正仿宋_GBK" w:hAnsi="方正仿宋_GBK" w:eastAsia="方正仿宋_GBK" w:cs="方正仿宋_GBK"/>
        </w:rPr>
        <w:t>指单位按照国家有关规定，缴纳所得税、提取专用基金、转入非财政拨款结余等当年结余的分配情况。</w:t>
      </w:r>
    </w:p>
    <w:p w14:paraId="01FB4632">
      <w:pPr>
        <w:pStyle w:val="13"/>
        <w:keepNext w:val="0"/>
        <w:keepLines w:val="0"/>
        <w:pageBreakBefore w:val="0"/>
        <w:widowControl w:val="0"/>
        <w:kinsoku/>
        <w:wordWrap/>
        <w:overflowPunct/>
        <w:topLinePunct w:val="0"/>
        <w:autoSpaceDN/>
        <w:bidi w:val="0"/>
        <w:jc w:val="both"/>
        <w:textAlignment w:val="auto"/>
        <w:rPr>
          <w:rFonts w:hint="eastAsia" w:ascii="方正仿宋_GBK" w:hAnsi="方正仿宋_GBK" w:eastAsia="方正仿宋_GBK" w:cs="方正仿宋_GBK"/>
        </w:rPr>
      </w:pPr>
      <w:r>
        <w:rPr>
          <w:rStyle w:val="11"/>
          <w:rFonts w:hint="eastAsia" w:ascii="Times New Roman" w:hAnsi="Times New Roman" w:cs="楷体"/>
          <w:b w:val="0"/>
        </w:rPr>
        <w:t>（八）年末结转和结余</w:t>
      </w:r>
      <w:r>
        <w:rPr>
          <w:rStyle w:val="11"/>
          <w:rFonts w:hint="eastAsia" w:ascii="Times New Roman" w:hAnsi="Times New Roman" w:eastAsia="楷体" w:cs="楷体"/>
        </w:rPr>
        <w:t>：</w:t>
      </w:r>
      <w:r>
        <w:rPr>
          <w:rFonts w:hint="eastAsia" w:ascii="方正仿宋_GBK" w:hAnsi="方正仿宋_GBK" w:eastAsia="方正仿宋_GBK" w:cs="方正仿宋_GBK"/>
        </w:rPr>
        <w:t>指单位结转下年的基本支出结转、项目支出结转和结余、经营结余。</w:t>
      </w:r>
    </w:p>
    <w:p w14:paraId="204C90FA">
      <w:pPr>
        <w:pStyle w:val="13"/>
        <w:keepNext w:val="0"/>
        <w:keepLines w:val="0"/>
        <w:pageBreakBefore w:val="0"/>
        <w:widowControl w:val="0"/>
        <w:kinsoku/>
        <w:wordWrap/>
        <w:overflowPunct/>
        <w:topLinePunct w:val="0"/>
        <w:autoSpaceDN/>
        <w:bidi w:val="0"/>
        <w:jc w:val="both"/>
        <w:textAlignment w:val="auto"/>
        <w:rPr>
          <w:rFonts w:hint="eastAsia" w:ascii="方正仿宋_GBK" w:hAnsi="方正仿宋_GBK" w:eastAsia="方正仿宋_GBK" w:cs="方正仿宋_GBK"/>
        </w:rPr>
      </w:pPr>
      <w:r>
        <w:rPr>
          <w:rStyle w:val="11"/>
          <w:rFonts w:hint="eastAsia" w:ascii="Times New Roman" w:hAnsi="Times New Roman" w:cs="楷体"/>
          <w:b w:val="0"/>
        </w:rPr>
        <w:t>（九）基本支出：</w:t>
      </w:r>
      <w:r>
        <w:rPr>
          <w:rFonts w:hint="eastAsia" w:ascii="方正仿宋_GBK" w:hAnsi="方正仿宋_GBK" w:eastAsia="方正仿宋_GBK" w:cs="方正仿宋_GBK"/>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EF65973">
      <w:pPr>
        <w:pStyle w:val="13"/>
        <w:keepNext w:val="0"/>
        <w:keepLines w:val="0"/>
        <w:pageBreakBefore w:val="0"/>
        <w:widowControl w:val="0"/>
        <w:kinsoku/>
        <w:wordWrap/>
        <w:overflowPunct/>
        <w:topLinePunct w:val="0"/>
        <w:autoSpaceDN/>
        <w:bidi w:val="0"/>
        <w:jc w:val="both"/>
        <w:textAlignment w:val="auto"/>
        <w:rPr>
          <w:rFonts w:ascii="Times New Roman" w:hAnsi="Times New Roman"/>
        </w:rPr>
      </w:pPr>
      <w:r>
        <w:rPr>
          <w:rStyle w:val="11"/>
          <w:rFonts w:hint="eastAsia" w:ascii="Times New Roman" w:hAnsi="Times New Roman" w:cs="楷体"/>
          <w:b w:val="0"/>
        </w:rPr>
        <w:t>（十）项目支出：</w:t>
      </w:r>
      <w:r>
        <w:rPr>
          <w:rFonts w:hint="eastAsia" w:ascii="方正仿宋_GBK" w:hAnsi="方正仿宋_GBK" w:eastAsia="方正仿宋_GBK" w:cs="方正仿宋_GBK"/>
        </w:rPr>
        <w:t>指在基本支出之外为完成特定行政任务和事业发展目标所发生的支出。</w:t>
      </w:r>
    </w:p>
    <w:p w14:paraId="7D8FB080">
      <w:pPr>
        <w:pStyle w:val="13"/>
        <w:keepNext w:val="0"/>
        <w:keepLines w:val="0"/>
        <w:pageBreakBefore w:val="0"/>
        <w:widowControl w:val="0"/>
        <w:kinsoku/>
        <w:wordWrap/>
        <w:overflowPunct/>
        <w:topLinePunct w:val="0"/>
        <w:autoSpaceDN/>
        <w:bidi w:val="0"/>
        <w:jc w:val="both"/>
        <w:textAlignment w:val="auto"/>
        <w:rPr>
          <w:rFonts w:hint="eastAsia" w:ascii="方正仿宋_GBK" w:hAnsi="方正仿宋_GBK" w:eastAsia="方正仿宋_GBK" w:cs="方正仿宋_GBK"/>
        </w:rPr>
      </w:pPr>
      <w:r>
        <w:rPr>
          <w:rStyle w:val="11"/>
          <w:rFonts w:hint="eastAsia" w:ascii="Times New Roman" w:hAnsi="Times New Roman" w:cs="楷体"/>
          <w:b w:val="0"/>
        </w:rPr>
        <w:t>（十一）经营支出：</w:t>
      </w:r>
      <w:r>
        <w:rPr>
          <w:rFonts w:hint="eastAsia" w:ascii="方正仿宋_GBK" w:hAnsi="方正仿宋_GBK" w:eastAsia="方正仿宋_GBK" w:cs="方正仿宋_GBK"/>
        </w:rPr>
        <w:t>指事业单位在专业业务活动及其辅助活动之外开展非独立核算经营活动发生的支出。</w:t>
      </w:r>
    </w:p>
    <w:p w14:paraId="350FBE4E">
      <w:pPr>
        <w:pStyle w:val="13"/>
        <w:keepNext w:val="0"/>
        <w:keepLines w:val="0"/>
        <w:pageBreakBefore w:val="0"/>
        <w:widowControl w:val="0"/>
        <w:kinsoku/>
        <w:wordWrap/>
        <w:overflowPunct/>
        <w:topLinePunct w:val="0"/>
        <w:autoSpaceDN/>
        <w:bidi w:val="0"/>
        <w:jc w:val="both"/>
        <w:textAlignment w:val="auto"/>
        <w:rPr>
          <w:rFonts w:hint="eastAsia" w:ascii="方正仿宋_GBK" w:hAnsi="方正仿宋_GBK" w:eastAsia="方正仿宋_GBK" w:cs="方正仿宋_GBK"/>
        </w:rPr>
      </w:pPr>
      <w:r>
        <w:rPr>
          <w:rStyle w:val="11"/>
          <w:rFonts w:hint="eastAsia" w:ascii="Times New Roman" w:hAnsi="Times New Roman" w:cs="楷体"/>
          <w:b w:val="0"/>
        </w:rPr>
        <w:t>（十二）“三公”经费：</w:t>
      </w:r>
      <w:r>
        <w:rPr>
          <w:rFonts w:hint="eastAsia" w:ascii="方正仿宋_GBK" w:hAnsi="方正仿宋_GBK" w:eastAsia="方正仿宋_GBK" w:cs="方正仿宋_GBK"/>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16A34B8">
      <w:pPr>
        <w:pStyle w:val="13"/>
        <w:keepNext w:val="0"/>
        <w:keepLines w:val="0"/>
        <w:pageBreakBefore w:val="0"/>
        <w:widowControl w:val="0"/>
        <w:kinsoku/>
        <w:wordWrap/>
        <w:overflowPunct/>
        <w:topLinePunct w:val="0"/>
        <w:autoSpaceDN/>
        <w:bidi w:val="0"/>
        <w:jc w:val="both"/>
        <w:textAlignment w:val="auto"/>
        <w:rPr>
          <w:rFonts w:ascii="Times New Roman" w:hAnsi="Times New Roman" w:eastAsia="方正仿宋_GBK" w:cs="楷体"/>
        </w:rPr>
      </w:pPr>
      <w:r>
        <w:rPr>
          <w:rStyle w:val="11"/>
          <w:rFonts w:hint="eastAsia" w:ascii="Times New Roman" w:hAnsi="Times New Roman" w:cs="楷体"/>
          <w:b w:val="0"/>
        </w:rPr>
        <w:t>（十三）机关运行经费：</w:t>
      </w:r>
      <w:r>
        <w:rPr>
          <w:rFonts w:hint="eastAsia" w:ascii="方正仿宋_GBK" w:hAnsi="方正仿宋_GBK" w:eastAsia="方正仿宋_GBK" w:cs="方正仿宋_GBK"/>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A29260">
      <w:pPr>
        <w:pStyle w:val="13"/>
        <w:keepNext w:val="0"/>
        <w:keepLines w:val="0"/>
        <w:pageBreakBefore w:val="0"/>
        <w:widowControl w:val="0"/>
        <w:kinsoku/>
        <w:wordWrap/>
        <w:overflowPunct/>
        <w:topLinePunct w:val="0"/>
        <w:autoSpaceDN/>
        <w:bidi w:val="0"/>
        <w:jc w:val="both"/>
        <w:textAlignment w:val="auto"/>
        <w:rPr>
          <w:rFonts w:hint="eastAsia" w:ascii="方正仿宋_GBK" w:hAnsi="方正仿宋_GBK" w:eastAsia="方正仿宋_GBK" w:cs="方正仿宋_GBK"/>
        </w:rPr>
      </w:pPr>
      <w:r>
        <w:rPr>
          <w:rStyle w:val="11"/>
          <w:rFonts w:hint="eastAsia" w:ascii="Times New Roman" w:hAnsi="Times New Roman" w:cs="楷体"/>
          <w:b w:val="0"/>
        </w:rPr>
        <w:t>（十四）工资福利支出（支出经济分类科目类级）</w:t>
      </w:r>
      <w:r>
        <w:rPr>
          <w:rStyle w:val="11"/>
          <w:rFonts w:hint="eastAsia" w:ascii="Times New Roman" w:hAnsi="Times New Roman" w:eastAsia="楷体" w:cs="楷体"/>
        </w:rPr>
        <w:t>：</w:t>
      </w:r>
      <w:r>
        <w:rPr>
          <w:rFonts w:hint="eastAsia" w:ascii="方正仿宋_GBK" w:hAnsi="方正仿宋_GBK" w:eastAsia="方正仿宋_GBK" w:cs="方正仿宋_GBK"/>
        </w:rPr>
        <w:t>反映单位开支的在职职工和编制外长期聘用人员的各类劳动报酬，以及为上述人员缴纳的各项社会保险费等。</w:t>
      </w:r>
    </w:p>
    <w:p w14:paraId="135AC2A4">
      <w:pPr>
        <w:pStyle w:val="13"/>
        <w:keepNext w:val="0"/>
        <w:keepLines w:val="0"/>
        <w:pageBreakBefore w:val="0"/>
        <w:widowControl w:val="0"/>
        <w:kinsoku/>
        <w:wordWrap/>
        <w:overflowPunct/>
        <w:topLinePunct w:val="0"/>
        <w:autoSpaceDN/>
        <w:bidi w:val="0"/>
        <w:jc w:val="both"/>
        <w:textAlignment w:val="auto"/>
        <w:rPr>
          <w:rFonts w:ascii="Times New Roman" w:hAnsi="Times New Roman" w:eastAsia="方正仿宋_GBK" w:cs="楷体"/>
        </w:rPr>
      </w:pPr>
      <w:r>
        <w:rPr>
          <w:rStyle w:val="11"/>
          <w:rFonts w:hint="eastAsia" w:ascii="Times New Roman" w:hAnsi="Times New Roman" w:cs="楷体"/>
          <w:b w:val="0"/>
        </w:rPr>
        <w:t>（十五）商品和服务支出（支出经济分类科目类级）：</w:t>
      </w:r>
      <w:r>
        <w:rPr>
          <w:rFonts w:hint="eastAsia" w:ascii="方正仿宋_GBK" w:hAnsi="方正仿宋_GBK" w:eastAsia="方正仿宋_GBK" w:cs="方正仿宋_GBK"/>
        </w:rPr>
        <w:t>反映单位购买商品和服务的支出（不包括用于购置固定资产的支出、战略性和应急储备支出）。</w:t>
      </w:r>
    </w:p>
    <w:p w14:paraId="248A2081">
      <w:pPr>
        <w:pStyle w:val="13"/>
        <w:keepNext w:val="0"/>
        <w:keepLines w:val="0"/>
        <w:pageBreakBefore w:val="0"/>
        <w:widowControl w:val="0"/>
        <w:kinsoku/>
        <w:wordWrap/>
        <w:overflowPunct/>
        <w:topLinePunct w:val="0"/>
        <w:autoSpaceDN/>
        <w:bidi w:val="0"/>
        <w:jc w:val="both"/>
        <w:textAlignment w:val="auto"/>
        <w:rPr>
          <w:rFonts w:ascii="Times New Roman" w:hAnsi="Times New Roman" w:eastAsia="方正仿宋_GBK" w:cs="楷体"/>
        </w:rPr>
      </w:pPr>
      <w:r>
        <w:rPr>
          <w:rStyle w:val="11"/>
          <w:rFonts w:hint="eastAsia" w:ascii="Times New Roman" w:hAnsi="Times New Roman" w:cs="楷体"/>
          <w:b w:val="0"/>
        </w:rPr>
        <w:t>（十六）对个人和家庭的补助（支出经济分类科目类级）：</w:t>
      </w:r>
      <w:r>
        <w:rPr>
          <w:rFonts w:hint="eastAsia" w:ascii="方正仿宋_GBK" w:hAnsi="方正仿宋_GBK" w:eastAsia="方正仿宋_GBK" w:cs="方正仿宋_GBK"/>
        </w:rPr>
        <w:t>反映用于对个人和家庭的补助支出。</w:t>
      </w:r>
    </w:p>
    <w:p w14:paraId="5F460376">
      <w:pPr>
        <w:pStyle w:val="13"/>
        <w:keepNext w:val="0"/>
        <w:keepLines w:val="0"/>
        <w:pageBreakBefore w:val="0"/>
        <w:widowControl w:val="0"/>
        <w:kinsoku/>
        <w:wordWrap/>
        <w:overflowPunct/>
        <w:topLinePunct w:val="0"/>
        <w:autoSpaceDN/>
        <w:bidi w:val="0"/>
        <w:jc w:val="both"/>
        <w:textAlignment w:val="auto"/>
        <w:rPr>
          <w:rFonts w:ascii="Times New Roman" w:hAnsi="Times New Roman" w:eastAsia="方正仿宋_GBK" w:cs="楷体"/>
        </w:rPr>
      </w:pPr>
      <w:r>
        <w:rPr>
          <w:rStyle w:val="11"/>
          <w:rFonts w:hint="eastAsia" w:ascii="Times New Roman" w:hAnsi="Times New Roman" w:cs="楷体"/>
          <w:b w:val="0"/>
        </w:rPr>
        <w:t>（十七）其他资本性支出（支出经济分类科目类级）：</w:t>
      </w:r>
      <w:r>
        <w:rPr>
          <w:rFonts w:hint="eastAsia" w:ascii="方正仿宋_GBK" w:hAnsi="方正仿宋_GBK" w:eastAsia="方正仿宋_GBK" w:cs="方正仿宋_GBK"/>
        </w:rPr>
        <w:t>反映非各级发展与改革单位集中安排的用于购置固定资产、战略性和应急性储备、土地和无形资产，以及构建基础设施、大型修缮和财政支持企业更新改造所发生的支出。</w:t>
      </w:r>
    </w:p>
    <w:p w14:paraId="3131108D">
      <w:pPr>
        <w:pStyle w:val="13"/>
        <w:keepNext w:val="0"/>
        <w:keepLines w:val="0"/>
        <w:pageBreakBefore w:val="0"/>
        <w:kinsoku/>
        <w:wordWrap/>
        <w:overflowPunct/>
        <w:topLinePunct w:val="0"/>
        <w:autoSpaceDN/>
        <w:bidi w:val="0"/>
        <w:textAlignment w:val="auto"/>
        <w:rPr>
          <w:rFonts w:ascii="Times New Roman" w:hAnsi="Times New Roman" w:eastAsia="方正黑体_GBK" w:cs="方正仿宋_GBK"/>
          <w:b/>
        </w:rPr>
      </w:pPr>
      <w:r>
        <w:rPr>
          <w:rStyle w:val="11"/>
          <w:rFonts w:hint="eastAsia" w:ascii="Times New Roman" w:hAnsi="Times New Roman" w:eastAsia="方正黑体_GBK"/>
          <w:b w:val="0"/>
        </w:rPr>
        <w:t>七、决算公开联系方式及信息反馈渠道</w:t>
      </w:r>
    </w:p>
    <w:p w14:paraId="608D7EAE">
      <w:pPr>
        <w:pStyle w:val="8"/>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textAlignment w:val="auto"/>
        <w:rPr>
          <w:rFonts w:hint="default" w:ascii="Times New Roman" w:hAnsi="Times New Roman" w:eastAsia="方正仿宋_GBK"/>
        </w:rPr>
      </w:pPr>
      <w:r>
        <w:rPr>
          <w:rFonts w:ascii="Times New Roman" w:hAnsi="Times New Roman" w:eastAsia="方正仿宋_GBK"/>
          <w:sz w:val="32"/>
          <w:szCs w:val="32"/>
        </w:rPr>
        <w:t>本单位决算公开信息反馈和联系方式：023</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65845088</w:t>
      </w:r>
    </w:p>
    <w:p w14:paraId="77FDA4D1">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ascii="Times New Roman" w:hAnsi="Times New Roman" w:eastAsia="方正仿宋_GBK" w:cs="方正仿宋_GBK"/>
          <w:sz w:val="32"/>
          <w:szCs w:val="32"/>
          <w:shd w:val="clear" w:color="auto" w:fill="FFFFFF"/>
        </w:rPr>
      </w:pPr>
    </w:p>
    <w:p w14:paraId="249F0D70">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2BE2A050">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291FB829">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2BAC1066">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068C3C7C">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0667B7F7">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42A25B30">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7.政府性基金预算财政拨款收入支出决算表</w:t>
      </w:r>
    </w:p>
    <w:p w14:paraId="1AC180D5">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30BD8A3A">
      <w:pPr>
        <w:pStyle w:val="12"/>
        <w:keepNext w:val="0"/>
        <w:keepLines w:val="0"/>
        <w:pageBreakBefore w:val="0"/>
        <w:kinsoku/>
        <w:wordWrap/>
        <w:overflowPunct/>
        <w:topLinePunct w:val="0"/>
        <w:autoSpaceDN/>
        <w:bidi w:val="0"/>
        <w:ind w:firstLine="1600" w:firstLineChars="500"/>
        <w:textAlignment w:val="auto"/>
        <w:rPr>
          <w:rFonts w:ascii="Times New Roman" w:hAnsi="Times New Roman"/>
        </w:rPr>
      </w:pPr>
      <w:r>
        <w:rPr>
          <w:rFonts w:hint="eastAsia" w:ascii="Times New Roman" w:hAnsi="Times New Roman"/>
        </w:rPr>
        <w:t>9.机构运行信息表</w:t>
      </w:r>
    </w:p>
    <w:p w14:paraId="6B7B988C">
      <w:pPr>
        <w:pStyle w:val="12"/>
      </w:pPr>
    </w:p>
    <w:p w14:paraId="51DAED1A">
      <w:pPr>
        <w:pStyle w:val="12"/>
        <w:ind w:firstLine="643"/>
        <w:rPr>
          <w:rStyle w:val="11"/>
          <w:rFonts w:hAnsi="方正仿宋_GBK" w:cs="方正仿宋_GBK"/>
          <w:shd w:val="clear" w:color="auto" w:fill="FFFF00"/>
        </w:rPr>
        <w:sectPr>
          <w:footerReference r:id="rId3" w:type="default"/>
          <w:pgSz w:w="11915" w:h="16840"/>
          <w:pgMar w:top="2098" w:right="1531" w:bottom="1985" w:left="1531" w:header="851" w:footer="992" w:gutter="0"/>
          <w:pgNumType w:fmt="decimal"/>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3D48D8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348136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A44F9B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C80F054">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DC4BBE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E8DD2A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32F224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BE97F8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F2F526E">
            <w:pPr>
              <w:spacing w:line="280" w:lineRule="exact"/>
              <w:rPr>
                <w:rFonts w:hint="default" w:ascii="Arial" w:hAnsi="Arial" w:cs="Arial"/>
                <w:color w:val="000000"/>
                <w:sz w:val="22"/>
                <w:szCs w:val="22"/>
              </w:rPr>
            </w:pPr>
            <w:r>
              <w:rPr>
                <w:rFonts w:cs="宋体"/>
                <w:sz w:val="20"/>
                <w:szCs w:val="20"/>
              </w:rPr>
              <w:t>单位：</w:t>
            </w:r>
            <w:r>
              <w:rPr>
                <w:sz w:val="20"/>
              </w:rPr>
              <w:t>重庆市九龙坡区西彭镇第三小学校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EB58FD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DF4C34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424C8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984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6557A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6D73A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0E1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C516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8697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F404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6D50D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091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39C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996.45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113E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6AF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16A7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F20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F54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D75B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258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6143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B32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332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5A03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AE9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5F2F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146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641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2212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AED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2829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80A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40F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B506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C3C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845.05</w:t>
            </w:r>
            <w:r>
              <w:rPr>
                <w:rFonts w:ascii="Times New Roman" w:hAnsi="Times New Roman"/>
                <w:color w:val="000000"/>
                <w:sz w:val="20"/>
              </w:rPr>
              <w:t xml:space="preserve"> </w:t>
            </w:r>
          </w:p>
        </w:tc>
      </w:tr>
      <w:tr w14:paraId="2D6C04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ABF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20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770C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CEC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3048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0EB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3AC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EBBB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D47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FD95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896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DE340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7E8B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AAC9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92.52</w:t>
            </w:r>
            <w:r>
              <w:rPr>
                <w:rFonts w:ascii="Times New Roman" w:hAnsi="Times New Roman"/>
                <w:color w:val="000000"/>
                <w:sz w:val="20"/>
              </w:rPr>
              <w:t xml:space="preserve"> </w:t>
            </w:r>
          </w:p>
        </w:tc>
      </w:tr>
      <w:tr w14:paraId="05E9F7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866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9E65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FA985">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30B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38.31</w:t>
            </w:r>
            <w:r>
              <w:rPr>
                <w:rFonts w:ascii="Times New Roman" w:hAnsi="Times New Roman"/>
                <w:color w:val="000000"/>
                <w:sz w:val="20"/>
              </w:rPr>
              <w:t xml:space="preserve"> </w:t>
            </w:r>
          </w:p>
        </w:tc>
      </w:tr>
      <w:tr w14:paraId="052AA1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8F8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C91B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CD07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380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E19E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E96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8043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475D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758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6320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218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DDC56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AAFA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FB7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3D12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510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11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862A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6F9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F1E9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EB3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331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D049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3A2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79D3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B57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C884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FB34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68D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F7EC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14B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A31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6B32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CD8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E265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29C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0B2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E516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5F0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F884F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E04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F45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8E7A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72F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4E0A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5B0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43F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6258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B2A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52.38</w:t>
            </w:r>
            <w:r>
              <w:rPr>
                <w:rFonts w:ascii="Times New Roman" w:hAnsi="Times New Roman"/>
                <w:color w:val="000000"/>
                <w:sz w:val="20"/>
              </w:rPr>
              <w:t xml:space="preserve"> </w:t>
            </w:r>
          </w:p>
        </w:tc>
      </w:tr>
      <w:tr w14:paraId="39D9BB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205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B46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9DC8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DAF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115B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5622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020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8176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0AA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8A71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B15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99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B199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305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7E45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903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92C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9664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CE0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3F2C98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D99C">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68F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344A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01D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9CFB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D1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76D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33BA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B2A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F8EF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964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3F6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D04D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36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D62C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E5C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389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1,030.25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96F0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FAF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1,030.25</w:t>
            </w:r>
            <w:r>
              <w:rPr>
                <w:rFonts w:ascii="Times New Roman" w:hAnsi="Times New Roman"/>
                <w:color w:val="000000"/>
                <w:sz w:val="20"/>
              </w:rPr>
              <w:t xml:space="preserve"> </w:t>
            </w:r>
          </w:p>
        </w:tc>
      </w:tr>
      <w:tr w14:paraId="0DD12E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1EBE">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33E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E6BA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239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9706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35E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DA3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64F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34DB6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3ACDE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A61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0C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1,030.25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248DC9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D5C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1,030.25</w:t>
            </w:r>
            <w:r>
              <w:rPr>
                <w:rFonts w:ascii="Times New Roman" w:hAnsi="Times New Roman"/>
                <w:color w:val="000000"/>
                <w:sz w:val="20"/>
              </w:rPr>
              <w:t xml:space="preserve"> </w:t>
            </w:r>
          </w:p>
        </w:tc>
      </w:tr>
    </w:tbl>
    <w:p w14:paraId="7AAF316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ACAD6F3">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29"/>
        <w:gridCol w:w="3493"/>
        <w:gridCol w:w="1006"/>
        <w:gridCol w:w="1448"/>
        <w:gridCol w:w="1256"/>
        <w:gridCol w:w="1436"/>
        <w:gridCol w:w="1460"/>
        <w:gridCol w:w="1293"/>
        <w:gridCol w:w="1349"/>
        <w:gridCol w:w="1333"/>
      </w:tblGrid>
      <w:tr w14:paraId="4B31F1F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E91559B">
            <w:pPr>
              <w:jc w:val="center"/>
              <w:textAlignment w:val="bottom"/>
              <w:rPr>
                <w:rFonts w:hint="default" w:cs="宋体"/>
                <w:b/>
                <w:color w:val="000000"/>
                <w:sz w:val="32"/>
                <w:szCs w:val="32"/>
              </w:rPr>
            </w:pPr>
            <w:r>
              <w:rPr>
                <w:rFonts w:cs="宋体"/>
                <w:b/>
                <w:color w:val="000000"/>
                <w:sz w:val="32"/>
                <w:szCs w:val="32"/>
              </w:rPr>
              <w:t>收入决算表</w:t>
            </w:r>
          </w:p>
        </w:tc>
      </w:tr>
      <w:tr w14:paraId="32F430E8">
        <w:tblPrEx>
          <w:tblCellMar>
            <w:top w:w="0" w:type="dxa"/>
            <w:left w:w="0" w:type="dxa"/>
            <w:bottom w:w="0" w:type="dxa"/>
            <w:right w:w="0" w:type="dxa"/>
          </w:tblCellMar>
        </w:tblPrEx>
        <w:trPr>
          <w:trHeight w:val="328" w:hRule="atLeast"/>
        </w:trPr>
        <w:tc>
          <w:tcPr>
            <w:tcW w:w="1911" w:type="pct"/>
            <w:gridSpan w:val="3"/>
            <w:vMerge w:val="restart"/>
            <w:tcBorders>
              <w:top w:val="nil"/>
              <w:left w:val="nil"/>
              <w:right w:val="nil"/>
            </w:tcBorders>
            <w:shd w:val="clear" w:color="auto" w:fill="auto"/>
            <w:noWrap/>
            <w:tcMar>
              <w:top w:w="15" w:type="dxa"/>
              <w:left w:w="15" w:type="dxa"/>
              <w:right w:w="15" w:type="dxa"/>
            </w:tcMar>
            <w:vAlign w:val="bottom"/>
          </w:tcPr>
          <w:p w14:paraId="510A43B6">
            <w:pPr>
              <w:spacing w:line="280" w:lineRule="exact"/>
              <w:rPr>
                <w:rFonts w:hint="default" w:cs="宋体"/>
                <w:color w:val="000000"/>
                <w:sz w:val="20"/>
                <w:szCs w:val="20"/>
              </w:rPr>
            </w:pPr>
            <w:r>
              <w:rPr>
                <w:rFonts w:cs="宋体"/>
                <w:sz w:val="20"/>
                <w:szCs w:val="20"/>
              </w:rPr>
              <w:t>单位：</w:t>
            </w:r>
            <w:r>
              <w:rPr>
                <w:sz w:val="20"/>
              </w:rPr>
              <w:t>重庆市九龙坡区西彭镇第三小学校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54A88FF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96DC42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75E51C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82BFE1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3F3C3B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DCDCFA6">
            <w:pPr>
              <w:rPr>
                <w:rFonts w:hint="default" w:cs="宋体"/>
                <w:color w:val="000000"/>
                <w:sz w:val="20"/>
                <w:szCs w:val="20"/>
              </w:rPr>
            </w:pPr>
          </w:p>
        </w:tc>
        <w:tc>
          <w:tcPr>
            <w:tcW w:w="429" w:type="pct"/>
            <w:tcBorders>
              <w:top w:val="nil"/>
              <w:left w:val="nil"/>
              <w:bottom w:val="nil"/>
              <w:right w:val="nil"/>
            </w:tcBorders>
            <w:shd w:val="clear" w:color="auto" w:fill="auto"/>
            <w:noWrap/>
            <w:tcMar>
              <w:top w:w="15" w:type="dxa"/>
              <w:left w:w="15" w:type="dxa"/>
              <w:right w:w="15" w:type="dxa"/>
            </w:tcMar>
            <w:vAlign w:val="bottom"/>
          </w:tcPr>
          <w:p w14:paraId="125AA40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1933919">
        <w:tblPrEx>
          <w:tblCellMar>
            <w:top w:w="0" w:type="dxa"/>
            <w:left w:w="0" w:type="dxa"/>
            <w:bottom w:w="0" w:type="dxa"/>
            <w:right w:w="0" w:type="dxa"/>
          </w:tblCellMar>
        </w:tblPrEx>
        <w:trPr>
          <w:trHeight w:val="328" w:hRule="atLeast"/>
        </w:trPr>
        <w:tc>
          <w:tcPr>
            <w:tcW w:w="1911" w:type="pct"/>
            <w:gridSpan w:val="3"/>
            <w:vMerge w:val="continue"/>
            <w:tcBorders>
              <w:left w:val="nil"/>
              <w:bottom w:val="nil"/>
              <w:right w:val="nil"/>
            </w:tcBorders>
            <w:shd w:val="clear" w:color="auto" w:fill="auto"/>
            <w:noWrap/>
            <w:tcMar>
              <w:top w:w="15" w:type="dxa"/>
              <w:left w:w="15" w:type="dxa"/>
              <w:right w:w="15" w:type="dxa"/>
            </w:tcMar>
            <w:vAlign w:val="bottom"/>
          </w:tcPr>
          <w:p w14:paraId="5E24E16E">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0A5B9D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637B6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CC6EEC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C0E2E5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53D4A6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51BE15B">
            <w:pPr>
              <w:rPr>
                <w:rFonts w:hint="default" w:cs="宋体"/>
                <w:color w:val="000000"/>
                <w:sz w:val="20"/>
                <w:szCs w:val="20"/>
              </w:rPr>
            </w:pPr>
          </w:p>
        </w:tc>
        <w:tc>
          <w:tcPr>
            <w:tcW w:w="429" w:type="pct"/>
            <w:tcBorders>
              <w:top w:val="nil"/>
              <w:left w:val="nil"/>
              <w:bottom w:val="nil"/>
              <w:right w:val="nil"/>
            </w:tcBorders>
            <w:shd w:val="clear" w:color="auto" w:fill="auto"/>
            <w:noWrap/>
            <w:tcMar>
              <w:top w:w="15" w:type="dxa"/>
              <w:left w:w="15" w:type="dxa"/>
              <w:right w:w="15" w:type="dxa"/>
            </w:tcMar>
            <w:vAlign w:val="bottom"/>
          </w:tcPr>
          <w:p w14:paraId="28A2C0B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447FBD">
        <w:tblPrEx>
          <w:tblCellMar>
            <w:top w:w="0" w:type="dxa"/>
            <w:left w:w="0" w:type="dxa"/>
            <w:bottom w:w="0" w:type="dxa"/>
            <w:right w:w="0" w:type="dxa"/>
          </w:tblCellMar>
        </w:tblPrEx>
        <w:trPr>
          <w:trHeight w:val="261" w:hRule="atLeast"/>
        </w:trPr>
        <w:tc>
          <w:tcPr>
            <w:tcW w:w="158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9EFEB81">
            <w:pPr>
              <w:jc w:val="center"/>
              <w:textAlignment w:val="bottom"/>
              <w:rPr>
                <w:rFonts w:hint="default" w:cs="宋体"/>
                <w:b/>
                <w:color w:val="000000"/>
                <w:sz w:val="20"/>
                <w:szCs w:val="20"/>
              </w:rPr>
            </w:pPr>
            <w:r>
              <w:rPr>
                <w:rFonts w:cs="宋体"/>
                <w:b/>
                <w:color w:val="000000"/>
                <w:sz w:val="20"/>
                <w:szCs w:val="20"/>
              </w:rPr>
              <w:t>项目</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B40BC">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67FE7">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F83FA">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59256">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5F3B">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D896">
            <w:pPr>
              <w:jc w:val="center"/>
              <w:textAlignment w:val="center"/>
              <w:rPr>
                <w:rFonts w:hint="default" w:cs="宋体"/>
                <w:b/>
                <w:color w:val="000000"/>
                <w:sz w:val="20"/>
                <w:szCs w:val="20"/>
              </w:rPr>
            </w:pPr>
            <w:r>
              <w:rPr>
                <w:rFonts w:cs="宋体"/>
                <w:b/>
                <w:color w:val="000000"/>
                <w:sz w:val="20"/>
                <w:szCs w:val="20"/>
              </w:rPr>
              <w:t>附属单位上缴收入</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36BEB">
            <w:pPr>
              <w:jc w:val="center"/>
              <w:textAlignment w:val="center"/>
              <w:rPr>
                <w:rFonts w:hint="default" w:cs="宋体"/>
                <w:b/>
                <w:color w:val="000000"/>
                <w:sz w:val="20"/>
                <w:szCs w:val="20"/>
              </w:rPr>
            </w:pPr>
            <w:r>
              <w:rPr>
                <w:rFonts w:cs="宋体"/>
                <w:b/>
                <w:color w:val="000000"/>
                <w:sz w:val="20"/>
                <w:szCs w:val="20"/>
              </w:rPr>
              <w:t>其他收入</w:t>
            </w:r>
          </w:p>
        </w:tc>
      </w:tr>
      <w:tr w14:paraId="40FFE79C">
        <w:tblPrEx>
          <w:tblCellMar>
            <w:top w:w="0" w:type="dxa"/>
            <w:left w:w="0" w:type="dxa"/>
            <w:bottom w:w="0" w:type="dxa"/>
            <w:right w:w="0" w:type="dxa"/>
          </w:tblCellMar>
        </w:tblPrEx>
        <w:trPr>
          <w:trHeight w:val="334" w:hRule="atLeast"/>
        </w:trPr>
        <w:tc>
          <w:tcPr>
            <w:tcW w:w="46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8CA3">
            <w:pPr>
              <w:jc w:val="center"/>
              <w:textAlignment w:val="center"/>
              <w:rPr>
                <w:rFonts w:hint="default" w:cs="宋体"/>
                <w:b/>
                <w:color w:val="000000"/>
                <w:sz w:val="20"/>
                <w:szCs w:val="20"/>
              </w:rPr>
            </w:pPr>
            <w:r>
              <w:rPr>
                <w:rFonts w:cs="宋体"/>
                <w:b/>
                <w:color w:val="000000"/>
                <w:sz w:val="20"/>
                <w:szCs w:val="20"/>
              </w:rPr>
              <w:t>功能分类科目编码</w:t>
            </w:r>
          </w:p>
        </w:tc>
        <w:tc>
          <w:tcPr>
            <w:tcW w:w="112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1F426B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1042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F9F2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5A94">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72A73">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0E205">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367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8E9C4">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1C20">
            <w:pPr>
              <w:jc w:val="center"/>
              <w:rPr>
                <w:rFonts w:hint="default" w:cs="宋体"/>
                <w:b/>
                <w:color w:val="000000"/>
                <w:sz w:val="20"/>
                <w:szCs w:val="20"/>
              </w:rPr>
            </w:pPr>
          </w:p>
        </w:tc>
      </w:tr>
      <w:tr w14:paraId="4C4F89F3">
        <w:tblPrEx>
          <w:tblCellMar>
            <w:top w:w="0" w:type="dxa"/>
            <w:left w:w="0" w:type="dxa"/>
            <w:bottom w:w="0" w:type="dxa"/>
            <w:right w:w="0" w:type="dxa"/>
          </w:tblCellMar>
        </w:tblPrEx>
        <w:trPr>
          <w:trHeight w:val="334"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339C">
            <w:pPr>
              <w:jc w:val="center"/>
              <w:rPr>
                <w:rFonts w:hint="default" w:cs="宋体"/>
                <w:b/>
                <w:color w:val="000000"/>
                <w:sz w:val="20"/>
                <w:szCs w:val="20"/>
              </w:rPr>
            </w:pPr>
          </w:p>
        </w:tc>
        <w:tc>
          <w:tcPr>
            <w:tcW w:w="112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35FBDC">
            <w:pPr>
              <w:jc w:val="center"/>
              <w:rPr>
                <w:rFonts w:hint="default" w:cs="宋体"/>
                <w:b/>
                <w:color w:val="000000"/>
                <w:sz w:val="20"/>
                <w:szCs w:val="20"/>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456F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0573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E364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941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B773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5554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961B4">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26463">
            <w:pPr>
              <w:jc w:val="center"/>
              <w:rPr>
                <w:rFonts w:hint="default" w:cs="宋体"/>
                <w:b/>
                <w:color w:val="000000"/>
                <w:sz w:val="20"/>
                <w:szCs w:val="20"/>
              </w:rPr>
            </w:pPr>
          </w:p>
        </w:tc>
      </w:tr>
      <w:tr w14:paraId="7666BE0C">
        <w:tblPrEx>
          <w:tblCellMar>
            <w:top w:w="0" w:type="dxa"/>
            <w:left w:w="0" w:type="dxa"/>
            <w:bottom w:w="0" w:type="dxa"/>
            <w:right w:w="0" w:type="dxa"/>
          </w:tblCellMar>
        </w:tblPrEx>
        <w:trPr>
          <w:trHeight w:val="334"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1EA5">
            <w:pPr>
              <w:jc w:val="center"/>
              <w:rPr>
                <w:rFonts w:hint="default" w:cs="宋体"/>
                <w:b/>
                <w:color w:val="000000"/>
                <w:sz w:val="20"/>
                <w:szCs w:val="20"/>
              </w:rPr>
            </w:pPr>
          </w:p>
        </w:tc>
        <w:tc>
          <w:tcPr>
            <w:tcW w:w="112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03DCAF">
            <w:pPr>
              <w:jc w:val="center"/>
              <w:rPr>
                <w:rFonts w:hint="default" w:cs="宋体"/>
                <w:b/>
                <w:color w:val="000000"/>
                <w:sz w:val="20"/>
                <w:szCs w:val="20"/>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3F97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60A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1B0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FA1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F624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1AB7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557F7">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22E55">
            <w:pPr>
              <w:jc w:val="center"/>
              <w:rPr>
                <w:rFonts w:hint="default" w:cs="宋体"/>
                <w:b/>
                <w:color w:val="000000"/>
                <w:sz w:val="20"/>
                <w:szCs w:val="20"/>
              </w:rPr>
            </w:pPr>
          </w:p>
        </w:tc>
      </w:tr>
      <w:tr w14:paraId="6E0798B1">
        <w:tblPrEx>
          <w:tblCellMar>
            <w:top w:w="0" w:type="dxa"/>
            <w:left w:w="0" w:type="dxa"/>
            <w:bottom w:w="0" w:type="dxa"/>
            <w:right w:w="0" w:type="dxa"/>
          </w:tblCellMar>
        </w:tblPrEx>
        <w:trPr>
          <w:trHeight w:val="334" w:hRule="atLeast"/>
        </w:trPr>
        <w:tc>
          <w:tcPr>
            <w:tcW w:w="46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0937">
            <w:pPr>
              <w:jc w:val="center"/>
              <w:rPr>
                <w:rFonts w:hint="default" w:cs="宋体"/>
                <w:b/>
                <w:color w:val="000000"/>
                <w:sz w:val="20"/>
                <w:szCs w:val="20"/>
              </w:rPr>
            </w:pPr>
          </w:p>
        </w:tc>
        <w:tc>
          <w:tcPr>
            <w:tcW w:w="112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EBA166">
            <w:pPr>
              <w:jc w:val="center"/>
              <w:rPr>
                <w:rFonts w:hint="default" w:cs="宋体"/>
                <w:b/>
                <w:color w:val="000000"/>
                <w:sz w:val="20"/>
                <w:szCs w:val="20"/>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E1F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79C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4FA1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5B32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BDEA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AF1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7D0D8">
            <w:pPr>
              <w:jc w:val="center"/>
              <w:rPr>
                <w:rFonts w:hint="default"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08202">
            <w:pPr>
              <w:jc w:val="center"/>
              <w:rPr>
                <w:rFonts w:hint="default" w:cs="宋体"/>
                <w:b/>
                <w:color w:val="000000"/>
                <w:sz w:val="20"/>
                <w:szCs w:val="20"/>
              </w:rPr>
            </w:pPr>
          </w:p>
        </w:tc>
      </w:tr>
      <w:tr w14:paraId="75C5223B">
        <w:tblPrEx>
          <w:tblCellMar>
            <w:top w:w="0" w:type="dxa"/>
            <w:left w:w="0" w:type="dxa"/>
            <w:bottom w:w="0" w:type="dxa"/>
            <w:right w:w="0" w:type="dxa"/>
          </w:tblCellMar>
        </w:tblPrEx>
        <w:trPr>
          <w:trHeight w:val="283" w:hRule="exact"/>
        </w:trPr>
        <w:tc>
          <w:tcPr>
            <w:tcW w:w="15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DF7D">
            <w:pPr>
              <w:jc w:val="center"/>
              <w:textAlignment w:val="center"/>
              <w:rPr>
                <w:rFonts w:hint="default" w:cs="宋体"/>
                <w:b/>
                <w:color w:val="000000"/>
                <w:sz w:val="20"/>
                <w:szCs w:val="20"/>
              </w:rPr>
            </w:pPr>
            <w:r>
              <w:rPr>
                <w:rFonts w:cs="宋体"/>
                <w:b/>
                <w:color w:val="000000"/>
                <w:sz w:val="20"/>
                <w:szCs w:val="20"/>
              </w:rPr>
              <w:t>合计</w:t>
            </w:r>
          </w:p>
        </w:tc>
        <w:tc>
          <w:tcPr>
            <w:tcW w:w="3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D1F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1,030.25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2B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998.45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DFE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BDB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D78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E83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BAD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43E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740D083">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4CC7">
            <w:pPr>
              <w:textAlignment w:val="center"/>
              <w:rPr>
                <w:rFonts w:hint="default" w:cs="宋体"/>
                <w:color w:val="000000"/>
                <w:sz w:val="20"/>
                <w:szCs w:val="20"/>
              </w:rPr>
            </w:pPr>
            <w:r>
              <w:rPr>
                <w:rFonts w:cs="宋体"/>
                <w:b/>
                <w:color w:val="000000"/>
                <w:sz w:val="20"/>
                <w:szCs w:val="20"/>
              </w:rPr>
              <w:t>205</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573C5">
            <w:pPr>
              <w:textAlignment w:val="center"/>
              <w:rPr>
                <w:rFonts w:hint="default" w:cs="宋体"/>
                <w:color w:val="000000"/>
                <w:sz w:val="20"/>
                <w:szCs w:val="20"/>
              </w:rPr>
            </w:pPr>
            <w:r>
              <w:rPr>
                <w:rFonts w:cs="宋体"/>
                <w:b/>
                <w:color w:val="000000"/>
                <w:sz w:val="20"/>
                <w:szCs w:val="20"/>
              </w:rPr>
              <w:t>教育支出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8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4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813.25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F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D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E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10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3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F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203F74">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E063">
            <w:pPr>
              <w:textAlignment w:val="center"/>
              <w:rPr>
                <w:rFonts w:hint="default" w:cs="宋体"/>
                <w:color w:val="000000"/>
                <w:sz w:val="20"/>
                <w:szCs w:val="20"/>
              </w:rPr>
            </w:pPr>
            <w:r>
              <w:rPr>
                <w:rFonts w:cs="宋体"/>
                <w:b/>
                <w:color w:val="000000"/>
                <w:sz w:val="20"/>
                <w:szCs w:val="20"/>
              </w:rPr>
              <w:t>20502</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CDF80">
            <w:pPr>
              <w:textAlignment w:val="center"/>
              <w:rPr>
                <w:rFonts w:hint="default" w:cs="宋体"/>
                <w:color w:val="000000"/>
                <w:sz w:val="20"/>
                <w:szCs w:val="20"/>
              </w:rPr>
            </w:pPr>
            <w:r>
              <w:rPr>
                <w:rFonts w:cs="宋体"/>
                <w:b/>
                <w:color w:val="000000"/>
                <w:sz w:val="20"/>
                <w:szCs w:val="20"/>
              </w:rPr>
              <w:t>普通教育</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0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E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813.25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9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D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F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6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C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6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02A5FD">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9BCD">
            <w:pPr>
              <w:textAlignment w:val="center"/>
              <w:rPr>
                <w:rFonts w:hint="default" w:cs="宋体"/>
                <w:color w:val="000000"/>
                <w:sz w:val="20"/>
                <w:szCs w:val="20"/>
              </w:rPr>
            </w:pPr>
            <w:r>
              <w:rPr>
                <w:rFonts w:cs="宋体"/>
                <w:color w:val="000000"/>
                <w:sz w:val="20"/>
                <w:szCs w:val="20"/>
              </w:rPr>
              <w:t>2050201</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DF99E">
            <w:pPr>
              <w:textAlignment w:val="center"/>
              <w:rPr>
                <w:rFonts w:hint="default" w:cs="宋体"/>
                <w:color w:val="000000"/>
                <w:sz w:val="20"/>
                <w:szCs w:val="20"/>
              </w:rPr>
            </w:pPr>
            <w:r>
              <w:rPr>
                <w:rFonts w:cs="宋体"/>
                <w:color w:val="000000"/>
                <w:sz w:val="20"/>
                <w:szCs w:val="20"/>
              </w:rPr>
              <w:t>学前教育</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6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6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2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4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8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1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C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7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6C4B61">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B5AA">
            <w:pPr>
              <w:textAlignment w:val="center"/>
              <w:rPr>
                <w:rFonts w:hint="default" w:cs="宋体"/>
                <w:color w:val="000000"/>
                <w:sz w:val="20"/>
                <w:szCs w:val="20"/>
              </w:rPr>
            </w:pPr>
            <w:r>
              <w:rPr>
                <w:rFonts w:cs="宋体"/>
                <w:color w:val="000000"/>
                <w:sz w:val="20"/>
                <w:szCs w:val="20"/>
              </w:rPr>
              <w:t>2050202</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36F7A">
            <w:pPr>
              <w:textAlignment w:val="center"/>
              <w:rPr>
                <w:rFonts w:hint="default" w:cs="宋体"/>
                <w:color w:val="000000"/>
                <w:sz w:val="20"/>
                <w:szCs w:val="20"/>
              </w:rPr>
            </w:pPr>
            <w:r>
              <w:rPr>
                <w:rFonts w:cs="宋体"/>
                <w:color w:val="000000"/>
                <w:sz w:val="20"/>
                <w:szCs w:val="20"/>
              </w:rPr>
              <w:t>小学教育</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4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7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D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9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E2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E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D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9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21C705">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2A2D">
            <w:pPr>
              <w:textAlignment w:val="center"/>
              <w:rPr>
                <w:rFonts w:hint="default" w:cs="宋体"/>
                <w:color w:val="000000"/>
                <w:sz w:val="20"/>
                <w:szCs w:val="20"/>
              </w:rPr>
            </w:pPr>
            <w:r>
              <w:rPr>
                <w:rFonts w:cs="宋体"/>
                <w:b/>
                <w:color w:val="000000"/>
                <w:sz w:val="20"/>
                <w:szCs w:val="20"/>
              </w:rPr>
              <w:t>208</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78164">
            <w:pPr>
              <w:textAlignment w:val="center"/>
              <w:rPr>
                <w:rFonts w:hint="default" w:cs="宋体"/>
                <w:color w:val="000000"/>
                <w:sz w:val="20"/>
                <w:szCs w:val="20"/>
              </w:rPr>
            </w:pPr>
            <w:r>
              <w:rPr>
                <w:rFonts w:cs="宋体"/>
                <w:b/>
                <w:color w:val="000000"/>
                <w:sz w:val="20"/>
                <w:szCs w:val="20"/>
              </w:rPr>
              <w:t>社会保障和就业支出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9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3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F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6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9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A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8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4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A9529D">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AB9E">
            <w:pPr>
              <w:textAlignment w:val="center"/>
              <w:rPr>
                <w:rFonts w:hint="default" w:cs="宋体"/>
                <w:color w:val="000000"/>
                <w:sz w:val="20"/>
                <w:szCs w:val="20"/>
              </w:rPr>
            </w:pPr>
            <w:r>
              <w:rPr>
                <w:rFonts w:cs="宋体"/>
                <w:b/>
                <w:color w:val="000000"/>
                <w:sz w:val="20"/>
                <w:szCs w:val="20"/>
              </w:rPr>
              <w:t>20805</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86409">
            <w:pPr>
              <w:textAlignment w:val="center"/>
              <w:rPr>
                <w:rFonts w:hint="default" w:cs="宋体"/>
                <w:color w:val="000000"/>
                <w:sz w:val="20"/>
                <w:szCs w:val="20"/>
              </w:rPr>
            </w:pPr>
            <w:r>
              <w:rPr>
                <w:rFonts w:cs="宋体"/>
                <w:b/>
                <w:color w:val="000000"/>
                <w:sz w:val="20"/>
                <w:szCs w:val="20"/>
              </w:rPr>
              <w:t>行政事业单位养老支出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1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84.23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C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0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6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3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A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8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D9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4D87B1">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C029">
            <w:pPr>
              <w:textAlignment w:val="center"/>
              <w:rPr>
                <w:rFonts w:hint="default" w:cs="宋体"/>
                <w:color w:val="000000"/>
                <w:sz w:val="20"/>
                <w:szCs w:val="20"/>
              </w:rPr>
            </w:pPr>
            <w:r>
              <w:rPr>
                <w:rFonts w:cs="宋体"/>
                <w:color w:val="000000"/>
                <w:sz w:val="20"/>
                <w:szCs w:val="20"/>
              </w:rPr>
              <w:t>2080505</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564EC">
            <w:pPr>
              <w:textAlignment w:val="center"/>
              <w:rPr>
                <w:rFonts w:hint="default" w:cs="宋体"/>
                <w:color w:val="000000"/>
                <w:sz w:val="20"/>
                <w:szCs w:val="20"/>
              </w:rPr>
            </w:pPr>
            <w:r>
              <w:rPr>
                <w:rFonts w:cs="宋体"/>
                <w:color w:val="000000"/>
                <w:sz w:val="20"/>
                <w:szCs w:val="20"/>
              </w:rPr>
              <w:t>机关事业单位基本养老保险缴费支出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1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C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3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8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B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3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C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E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A9F3D2">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D934">
            <w:pPr>
              <w:textAlignment w:val="center"/>
              <w:rPr>
                <w:rFonts w:hint="default" w:cs="宋体"/>
                <w:color w:val="000000"/>
                <w:sz w:val="20"/>
                <w:szCs w:val="20"/>
              </w:rPr>
            </w:pPr>
            <w:r>
              <w:rPr>
                <w:rFonts w:cs="宋体"/>
                <w:color w:val="000000"/>
                <w:sz w:val="20"/>
                <w:szCs w:val="20"/>
              </w:rPr>
              <w:t>2080506</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0260D">
            <w:pPr>
              <w:textAlignment w:val="center"/>
              <w:rPr>
                <w:rFonts w:hint="default" w:cs="宋体"/>
                <w:color w:val="000000"/>
                <w:sz w:val="20"/>
                <w:szCs w:val="20"/>
              </w:rPr>
            </w:pPr>
            <w:r>
              <w:rPr>
                <w:rFonts w:cs="宋体"/>
                <w:color w:val="000000"/>
                <w:sz w:val="20"/>
                <w:szCs w:val="20"/>
              </w:rPr>
              <w:t>机关事业单位职业年金缴费支出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0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4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6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B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1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5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2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9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F8B0FA">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8B5E">
            <w:pPr>
              <w:textAlignment w:val="center"/>
              <w:rPr>
                <w:rFonts w:hint="default" w:cs="宋体"/>
                <w:color w:val="000000"/>
                <w:sz w:val="20"/>
                <w:szCs w:val="20"/>
              </w:rPr>
            </w:pPr>
            <w:r>
              <w:rPr>
                <w:rFonts w:cs="宋体"/>
                <w:color w:val="000000"/>
                <w:sz w:val="20"/>
                <w:szCs w:val="20"/>
              </w:rPr>
              <w:t>2080599</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14731">
            <w:pPr>
              <w:textAlignment w:val="center"/>
              <w:rPr>
                <w:rFonts w:hint="default" w:cs="宋体"/>
                <w:color w:val="000000"/>
                <w:sz w:val="20"/>
                <w:szCs w:val="20"/>
              </w:rPr>
            </w:pPr>
            <w:r>
              <w:rPr>
                <w:rFonts w:cs="宋体"/>
                <w:color w:val="000000"/>
                <w:sz w:val="20"/>
                <w:szCs w:val="20"/>
              </w:rPr>
              <w:t>其他行政事业单位养老支出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C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B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1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B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D6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A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3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1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FE25A6">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43F5">
            <w:pPr>
              <w:textAlignment w:val="center"/>
              <w:rPr>
                <w:rFonts w:hint="default" w:cs="宋体"/>
                <w:color w:val="000000"/>
                <w:sz w:val="20"/>
                <w:szCs w:val="20"/>
              </w:rPr>
            </w:pPr>
            <w:r>
              <w:rPr>
                <w:rFonts w:cs="宋体"/>
                <w:b/>
                <w:color w:val="000000"/>
                <w:sz w:val="20"/>
                <w:szCs w:val="20"/>
              </w:rPr>
              <w:t>20808</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8845A">
            <w:pPr>
              <w:textAlignment w:val="center"/>
              <w:rPr>
                <w:rFonts w:hint="default" w:cs="宋体"/>
                <w:color w:val="000000"/>
                <w:sz w:val="20"/>
                <w:szCs w:val="20"/>
              </w:rPr>
            </w:pPr>
            <w:r>
              <w:rPr>
                <w:rFonts w:cs="宋体"/>
                <w:b/>
                <w:color w:val="000000"/>
                <w:sz w:val="20"/>
                <w:szCs w:val="20"/>
              </w:rPr>
              <w:t>抚恤</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4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A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8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2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B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8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2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3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6425A3">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EE69">
            <w:pPr>
              <w:textAlignment w:val="center"/>
              <w:rPr>
                <w:rFonts w:hint="default" w:cs="宋体"/>
                <w:color w:val="000000"/>
                <w:sz w:val="20"/>
                <w:szCs w:val="20"/>
              </w:rPr>
            </w:pPr>
            <w:r>
              <w:rPr>
                <w:rFonts w:cs="宋体"/>
                <w:color w:val="000000"/>
                <w:sz w:val="20"/>
                <w:szCs w:val="20"/>
              </w:rPr>
              <w:t>2080801</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37327">
            <w:pPr>
              <w:textAlignment w:val="center"/>
              <w:rPr>
                <w:rFonts w:hint="default" w:cs="宋体"/>
                <w:color w:val="000000"/>
                <w:sz w:val="20"/>
                <w:szCs w:val="20"/>
              </w:rPr>
            </w:pPr>
            <w:r>
              <w:rPr>
                <w:rFonts w:cs="宋体"/>
                <w:color w:val="000000"/>
                <w:sz w:val="20"/>
                <w:szCs w:val="20"/>
              </w:rPr>
              <w:t>死亡抚恤</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8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D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D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4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F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9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A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9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F18768">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648A">
            <w:pPr>
              <w:textAlignment w:val="center"/>
              <w:rPr>
                <w:rFonts w:hint="default" w:cs="宋体"/>
                <w:color w:val="000000"/>
                <w:sz w:val="20"/>
                <w:szCs w:val="20"/>
              </w:rPr>
            </w:pPr>
            <w:r>
              <w:rPr>
                <w:rFonts w:cs="宋体"/>
                <w:b/>
                <w:color w:val="000000"/>
                <w:sz w:val="20"/>
                <w:szCs w:val="20"/>
              </w:rPr>
              <w:t>210</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40E7">
            <w:pPr>
              <w:textAlignment w:val="center"/>
              <w:rPr>
                <w:rFonts w:hint="default" w:cs="宋体"/>
                <w:color w:val="000000"/>
                <w:sz w:val="20"/>
                <w:szCs w:val="20"/>
              </w:rPr>
            </w:pPr>
            <w:r>
              <w:rPr>
                <w:rFonts w:cs="宋体"/>
                <w:b/>
                <w:color w:val="000000"/>
                <w:sz w:val="20"/>
                <w:szCs w:val="20"/>
              </w:rPr>
              <w:t>卫生健康支出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5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5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5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1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C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C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E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D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C2FF6D">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7C0E">
            <w:pPr>
              <w:textAlignment w:val="center"/>
              <w:rPr>
                <w:rFonts w:hint="default" w:cs="宋体"/>
                <w:color w:val="000000"/>
                <w:sz w:val="20"/>
                <w:szCs w:val="20"/>
              </w:rPr>
            </w:pPr>
            <w:r>
              <w:rPr>
                <w:rFonts w:cs="宋体"/>
                <w:b/>
                <w:color w:val="000000"/>
                <w:sz w:val="20"/>
                <w:szCs w:val="20"/>
              </w:rPr>
              <w:t>21011</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D7D64">
            <w:pPr>
              <w:textAlignment w:val="center"/>
              <w:rPr>
                <w:rFonts w:hint="default" w:cs="宋体"/>
                <w:color w:val="000000"/>
                <w:sz w:val="20"/>
                <w:szCs w:val="20"/>
              </w:rPr>
            </w:pPr>
            <w:r>
              <w:rPr>
                <w:rFonts w:cs="宋体"/>
                <w:b/>
                <w:color w:val="000000"/>
                <w:sz w:val="20"/>
                <w:szCs w:val="20"/>
              </w:rPr>
              <w:t>行政事业单位医疗</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1B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7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6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B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4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2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9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8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528A1A">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C613">
            <w:pPr>
              <w:textAlignment w:val="center"/>
              <w:rPr>
                <w:rFonts w:hint="default" w:cs="宋体"/>
                <w:color w:val="000000"/>
                <w:sz w:val="20"/>
                <w:szCs w:val="20"/>
              </w:rPr>
            </w:pPr>
            <w:r>
              <w:rPr>
                <w:rFonts w:cs="宋体"/>
                <w:color w:val="000000"/>
                <w:sz w:val="20"/>
                <w:szCs w:val="20"/>
              </w:rPr>
              <w:t>2101102</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E524C">
            <w:pPr>
              <w:textAlignment w:val="center"/>
              <w:rPr>
                <w:rFonts w:hint="default" w:cs="宋体"/>
                <w:color w:val="000000"/>
                <w:sz w:val="20"/>
                <w:szCs w:val="20"/>
              </w:rPr>
            </w:pPr>
            <w:r>
              <w:rPr>
                <w:rFonts w:cs="宋体"/>
                <w:color w:val="000000"/>
                <w:sz w:val="20"/>
                <w:szCs w:val="20"/>
              </w:rPr>
              <w:t>事业单位医疗</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B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9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4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2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1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D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E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5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632A38">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3EB5">
            <w:pPr>
              <w:textAlignment w:val="center"/>
              <w:rPr>
                <w:rFonts w:hint="default" w:cs="宋体"/>
                <w:color w:val="000000"/>
                <w:sz w:val="20"/>
                <w:szCs w:val="20"/>
              </w:rPr>
            </w:pPr>
            <w:r>
              <w:rPr>
                <w:rFonts w:cs="宋体"/>
                <w:color w:val="000000"/>
                <w:sz w:val="20"/>
                <w:szCs w:val="20"/>
              </w:rPr>
              <w:t>2101199</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20403">
            <w:pPr>
              <w:textAlignment w:val="center"/>
              <w:rPr>
                <w:rFonts w:hint="default" w:cs="宋体"/>
                <w:color w:val="000000"/>
                <w:sz w:val="20"/>
                <w:szCs w:val="20"/>
              </w:rPr>
            </w:pPr>
            <w:r>
              <w:rPr>
                <w:rFonts w:cs="宋体"/>
                <w:color w:val="000000"/>
                <w:sz w:val="20"/>
                <w:szCs w:val="20"/>
              </w:rPr>
              <w:t>其他行政事业单位医疗支出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A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9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9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F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5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D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1D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0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14C9D1">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D62D">
            <w:pPr>
              <w:textAlignment w:val="center"/>
              <w:rPr>
                <w:rFonts w:hint="default" w:cs="宋体"/>
                <w:color w:val="000000"/>
                <w:sz w:val="20"/>
                <w:szCs w:val="20"/>
              </w:rPr>
            </w:pPr>
            <w:r>
              <w:rPr>
                <w:rFonts w:cs="宋体"/>
                <w:b/>
                <w:color w:val="000000"/>
                <w:sz w:val="20"/>
                <w:szCs w:val="20"/>
              </w:rPr>
              <w:t>221</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F93F7">
            <w:pPr>
              <w:textAlignment w:val="center"/>
              <w:rPr>
                <w:rFonts w:hint="default" w:cs="宋体"/>
                <w:color w:val="000000"/>
                <w:sz w:val="20"/>
                <w:szCs w:val="20"/>
              </w:rPr>
            </w:pPr>
            <w:r>
              <w:rPr>
                <w:rFonts w:cs="宋体"/>
                <w:b/>
                <w:color w:val="000000"/>
                <w:sz w:val="20"/>
                <w:szCs w:val="20"/>
              </w:rPr>
              <w:t>住房保障支出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5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A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8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4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9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C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B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6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C45B07">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3902">
            <w:pPr>
              <w:textAlignment w:val="center"/>
              <w:rPr>
                <w:rFonts w:hint="default" w:cs="宋体"/>
                <w:color w:val="000000"/>
                <w:sz w:val="20"/>
                <w:szCs w:val="20"/>
              </w:rPr>
            </w:pPr>
            <w:r>
              <w:rPr>
                <w:rFonts w:cs="宋体"/>
                <w:b/>
                <w:color w:val="000000"/>
                <w:sz w:val="20"/>
                <w:szCs w:val="20"/>
              </w:rPr>
              <w:t>22102</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5D77B">
            <w:pPr>
              <w:textAlignment w:val="center"/>
              <w:rPr>
                <w:rFonts w:hint="default" w:cs="宋体"/>
                <w:color w:val="000000"/>
                <w:sz w:val="20"/>
                <w:szCs w:val="20"/>
              </w:rPr>
            </w:pPr>
            <w:r>
              <w:rPr>
                <w:rFonts w:cs="宋体"/>
                <w:b/>
                <w:color w:val="000000"/>
                <w:sz w:val="20"/>
                <w:szCs w:val="20"/>
              </w:rPr>
              <w:t>住房改革支出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C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4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6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C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0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0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0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8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0740F6">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0475">
            <w:pPr>
              <w:textAlignment w:val="center"/>
              <w:rPr>
                <w:rFonts w:hint="default" w:cs="宋体"/>
                <w:color w:val="000000"/>
                <w:sz w:val="20"/>
                <w:szCs w:val="20"/>
              </w:rPr>
            </w:pPr>
            <w:r>
              <w:rPr>
                <w:rFonts w:cs="宋体"/>
                <w:color w:val="000000"/>
                <w:sz w:val="20"/>
                <w:szCs w:val="20"/>
              </w:rPr>
              <w:t>2210201</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C159A">
            <w:pPr>
              <w:textAlignment w:val="center"/>
              <w:rPr>
                <w:rFonts w:hint="default" w:cs="宋体"/>
                <w:color w:val="000000"/>
                <w:sz w:val="20"/>
                <w:szCs w:val="20"/>
              </w:rPr>
            </w:pPr>
            <w:r>
              <w:rPr>
                <w:rFonts w:cs="宋体"/>
                <w:color w:val="000000"/>
                <w:sz w:val="20"/>
                <w:szCs w:val="20"/>
              </w:rPr>
              <w:t>住房公积金</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A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2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D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F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6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E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0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1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96C970">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3168">
            <w:pPr>
              <w:textAlignment w:val="center"/>
              <w:rPr>
                <w:rFonts w:hint="default" w:cs="宋体"/>
                <w:color w:val="000000"/>
                <w:sz w:val="20"/>
                <w:szCs w:val="20"/>
              </w:rPr>
            </w:pPr>
            <w:r>
              <w:rPr>
                <w:rFonts w:cs="宋体"/>
                <w:color w:val="000000"/>
                <w:sz w:val="20"/>
                <w:szCs w:val="20"/>
              </w:rPr>
              <w:t>2210203</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2DE20">
            <w:pPr>
              <w:textAlignment w:val="center"/>
              <w:rPr>
                <w:rFonts w:hint="default" w:cs="宋体"/>
                <w:color w:val="000000"/>
                <w:sz w:val="20"/>
                <w:szCs w:val="20"/>
              </w:rPr>
            </w:pPr>
            <w:r>
              <w:rPr>
                <w:rFonts w:cs="宋体"/>
                <w:color w:val="000000"/>
                <w:sz w:val="20"/>
                <w:szCs w:val="20"/>
              </w:rPr>
              <w:t>购房补贴</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D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9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B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D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C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E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1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B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7FF34E">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ABC5">
            <w:pPr>
              <w:textAlignment w:val="center"/>
              <w:rPr>
                <w:rFonts w:hint="default" w:cs="宋体"/>
                <w:color w:val="000000"/>
                <w:sz w:val="20"/>
                <w:szCs w:val="20"/>
              </w:rPr>
            </w:pPr>
            <w:r>
              <w:rPr>
                <w:rFonts w:cs="宋体"/>
                <w:b/>
                <w:color w:val="000000"/>
                <w:sz w:val="20"/>
                <w:szCs w:val="20"/>
              </w:rPr>
              <w:t>229</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EEE47">
            <w:pPr>
              <w:textAlignment w:val="center"/>
              <w:rPr>
                <w:rFonts w:hint="default" w:cs="宋体"/>
                <w:color w:val="000000"/>
                <w:sz w:val="20"/>
                <w:szCs w:val="20"/>
              </w:rPr>
            </w:pPr>
            <w:r>
              <w:rPr>
                <w:rFonts w:cs="宋体"/>
                <w:b/>
                <w:color w:val="000000"/>
                <w:sz w:val="20"/>
                <w:szCs w:val="20"/>
              </w:rPr>
              <w:t>其他支出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D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9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B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4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8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9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3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1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082D58">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F685">
            <w:pPr>
              <w:textAlignment w:val="center"/>
              <w:rPr>
                <w:rFonts w:hint="default" w:cs="宋体"/>
                <w:color w:val="000000"/>
                <w:sz w:val="20"/>
                <w:szCs w:val="20"/>
              </w:rPr>
            </w:pPr>
            <w:r>
              <w:rPr>
                <w:rFonts w:cs="宋体"/>
                <w:b/>
                <w:color w:val="000000"/>
                <w:sz w:val="20"/>
                <w:szCs w:val="20"/>
              </w:rPr>
              <w:t>22960</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6EC91">
            <w:pPr>
              <w:textAlignment w:val="center"/>
              <w:rPr>
                <w:rFonts w:hint="default" w:cs="宋体"/>
                <w:color w:val="000000"/>
                <w:sz w:val="20"/>
                <w:szCs w:val="20"/>
              </w:rPr>
            </w:pPr>
            <w:r>
              <w:rPr>
                <w:rFonts w:cs="宋体"/>
                <w:b/>
                <w:color w:val="000000"/>
                <w:sz w:val="20"/>
                <w:szCs w:val="20"/>
              </w:rPr>
              <w:t>彩票公益金安排的支出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2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3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2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2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6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2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C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3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749DBC">
        <w:tblPrEx>
          <w:tblCellMar>
            <w:top w:w="0" w:type="dxa"/>
            <w:left w:w="0" w:type="dxa"/>
            <w:bottom w:w="0" w:type="dxa"/>
            <w:right w:w="0" w:type="dxa"/>
          </w:tblCellMar>
        </w:tblPrEx>
        <w:trPr>
          <w:trHeight w:val="283" w:hRule="exact"/>
        </w:trPr>
        <w:tc>
          <w:tcPr>
            <w:tcW w:w="4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1E85">
            <w:pPr>
              <w:textAlignment w:val="center"/>
              <w:rPr>
                <w:rFonts w:hint="default" w:cs="宋体"/>
                <w:color w:val="000000"/>
                <w:sz w:val="20"/>
                <w:szCs w:val="20"/>
              </w:rPr>
            </w:pPr>
            <w:r>
              <w:rPr>
                <w:rFonts w:cs="宋体"/>
                <w:color w:val="000000"/>
                <w:sz w:val="20"/>
                <w:szCs w:val="20"/>
              </w:rPr>
              <w:t>2296004</w:t>
            </w:r>
          </w:p>
        </w:tc>
        <w:tc>
          <w:tcPr>
            <w:tcW w:w="11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2FC2B">
            <w:pPr>
              <w:textAlignment w:val="center"/>
              <w:rPr>
                <w:rFonts w:hint="default" w:cs="宋体"/>
                <w:color w:val="000000"/>
                <w:sz w:val="20"/>
                <w:szCs w:val="20"/>
              </w:rPr>
            </w:pPr>
            <w:r>
              <w:rPr>
                <w:rFonts w:cs="宋体"/>
                <w:color w:val="000000"/>
                <w:sz w:val="20"/>
                <w:szCs w:val="20"/>
              </w:rPr>
              <w:t>用于教育事业的彩票公益金支出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5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9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E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0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0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8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A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1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EFBC4F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217CACF0">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488"/>
        <w:gridCol w:w="2162"/>
      </w:tblGrid>
      <w:tr w14:paraId="74DB1DE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DDEC879">
            <w:pPr>
              <w:jc w:val="center"/>
              <w:textAlignment w:val="bottom"/>
              <w:rPr>
                <w:rFonts w:hint="default" w:cs="宋体"/>
                <w:b/>
                <w:color w:val="000000"/>
                <w:sz w:val="32"/>
                <w:szCs w:val="32"/>
              </w:rPr>
            </w:pPr>
            <w:r>
              <w:rPr>
                <w:rFonts w:cs="宋体"/>
                <w:b/>
                <w:color w:val="000000"/>
                <w:sz w:val="32"/>
                <w:szCs w:val="32"/>
              </w:rPr>
              <w:t>支出决算表</w:t>
            </w:r>
          </w:p>
        </w:tc>
      </w:tr>
      <w:tr w14:paraId="0C7C8198">
        <w:tblPrEx>
          <w:tblCellMar>
            <w:top w:w="0" w:type="dxa"/>
            <w:left w:w="0" w:type="dxa"/>
            <w:bottom w:w="0" w:type="dxa"/>
            <w:right w:w="0" w:type="dxa"/>
          </w:tblCellMar>
        </w:tblPrEx>
        <w:trPr>
          <w:trHeight w:val="342" w:hRule="atLeast"/>
        </w:trPr>
        <w:tc>
          <w:tcPr>
            <w:tcW w:w="2196" w:type="pct"/>
            <w:gridSpan w:val="3"/>
            <w:vMerge w:val="restart"/>
            <w:tcBorders>
              <w:top w:val="nil"/>
              <w:left w:val="nil"/>
              <w:right w:val="nil"/>
            </w:tcBorders>
            <w:shd w:val="clear" w:color="auto" w:fill="auto"/>
            <w:noWrap/>
            <w:tcMar>
              <w:top w:w="15" w:type="dxa"/>
              <w:left w:w="15" w:type="dxa"/>
              <w:right w:w="15" w:type="dxa"/>
            </w:tcMar>
            <w:vAlign w:val="bottom"/>
          </w:tcPr>
          <w:p w14:paraId="154C2C0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重庆市九龙坡区西彭镇第三小学校 </w:t>
            </w:r>
          </w:p>
        </w:tc>
        <w:tc>
          <w:tcPr>
            <w:tcW w:w="574" w:type="pct"/>
            <w:tcBorders>
              <w:top w:val="nil"/>
              <w:left w:val="nil"/>
              <w:bottom w:val="nil"/>
              <w:right w:val="nil"/>
            </w:tcBorders>
            <w:shd w:val="clear" w:color="auto" w:fill="auto"/>
            <w:noWrap/>
            <w:tcMar>
              <w:top w:w="15" w:type="dxa"/>
              <w:left w:w="15" w:type="dxa"/>
              <w:right w:w="15" w:type="dxa"/>
            </w:tcMar>
            <w:vAlign w:val="bottom"/>
          </w:tcPr>
          <w:p w14:paraId="0ED795F8">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7969B0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2EAE74D">
            <w:pPr>
              <w:rPr>
                <w:rFonts w:hint="default" w:cs="宋体"/>
                <w:color w:val="000000"/>
                <w:sz w:val="20"/>
                <w:szCs w:val="20"/>
              </w:rPr>
            </w:pPr>
          </w:p>
        </w:tc>
        <w:tc>
          <w:tcPr>
            <w:tcW w:w="485" w:type="pct"/>
            <w:tcBorders>
              <w:top w:val="nil"/>
              <w:left w:val="nil"/>
              <w:bottom w:val="nil"/>
              <w:right w:val="nil"/>
            </w:tcBorders>
            <w:shd w:val="clear" w:color="auto" w:fill="auto"/>
            <w:noWrap/>
            <w:tcMar>
              <w:top w:w="15" w:type="dxa"/>
              <w:left w:w="15" w:type="dxa"/>
              <w:right w:w="15" w:type="dxa"/>
            </w:tcMar>
            <w:vAlign w:val="bottom"/>
          </w:tcPr>
          <w:p w14:paraId="41D3B8C3">
            <w:pP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35A36C1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ED9A001">
        <w:tblPrEx>
          <w:tblCellMar>
            <w:top w:w="0" w:type="dxa"/>
            <w:left w:w="0" w:type="dxa"/>
            <w:bottom w:w="0" w:type="dxa"/>
            <w:right w:w="0" w:type="dxa"/>
          </w:tblCellMar>
        </w:tblPrEx>
        <w:trPr>
          <w:trHeight w:val="342" w:hRule="atLeast"/>
        </w:trPr>
        <w:tc>
          <w:tcPr>
            <w:tcW w:w="2196" w:type="pct"/>
            <w:gridSpan w:val="3"/>
            <w:vMerge w:val="continue"/>
            <w:tcBorders>
              <w:left w:val="nil"/>
              <w:bottom w:val="nil"/>
              <w:right w:val="nil"/>
            </w:tcBorders>
            <w:shd w:val="clear" w:color="auto" w:fill="auto"/>
            <w:noWrap/>
            <w:tcMar>
              <w:top w:w="15" w:type="dxa"/>
              <w:left w:w="15" w:type="dxa"/>
              <w:right w:w="15" w:type="dxa"/>
            </w:tcMar>
            <w:vAlign w:val="bottom"/>
          </w:tcPr>
          <w:p w14:paraId="12E5D9FD">
            <w:pPr>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0D01519C">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96F58F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349B2B0">
            <w:pPr>
              <w:rPr>
                <w:rFonts w:hint="default" w:cs="宋体"/>
                <w:color w:val="000000"/>
                <w:sz w:val="20"/>
                <w:szCs w:val="20"/>
              </w:rPr>
            </w:pPr>
          </w:p>
        </w:tc>
        <w:tc>
          <w:tcPr>
            <w:tcW w:w="485" w:type="pct"/>
            <w:tcBorders>
              <w:top w:val="nil"/>
              <w:left w:val="nil"/>
              <w:bottom w:val="nil"/>
              <w:right w:val="nil"/>
            </w:tcBorders>
            <w:shd w:val="clear" w:color="auto" w:fill="auto"/>
            <w:noWrap/>
            <w:tcMar>
              <w:top w:w="15" w:type="dxa"/>
              <w:left w:w="15" w:type="dxa"/>
              <w:right w:w="15" w:type="dxa"/>
            </w:tcMar>
            <w:vAlign w:val="bottom"/>
          </w:tcPr>
          <w:p w14:paraId="6CFAFE6A">
            <w:pP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4684F2E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F47C08">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641EE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6A104">
            <w:pPr>
              <w:jc w:val="center"/>
              <w:textAlignment w:val="center"/>
              <w:rPr>
                <w:rFonts w:hint="default" w:cs="宋体"/>
                <w:b/>
                <w:color w:val="000000"/>
                <w:sz w:val="20"/>
                <w:szCs w:val="20"/>
              </w:rPr>
            </w:pPr>
            <w:r>
              <w:rPr>
                <w:rFonts w:cs="宋体"/>
                <w:b/>
                <w:color w:val="000000"/>
                <w:sz w:val="20"/>
                <w:szCs w:val="20"/>
              </w:rPr>
              <w:t>本年支出合计</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574E1">
            <w:pPr>
              <w:jc w:val="center"/>
              <w:textAlignment w:val="center"/>
              <w:rPr>
                <w:rFonts w:hint="default" w:cs="宋体"/>
                <w:b/>
                <w:color w:val="000000"/>
                <w:sz w:val="20"/>
                <w:szCs w:val="20"/>
              </w:rPr>
            </w:pPr>
            <w:r>
              <w:rPr>
                <w:rFonts w:cs="宋体"/>
                <w:b/>
                <w:color w:val="000000"/>
                <w:sz w:val="20"/>
                <w:szCs w:val="20"/>
              </w:rPr>
              <w:t>基本支出</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14B5A">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2C23E">
            <w:pPr>
              <w:jc w:val="center"/>
              <w:textAlignment w:val="center"/>
              <w:rPr>
                <w:rFonts w:hint="default" w:cs="宋体"/>
                <w:b/>
                <w:color w:val="000000"/>
                <w:sz w:val="20"/>
                <w:szCs w:val="20"/>
              </w:rPr>
            </w:pPr>
            <w:r>
              <w:rPr>
                <w:rFonts w:cs="宋体"/>
                <w:b/>
                <w:color w:val="000000"/>
                <w:sz w:val="20"/>
                <w:szCs w:val="20"/>
              </w:rPr>
              <w:t>上缴上级支出</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B89F">
            <w:pPr>
              <w:jc w:val="center"/>
              <w:textAlignment w:val="center"/>
              <w:rPr>
                <w:rFonts w:hint="default" w:cs="宋体"/>
                <w:b/>
                <w:color w:val="000000"/>
                <w:sz w:val="20"/>
                <w:szCs w:val="20"/>
              </w:rPr>
            </w:pPr>
            <w:r>
              <w:rPr>
                <w:rFonts w:cs="宋体"/>
                <w:b/>
                <w:color w:val="000000"/>
                <w:sz w:val="20"/>
                <w:szCs w:val="20"/>
              </w:rPr>
              <w:t>经营支出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1453">
            <w:pPr>
              <w:jc w:val="center"/>
              <w:textAlignment w:val="center"/>
              <w:rPr>
                <w:rFonts w:hint="default" w:cs="宋体"/>
                <w:b/>
                <w:color w:val="000000"/>
                <w:sz w:val="20"/>
                <w:szCs w:val="20"/>
              </w:rPr>
            </w:pPr>
            <w:r>
              <w:rPr>
                <w:rFonts w:cs="宋体"/>
                <w:b/>
                <w:color w:val="000000"/>
                <w:sz w:val="20"/>
                <w:szCs w:val="20"/>
              </w:rPr>
              <w:t>对附属单位补助支出</w:t>
            </w:r>
          </w:p>
        </w:tc>
      </w:tr>
      <w:tr w14:paraId="2F2FFA3D">
        <w:tblPrEx>
          <w:tblCellMar>
            <w:top w:w="0" w:type="dxa"/>
            <w:left w:w="0" w:type="dxa"/>
            <w:bottom w:w="0" w:type="dxa"/>
            <w:right w:w="0" w:type="dxa"/>
          </w:tblCellMar>
        </w:tblPrEx>
        <w:trPr>
          <w:trHeight w:val="338" w:hRule="atLeast"/>
        </w:trPr>
        <w:tc>
          <w:tcPr>
            <w:tcW w:w="42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E29F">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74DD8D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3B579">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1254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BF24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09A8D">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8D597">
            <w:pPr>
              <w:jc w:val="center"/>
              <w:rPr>
                <w:rFonts w:hint="default" w:cs="宋体"/>
                <w:b/>
                <w:color w:val="000000"/>
                <w:sz w:val="20"/>
                <w:szCs w:val="20"/>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5DDAB">
            <w:pPr>
              <w:jc w:val="center"/>
              <w:rPr>
                <w:rFonts w:hint="default" w:cs="宋体"/>
                <w:b/>
                <w:color w:val="000000"/>
                <w:sz w:val="20"/>
                <w:szCs w:val="20"/>
              </w:rPr>
            </w:pPr>
          </w:p>
        </w:tc>
      </w:tr>
      <w:tr w14:paraId="03E95D7E">
        <w:tblPrEx>
          <w:tblCellMar>
            <w:top w:w="0" w:type="dxa"/>
            <w:left w:w="0" w:type="dxa"/>
            <w:bottom w:w="0" w:type="dxa"/>
            <w:right w:w="0" w:type="dxa"/>
          </w:tblCellMar>
        </w:tblPrEx>
        <w:trPr>
          <w:trHeight w:val="338"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948E">
            <w:pPr>
              <w:jc w:val="center"/>
              <w:rPr>
                <w:rFonts w:hint="default" w:cs="宋体"/>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E8536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F410B">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3C5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62DE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B2BD4">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76DE">
            <w:pPr>
              <w:jc w:val="center"/>
              <w:rPr>
                <w:rFonts w:hint="default" w:cs="宋体"/>
                <w:b/>
                <w:color w:val="000000"/>
                <w:sz w:val="20"/>
                <w:szCs w:val="20"/>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D8CE">
            <w:pPr>
              <w:jc w:val="center"/>
              <w:rPr>
                <w:rFonts w:hint="default" w:cs="宋体"/>
                <w:b/>
                <w:color w:val="000000"/>
                <w:sz w:val="20"/>
                <w:szCs w:val="20"/>
              </w:rPr>
            </w:pPr>
          </w:p>
        </w:tc>
      </w:tr>
      <w:tr w14:paraId="1ADC1C29">
        <w:tblPrEx>
          <w:tblCellMar>
            <w:top w:w="0" w:type="dxa"/>
            <w:left w:w="0" w:type="dxa"/>
            <w:bottom w:w="0" w:type="dxa"/>
            <w:right w:w="0" w:type="dxa"/>
          </w:tblCellMar>
        </w:tblPrEx>
        <w:trPr>
          <w:trHeight w:val="338"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F7F7">
            <w:pPr>
              <w:jc w:val="center"/>
              <w:rPr>
                <w:rFonts w:hint="default" w:cs="宋体"/>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FE0C9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4568">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0F98A">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988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D351">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02415">
            <w:pPr>
              <w:jc w:val="center"/>
              <w:rPr>
                <w:rFonts w:hint="default" w:cs="宋体"/>
                <w:b/>
                <w:color w:val="000000"/>
                <w:sz w:val="20"/>
                <w:szCs w:val="20"/>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20741">
            <w:pPr>
              <w:jc w:val="center"/>
              <w:rPr>
                <w:rFonts w:hint="default" w:cs="宋体"/>
                <w:b/>
                <w:color w:val="000000"/>
                <w:sz w:val="20"/>
                <w:szCs w:val="20"/>
              </w:rPr>
            </w:pPr>
          </w:p>
        </w:tc>
      </w:tr>
      <w:tr w14:paraId="5E274431">
        <w:tblPrEx>
          <w:tblCellMar>
            <w:top w:w="0" w:type="dxa"/>
            <w:left w:w="0" w:type="dxa"/>
            <w:bottom w:w="0" w:type="dxa"/>
            <w:right w:w="0" w:type="dxa"/>
          </w:tblCellMar>
        </w:tblPrEx>
        <w:trPr>
          <w:trHeight w:val="338" w:hRule="atLeast"/>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555E">
            <w:pPr>
              <w:jc w:val="center"/>
              <w:rPr>
                <w:rFonts w:hint="default" w:cs="宋体"/>
                <w:b/>
                <w:color w:val="000000"/>
                <w:sz w:val="20"/>
                <w:szCs w:val="20"/>
              </w:rPr>
            </w:pPr>
          </w:p>
        </w:tc>
        <w:tc>
          <w:tcPr>
            <w:tcW w:w="117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A3BAD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5CC21">
            <w:pPr>
              <w:jc w:val="center"/>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9789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AD57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AF991">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64C8">
            <w:pPr>
              <w:jc w:val="center"/>
              <w:rPr>
                <w:rFonts w:hint="default" w:cs="宋体"/>
                <w:b/>
                <w:color w:val="000000"/>
                <w:sz w:val="20"/>
                <w:szCs w:val="20"/>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21E8">
            <w:pPr>
              <w:jc w:val="center"/>
              <w:rPr>
                <w:rFonts w:hint="default" w:cs="宋体"/>
                <w:b/>
                <w:color w:val="000000"/>
                <w:sz w:val="20"/>
                <w:szCs w:val="20"/>
              </w:rPr>
            </w:pPr>
          </w:p>
        </w:tc>
      </w:tr>
      <w:tr w14:paraId="46D4720C">
        <w:tblPrEx>
          <w:tblCellMar>
            <w:top w:w="0" w:type="dxa"/>
            <w:left w:w="0" w:type="dxa"/>
            <w:bottom w:w="0" w:type="dxa"/>
            <w:right w:w="0" w:type="dxa"/>
          </w:tblCellMar>
        </w:tblPrEx>
        <w:trPr>
          <w:trHeight w:val="283" w:hRule="exac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928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6D6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1,030.25</w:t>
            </w:r>
            <w:r>
              <w:rPr>
                <w:rFonts w:ascii="Times New Roman" w:hAnsi="Times New Roman"/>
                <w:b/>
                <w:color w:val="000000"/>
                <w:sz w:val="20"/>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E68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845.75</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01E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184.50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EA1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423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431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FC3870E">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6C7B">
            <w:pPr>
              <w:textAlignment w:val="center"/>
              <w:rPr>
                <w:rFonts w:hint="default" w:cs="宋体"/>
                <w:color w:val="000000"/>
                <w:sz w:val="20"/>
                <w:szCs w:val="20"/>
              </w:rPr>
            </w:pPr>
            <w:r>
              <w:rPr>
                <w:rFonts w:cs="宋体"/>
                <w:b/>
                <w:color w:val="000000"/>
                <w:sz w:val="20"/>
                <w:szCs w:val="20"/>
              </w:rPr>
              <w:t>205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F4CED">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4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845.05</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8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662.55</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9D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1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A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C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42CD8A">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353F">
            <w:pPr>
              <w:textAlignment w:val="center"/>
              <w:rPr>
                <w:rFonts w:hint="default" w:cs="宋体"/>
                <w:color w:val="000000"/>
                <w:sz w:val="20"/>
                <w:szCs w:val="20"/>
              </w:rPr>
            </w:pPr>
            <w:r>
              <w:rPr>
                <w:rFonts w:cs="宋体"/>
                <w:b/>
                <w:color w:val="000000"/>
                <w:sz w:val="20"/>
                <w:szCs w:val="20"/>
              </w:rPr>
              <w:t>20502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4D39A">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B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845.05</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8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662.55</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1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A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A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0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CB212F">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C4D4">
            <w:pPr>
              <w:textAlignment w:val="center"/>
              <w:rPr>
                <w:rFonts w:hint="default" w:cs="宋体"/>
                <w:color w:val="000000"/>
                <w:sz w:val="20"/>
                <w:szCs w:val="20"/>
              </w:rPr>
            </w:pPr>
            <w:r>
              <w:rPr>
                <w:rFonts w:cs="宋体"/>
                <w:color w:val="000000"/>
                <w:sz w:val="20"/>
                <w:szCs w:val="20"/>
              </w:rPr>
              <w:t>2050201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6AE8E">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E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66.67</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5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E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B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D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7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CC9B31">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AA80">
            <w:pPr>
              <w:textAlignment w:val="center"/>
              <w:rPr>
                <w:rFonts w:hint="default" w:cs="宋体"/>
                <w:color w:val="000000"/>
                <w:sz w:val="20"/>
                <w:szCs w:val="20"/>
              </w:rPr>
            </w:pPr>
            <w:r>
              <w:rPr>
                <w:rFonts w:cs="宋体"/>
                <w:color w:val="000000"/>
                <w:sz w:val="20"/>
                <w:szCs w:val="20"/>
              </w:rPr>
              <w:t>2050202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83DA5">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E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778.38</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5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655.07</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C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9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9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9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AD36E4">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0EF5">
            <w:pPr>
              <w:textAlignment w:val="center"/>
              <w:rPr>
                <w:rFonts w:hint="default" w:cs="宋体"/>
                <w:color w:val="000000"/>
                <w:sz w:val="20"/>
                <w:szCs w:val="20"/>
              </w:rPr>
            </w:pPr>
            <w:r>
              <w:rPr>
                <w:rFonts w:cs="宋体"/>
                <w:b/>
                <w:color w:val="000000"/>
                <w:sz w:val="20"/>
                <w:szCs w:val="20"/>
              </w:rPr>
              <w:t>208</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A866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9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92.52</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7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92.52</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2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8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0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F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57D3B1">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997B">
            <w:pPr>
              <w:textAlignment w:val="center"/>
              <w:rPr>
                <w:rFonts w:hint="default" w:cs="宋体"/>
                <w:color w:val="000000"/>
                <w:sz w:val="20"/>
                <w:szCs w:val="20"/>
              </w:rPr>
            </w:pPr>
            <w:r>
              <w:rPr>
                <w:rFonts w:cs="宋体"/>
                <w:b/>
                <w:color w:val="000000"/>
                <w:sz w:val="20"/>
                <w:szCs w:val="20"/>
              </w:rPr>
              <w:t>20805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F86B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8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84.23</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0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84.23</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F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8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B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6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57BA90">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D1AA">
            <w:pPr>
              <w:textAlignment w:val="center"/>
              <w:rPr>
                <w:rFonts w:hint="default" w:cs="宋体"/>
                <w:color w:val="000000"/>
                <w:sz w:val="20"/>
                <w:szCs w:val="20"/>
              </w:rPr>
            </w:pPr>
            <w:r>
              <w:rPr>
                <w:rFonts w:cs="宋体"/>
                <w:color w:val="000000"/>
                <w:sz w:val="20"/>
                <w:szCs w:val="20"/>
              </w:rPr>
              <w:t>2080505</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FD3C">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E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51.17</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8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51.17</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F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B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1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8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D63139">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AF99">
            <w:pPr>
              <w:textAlignment w:val="center"/>
              <w:rPr>
                <w:rFonts w:hint="default" w:cs="宋体"/>
                <w:color w:val="000000"/>
                <w:sz w:val="20"/>
                <w:szCs w:val="20"/>
              </w:rPr>
            </w:pPr>
            <w:r>
              <w:rPr>
                <w:rFonts w:cs="宋体"/>
                <w:color w:val="000000"/>
                <w:sz w:val="20"/>
                <w:szCs w:val="20"/>
              </w:rPr>
              <w:t>2080506</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EA78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B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28.06</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1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28.06</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C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9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6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A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840C35">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FC56">
            <w:pPr>
              <w:textAlignment w:val="center"/>
              <w:rPr>
                <w:rFonts w:hint="default" w:cs="宋体"/>
                <w:color w:val="000000"/>
                <w:sz w:val="20"/>
                <w:szCs w:val="20"/>
              </w:rPr>
            </w:pPr>
            <w:r>
              <w:rPr>
                <w:rFonts w:cs="宋体"/>
                <w:color w:val="000000"/>
                <w:sz w:val="20"/>
                <w:szCs w:val="20"/>
              </w:rPr>
              <w:t>2080599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A40DE">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9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D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9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C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7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A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3182A6">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66E8">
            <w:pPr>
              <w:textAlignment w:val="center"/>
              <w:rPr>
                <w:rFonts w:hint="default" w:cs="宋体"/>
                <w:color w:val="000000"/>
                <w:sz w:val="20"/>
                <w:szCs w:val="20"/>
              </w:rPr>
            </w:pPr>
            <w:r>
              <w:rPr>
                <w:rFonts w:cs="宋体"/>
                <w:b/>
                <w:color w:val="000000"/>
                <w:sz w:val="20"/>
                <w:szCs w:val="20"/>
              </w:rPr>
              <w:t>20808</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11186">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4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4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B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7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3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A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592D4C">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6E65">
            <w:pPr>
              <w:textAlignment w:val="center"/>
              <w:rPr>
                <w:rFonts w:hint="default" w:cs="宋体"/>
                <w:color w:val="000000"/>
                <w:sz w:val="20"/>
                <w:szCs w:val="20"/>
              </w:rPr>
            </w:pPr>
            <w:r>
              <w:rPr>
                <w:rFonts w:cs="宋体"/>
                <w:color w:val="000000"/>
                <w:sz w:val="20"/>
                <w:szCs w:val="20"/>
              </w:rPr>
              <w:t>2080801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86471">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B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B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9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D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9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A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324507">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70C8">
            <w:pPr>
              <w:textAlignment w:val="center"/>
              <w:rPr>
                <w:rFonts w:hint="default" w:cs="宋体"/>
                <w:color w:val="000000"/>
                <w:sz w:val="20"/>
                <w:szCs w:val="20"/>
              </w:rPr>
            </w:pPr>
            <w:r>
              <w:rPr>
                <w:rFonts w:cs="宋体"/>
                <w:b/>
                <w:color w:val="000000"/>
                <w:sz w:val="20"/>
                <w:szCs w:val="20"/>
              </w:rPr>
              <w:t>210</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78549">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F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1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0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E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F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E0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B58E1D">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8FDB">
            <w:pPr>
              <w:textAlignment w:val="center"/>
              <w:rPr>
                <w:rFonts w:hint="default" w:cs="宋体"/>
                <w:color w:val="000000"/>
                <w:sz w:val="20"/>
                <w:szCs w:val="20"/>
              </w:rPr>
            </w:pPr>
            <w:r>
              <w:rPr>
                <w:rFonts w:cs="宋体"/>
                <w:b/>
                <w:color w:val="000000"/>
                <w:sz w:val="20"/>
                <w:szCs w:val="20"/>
              </w:rPr>
              <w:t>21011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62E0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6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0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9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8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0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4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EA5DF9">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1BB5">
            <w:pPr>
              <w:textAlignment w:val="center"/>
              <w:rPr>
                <w:rFonts w:hint="default" w:cs="宋体"/>
                <w:color w:val="000000"/>
                <w:sz w:val="20"/>
                <w:szCs w:val="20"/>
              </w:rPr>
            </w:pPr>
            <w:r>
              <w:rPr>
                <w:rFonts w:cs="宋体"/>
                <w:color w:val="000000"/>
                <w:sz w:val="20"/>
                <w:szCs w:val="20"/>
              </w:rPr>
              <w:t>2101102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156C8">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5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7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B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2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A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B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118047">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A450">
            <w:pPr>
              <w:textAlignment w:val="center"/>
              <w:rPr>
                <w:rFonts w:hint="default" w:cs="宋体"/>
                <w:color w:val="000000"/>
                <w:sz w:val="20"/>
                <w:szCs w:val="20"/>
              </w:rPr>
            </w:pPr>
            <w:r>
              <w:rPr>
                <w:rFonts w:cs="宋体"/>
                <w:color w:val="000000"/>
                <w:sz w:val="20"/>
                <w:szCs w:val="20"/>
              </w:rPr>
              <w:t>2101199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48F41">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A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C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6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A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3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3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F8CE64">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773B">
            <w:pPr>
              <w:textAlignment w:val="center"/>
              <w:rPr>
                <w:rFonts w:hint="default" w:cs="宋体"/>
                <w:color w:val="000000"/>
                <w:sz w:val="20"/>
                <w:szCs w:val="20"/>
              </w:rPr>
            </w:pPr>
            <w:r>
              <w:rPr>
                <w:rFonts w:cs="宋体"/>
                <w:b/>
                <w:color w:val="000000"/>
                <w:sz w:val="20"/>
                <w:szCs w:val="20"/>
              </w:rPr>
              <w:t>221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DB59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B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4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A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6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3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4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87EBFA">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74EC">
            <w:pPr>
              <w:textAlignment w:val="center"/>
              <w:rPr>
                <w:rFonts w:hint="default" w:cs="宋体"/>
                <w:color w:val="000000"/>
                <w:sz w:val="20"/>
                <w:szCs w:val="20"/>
              </w:rPr>
            </w:pPr>
            <w:r>
              <w:rPr>
                <w:rFonts w:cs="宋体"/>
                <w:b/>
                <w:color w:val="000000"/>
                <w:sz w:val="20"/>
                <w:szCs w:val="20"/>
              </w:rPr>
              <w:t>22102</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D1E76">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6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8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5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4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6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0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513466">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7CE4">
            <w:pPr>
              <w:textAlignment w:val="center"/>
              <w:rPr>
                <w:rFonts w:hint="default" w:cs="宋体"/>
                <w:color w:val="000000"/>
                <w:sz w:val="20"/>
                <w:szCs w:val="20"/>
              </w:rPr>
            </w:pPr>
            <w:r>
              <w:rPr>
                <w:rFonts w:cs="宋体"/>
                <w:color w:val="000000"/>
                <w:sz w:val="20"/>
                <w:szCs w:val="20"/>
              </w:rPr>
              <w:t>2210201</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1FA9">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7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47.18</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6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47.18</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9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0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E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A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706DAE">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730F">
            <w:pPr>
              <w:textAlignment w:val="center"/>
              <w:rPr>
                <w:rFonts w:hint="default" w:cs="宋体"/>
                <w:color w:val="000000"/>
                <w:sz w:val="20"/>
                <w:szCs w:val="20"/>
              </w:rPr>
            </w:pPr>
            <w:r>
              <w:rPr>
                <w:rFonts w:cs="宋体"/>
                <w:color w:val="000000"/>
                <w:sz w:val="20"/>
                <w:szCs w:val="20"/>
              </w:rPr>
              <w:t>2210203</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AEC08">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9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2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F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A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4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8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FDF46C">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E4B8">
            <w:pPr>
              <w:textAlignment w:val="center"/>
              <w:rPr>
                <w:rFonts w:hint="default" w:cs="宋体"/>
                <w:color w:val="000000"/>
                <w:sz w:val="20"/>
                <w:szCs w:val="20"/>
              </w:rPr>
            </w:pPr>
            <w:r>
              <w:rPr>
                <w:rFonts w:cs="宋体"/>
                <w:b/>
                <w:color w:val="000000"/>
                <w:sz w:val="20"/>
                <w:szCs w:val="20"/>
              </w:rPr>
              <w:t>229</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67894">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A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F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7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9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1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768569">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A851">
            <w:pPr>
              <w:textAlignment w:val="center"/>
              <w:rPr>
                <w:rFonts w:hint="default" w:cs="宋体"/>
                <w:color w:val="000000"/>
                <w:sz w:val="20"/>
                <w:szCs w:val="20"/>
              </w:rPr>
            </w:pPr>
            <w:r>
              <w:rPr>
                <w:rFonts w:cs="宋体"/>
                <w:b/>
                <w:color w:val="000000"/>
                <w:sz w:val="20"/>
                <w:szCs w:val="20"/>
              </w:rPr>
              <w:t>22960</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CDBA9">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2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0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1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5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F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E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3B1E2D">
        <w:tblPrEx>
          <w:tblCellMar>
            <w:top w:w="0" w:type="dxa"/>
            <w:left w:w="0" w:type="dxa"/>
            <w:bottom w:w="0" w:type="dxa"/>
            <w:right w:w="0" w:type="dxa"/>
          </w:tblCellMar>
        </w:tblPrEx>
        <w:trPr>
          <w:trHeight w:val="283" w:hRule="exact"/>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B14D">
            <w:pPr>
              <w:textAlignment w:val="center"/>
              <w:rPr>
                <w:rFonts w:hint="default" w:cs="宋体"/>
                <w:color w:val="000000"/>
                <w:sz w:val="20"/>
                <w:szCs w:val="20"/>
              </w:rPr>
            </w:pPr>
            <w:r>
              <w:rPr>
                <w:rFonts w:cs="宋体"/>
                <w:color w:val="000000"/>
                <w:sz w:val="20"/>
                <w:szCs w:val="20"/>
              </w:rPr>
              <w:t>2296004</w:t>
            </w: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DEE8E">
            <w:pPr>
              <w:textAlignment w:val="center"/>
              <w:rPr>
                <w:rFonts w:hint="default" w:cs="宋体"/>
                <w:color w:val="000000"/>
                <w:sz w:val="20"/>
                <w:szCs w:val="20"/>
              </w:rPr>
            </w:pPr>
            <w:r>
              <w:rPr>
                <w:rFonts w:cs="宋体"/>
                <w:color w:val="000000"/>
                <w:sz w:val="20"/>
                <w:szCs w:val="20"/>
              </w:rPr>
              <w:t>用于教育事业的彩票公益金支出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C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F7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D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0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2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F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D98709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5A980F51">
      <w:pPr>
        <w:rPr>
          <w:rFonts w:hint="default" w:cs="宋体"/>
          <w:sz w:val="21"/>
          <w:szCs w:val="21"/>
        </w:rPr>
      </w:pPr>
      <w:r>
        <w:rPr>
          <w:rFonts w:cs="宋体"/>
          <w:sz w:val="21"/>
          <w:szCs w:val="21"/>
        </w:rPr>
        <w:br w:type="page"/>
      </w:r>
    </w:p>
    <w:p w14:paraId="0A90D349">
      <w:pPr>
        <w:rPr>
          <w:rFonts w:hint="default" w:cs="宋体"/>
          <w:sz w:val="21"/>
          <w:szCs w:val="21"/>
        </w:rPr>
      </w:pP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70693CD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62FF1A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9A414A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9839229">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重庆市九龙坡区西彭镇第三小学校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42B36A3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1A435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BB9FB4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F651F71">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B62A41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CF5958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AAB08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C39B0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BC334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9A94B51">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28080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151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870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24B37B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CD1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4F05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1AF3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13C9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ABBA82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6890">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0D0B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7B76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6F7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B939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7186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8EC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A269F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4E7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7E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DC6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E8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DD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E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6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A453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0B8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74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CB3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8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A8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02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0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3FA4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F34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0D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B4F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9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2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1E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B6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1BE8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B88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2A894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A884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15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EE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E4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9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DE12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A8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56C0C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D58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A4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02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8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200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DA70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F4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81A03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94D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8D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F8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FA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83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C15D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31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65AFC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7FA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D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6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E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7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168E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0B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7FEE1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D3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F0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71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47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5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66D4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F6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9313C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289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F1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B9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3C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A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7034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67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8C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7B8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31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28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EA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A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A780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CE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94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9F2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A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57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6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7A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9AE3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3A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C7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1DE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4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B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F7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C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0A12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30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69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7E5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F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36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E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4F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32FB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3D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D7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0FD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C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F1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57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D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0E1D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09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5A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8FB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D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40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DC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22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4DE9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8B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26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C88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F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9F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65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41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A950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C3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D24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73F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E5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E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A5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9E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1FAF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52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5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B86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9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5F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93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29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E88C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E70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1E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ADC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0E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53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B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8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8F69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75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2B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80A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AC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D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49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7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FB95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CA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5E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504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B5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55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6A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7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F3BD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05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BB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BE5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C3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87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0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1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EB16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58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4F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2AF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F1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3D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12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EA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68B4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B357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56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CAD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94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E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C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6A8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87FF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82CB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72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2E1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9F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B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94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9E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933F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D2F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014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693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A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B5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0D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19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2029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88E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08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096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FB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67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40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23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4D07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744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7F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DD2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89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8D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2B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6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2D9F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7E4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A7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199F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06C6E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1650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2EC1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3ED3FE">
            <w:pPr>
              <w:spacing w:line="200" w:lineRule="exact"/>
              <w:rPr>
                <w:rFonts w:hint="default" w:ascii="Times New Roman" w:hAnsi="Times New Roman"/>
                <w:color w:val="000000"/>
                <w:sz w:val="18"/>
                <w:szCs w:val="18"/>
              </w:rPr>
            </w:pPr>
          </w:p>
        </w:tc>
      </w:tr>
      <w:tr w14:paraId="5210EE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9BD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38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C3C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EAD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F8B8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91B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6610">
            <w:pPr>
              <w:spacing w:line="200" w:lineRule="exact"/>
              <w:jc w:val="right"/>
              <w:rPr>
                <w:rFonts w:hint="default" w:ascii="Times New Roman" w:hAnsi="Times New Roman"/>
                <w:color w:val="000000"/>
                <w:sz w:val="18"/>
                <w:szCs w:val="18"/>
              </w:rPr>
            </w:pPr>
          </w:p>
        </w:tc>
      </w:tr>
      <w:tr w14:paraId="622451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6E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F2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8BB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D1D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662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599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560B">
            <w:pPr>
              <w:spacing w:line="200" w:lineRule="exact"/>
              <w:jc w:val="right"/>
              <w:rPr>
                <w:rFonts w:hint="default" w:ascii="Times New Roman" w:hAnsi="Times New Roman"/>
                <w:color w:val="000000"/>
                <w:sz w:val="18"/>
                <w:szCs w:val="18"/>
              </w:rPr>
            </w:pPr>
          </w:p>
        </w:tc>
      </w:tr>
      <w:tr w14:paraId="665E77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31E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45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273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0B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86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6E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7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FFB83D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E9772F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E64277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E2ECE6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6E064A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重庆市九龙坡区西彭镇第三小学校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492010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B24955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C37707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958E79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93B468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C061C6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516CD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86C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286722">
            <w:pPr>
              <w:jc w:val="center"/>
              <w:textAlignment w:val="center"/>
              <w:rPr>
                <w:rFonts w:hint="default" w:cs="宋体"/>
                <w:b/>
                <w:color w:val="000000"/>
                <w:sz w:val="20"/>
                <w:szCs w:val="20"/>
              </w:rPr>
            </w:pPr>
            <w:r>
              <w:rPr>
                <w:rFonts w:cs="宋体"/>
                <w:b/>
                <w:color w:val="000000"/>
                <w:sz w:val="20"/>
                <w:szCs w:val="20"/>
              </w:rPr>
              <w:t>本年支出</w:t>
            </w:r>
          </w:p>
        </w:tc>
      </w:tr>
      <w:tr w14:paraId="7DDC2E8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245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998B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903A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A3DA0">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54BF0">
            <w:pPr>
              <w:jc w:val="center"/>
              <w:textAlignment w:val="center"/>
              <w:rPr>
                <w:rFonts w:hint="default" w:cs="宋体"/>
                <w:b/>
                <w:color w:val="000000"/>
                <w:sz w:val="20"/>
                <w:szCs w:val="20"/>
              </w:rPr>
            </w:pPr>
            <w:r>
              <w:rPr>
                <w:rFonts w:cs="宋体"/>
                <w:b/>
                <w:color w:val="000000"/>
                <w:sz w:val="20"/>
                <w:szCs w:val="20"/>
              </w:rPr>
              <w:t>项目支出</w:t>
            </w:r>
          </w:p>
        </w:tc>
      </w:tr>
      <w:tr w14:paraId="313910A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F72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178F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4EB6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821B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E8579">
            <w:pPr>
              <w:jc w:val="center"/>
              <w:rPr>
                <w:rFonts w:hint="default" w:cs="宋体"/>
                <w:b/>
                <w:color w:val="000000"/>
                <w:sz w:val="20"/>
                <w:szCs w:val="20"/>
              </w:rPr>
            </w:pPr>
          </w:p>
        </w:tc>
      </w:tr>
      <w:tr w14:paraId="7196C70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A3A0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F117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B050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07D8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35D6B">
            <w:pPr>
              <w:jc w:val="center"/>
              <w:rPr>
                <w:rFonts w:hint="default" w:cs="宋体"/>
                <w:b/>
                <w:color w:val="000000"/>
                <w:sz w:val="20"/>
                <w:szCs w:val="20"/>
              </w:rPr>
            </w:pPr>
          </w:p>
        </w:tc>
      </w:tr>
      <w:tr w14:paraId="6CB0AC3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8D6B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590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996.45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0B1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845.75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AAB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150.70</w:t>
            </w:r>
            <w:r>
              <w:rPr>
                <w:rFonts w:ascii="Times New Roman" w:hAnsi="Times New Roman"/>
                <w:b/>
                <w:color w:val="000000"/>
                <w:sz w:val="20"/>
              </w:rPr>
              <w:t xml:space="preserve"> </w:t>
            </w:r>
          </w:p>
        </w:tc>
      </w:tr>
      <w:tr w14:paraId="592313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7B4B">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6328E">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CAD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813.25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10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662.55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7ED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150.70</w:t>
            </w:r>
            <w:r>
              <w:rPr>
                <w:rFonts w:ascii="Times New Roman" w:hAnsi="Times New Roman"/>
                <w:b/>
                <w:color w:val="000000"/>
                <w:sz w:val="20"/>
              </w:rPr>
              <w:t xml:space="preserve"> </w:t>
            </w:r>
          </w:p>
        </w:tc>
      </w:tr>
      <w:tr w14:paraId="4BD8D1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194F">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EA33">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F1B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813.25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B7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662.55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5B1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150.70</w:t>
            </w:r>
            <w:r>
              <w:rPr>
                <w:rFonts w:ascii="Times New Roman" w:hAnsi="Times New Roman"/>
                <w:b/>
                <w:color w:val="000000"/>
                <w:sz w:val="20"/>
              </w:rPr>
              <w:t xml:space="preserve"> </w:t>
            </w:r>
          </w:p>
        </w:tc>
      </w:tr>
      <w:tr w14:paraId="4931D9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D29C">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AD27B">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D52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612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6B5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30.39</w:t>
            </w:r>
            <w:r>
              <w:rPr>
                <w:rFonts w:ascii="Times New Roman" w:hAnsi="Times New Roman"/>
                <w:color w:val="000000"/>
                <w:sz w:val="20"/>
              </w:rPr>
              <w:t xml:space="preserve"> </w:t>
            </w:r>
          </w:p>
        </w:tc>
      </w:tr>
      <w:tr w14:paraId="7BA5C8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4822">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BCAF">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9A6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9B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655.07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49B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120.31</w:t>
            </w:r>
            <w:r>
              <w:rPr>
                <w:rFonts w:ascii="Times New Roman" w:hAnsi="Times New Roman"/>
                <w:color w:val="000000"/>
                <w:sz w:val="20"/>
              </w:rPr>
              <w:t xml:space="preserve"> </w:t>
            </w:r>
          </w:p>
        </w:tc>
      </w:tr>
      <w:tr w14:paraId="304DCB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DE9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2D4E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155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188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648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F37A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8E5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9B00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CFD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C7F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C8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3DB0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250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5DDA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4E1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351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A81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5A74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186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C8D4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265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16C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76B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FF64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34E8">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196F2">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0FD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579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7D8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0500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D975">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ED95F">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8B5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30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2CA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63B3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D4EF">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94044">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ABB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77E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535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96DB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88A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0357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7C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CF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0A4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78CA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F69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CA0F9">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61C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04E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091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5F4B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7910">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0087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D92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FB0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C7C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9286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AA83">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51E3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5B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C74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A12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6F53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628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E56B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989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500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AEF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090A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883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3C2B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B44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3A0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FEC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FCC6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512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EC0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0EF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B64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F0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6724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66BE">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F23C3">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8BC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0E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5D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6B3521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8D33C4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DC5C2DC">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060F38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EFB9413">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重庆市九龙坡区西彭镇第三小学校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2BEC6DFE">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A067BC6">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6734FEC">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E2818B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3FE353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5234BD8">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F7510C6">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87F2E7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B7193AE">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FF2332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4E784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B360">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875175">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0886D8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5FFB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DC93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C475B">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DAFA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1CDA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6F05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B1F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A22B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C9579">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3E9982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1409">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B6C41">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5D37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D2A00">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D43E5">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2EDE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9DA2D">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698D7">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64114">
            <w:pPr>
              <w:spacing w:line="192" w:lineRule="exact"/>
              <w:jc w:val="center"/>
              <w:rPr>
                <w:rFonts w:hint="default" w:cs="宋体"/>
                <w:b/>
                <w:color w:val="000000"/>
                <w:sz w:val="18"/>
                <w:szCs w:val="18"/>
              </w:rPr>
            </w:pPr>
          </w:p>
        </w:tc>
      </w:tr>
      <w:tr w14:paraId="2E776C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5514">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2C2D">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0F8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FF0C">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23EC">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87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9BD1">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7B01">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9F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r>
      <w:tr w14:paraId="496694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CD23">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3A9E">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B0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786F">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C57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05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89D2">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D3C9">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66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E647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5DBB">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80E8">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FA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C75E">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A16E">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FE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73D7">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CC82">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D9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r>
      <w:tr w14:paraId="67891A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EE62">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4A18">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BA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3FA8">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E8FA">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15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00C9">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80F8">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E1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2774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9F1E">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BDDC">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EF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3A70">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B4282">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41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2A7B">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3B0B">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74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6192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7D6F">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1C81">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BF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6C33">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1334">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EA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9552">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2885">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76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2115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B5F2">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B1BC">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76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F9A5">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ADC4">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6F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B16A">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D5A4">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40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E4A5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8C8A">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3A43">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9B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038E">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3F86">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45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AEBB">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E140">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B1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DD9A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9A27">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EF1D">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D8C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64A5">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EDC6">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62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0BE3">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5C83">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49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2D4F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238B">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484D">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1B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F613">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984F">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18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6B9C">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317D">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33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E338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0C598">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9755">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D9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6CB1">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5C4F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26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3E0F">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3A4E">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2B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A7DB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904C">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B77A">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A8A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3CF4">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B3C2">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10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C307">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15B4">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1E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DD28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19F4">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5F7A">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64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DA59">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4E2D">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13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450A">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EA2E">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BB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DA54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AB75">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301C">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EE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A335">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537C">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A6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9166">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6E3A">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64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7EA2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0A29">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4A8D">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A2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3A1C">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E452">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D6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F647">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68B5">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50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083F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F6DF">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CF20">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36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2FFA">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4D44">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63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C805">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D5C7">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14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F5FB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9D0B">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BB7E">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00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221E">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B4B6">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16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8E13">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82F1">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D4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63DF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1448">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D76D">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F1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B960">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1F80">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1D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345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D96B">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BB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42F5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118B">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E2D1">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67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7407">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2914">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AE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FF4A">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0794">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B7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AA3A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E8A21">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9D38">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C4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C3E5">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9379">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C8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E2BF">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AC0A2">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67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34CF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6CD8">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364C">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27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77E1">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D0D2">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44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474E">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0F11">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B0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F5A4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C81B">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4DD7">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59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1BDA">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F6D0">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63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AD6E">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BBF1">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37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5162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CFC9">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3759">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19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4003">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8534">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5F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F269">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0E7B">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A9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5AC0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B2C1">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378D">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38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32F0">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5543">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EE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61E0">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712F">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F0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86A7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8CCA">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5DBB">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57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BF23">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8BA9">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A1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463E">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AFAD">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DD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91E4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6035">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2043">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DC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678A">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7B7E">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DB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6304">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80BA">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1A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460F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6DC8">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2455">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73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645B">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4643">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70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4915">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E0BF">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F3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1590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A17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F2B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1935B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9032">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A942">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4D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778E">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6B88">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3E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D6C9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238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574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49EF9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630C">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FAF5">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89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E1CD">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C5DC">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72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EEC7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86A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56E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6160C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F91F">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DA3A">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80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4B96">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3E27">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1A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62AA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D5B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66F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6327D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9876">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A1C1">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CB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84D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911CC">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EC93">
            <w:pPr>
              <w:spacing w:line="192" w:lineRule="exact"/>
              <w:jc w:val="right"/>
              <w:rPr>
                <w:rFonts w:hint="default" w:ascii="Times New Roman" w:hAnsi="Times New Roman"/>
                <w:color w:val="000000"/>
                <w:sz w:val="18"/>
                <w:szCs w:val="18"/>
              </w:rPr>
            </w:pPr>
          </w:p>
        </w:tc>
      </w:tr>
      <w:tr w14:paraId="4C401A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BF3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692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72F4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1A81">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7065">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D1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5E6C">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05BF">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7534">
            <w:pPr>
              <w:spacing w:line="192" w:lineRule="exact"/>
              <w:jc w:val="right"/>
              <w:rPr>
                <w:rFonts w:hint="default" w:ascii="Times New Roman" w:hAnsi="Times New Roman"/>
                <w:color w:val="000000"/>
                <w:sz w:val="18"/>
                <w:szCs w:val="18"/>
              </w:rPr>
            </w:pPr>
          </w:p>
        </w:tc>
      </w:tr>
      <w:tr w14:paraId="0C5FED2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928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26A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7C6FC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A4AC">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618B">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32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F9E2">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C29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ADA1">
            <w:pPr>
              <w:spacing w:line="192" w:lineRule="exact"/>
              <w:jc w:val="right"/>
              <w:rPr>
                <w:rFonts w:hint="default" w:ascii="Times New Roman" w:hAnsi="Times New Roman"/>
                <w:color w:val="000000"/>
                <w:sz w:val="18"/>
                <w:szCs w:val="18"/>
              </w:rPr>
            </w:pPr>
          </w:p>
        </w:tc>
      </w:tr>
      <w:tr w14:paraId="66C4546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238F">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A4DBAA">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746.66</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82DD1">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B68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99.10</w:t>
            </w:r>
            <w:r>
              <w:rPr>
                <w:rFonts w:ascii="Times New Roman" w:hAnsi="Times New Roman"/>
                <w:color w:val="000000"/>
                <w:sz w:val="18"/>
              </w:rPr>
              <w:t xml:space="preserve"> </w:t>
            </w:r>
          </w:p>
        </w:tc>
      </w:tr>
    </w:tbl>
    <w:p w14:paraId="0004CD54">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88636B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9D41E1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BE75F2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D18797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重庆市九龙坡区西彭镇第三小学校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7D03B40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258F8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C4BB9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8AD4E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32E531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1FC5A7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D259A3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7CD4D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E37AA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962E9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83814A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4A16BD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20A4B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6E34F">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50CFFD">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0301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6FCFA2">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5986">
            <w:pPr>
              <w:jc w:val="center"/>
              <w:textAlignment w:val="center"/>
              <w:rPr>
                <w:rFonts w:hint="default" w:cs="宋体"/>
                <w:b/>
                <w:color w:val="000000"/>
                <w:sz w:val="20"/>
                <w:szCs w:val="20"/>
              </w:rPr>
            </w:pPr>
            <w:r>
              <w:rPr>
                <w:rFonts w:cs="宋体"/>
                <w:b/>
                <w:color w:val="000000"/>
                <w:sz w:val="20"/>
                <w:szCs w:val="20"/>
              </w:rPr>
              <w:t>年末结转和结余</w:t>
            </w:r>
          </w:p>
        </w:tc>
      </w:tr>
      <w:tr w14:paraId="733C867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317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2CD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DE5FC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01D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9D9C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D5D1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82158">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A64E">
            <w:pPr>
              <w:jc w:val="center"/>
              <w:rPr>
                <w:rFonts w:hint="default" w:cs="宋体"/>
                <w:b/>
                <w:color w:val="000000"/>
                <w:sz w:val="20"/>
                <w:szCs w:val="20"/>
              </w:rPr>
            </w:pPr>
          </w:p>
        </w:tc>
      </w:tr>
      <w:tr w14:paraId="12CFF37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94D9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997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AE518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115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80B7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2C8B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F9EE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854D">
            <w:pPr>
              <w:jc w:val="center"/>
              <w:rPr>
                <w:rFonts w:hint="default" w:cs="宋体"/>
                <w:b/>
                <w:color w:val="000000"/>
                <w:sz w:val="20"/>
                <w:szCs w:val="20"/>
              </w:rPr>
            </w:pPr>
          </w:p>
        </w:tc>
      </w:tr>
      <w:tr w14:paraId="4F0C91D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6BE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C7E0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C7F32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E652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4C80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DCB9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47B7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A8B41">
            <w:pPr>
              <w:jc w:val="center"/>
              <w:rPr>
                <w:rFonts w:hint="default" w:cs="宋体"/>
                <w:b/>
                <w:color w:val="000000"/>
                <w:sz w:val="20"/>
                <w:szCs w:val="20"/>
              </w:rPr>
            </w:pPr>
          </w:p>
        </w:tc>
      </w:tr>
      <w:tr w14:paraId="4E4E86D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7AA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B11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DAF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A00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2C3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20A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4A1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372EF1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2E49">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BB19A">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163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59B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664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73F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1D5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BAE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03397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310B">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F7CFC">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538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858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6B1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ACC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902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BA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DD4FC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E06C">
            <w:pPr>
              <w:jc w:val="both"/>
              <w:textAlignment w:val="center"/>
              <w:rPr>
                <w:rFonts w:hint="default" w:cs="宋体"/>
                <w:color w:val="000000"/>
                <w:sz w:val="20"/>
                <w:szCs w:val="20"/>
              </w:rPr>
            </w:pPr>
            <w:r>
              <w:rPr>
                <w:rFonts w:cs="宋体"/>
                <w:color w:val="000000"/>
                <w:sz w:val="20"/>
                <w:szCs w:val="20"/>
              </w:rPr>
              <w:t>2296004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B548F">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C9B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CA5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147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33A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71E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463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640BFA2">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827C250">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937EEF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5C4D02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AEFEE8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E29FE2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重庆市九龙坡区西彭镇第三小学校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F4A746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19DEDB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CE45BE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A43903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09ED7F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6B69D0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C6BA3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78F483">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54E8D">
            <w:pPr>
              <w:jc w:val="center"/>
              <w:textAlignment w:val="bottom"/>
              <w:rPr>
                <w:rFonts w:hint="default" w:cs="宋体"/>
                <w:b/>
                <w:color w:val="000000"/>
                <w:sz w:val="20"/>
                <w:szCs w:val="20"/>
              </w:rPr>
            </w:pPr>
            <w:r>
              <w:rPr>
                <w:rFonts w:cs="宋体"/>
                <w:b/>
                <w:color w:val="000000"/>
                <w:sz w:val="20"/>
                <w:szCs w:val="20"/>
              </w:rPr>
              <w:t>本年支出</w:t>
            </w:r>
          </w:p>
        </w:tc>
      </w:tr>
      <w:tr w14:paraId="25DBBD3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7B94F">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0A5E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B41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50FA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5BE75">
            <w:pPr>
              <w:jc w:val="center"/>
              <w:textAlignment w:val="center"/>
              <w:rPr>
                <w:rFonts w:hint="default" w:cs="宋体"/>
                <w:b/>
                <w:color w:val="000000"/>
                <w:sz w:val="20"/>
                <w:szCs w:val="20"/>
              </w:rPr>
            </w:pPr>
            <w:r>
              <w:rPr>
                <w:rFonts w:cs="宋体"/>
                <w:b/>
                <w:color w:val="000000"/>
                <w:sz w:val="20"/>
                <w:szCs w:val="20"/>
              </w:rPr>
              <w:t>项目支出</w:t>
            </w:r>
          </w:p>
        </w:tc>
      </w:tr>
      <w:tr w14:paraId="1F545E9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6E9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26A2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B19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586C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E0AC2">
            <w:pPr>
              <w:jc w:val="center"/>
              <w:rPr>
                <w:rFonts w:hint="default" w:cs="宋体"/>
                <w:b/>
                <w:color w:val="000000"/>
                <w:sz w:val="20"/>
                <w:szCs w:val="20"/>
              </w:rPr>
            </w:pPr>
          </w:p>
        </w:tc>
      </w:tr>
      <w:tr w14:paraId="744E01E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5B0E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9307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E09D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016B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3D62D">
            <w:pPr>
              <w:jc w:val="center"/>
              <w:rPr>
                <w:rFonts w:hint="default" w:cs="宋体"/>
                <w:b/>
                <w:color w:val="000000"/>
                <w:sz w:val="20"/>
                <w:szCs w:val="20"/>
              </w:rPr>
            </w:pPr>
          </w:p>
        </w:tc>
      </w:tr>
      <w:tr w14:paraId="7A6B88B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D6C6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93B8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41C3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E384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7AB27">
            <w:pPr>
              <w:jc w:val="center"/>
              <w:rPr>
                <w:rFonts w:hint="default" w:cs="宋体"/>
                <w:b/>
                <w:color w:val="000000"/>
                <w:sz w:val="20"/>
                <w:szCs w:val="20"/>
              </w:rPr>
            </w:pPr>
          </w:p>
        </w:tc>
      </w:tr>
      <w:tr w14:paraId="3D2C056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463E0">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EC3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3224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C51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AC5D25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719F">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3110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E46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919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D78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6145B4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5CAECB5">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2E17C68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C63EEC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450F3E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0B471B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568C20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EF2A52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D0BAD0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4524EE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705F24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A7DB7A1">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重庆市九龙坡区西彭镇第三小学校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5FD2EDE">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213359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C3AB94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F3FC9A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465B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3A07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7930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D436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3294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1A6485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E87DD">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5E3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007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1915B">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F0C7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7043C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1E7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B81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932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6A6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8E84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2A77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7BD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A66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D9A0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446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1E633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B2FB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AEF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8A0A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321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CAD0A">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4FEE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02897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63D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4B3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802A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061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6B94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A2E6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0A4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04E5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53580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B16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C0CC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FD47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8AC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4F6F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BACE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073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228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676F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2A7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D2F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0E0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D12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F74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C9CD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0DE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8A9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23D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CD2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661CE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5322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113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B5F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3FA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642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6F2E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A4DF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F05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619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1BC3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60B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F41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7967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0A7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D46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2D97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C71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7908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3C71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90D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D6D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82D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827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ED6F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BA03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597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2C80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6A14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7A8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524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5E75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FB4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2F4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F23E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C473A">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D11C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0DE7E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523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B045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284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D80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6481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8.48</w:t>
            </w:r>
            <w:r>
              <w:rPr>
                <w:rFonts w:ascii="Times New Roman" w:hAnsi="Times New Roman"/>
                <w:color w:val="000000"/>
                <w:sz w:val="18"/>
              </w:rPr>
              <w:t xml:space="preserve"> </w:t>
            </w:r>
          </w:p>
        </w:tc>
      </w:tr>
      <w:tr w14:paraId="18CEA6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B15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D92E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24453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6C4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C485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8.48</w:t>
            </w:r>
            <w:r>
              <w:rPr>
                <w:rFonts w:ascii="Times New Roman" w:hAnsi="Times New Roman"/>
                <w:color w:val="000000"/>
                <w:sz w:val="18"/>
              </w:rPr>
              <w:t xml:space="preserve"> </w:t>
            </w:r>
          </w:p>
        </w:tc>
      </w:tr>
      <w:tr w14:paraId="7D2F3A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D08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B1A0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259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AF4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97E7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C3A7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3F5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B7F3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2D1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02B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398C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B6D5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E5D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87B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518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47B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1276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7.48</w:t>
            </w:r>
            <w:r>
              <w:rPr>
                <w:rFonts w:ascii="Times New Roman" w:hAnsi="Times New Roman"/>
                <w:color w:val="000000"/>
                <w:sz w:val="18"/>
              </w:rPr>
              <w:t xml:space="preserve"> </w:t>
            </w:r>
          </w:p>
        </w:tc>
      </w:tr>
      <w:tr w14:paraId="24A16F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C5D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97A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E8E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213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A02D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7.48</w:t>
            </w:r>
            <w:r>
              <w:rPr>
                <w:rFonts w:ascii="Times New Roman" w:hAnsi="Times New Roman"/>
                <w:color w:val="000000"/>
                <w:sz w:val="18"/>
              </w:rPr>
              <w:t xml:space="preserve"> </w:t>
            </w:r>
          </w:p>
        </w:tc>
      </w:tr>
      <w:tr w14:paraId="1B7DB1F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35580">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C4B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3C7E4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2D4D6">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32FE7">
            <w:pPr>
              <w:spacing w:line="280" w:lineRule="exact"/>
              <w:jc w:val="right"/>
              <w:rPr>
                <w:rFonts w:hint="default" w:cs="宋体"/>
                <w:color w:val="000000"/>
                <w:kern w:val="2"/>
                <w:sz w:val="16"/>
                <w:szCs w:val="16"/>
              </w:rPr>
            </w:pPr>
          </w:p>
        </w:tc>
      </w:tr>
      <w:tr w14:paraId="058BC25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3D8FC">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DAB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E2F8E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15285">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871140">
            <w:pPr>
              <w:spacing w:line="280" w:lineRule="exact"/>
              <w:jc w:val="right"/>
              <w:rPr>
                <w:rFonts w:hint="default" w:cs="宋体"/>
                <w:color w:val="000000"/>
                <w:kern w:val="2"/>
                <w:sz w:val="16"/>
                <w:szCs w:val="16"/>
              </w:rPr>
            </w:pPr>
          </w:p>
        </w:tc>
      </w:tr>
      <w:tr w14:paraId="15845F7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BA04C4">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BE16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FF5F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552C6">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BFA7F0">
            <w:pPr>
              <w:spacing w:line="280" w:lineRule="exact"/>
              <w:jc w:val="right"/>
              <w:rPr>
                <w:rFonts w:hint="default" w:cs="宋体"/>
                <w:color w:val="000000"/>
                <w:sz w:val="16"/>
                <w:szCs w:val="16"/>
              </w:rPr>
            </w:pPr>
          </w:p>
        </w:tc>
      </w:tr>
    </w:tbl>
    <w:p w14:paraId="1E882F6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9C9C">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FAF3EA">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6FAF3EA">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7FEA8">
    <w:pPr>
      <w:pStyle w:val="4"/>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187DFC">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3187DFC">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12</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11C994F">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511C994F">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69D28">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D7BCC"/>
    <w:rsid w:val="000F7133"/>
    <w:rsid w:val="00180B45"/>
    <w:rsid w:val="00184F55"/>
    <w:rsid w:val="001A5823"/>
    <w:rsid w:val="001F539B"/>
    <w:rsid w:val="002579E7"/>
    <w:rsid w:val="003208C5"/>
    <w:rsid w:val="003D1DB3"/>
    <w:rsid w:val="00410DEE"/>
    <w:rsid w:val="004A0799"/>
    <w:rsid w:val="004A2BA8"/>
    <w:rsid w:val="004F37DA"/>
    <w:rsid w:val="005140CF"/>
    <w:rsid w:val="00550ABE"/>
    <w:rsid w:val="006355BD"/>
    <w:rsid w:val="006E23BC"/>
    <w:rsid w:val="007B419D"/>
    <w:rsid w:val="00856540"/>
    <w:rsid w:val="00885C9F"/>
    <w:rsid w:val="00966C99"/>
    <w:rsid w:val="00973DF2"/>
    <w:rsid w:val="009B67B8"/>
    <w:rsid w:val="00A2007F"/>
    <w:rsid w:val="00A9581C"/>
    <w:rsid w:val="00B03CCD"/>
    <w:rsid w:val="00B21C98"/>
    <w:rsid w:val="00C67F4D"/>
    <w:rsid w:val="00D03BD0"/>
    <w:rsid w:val="00D27EF4"/>
    <w:rsid w:val="00EF2F22"/>
    <w:rsid w:val="00F40501"/>
    <w:rsid w:val="00F87091"/>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7D6E62"/>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8462A8"/>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440DD6"/>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D12EB5"/>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154EEE"/>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16"/>
    <w:unhideWhenUsed/>
    <w:qFormat/>
    <w:uiPriority w:val="99"/>
    <w:pPr>
      <w:spacing w:after="120"/>
      <w:ind w:left="420" w:leftChars="200"/>
    </w:pPr>
    <w:rPr>
      <w:rFonts w:cs="宋体"/>
    </w:rPr>
  </w:style>
  <w:style w:type="paragraph" w:styleId="3">
    <w:name w:val="Body Text First Indent 2"/>
    <w:basedOn w:val="2"/>
    <w:next w:val="1"/>
    <w:link w:val="17"/>
    <w:autoRedefine/>
    <w:unhideWhenUsed/>
    <w:qFormat/>
    <w:uiPriority w:val="99"/>
    <w:pPr>
      <w:ind w:firstLine="420" w:firstLineChars="200"/>
    </w:pPr>
  </w:style>
  <w:style w:type="paragraph" w:styleId="4">
    <w:name w:val="footer"/>
    <w:basedOn w:val="1"/>
    <w:link w:val="18"/>
    <w:autoRedefine/>
    <w:qFormat/>
    <w:uiPriority w:val="0"/>
    <w:pPr>
      <w:tabs>
        <w:tab w:val="center" w:pos="4153"/>
        <w:tab w:val="right" w:pos="8306"/>
      </w:tabs>
      <w:snapToGrid w:val="0"/>
    </w:pPr>
    <w:rPr>
      <w:sz w:val="18"/>
      <w:szCs w:val="18"/>
    </w:rPr>
  </w:style>
  <w:style w:type="paragraph" w:styleId="5">
    <w:name w:val="header"/>
    <w:basedOn w:val="1"/>
    <w:link w:val="19"/>
    <w:autoRedefine/>
    <w:qFormat/>
    <w:uiPriority w:val="0"/>
    <w:pPr>
      <w:tabs>
        <w:tab w:val="center" w:pos="4153"/>
        <w:tab w:val="right" w:pos="8306"/>
      </w:tabs>
      <w:snapToGrid w:val="0"/>
      <w:jc w:val="center"/>
    </w:pPr>
    <w:rPr>
      <w:sz w:val="18"/>
      <w:szCs w:val="18"/>
    </w:rPr>
  </w:style>
  <w:style w:type="paragraph" w:styleId="6">
    <w:name w:val="footnote text"/>
    <w:basedOn w:val="1"/>
    <w:next w:val="3"/>
    <w:link w:val="20"/>
    <w:semiHidden/>
    <w:qFormat/>
    <w:uiPriority w:val="0"/>
    <w:pPr>
      <w:snapToGrid w:val="0"/>
    </w:pPr>
    <w:rPr>
      <w:sz w:val="18"/>
      <w:szCs w:val="18"/>
    </w:rPr>
  </w:style>
  <w:style w:type="paragraph" w:styleId="7">
    <w:name w:val="HTML Preformatted"/>
    <w:basedOn w:val="1"/>
    <w:link w:val="2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autoSpaceDE w:val="0"/>
      <w:spacing w:line="600" w:lineRule="exact"/>
      <w:ind w:firstLine="640" w:firstLineChars="200"/>
    </w:pPr>
    <w:rPr>
      <w:rFonts w:hint="default" w:ascii="方正仿宋_GBK" w:hAnsi="楷体" w:eastAsia="方正仿宋_GBK" w:cs="楷体"/>
      <w:sz w:val="32"/>
      <w:szCs w:val="32"/>
      <w:shd w:val="clear" w:color="auto" w:fill="FFFFFF"/>
    </w:rPr>
  </w:style>
  <w:style w:type="paragraph" w:customStyle="1" w:styleId="13">
    <w:name w:val="普通(网站) Char"/>
    <w:qFormat/>
    <w:uiPriority w:val="0"/>
    <w:pPr>
      <w:spacing w:line="600" w:lineRule="exact"/>
      <w:ind w:firstLine="640" w:firstLineChars="200"/>
    </w:pPr>
    <w:rPr>
      <w:rFonts w:ascii="方正楷体_GBK" w:hAnsi="黑体" w:eastAsia="方正楷体_GBK" w:cs="黑体"/>
      <w:sz w:val="32"/>
      <w:szCs w:val="32"/>
      <w:shd w:val="clear" w:color="auto" w:fill="FFFFFF"/>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 w:type="character" w:customStyle="1" w:styleId="16">
    <w:name w:val="正文文本缩进 字符"/>
    <w:basedOn w:val="10"/>
    <w:link w:val="2"/>
    <w:autoRedefine/>
    <w:qFormat/>
    <w:uiPriority w:val="99"/>
    <w:rPr>
      <w:rFonts w:ascii="宋体" w:hAnsi="宋体" w:cs="宋体"/>
      <w:sz w:val="24"/>
      <w:szCs w:val="24"/>
    </w:rPr>
  </w:style>
  <w:style w:type="character" w:customStyle="1" w:styleId="17">
    <w:name w:val="正文首行缩进 2 字符"/>
    <w:basedOn w:val="16"/>
    <w:link w:val="3"/>
    <w:autoRedefine/>
    <w:qFormat/>
    <w:uiPriority w:val="99"/>
    <w:rPr>
      <w:rFonts w:ascii="宋体" w:hAnsi="宋体" w:cs="宋体"/>
      <w:sz w:val="24"/>
      <w:szCs w:val="24"/>
    </w:rPr>
  </w:style>
  <w:style w:type="character" w:customStyle="1" w:styleId="18">
    <w:name w:val="页脚 字符"/>
    <w:basedOn w:val="10"/>
    <w:link w:val="4"/>
    <w:autoRedefine/>
    <w:qFormat/>
    <w:uiPriority w:val="0"/>
    <w:rPr>
      <w:rFonts w:ascii="宋体" w:hAnsi="宋体"/>
      <w:sz w:val="18"/>
      <w:szCs w:val="18"/>
    </w:rPr>
  </w:style>
  <w:style w:type="character" w:customStyle="1" w:styleId="19">
    <w:name w:val="页眉 字符"/>
    <w:basedOn w:val="10"/>
    <w:link w:val="5"/>
    <w:autoRedefine/>
    <w:qFormat/>
    <w:uiPriority w:val="0"/>
    <w:rPr>
      <w:rFonts w:ascii="宋体" w:hAnsi="宋体"/>
      <w:sz w:val="18"/>
      <w:szCs w:val="18"/>
    </w:rPr>
  </w:style>
  <w:style w:type="character" w:customStyle="1" w:styleId="20">
    <w:name w:val="脚注文本 字符"/>
    <w:basedOn w:val="10"/>
    <w:link w:val="6"/>
    <w:autoRedefine/>
    <w:semiHidden/>
    <w:qFormat/>
    <w:uiPriority w:val="0"/>
    <w:rPr>
      <w:rFonts w:ascii="宋体" w:hAnsi="宋体"/>
      <w:sz w:val="18"/>
      <w:szCs w:val="18"/>
    </w:rPr>
  </w:style>
  <w:style w:type="character" w:customStyle="1" w:styleId="21">
    <w:name w:val="HTML 预设格式 字符"/>
    <w:basedOn w:val="10"/>
    <w:link w:val="7"/>
    <w:autoRedefine/>
    <w:qFormat/>
    <w:uiPriority w:val="0"/>
    <w:rPr>
      <w:rFonts w:ascii="宋体" w:hAnsi="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5194</Words>
  <Characters>5765</Characters>
  <Lines>104</Lines>
  <Paragraphs>29</Paragraphs>
  <TotalTime>7</TotalTime>
  <ScaleCrop>false</ScaleCrop>
  <LinksUpToDate>false</LinksUpToDate>
  <CharactersWithSpaces>5820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2025-10-28T03:32:43Z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