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4ECA6">
      <w:pPr>
        <w:pStyle w:val="8"/>
        <w:keepNext w:val="0"/>
        <w:keepLines w:val="0"/>
        <w:pageBreakBefore w:val="0"/>
        <w:widowControl w:val="0"/>
        <w:kinsoku/>
        <w:wordWrap/>
        <w:overflowPunct/>
        <w:topLinePunct w:val="0"/>
        <w:autoSpaceDN/>
        <w:bidi w:val="0"/>
        <w:spacing w:before="0" w:beforeAutospacing="0" w:after="0" w:afterAutospacing="0" w:line="600" w:lineRule="exact"/>
        <w:jc w:val="center"/>
        <w:textAlignment w:val="auto"/>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重庆市九龙坡区铜罐驿实验学校</w:t>
      </w:r>
    </w:p>
    <w:p w14:paraId="6D448469">
      <w:pPr>
        <w:pStyle w:val="8"/>
        <w:keepNext w:val="0"/>
        <w:keepLines w:val="0"/>
        <w:pageBreakBefore w:val="0"/>
        <w:widowControl w:val="0"/>
        <w:kinsoku/>
        <w:wordWrap/>
        <w:overflowPunct/>
        <w:topLinePunct w:val="0"/>
        <w:autoSpaceDN/>
        <w:bidi w:val="0"/>
        <w:spacing w:before="0" w:beforeAutospacing="0" w:after="0" w:afterAutospacing="0" w:line="600" w:lineRule="exact"/>
        <w:jc w:val="center"/>
        <w:textAlignment w:val="auto"/>
        <w:rPr>
          <w:rFonts w:hint="default" w:ascii="Times New Roman" w:hAnsi="Times New Roman"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w:t>
      </w:r>
      <w:r>
        <w:rPr>
          <w:rFonts w:hint="eastAsia" w:ascii="Times New Roman" w:hAnsi="Times New Roman" w:eastAsia="方正小标宋_GBK" w:cs="方正小标宋_GBK"/>
          <w:sz w:val="44"/>
          <w:szCs w:val="44"/>
          <w:shd w:val="clear" w:color="auto" w:fill="FFFFFF"/>
          <w:lang w:val="en-US" w:eastAsia="zh-CN"/>
        </w:rPr>
        <w:t>单位</w:t>
      </w:r>
      <w:r>
        <w:rPr>
          <w:rFonts w:ascii="Times New Roman" w:hAnsi="Times New Roman" w:eastAsia="方正小标宋_GBK" w:cs="方正小标宋_GBK"/>
          <w:sz w:val="44"/>
          <w:szCs w:val="44"/>
          <w:shd w:val="clear" w:color="auto" w:fill="FFFFFF"/>
        </w:rPr>
        <w:t>决算</w:t>
      </w:r>
      <w:r>
        <w:rPr>
          <w:rFonts w:hint="eastAsia" w:ascii="Times New Roman" w:hAnsi="Times New Roman" w:eastAsia="方正小标宋_GBK" w:cs="方正小标宋_GBK"/>
          <w:sz w:val="44"/>
          <w:szCs w:val="44"/>
          <w:shd w:val="clear" w:color="auto" w:fill="FFFFFF"/>
          <w:lang w:val="en-US" w:eastAsia="zh-CN"/>
        </w:rPr>
        <w:t>情况</w:t>
      </w:r>
      <w:r>
        <w:rPr>
          <w:rFonts w:ascii="Times New Roman" w:hAnsi="Times New Roman" w:eastAsia="方正小标宋_GBK" w:cs="方正小标宋_GBK"/>
          <w:sz w:val="44"/>
          <w:szCs w:val="44"/>
          <w:shd w:val="clear" w:color="auto" w:fill="FFFFFF"/>
        </w:rPr>
        <w:t>说明</w:t>
      </w:r>
    </w:p>
    <w:p w14:paraId="508671B7">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黑体_GBK"/>
          <w:kern w:val="2"/>
          <w:sz w:val="32"/>
          <w:szCs w:val="32"/>
          <w:lang w:eastAsia="zh-Hans"/>
        </w:rPr>
      </w:pPr>
    </w:p>
    <w:p w14:paraId="0E848AB5">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kern w:val="2"/>
          <w:sz w:val="32"/>
          <w:szCs w:val="32"/>
          <w:lang w:eastAsia="zh-Hans"/>
        </w:rPr>
      </w:pPr>
      <w:r>
        <w:rPr>
          <w:rFonts w:ascii="Times New Roman" w:hAnsi="Times New Roman" w:eastAsia="方正黑体_GBK"/>
          <w:kern w:val="2"/>
          <w:sz w:val="32"/>
          <w:szCs w:val="32"/>
          <w:lang w:eastAsia="zh-Hans"/>
        </w:rPr>
        <w:t>一、单位基本情况</w:t>
      </w:r>
    </w:p>
    <w:p w14:paraId="2AA35325">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sz w:val="32"/>
          <w:szCs w:val="32"/>
        </w:rPr>
      </w:pPr>
      <w:r>
        <w:rPr>
          <w:rStyle w:val="11"/>
          <w:rFonts w:hint="default" w:ascii="Times New Roman" w:hAnsi="Times New Roman" w:eastAsia="方正楷体_GBK" w:cs="Times New Roman"/>
          <w:b w:val="0"/>
          <w:sz w:val="32"/>
          <w:szCs w:val="32"/>
        </w:rPr>
        <w:t>（一）职能职责</w:t>
      </w:r>
    </w:p>
    <w:p w14:paraId="564EA935">
      <w:pPr>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重庆市九龙坡区铜罐驿实验学校的主要职能是：实施普</w:t>
      </w:r>
      <w:bookmarkStart w:id="0" w:name="_GoBack"/>
      <w:bookmarkEnd w:id="0"/>
      <w:r>
        <w:rPr>
          <w:rFonts w:ascii="Times New Roman" w:hAnsi="Times New Roman" w:eastAsia="方正仿宋_GBK" w:cs="方正仿宋_GBK"/>
          <w:sz w:val="32"/>
          <w:szCs w:val="32"/>
        </w:rPr>
        <w:t>通小学和普通初中义务教育，促进学生全面发展。开展教育教学工作；开展学校德育工作；开展学校体育、卫生、艺术工作；负责学校行政管理工作；开展对外交流工作；维护校园安全，提供后勤保障服务；按政策规定开展学前教育。</w:t>
      </w:r>
    </w:p>
    <w:p w14:paraId="611354AA">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sz w:val="32"/>
          <w:szCs w:val="32"/>
        </w:rPr>
      </w:pPr>
      <w:r>
        <w:rPr>
          <w:rStyle w:val="11"/>
          <w:rFonts w:hint="default" w:ascii="Times New Roman" w:hAnsi="Times New Roman" w:eastAsia="方正楷体_GBK" w:cs="Times New Roman"/>
          <w:b w:val="0"/>
          <w:sz w:val="32"/>
          <w:szCs w:val="32"/>
        </w:rPr>
        <w:t>（二）机构设置</w:t>
      </w:r>
    </w:p>
    <w:p w14:paraId="21F7A323">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Style w:val="11"/>
          <w:rFonts w:ascii="Times New Roman" w:hAnsi="Times New Roman" w:eastAsia="黑体" w:cs="黑体"/>
          <w:sz w:val="32"/>
          <w:szCs w:val="32"/>
          <w:shd w:val="clear" w:color="auto" w:fill="FFFFFF"/>
        </w:rPr>
      </w:pPr>
      <w:r>
        <w:rPr>
          <w:rStyle w:val="16"/>
          <w:rFonts w:hint="eastAsia" w:ascii="Times New Roman" w:hAnsi="Times New Roman" w:eastAsia="方正仿宋_GBK" w:cs="方正仿宋_GBK"/>
          <w:b w:val="0"/>
          <w:bCs w:val="0"/>
          <w:sz w:val="32"/>
          <w:szCs w:val="32"/>
        </w:rPr>
        <w:t>重庆市九龙坡区铜罐驿实验学校是全额拨款事业单位，机构类别为公益一类。学校设有行政办公室、党委办公室、教导处、德育处、后勤处。</w:t>
      </w:r>
    </w:p>
    <w:p w14:paraId="415D5266">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kern w:val="2"/>
          <w:sz w:val="32"/>
          <w:szCs w:val="32"/>
          <w:lang w:eastAsia="zh-Hans"/>
        </w:rPr>
      </w:pPr>
      <w:r>
        <w:rPr>
          <w:rFonts w:ascii="Times New Roman" w:hAnsi="Times New Roman" w:eastAsia="方正黑体_GBK"/>
          <w:kern w:val="2"/>
          <w:sz w:val="32"/>
          <w:szCs w:val="32"/>
          <w:lang w:eastAsia="zh-Hans"/>
        </w:rPr>
        <w:t>二、单位决算收支情况说明</w:t>
      </w:r>
    </w:p>
    <w:p w14:paraId="24646BBF">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default"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（一）收入支出决算总体情况说明。</w:t>
      </w:r>
    </w:p>
    <w:p w14:paraId="44F924BE">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2024年度收入总计1636.07万元，支出总计</w:t>
      </w:r>
      <w:r>
        <w:rPr>
          <w:rFonts w:ascii="Times New Roman" w:hAnsi="Times New Roman" w:eastAsia="方正仿宋_GBK" w:cs="方正仿宋_GBK"/>
          <w:sz w:val="32"/>
          <w:szCs w:val="32"/>
        </w:rPr>
        <w:t>1636.07</w:t>
      </w:r>
      <w:r>
        <w:rPr>
          <w:rFonts w:ascii="Times New Roman" w:hAnsi="Times New Roman" w:eastAsia="方正仿宋_GBK" w:cs="方正仿宋_GBK"/>
          <w:sz w:val="32"/>
          <w:szCs w:val="32"/>
          <w:shd w:val="clear" w:color="auto" w:fill="FFFFFF"/>
        </w:rPr>
        <w:t>万元。收、支与2023年度相比，减少36.15万元，下降2.2%，主要原因是学生人数减少，项目减少等。</w:t>
      </w:r>
    </w:p>
    <w:p w14:paraId="4466C492">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2024年度收入合计1636.07万元，与2023年度相比，减少36.15万元，下降2.2%，主要原因是学生人数减少，项目减少等。其中：财政拨款收入</w:t>
      </w:r>
      <w:r>
        <w:rPr>
          <w:rFonts w:ascii="Times New Roman" w:hAnsi="Times New Roman" w:eastAsia="方正仿宋_GBK" w:cs="方正仿宋_GBK"/>
          <w:sz w:val="32"/>
          <w:szCs w:val="32"/>
        </w:rPr>
        <w:t>1581.87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96.69</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54.20</w:t>
      </w:r>
      <w:r>
        <w:rPr>
          <w:rFonts w:ascii="Times New Roman" w:hAnsi="Times New Roman" w:eastAsia="方正仿宋_GBK" w:cs="方正仿宋_GBK"/>
          <w:sz w:val="32"/>
          <w:szCs w:val="32"/>
          <w:shd w:val="clear" w:color="auto" w:fill="FFFFFF"/>
        </w:rPr>
        <w:t>万元，占3.31%；</w:t>
      </w:r>
    </w:p>
    <w:p w14:paraId="0F23CDFB">
      <w:pPr>
        <w:pStyle w:val="8"/>
        <w:keepNext w:val="0"/>
        <w:keepLines w:val="0"/>
        <w:pageBreakBefore w:val="0"/>
        <w:widowControl w:val="0"/>
        <w:numPr>
          <w:ilvl w:val="0"/>
          <w:numId w:val="0"/>
        </w:numPr>
        <w:kinsoku/>
        <w:wordWrap/>
        <w:overflowPunct/>
        <w:topLinePunct w:val="0"/>
        <w:autoSpaceDN/>
        <w:bidi w:val="0"/>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1"/>
          <w:rFonts w:hint="eastAsia" w:ascii="Times New Roman" w:hAnsi="Times New Roman" w:eastAsia="方正仿宋_GBK" w:cs="方正仿宋_GBK"/>
          <w:sz w:val="32"/>
          <w:szCs w:val="32"/>
          <w:shd w:val="clear" w:color="auto" w:fill="FFFFFF"/>
          <w:lang w:val="en-US" w:eastAsia="zh-CN"/>
        </w:rPr>
        <w:t>3.</w:t>
      </w:r>
      <w:r>
        <w:rPr>
          <w:rStyle w:val="11"/>
          <w:rFonts w:ascii="Times New Roman" w:hAnsi="Times New Roman" w:eastAsia="方正仿宋_GBK" w:cs="方正仿宋_GBK"/>
          <w:sz w:val="32"/>
          <w:szCs w:val="32"/>
          <w:shd w:val="clear" w:color="auto" w:fill="FFFFFF"/>
        </w:rPr>
        <w:t>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1636.07</w:t>
      </w:r>
      <w:r>
        <w:rPr>
          <w:rFonts w:ascii="Times New Roman" w:hAnsi="Times New Roman" w:eastAsia="方正仿宋_GBK" w:cs="方正仿宋_GBK"/>
          <w:sz w:val="32"/>
          <w:szCs w:val="32"/>
          <w:shd w:val="clear" w:color="auto" w:fill="FFFFFF"/>
        </w:rPr>
        <w:t>万元，与2023年度相比，减少36.15万元，下降2.2%，主要原因是学生人数减少，项目减少等</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1495.74</w:t>
      </w:r>
      <w:r>
        <w:rPr>
          <w:rFonts w:ascii="Times New Roman" w:hAnsi="Times New Roman" w:eastAsia="方正仿宋_GBK" w:cs="方正仿宋_GBK"/>
          <w:sz w:val="32"/>
          <w:szCs w:val="32"/>
          <w:shd w:val="clear" w:color="auto" w:fill="FFFFFF"/>
        </w:rPr>
        <w:t>万元，占91.42%；项目支出</w:t>
      </w:r>
      <w:r>
        <w:rPr>
          <w:rFonts w:ascii="Times New Roman" w:hAnsi="Times New Roman" w:eastAsia="方正仿宋_GBK" w:cs="方正仿宋_GBK"/>
          <w:sz w:val="32"/>
          <w:szCs w:val="32"/>
        </w:rPr>
        <w:t>140.33</w:t>
      </w:r>
      <w:r>
        <w:rPr>
          <w:rFonts w:ascii="Times New Roman" w:hAnsi="Times New Roman" w:eastAsia="方正仿宋_GBK" w:cs="方正仿宋_GBK"/>
          <w:sz w:val="32"/>
          <w:szCs w:val="32"/>
          <w:shd w:val="clear" w:color="auto" w:fill="FFFFFF"/>
        </w:rPr>
        <w:t>万元，占8.58%；</w:t>
      </w:r>
    </w:p>
    <w:p w14:paraId="164BC231">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rPr>
        <w:t>2024年度年末结转和结余0.00万元，与2023年度相比，无增减，主要原因是本年度收支平衡。</w:t>
      </w:r>
    </w:p>
    <w:p w14:paraId="619431C6">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（二）财政拨款收入支出决算总体情况说明</w:t>
      </w:r>
    </w:p>
    <w:p w14:paraId="225470B8">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2024年度财政拨款收、支总计1581.87万元。与2023年相比，财政拨款收、支总计各减少75.95万元，下降4.6%。主要原因是学生人数减少，项目减少等</w:t>
      </w:r>
      <w:r>
        <w:rPr>
          <w:rFonts w:hint="eastAsia" w:ascii="Times New Roman" w:hAnsi="Times New Roman" w:eastAsia="方正仿宋_GBK" w:cs="方正仿宋_GBK"/>
          <w:sz w:val="32"/>
          <w:szCs w:val="32"/>
          <w:shd w:val="clear" w:color="auto" w:fill="FFFFFF"/>
          <w:lang w:eastAsia="zh-CN"/>
        </w:rPr>
        <w:t>。</w:t>
      </w:r>
    </w:p>
    <w:p w14:paraId="087B2FCD">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（三）一般公共预算财政拨款收入支出决算情况说明</w:t>
      </w:r>
    </w:p>
    <w:p w14:paraId="708A735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1579.87</w:t>
      </w:r>
      <w:r>
        <w:rPr>
          <w:rFonts w:ascii="Times New Roman" w:hAnsi="Times New Roman" w:eastAsia="方正仿宋_GBK" w:cs="方正仿宋_GBK"/>
          <w:sz w:val="32"/>
          <w:szCs w:val="32"/>
          <w:shd w:val="clear" w:color="auto" w:fill="FFFFFF"/>
        </w:rPr>
        <w:t>万元，与2023年度相比，减少71.87万元，下降4.4%。主要原因是学生人数减少，项目减少等</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较年初预算数增加118.35万元，增长8.1%。主要原因是年中项目增加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在职人员工资调标</w:t>
      </w:r>
      <w:r>
        <w:rPr>
          <w:rFonts w:ascii="Times New Roman" w:hAnsi="Times New Roman" w:eastAsia="方正仿宋_GBK" w:cs="方正仿宋_GBK"/>
          <w:sz w:val="32"/>
          <w:szCs w:val="32"/>
          <w:shd w:val="clear" w:color="auto" w:fill="FFFFFF"/>
        </w:rPr>
        <w:t>以及社保</w:t>
      </w:r>
      <w:r>
        <w:rPr>
          <w:rFonts w:hint="eastAsia" w:ascii="Times New Roman" w:hAnsi="Times New Roman" w:eastAsia="方正仿宋_GBK" w:cs="方正仿宋_GBK"/>
          <w:sz w:val="32"/>
          <w:szCs w:val="32"/>
          <w:shd w:val="clear" w:color="auto" w:fill="FFFFFF"/>
          <w:lang w:val="en-US" w:eastAsia="zh-CN"/>
        </w:rPr>
        <w:t>政策性调整</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747E3CB8">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1579.87</w:t>
      </w:r>
      <w:r>
        <w:rPr>
          <w:rFonts w:ascii="Times New Roman" w:hAnsi="Times New Roman" w:eastAsia="方正仿宋_GBK" w:cs="方正仿宋_GBK"/>
          <w:sz w:val="32"/>
          <w:szCs w:val="32"/>
          <w:shd w:val="clear" w:color="auto" w:fill="FFFFFF"/>
        </w:rPr>
        <w:t>万元，与2023年度相比，减少71.87万元，下降4.4%。主要原因是学生人数减少，项目减少等。较年初预算数增加118.35万元，增长8.1%。主要原因是年中项目增加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在职人员工资调标</w:t>
      </w:r>
      <w:r>
        <w:rPr>
          <w:rFonts w:ascii="Times New Roman" w:hAnsi="Times New Roman" w:eastAsia="方正仿宋_GBK" w:cs="方正仿宋_GBK"/>
          <w:sz w:val="32"/>
          <w:szCs w:val="32"/>
          <w:shd w:val="clear" w:color="auto" w:fill="FFFFFF"/>
        </w:rPr>
        <w:t>以及社保</w:t>
      </w:r>
      <w:r>
        <w:rPr>
          <w:rFonts w:hint="eastAsia" w:ascii="Times New Roman" w:hAnsi="Times New Roman" w:eastAsia="方正仿宋_GBK" w:cs="方正仿宋_GBK"/>
          <w:sz w:val="32"/>
          <w:szCs w:val="32"/>
          <w:shd w:val="clear" w:color="auto" w:fill="FFFFFF"/>
          <w:lang w:val="en-US" w:eastAsia="zh-CN"/>
        </w:rPr>
        <w:t>政策性调整</w:t>
      </w:r>
      <w:r>
        <w:rPr>
          <w:rFonts w:ascii="Times New Roman" w:hAnsi="Times New Roman" w:eastAsia="方正仿宋_GBK" w:cs="方正仿宋_GBK"/>
          <w:sz w:val="32"/>
          <w:szCs w:val="32"/>
          <w:shd w:val="clear" w:color="auto" w:fill="FFFFFF"/>
        </w:rPr>
        <w:t>。</w:t>
      </w:r>
    </w:p>
    <w:p w14:paraId="652B0E90">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shd w:val="clear" w:color="auto" w:fill="FFFFFF"/>
          <w:lang w:eastAsia="zh-CN"/>
        </w:rPr>
      </w:pPr>
      <w:r>
        <w:rPr>
          <w:rStyle w:val="11"/>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rPr>
        <w:t>2024年度年末一般公共预算财政拨款结转和结余0.00万元，与2023年度相比，无增减，主要原因是本年度收支平衡。</w:t>
      </w:r>
    </w:p>
    <w:p w14:paraId="3C0D8775">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14:paraId="0061CE2B">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）教育支出</w:t>
      </w:r>
      <w:r>
        <w:rPr>
          <w:rFonts w:ascii="Times New Roman" w:hAnsi="Times New Roman" w:eastAsia="方正仿宋_GBK" w:cs="方正仿宋_GBK"/>
          <w:sz w:val="32"/>
          <w:szCs w:val="32"/>
        </w:rPr>
        <w:t>1293.23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81.86</w:t>
      </w:r>
      <w:r>
        <w:rPr>
          <w:rFonts w:ascii="Times New Roman" w:hAnsi="Times New Roman" w:eastAsia="方正仿宋_GBK" w:cs="方正仿宋_GBK"/>
          <w:sz w:val="32"/>
          <w:szCs w:val="32"/>
          <w:shd w:val="clear" w:color="auto" w:fill="FFFFFF"/>
        </w:rPr>
        <w:t>%，较年初预算数增加559.06万元，增长76.2%，主要原因</w:t>
      </w:r>
      <w:r>
        <w:rPr>
          <w:rFonts w:hint="eastAsia" w:ascii="Times New Roman" w:hAnsi="Times New Roman" w:eastAsia="方正仿宋_GBK" w:cs="方正仿宋_GBK"/>
          <w:sz w:val="32"/>
          <w:szCs w:val="32"/>
          <w:shd w:val="clear" w:color="auto" w:fill="FFFFFF"/>
          <w:lang w:val="en-US" w:eastAsia="zh-CN"/>
        </w:rPr>
        <w:t>是在职人员工资调标</w:t>
      </w:r>
      <w:r>
        <w:rPr>
          <w:rFonts w:ascii="Times New Roman" w:hAnsi="Times New Roman" w:eastAsia="方正仿宋_GBK" w:cs="方正仿宋_GBK"/>
          <w:sz w:val="32"/>
          <w:szCs w:val="32"/>
          <w:shd w:val="clear" w:color="auto" w:fill="FFFFFF"/>
        </w:rPr>
        <w:t>以及社保</w:t>
      </w:r>
      <w:r>
        <w:rPr>
          <w:rFonts w:hint="eastAsia" w:ascii="Times New Roman" w:hAnsi="Times New Roman" w:eastAsia="方正仿宋_GBK" w:cs="方正仿宋_GBK"/>
          <w:sz w:val="32"/>
          <w:szCs w:val="32"/>
          <w:shd w:val="clear" w:color="auto" w:fill="FFFFFF"/>
          <w:lang w:val="en-US" w:eastAsia="zh-CN"/>
        </w:rPr>
        <w:t>政策性调整</w:t>
      </w:r>
      <w:r>
        <w:rPr>
          <w:rFonts w:hint="eastAsia" w:ascii="Times New Roman" w:hAnsi="Times New Roman" w:eastAsia="方正仿宋_GBK" w:cs="方正仿宋_GBK"/>
          <w:sz w:val="32"/>
          <w:szCs w:val="32"/>
          <w:shd w:val="clear" w:color="auto" w:fill="FFFFFF"/>
          <w:lang w:eastAsia="zh-CN"/>
        </w:rPr>
        <w:t>。</w:t>
      </w:r>
    </w:p>
    <w:p w14:paraId="31A26A52">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145.80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9.23</w:t>
      </w:r>
      <w:r>
        <w:rPr>
          <w:rFonts w:ascii="Times New Roman" w:hAnsi="Times New Roman" w:eastAsia="方正仿宋_GBK" w:cs="方正仿宋_GBK"/>
          <w:sz w:val="32"/>
          <w:szCs w:val="32"/>
          <w:shd w:val="clear" w:color="auto" w:fill="FFFFFF"/>
        </w:rPr>
        <w:t>%，较年初预算数减少432.45万元，下降74.8%，主要原因</w:t>
      </w:r>
      <w:r>
        <w:rPr>
          <w:rFonts w:hint="eastAsia" w:ascii="Times New Roman" w:hAnsi="Times New Roman" w:eastAsia="方正仿宋_GBK" w:cs="方正仿宋_GBK"/>
          <w:sz w:val="32"/>
          <w:szCs w:val="32"/>
          <w:shd w:val="clear" w:color="auto" w:fill="FFFFFF"/>
          <w:lang w:val="en-US" w:eastAsia="zh-CN"/>
        </w:rPr>
        <w:t>政策性调整</w:t>
      </w:r>
      <w:r>
        <w:rPr>
          <w:rFonts w:hint="eastAsia" w:ascii="Times New Roman" w:hAnsi="Times New Roman" w:eastAsia="方正仿宋_GBK" w:cs="方正仿宋_GBK"/>
          <w:sz w:val="32"/>
          <w:szCs w:val="32"/>
          <w:shd w:val="clear" w:color="auto" w:fill="FFFFFF"/>
          <w:lang w:eastAsia="zh-CN"/>
        </w:rPr>
        <w:t>。</w:t>
      </w:r>
    </w:p>
    <w:p w14:paraId="412528B1">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72.87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4.61</w:t>
      </w:r>
      <w:r>
        <w:rPr>
          <w:rFonts w:ascii="Times New Roman" w:hAnsi="Times New Roman" w:eastAsia="方正仿宋_GBK" w:cs="方正仿宋_GBK"/>
          <w:sz w:val="32"/>
          <w:szCs w:val="32"/>
          <w:shd w:val="clear" w:color="auto" w:fill="FFFFFF"/>
        </w:rPr>
        <w:t>%，较年初预算数减少4.32万元，下降5.6%，主要原因是</w:t>
      </w:r>
      <w:r>
        <w:rPr>
          <w:rFonts w:hint="eastAsia" w:ascii="Times New Roman" w:hAnsi="Times New Roman" w:eastAsia="方正仿宋_GBK" w:cs="方正仿宋_GBK"/>
          <w:sz w:val="32"/>
          <w:szCs w:val="32"/>
          <w:shd w:val="clear" w:color="auto" w:fill="FFFFFF"/>
          <w:lang w:eastAsia="zh-CN"/>
        </w:rPr>
        <w:t>人员减少。</w:t>
      </w:r>
    </w:p>
    <w:p w14:paraId="5E9A90D3">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住房保障支出67.97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4.30</w:t>
      </w:r>
      <w:r>
        <w:rPr>
          <w:rFonts w:ascii="Times New Roman" w:hAnsi="Times New Roman" w:eastAsia="方正仿宋_GBK" w:cs="方正仿宋_GBK"/>
          <w:sz w:val="32"/>
          <w:szCs w:val="32"/>
          <w:shd w:val="clear" w:color="auto" w:fill="FFFFFF"/>
        </w:rPr>
        <w:t>%，较年初预算数减少3.93万元，下降5.5%，主要原因是</w:t>
      </w:r>
      <w:r>
        <w:rPr>
          <w:rFonts w:hint="eastAsia" w:ascii="Times New Roman" w:hAnsi="Times New Roman" w:eastAsia="方正仿宋_GBK" w:cs="方正仿宋_GBK"/>
          <w:sz w:val="32"/>
          <w:szCs w:val="32"/>
          <w:shd w:val="clear" w:color="auto" w:fill="FFFFFF"/>
          <w:lang w:val="en-US" w:eastAsia="zh-CN" w:bidi="ar-SA"/>
        </w:rPr>
        <w:t>人员减少。</w:t>
      </w:r>
    </w:p>
    <w:p w14:paraId="04F4DD24">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（四）一般公共预算财政拨款基本支出决算情况说明</w:t>
      </w:r>
    </w:p>
    <w:p w14:paraId="06D94A2A">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2024年度一般公共财政拨款基本支出</w:t>
      </w:r>
      <w:r>
        <w:rPr>
          <w:rFonts w:ascii="Times New Roman" w:hAnsi="Times New Roman" w:eastAsia="方正仿宋_GBK" w:cs="方正仿宋_GBK"/>
          <w:sz w:val="32"/>
          <w:szCs w:val="32"/>
        </w:rPr>
        <w:t>1495.74</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1392.60</w:t>
      </w:r>
      <w:r>
        <w:rPr>
          <w:rFonts w:ascii="Times New Roman" w:hAnsi="Times New Roman" w:eastAsia="方正仿宋_GBK" w:cs="方正仿宋_GBK"/>
          <w:sz w:val="32"/>
          <w:szCs w:val="32"/>
          <w:shd w:val="clear" w:color="auto" w:fill="FFFFFF"/>
        </w:rPr>
        <w:t>万元，与2023年度相比，减少13.08万元，下降0.9%，主要原因是</w:t>
      </w:r>
      <w:r>
        <w:rPr>
          <w:rFonts w:hint="eastAsia" w:ascii="Times New Roman" w:hAnsi="Times New Roman" w:eastAsia="方正仿宋_GBK" w:cs="方正仿宋_GBK"/>
          <w:sz w:val="32"/>
          <w:szCs w:val="32"/>
          <w:shd w:val="clear" w:color="auto" w:fill="FFFFFF"/>
          <w:lang w:val="en-US" w:eastAsia="zh-CN"/>
        </w:rPr>
        <w:t>退休</w:t>
      </w:r>
      <w:r>
        <w:rPr>
          <w:rFonts w:hint="eastAsia" w:ascii="Times New Roman" w:hAnsi="Times New Roman" w:eastAsia="方正仿宋_GBK" w:cs="方正仿宋_GBK"/>
          <w:sz w:val="32"/>
          <w:szCs w:val="32"/>
          <w:shd w:val="clear" w:color="auto" w:fill="FFFFFF"/>
          <w:lang w:eastAsia="zh-CN"/>
        </w:rPr>
        <w:t>人员</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人员经费用途主要包括基本工资、津贴补贴、伙食补助费、绩效工资、社会保障缴费、其他工资福利支出等。公用经费</w:t>
      </w:r>
      <w:r>
        <w:rPr>
          <w:rFonts w:ascii="Times New Roman" w:hAnsi="Times New Roman" w:eastAsia="方正仿宋_GBK" w:cs="方正仿宋_GBK"/>
          <w:sz w:val="32"/>
          <w:szCs w:val="32"/>
        </w:rPr>
        <w:t>103.14</w:t>
      </w:r>
      <w:r>
        <w:rPr>
          <w:rFonts w:ascii="Times New Roman" w:hAnsi="Times New Roman" w:eastAsia="方正仿宋_GBK" w:cs="方正仿宋_GBK"/>
          <w:sz w:val="32"/>
          <w:szCs w:val="32"/>
          <w:shd w:val="clear" w:color="auto" w:fill="FFFFFF"/>
        </w:rPr>
        <w:t>万元，与2023年度相比，减少22.51万元，下降17.9%，主要原因是</w:t>
      </w:r>
      <w:r>
        <w:rPr>
          <w:rFonts w:hint="eastAsia" w:ascii="Times New Roman" w:hAnsi="Times New Roman" w:eastAsia="方正仿宋_GBK" w:cs="方正仿宋_GBK"/>
          <w:sz w:val="32"/>
          <w:szCs w:val="32"/>
          <w:shd w:val="clear" w:color="auto" w:fill="FFFFFF"/>
          <w:lang w:eastAsia="zh-CN"/>
        </w:rPr>
        <w:t>学生人数减少。</w:t>
      </w:r>
      <w:r>
        <w:rPr>
          <w:rFonts w:ascii="Times New Roman" w:hAnsi="Times New Roman" w:eastAsia="方正仿宋_GBK" w:cs="方正仿宋_GBK"/>
          <w:sz w:val="32"/>
          <w:szCs w:val="32"/>
          <w:shd w:val="clear" w:color="auto" w:fill="FFFFFF"/>
        </w:rPr>
        <w:t>公用经费用途主要包括办公费、印刷费、咨询费、水费、电费、邮电费、差旅费、维修（护）费、租赁费、培训费、专用材料费、劳务费、工会经费、福利费、其他商品和服务支出</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w:t>
      </w:r>
    </w:p>
    <w:p w14:paraId="1F55FB8D">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（五）政府性基金预算收支决算情况说明</w:t>
      </w:r>
    </w:p>
    <w:p w14:paraId="73FC84AA">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2.00</w:t>
      </w:r>
      <w:r>
        <w:rPr>
          <w:rFonts w:ascii="Times New Roman" w:hAnsi="Times New Roman" w:eastAsia="方正仿宋_GBK" w:cs="方正仿宋_GBK"/>
          <w:sz w:val="32"/>
          <w:szCs w:val="32"/>
          <w:shd w:val="clear" w:color="auto" w:fill="FFFFFF"/>
        </w:rPr>
        <w:t>万元，与2023年度相比，减少4.08万元，下降67.1%，主要原因是</w:t>
      </w:r>
      <w:r>
        <w:rPr>
          <w:rFonts w:hint="eastAsia" w:ascii="Times New Roman" w:hAnsi="Times New Roman" w:eastAsia="方正仿宋_GBK" w:cs="方正仿宋_GBK"/>
          <w:sz w:val="32"/>
          <w:szCs w:val="32"/>
          <w:shd w:val="clear" w:color="auto" w:fill="FFFFFF"/>
          <w:lang w:eastAsia="zh-CN"/>
        </w:rPr>
        <w:t>乡村少年宫经费减少。</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2.00</w:t>
      </w:r>
      <w:r>
        <w:rPr>
          <w:rFonts w:ascii="Times New Roman" w:hAnsi="Times New Roman" w:eastAsia="方正仿宋_GBK" w:cs="方正仿宋_GBK"/>
          <w:sz w:val="32"/>
          <w:szCs w:val="32"/>
          <w:shd w:val="clear" w:color="auto" w:fill="FFFFFF"/>
        </w:rPr>
        <w:t>万元，与2023年度相比，减少4.08万元，下降67.1%，主要原因是</w:t>
      </w:r>
      <w:r>
        <w:rPr>
          <w:rFonts w:hint="eastAsia" w:ascii="Times New Roman" w:hAnsi="Times New Roman" w:eastAsia="方正仿宋_GBK" w:cs="方正仿宋_GBK"/>
          <w:sz w:val="32"/>
          <w:szCs w:val="32"/>
          <w:shd w:val="clear" w:color="auto" w:fill="FFFFFF"/>
          <w:lang w:eastAsia="zh-CN"/>
        </w:rPr>
        <w:t>乡村少年宫经费减少。</w:t>
      </w:r>
    </w:p>
    <w:p w14:paraId="31885425">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（六）国有资本经营预算财政拨款支出决算情况说明</w:t>
      </w:r>
    </w:p>
    <w:p w14:paraId="47840BD2">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本单位2024年度无国有资本经营预算财政拨款支出。</w:t>
      </w:r>
    </w:p>
    <w:p w14:paraId="060A6660">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kern w:val="2"/>
          <w:sz w:val="32"/>
          <w:szCs w:val="32"/>
          <w:lang w:eastAsia="zh-Hans"/>
        </w:rPr>
      </w:pPr>
      <w:r>
        <w:rPr>
          <w:rFonts w:ascii="Times New Roman" w:hAnsi="Times New Roman" w:eastAsia="方正黑体_GBK"/>
          <w:kern w:val="2"/>
          <w:sz w:val="32"/>
          <w:szCs w:val="32"/>
          <w:lang w:eastAsia="zh-Hans"/>
        </w:rPr>
        <w:t>三、财政拨款“三公”经费情况说明</w:t>
      </w:r>
    </w:p>
    <w:p w14:paraId="2C9DC5D9">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（一）“三公”经费支出总体情况说明</w:t>
      </w:r>
    </w:p>
    <w:p w14:paraId="17191D02">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bidi="ar-SA"/>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w:t>
      </w:r>
      <w:r>
        <w:rPr>
          <w:rFonts w:hint="eastAsia" w:ascii="Times New Roman" w:hAnsi="Times New Roman" w:eastAsia="方正仿宋_GBK" w:cs="方正仿宋_GBK"/>
          <w:sz w:val="32"/>
          <w:szCs w:val="32"/>
          <w:shd w:val="clear" w:color="auto" w:fill="FFFFFF"/>
          <w:lang w:eastAsia="zh-CN"/>
        </w:rPr>
        <w:t>主要原因是</w:t>
      </w:r>
      <w:r>
        <w:rPr>
          <w:rFonts w:hint="default" w:ascii="Times New Roman" w:hAnsi="Times New Roman" w:eastAsia="方正仿宋_GBK" w:cs="方正仿宋_GBK"/>
          <w:sz w:val="32"/>
          <w:szCs w:val="32"/>
          <w:shd w:val="clear" w:color="auto" w:fill="FFFFFF"/>
          <w:lang w:val="en-US" w:eastAsia="zh-CN" w:bidi="ar-SA"/>
        </w:rPr>
        <w:t>本单位2024年度未发生“三公”经费支出。</w:t>
      </w:r>
    </w:p>
    <w:p w14:paraId="1C0E7D56">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（二）“三公”经费分项支出情况</w:t>
      </w:r>
    </w:p>
    <w:p w14:paraId="425DA97E">
      <w:pPr>
        <w:pStyle w:val="13"/>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highlight w:val="yellow"/>
          <w:lang w:val="en-US" w:eastAsia="zh-CN"/>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费用支出较年初预算数无增减，较上年支出数无增减，是主要原因是</w:t>
      </w:r>
      <w:r>
        <w:rPr>
          <w:rFonts w:hint="eastAsia" w:ascii="Times New Roman" w:hAnsi="Times New Roman" w:eastAsia="方正仿宋_GBK" w:cs="方正仿宋_GBK"/>
          <w:sz w:val="32"/>
          <w:szCs w:val="32"/>
          <w:shd w:val="clear" w:color="auto" w:fill="FFFFFF"/>
          <w:lang w:eastAsia="zh-CN"/>
        </w:rPr>
        <w:t>本</w:t>
      </w:r>
      <w:r>
        <w:rPr>
          <w:rFonts w:ascii="Times New Roman" w:hAnsi="Times New Roman" w:eastAsia="方正仿宋_GBK" w:cs="方正仿宋_GBK"/>
          <w:sz w:val="32"/>
          <w:szCs w:val="32"/>
          <w:shd w:val="clear" w:color="auto" w:fill="FFFFFF"/>
        </w:rPr>
        <w:t>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年度未发生因公出国（境）支出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792C139C">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公务车购置费0.00万元，费用支出较年初预算数无增减，较上年支出数无增减</w:t>
      </w:r>
      <w:r>
        <w:rPr>
          <w:rFonts w:hint="eastAsia" w:ascii="Times New Roman" w:hAnsi="Times New Roman" w:eastAsia="方正仿宋_GBK" w:cs="方正仿宋_GBK"/>
          <w:sz w:val="32"/>
          <w:szCs w:val="32"/>
          <w:lang w:eastAsia="zh-CN"/>
        </w:rPr>
        <w:t>，</w:t>
      </w:r>
      <w:r>
        <w:rPr>
          <w:rFonts w:ascii="Times New Roman" w:hAnsi="Times New Roman" w:eastAsia="方正仿宋_GBK" w:cs="方正仿宋_GBK"/>
          <w:sz w:val="32"/>
          <w:szCs w:val="32"/>
        </w:rPr>
        <w:t>主要原因是本单位2024年度未发生</w:t>
      </w:r>
      <w:r>
        <w:rPr>
          <w:rFonts w:hint="eastAsia" w:ascii="Times New Roman" w:hAnsi="Times New Roman" w:eastAsia="方正仿宋_GBK" w:cs="方正仿宋_GBK"/>
          <w:sz w:val="32"/>
          <w:szCs w:val="32"/>
          <w:lang w:eastAsia="zh-CN"/>
        </w:rPr>
        <w:t>公务车购置费</w:t>
      </w:r>
      <w:r>
        <w:rPr>
          <w:rFonts w:ascii="Times New Roman" w:hAnsi="Times New Roman" w:eastAsia="方正仿宋_GBK" w:cs="方正仿宋_GBK"/>
          <w:sz w:val="32"/>
          <w:szCs w:val="32"/>
        </w:rPr>
        <w:t>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4EA3D995">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公务车运行维护费0.00万元，费用支出较年初预算数无增减，较上年支出数无增减</w:t>
      </w:r>
      <w:r>
        <w:rPr>
          <w:rFonts w:hint="eastAsia" w:ascii="Times New Roman" w:hAnsi="Times New Roman" w:eastAsia="方正仿宋_GBK" w:cs="方正仿宋_GBK"/>
          <w:sz w:val="32"/>
          <w:szCs w:val="32"/>
          <w:lang w:eastAsia="zh-CN"/>
        </w:rPr>
        <w:t>，</w:t>
      </w:r>
      <w:r>
        <w:rPr>
          <w:rFonts w:ascii="Times New Roman" w:hAnsi="Times New Roman" w:eastAsia="方正仿宋_GBK" w:cs="方正仿宋_GBK"/>
          <w:sz w:val="32"/>
          <w:szCs w:val="32"/>
        </w:rPr>
        <w:t>主要原因是本单位2024年度未发生</w:t>
      </w:r>
      <w:r>
        <w:rPr>
          <w:rFonts w:hint="eastAsia" w:ascii="Times New Roman" w:hAnsi="Times New Roman" w:eastAsia="方正仿宋_GBK" w:cs="方正仿宋_GBK"/>
          <w:sz w:val="32"/>
          <w:szCs w:val="32"/>
          <w:lang w:eastAsia="zh-CN"/>
        </w:rPr>
        <w:t>公务车运行维护费</w:t>
      </w:r>
      <w:r>
        <w:rPr>
          <w:rFonts w:ascii="Times New Roman" w:hAnsi="Times New Roman" w:eastAsia="方正仿宋_GBK" w:cs="方正仿宋_GBK"/>
          <w:sz w:val="32"/>
          <w:szCs w:val="32"/>
        </w:rPr>
        <w:t>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178702D3">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公务接待费0.00万元，费用支出较年初预算数无增减，较上年支出数无增减。主要原因是本单位2024年度未发生</w:t>
      </w:r>
      <w:r>
        <w:rPr>
          <w:rFonts w:hint="eastAsia" w:ascii="Times New Roman" w:hAnsi="Times New Roman" w:eastAsia="方正仿宋_GBK" w:cs="方正仿宋_GBK"/>
          <w:sz w:val="32"/>
          <w:szCs w:val="32"/>
          <w:lang w:eastAsia="zh-CN"/>
        </w:rPr>
        <w:t>公务接待费</w:t>
      </w:r>
      <w:r>
        <w:rPr>
          <w:rFonts w:ascii="Times New Roman" w:hAnsi="Times New Roman" w:eastAsia="方正仿宋_GBK" w:cs="方正仿宋_GBK"/>
          <w:sz w:val="32"/>
          <w:szCs w:val="32"/>
        </w:rPr>
        <w:t>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6835E599">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（三）“三公”经费实物量情况</w:t>
      </w:r>
    </w:p>
    <w:p w14:paraId="610C6D59">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03C5C61D">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kern w:val="2"/>
          <w:sz w:val="32"/>
          <w:szCs w:val="32"/>
          <w:lang w:eastAsia="zh-Hans"/>
        </w:rPr>
      </w:pPr>
      <w:r>
        <w:rPr>
          <w:rFonts w:ascii="Times New Roman" w:hAnsi="Times New Roman" w:eastAsia="方正黑体_GBK"/>
          <w:kern w:val="2"/>
          <w:sz w:val="32"/>
          <w:szCs w:val="32"/>
          <w:lang w:eastAsia="zh-Hans"/>
        </w:rPr>
        <w:t>四、其他需要说明的事项</w:t>
      </w:r>
    </w:p>
    <w:p w14:paraId="570D6082">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（一）财政拨款会议费和培训费情况说明</w:t>
      </w:r>
    </w:p>
    <w:p w14:paraId="09B00FE4">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万元，与2023年度相比，无增减，主要原因是我单位202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年度未发生会议费支出。本年度培训费支出</w:t>
      </w:r>
      <w:r>
        <w:rPr>
          <w:rFonts w:ascii="Times New Roman" w:hAnsi="Times New Roman" w:eastAsia="方正仿宋_GBK" w:cs="方正仿宋_GBK"/>
          <w:sz w:val="32"/>
          <w:szCs w:val="32"/>
        </w:rPr>
        <w:t>9.38</w:t>
      </w:r>
      <w:r>
        <w:rPr>
          <w:rFonts w:ascii="Times New Roman" w:hAnsi="Times New Roman" w:eastAsia="方正仿宋_GBK" w:cs="方正仿宋_GBK"/>
          <w:sz w:val="32"/>
          <w:szCs w:val="32"/>
          <w:shd w:val="clear" w:color="auto" w:fill="FFFFFF"/>
        </w:rPr>
        <w:t>万元，与2023年度相比，减少7.27万元，下降43.7%，主要原因是</w:t>
      </w:r>
      <w:r>
        <w:rPr>
          <w:rFonts w:hint="eastAsia" w:ascii="Times New Roman" w:hAnsi="Times New Roman" w:eastAsia="方正仿宋_GBK" w:cs="方正仿宋_GBK"/>
          <w:sz w:val="32"/>
          <w:szCs w:val="32"/>
          <w:shd w:val="clear" w:color="auto" w:fill="FFFFFF"/>
          <w:lang w:eastAsia="zh-CN"/>
        </w:rPr>
        <w:t>减少了外出培训的人数和次数</w:t>
      </w:r>
      <w:r>
        <w:rPr>
          <w:rFonts w:ascii="Times New Roman" w:hAnsi="Times New Roman" w:eastAsia="方正仿宋_GBK" w:cs="方正仿宋_GBK"/>
          <w:sz w:val="32"/>
          <w:szCs w:val="32"/>
          <w:shd w:val="clear" w:color="auto" w:fill="FFFFFF"/>
        </w:rPr>
        <w:t>。</w:t>
      </w:r>
    </w:p>
    <w:p w14:paraId="3BA86BCF">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（二）机关运行经费情况说明</w:t>
      </w:r>
    </w:p>
    <w:p w14:paraId="5840049E">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按照单位决算列报口径，我单位不在机关运行经费统计范围之内。</w:t>
      </w:r>
    </w:p>
    <w:p w14:paraId="585F976E">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（三）国有资产占用情况说明</w:t>
      </w:r>
    </w:p>
    <w:p w14:paraId="0F5E12F0">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31560698">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（四）政府采购支出情况说明</w:t>
      </w:r>
    </w:p>
    <w:p w14:paraId="373F482D">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0.92</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0.92</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0.92万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0.92</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lang w:eastAsia="zh-CN"/>
        </w:rPr>
        <w:t>空调及办公用纸</w:t>
      </w:r>
      <w:r>
        <w:rPr>
          <w:rFonts w:ascii="Times New Roman" w:hAnsi="Times New Roman" w:eastAsia="方正仿宋_GBK" w:cs="方正仿宋_GBK"/>
          <w:sz w:val="32"/>
          <w:szCs w:val="32"/>
        </w:rPr>
        <w:t>。</w:t>
      </w:r>
    </w:p>
    <w:p w14:paraId="17EA251F">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kern w:val="2"/>
          <w:sz w:val="32"/>
          <w:szCs w:val="32"/>
          <w:lang w:val="en-US" w:eastAsia="zh-Hans" w:bidi="ar-SA"/>
        </w:rPr>
      </w:pPr>
      <w:r>
        <w:rPr>
          <w:rFonts w:hint="eastAsia" w:ascii="Times New Roman" w:hAnsi="Times New Roman" w:eastAsia="方正黑体_GBK" w:cs="Times New Roman"/>
          <w:kern w:val="2"/>
          <w:sz w:val="32"/>
          <w:szCs w:val="32"/>
          <w:lang w:val="en-US" w:eastAsia="zh-Hans" w:bidi="ar-SA"/>
        </w:rPr>
        <w:t>五、2024年度预算绩效管理情况说明</w:t>
      </w:r>
    </w:p>
    <w:p w14:paraId="1A25528F">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（一）预算绩效管理工作开展情况</w:t>
      </w:r>
    </w:p>
    <w:p w14:paraId="786814D6">
      <w:pPr>
        <w:keepNext w:val="0"/>
        <w:keepLines w:val="0"/>
        <w:pageBreakBefore w:val="0"/>
        <w:widowControl w:val="0"/>
        <w:tabs>
          <w:tab w:val="center" w:pos="4153"/>
          <w:tab w:val="left" w:pos="7275"/>
        </w:tabs>
        <w:kinsoku/>
        <w:wordWrap/>
        <w:overflowPunct/>
        <w:topLinePunct w:val="0"/>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根据预算绩效管理要求，我单位对15个二级项目开展了绩效自评，涉及财政拨款项目支出84.13万元。</w:t>
      </w:r>
    </w:p>
    <w:p w14:paraId="2A328FB6">
      <w:pPr>
        <w:tabs>
          <w:tab w:val="center" w:pos="4153"/>
          <w:tab w:val="left" w:pos="7275"/>
        </w:tabs>
        <w:spacing w:line="596" w:lineRule="exact"/>
        <w:jc w:val="center"/>
        <w:rPr>
          <w:rFonts w:hint="default" w:ascii="Times New Roman" w:hAnsi="Times New Roman" w:cs="宋体"/>
          <w:sz w:val="21"/>
          <w:szCs w:val="24"/>
        </w:rPr>
      </w:pPr>
      <w:r>
        <w:rPr>
          <w:rFonts w:hint="eastAsia" w:ascii="Times New Roman" w:hAnsi="Times New Roman" w:eastAsia="方正小标宋_GBK" w:cs="方正小标宋_GBK"/>
          <w:color w:val="000000"/>
          <w:sz w:val="28"/>
          <w:szCs w:val="28"/>
          <w:lang w:eastAsia="zh-CN" w:bidi="ar"/>
        </w:rPr>
        <w:t>重庆市九龙坡区铜罐驿实验学校</w:t>
      </w:r>
      <w:r>
        <w:rPr>
          <w:rFonts w:ascii="Times New Roman" w:hAnsi="Times New Roman" w:eastAsia="方正小标宋_GBK" w:cs="方正小标宋_GBK"/>
          <w:color w:val="000000"/>
          <w:sz w:val="28"/>
          <w:szCs w:val="28"/>
          <w:lang w:bidi="ar"/>
        </w:rPr>
        <w:t>2024年度</w:t>
      </w:r>
      <w:r>
        <w:rPr>
          <w:rFonts w:hint="eastAsia" w:ascii="Times New Roman" w:hAnsi="Times New Roman" w:eastAsia="方正小标宋_GBK" w:cs="方正小标宋_GBK"/>
          <w:color w:val="000000"/>
          <w:sz w:val="28"/>
          <w:szCs w:val="28"/>
          <w:lang w:val="en-US" w:eastAsia="zh-CN" w:bidi="ar"/>
        </w:rPr>
        <w:t>重点</w:t>
      </w:r>
      <w:r>
        <w:rPr>
          <w:rFonts w:ascii="Times New Roman" w:hAnsi="Times New Roman" w:eastAsia="方正小标宋_GBK" w:cs="方正小标宋_GBK"/>
          <w:color w:val="000000"/>
          <w:sz w:val="28"/>
          <w:szCs w:val="28"/>
          <w:lang w:bidi="ar"/>
        </w:rPr>
        <w:t>项目支出绩效自评表</w:t>
      </w:r>
    </w:p>
    <w:tbl>
      <w:tblPr>
        <w:tblStyle w:val="9"/>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575"/>
        <w:gridCol w:w="1999"/>
        <w:gridCol w:w="1712"/>
        <w:gridCol w:w="681"/>
        <w:gridCol w:w="726"/>
        <w:gridCol w:w="635"/>
        <w:gridCol w:w="613"/>
        <w:gridCol w:w="908"/>
        <w:gridCol w:w="579"/>
        <w:gridCol w:w="897"/>
        <w:gridCol w:w="610"/>
      </w:tblGrid>
      <w:tr w14:paraId="4C3E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64" w:hRule="atLeast"/>
          <w:tblHeader/>
          <w:jc w:val="center"/>
        </w:trPr>
        <w:tc>
          <w:tcPr>
            <w:tcW w:w="575" w:type="dxa"/>
            <w:tcBorders>
              <w:top w:val="single" w:color="auto" w:sz="4" w:space="0"/>
            </w:tcBorders>
            <w:vAlign w:val="center"/>
          </w:tcPr>
          <w:p w14:paraId="42586F23">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序号</w:t>
            </w:r>
          </w:p>
        </w:tc>
        <w:tc>
          <w:tcPr>
            <w:tcW w:w="1999" w:type="dxa"/>
            <w:tcBorders>
              <w:top w:val="single" w:color="auto" w:sz="4" w:space="0"/>
            </w:tcBorders>
            <w:vAlign w:val="center"/>
          </w:tcPr>
          <w:p w14:paraId="19077A37">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项目名称</w:t>
            </w:r>
          </w:p>
        </w:tc>
        <w:tc>
          <w:tcPr>
            <w:tcW w:w="1712" w:type="dxa"/>
            <w:tcBorders>
              <w:top w:val="single" w:color="auto" w:sz="4" w:space="0"/>
            </w:tcBorders>
            <w:vAlign w:val="center"/>
          </w:tcPr>
          <w:p w14:paraId="61299B59">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指标名称</w:t>
            </w:r>
          </w:p>
        </w:tc>
        <w:tc>
          <w:tcPr>
            <w:tcW w:w="681" w:type="dxa"/>
            <w:tcBorders>
              <w:top w:val="single" w:color="auto" w:sz="4" w:space="0"/>
            </w:tcBorders>
            <w:vAlign w:val="center"/>
          </w:tcPr>
          <w:p w14:paraId="06297154">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指标性质</w:t>
            </w:r>
          </w:p>
        </w:tc>
        <w:tc>
          <w:tcPr>
            <w:tcW w:w="726" w:type="dxa"/>
            <w:tcBorders>
              <w:top w:val="single" w:color="auto" w:sz="4" w:space="0"/>
            </w:tcBorders>
            <w:vAlign w:val="center"/>
          </w:tcPr>
          <w:p w14:paraId="525C2B27">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指标值</w:t>
            </w:r>
          </w:p>
        </w:tc>
        <w:tc>
          <w:tcPr>
            <w:tcW w:w="635" w:type="dxa"/>
            <w:tcBorders>
              <w:top w:val="single" w:color="auto" w:sz="4" w:space="0"/>
            </w:tcBorders>
            <w:vAlign w:val="center"/>
          </w:tcPr>
          <w:p w14:paraId="0F85456D">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计量单位</w:t>
            </w:r>
          </w:p>
        </w:tc>
        <w:tc>
          <w:tcPr>
            <w:tcW w:w="613" w:type="dxa"/>
            <w:tcBorders>
              <w:top w:val="single" w:color="auto" w:sz="4" w:space="0"/>
            </w:tcBorders>
            <w:vAlign w:val="center"/>
          </w:tcPr>
          <w:p w14:paraId="14BC5B43">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指标权重</w:t>
            </w:r>
          </w:p>
        </w:tc>
        <w:tc>
          <w:tcPr>
            <w:tcW w:w="908" w:type="dxa"/>
            <w:tcBorders>
              <w:top w:val="single" w:color="auto" w:sz="4" w:space="0"/>
            </w:tcBorders>
            <w:vAlign w:val="center"/>
          </w:tcPr>
          <w:p w14:paraId="07E6D880">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全年完成值</w:t>
            </w:r>
          </w:p>
        </w:tc>
        <w:tc>
          <w:tcPr>
            <w:tcW w:w="579" w:type="dxa"/>
            <w:tcBorders>
              <w:top w:val="single" w:color="auto" w:sz="4" w:space="0"/>
            </w:tcBorders>
            <w:vAlign w:val="center"/>
          </w:tcPr>
          <w:p w14:paraId="626937F6">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指标得分</w:t>
            </w:r>
          </w:p>
        </w:tc>
        <w:tc>
          <w:tcPr>
            <w:tcW w:w="897" w:type="dxa"/>
            <w:tcBorders>
              <w:top w:val="single" w:color="auto" w:sz="4" w:space="0"/>
            </w:tcBorders>
            <w:vAlign w:val="center"/>
          </w:tcPr>
          <w:p w14:paraId="706148C1">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说明</w:t>
            </w:r>
          </w:p>
        </w:tc>
        <w:tc>
          <w:tcPr>
            <w:tcW w:w="610" w:type="dxa"/>
            <w:tcBorders>
              <w:top w:val="single" w:color="auto" w:sz="4" w:space="0"/>
            </w:tcBorders>
            <w:vAlign w:val="center"/>
          </w:tcPr>
          <w:p w14:paraId="57F85E49">
            <w:pPr>
              <w:snapToGrid w:val="0"/>
              <w:jc w:val="center"/>
              <w:textAlignment w:val="center"/>
              <w:rPr>
                <w:rFonts w:hint="eastAsia" w:eastAsia="方正黑体_GBK" w:cs="方正黑体_GBK"/>
                <w:b/>
                <w:color w:val="000000"/>
                <w:sz w:val="21"/>
                <w:szCs w:val="22"/>
                <w:lang w:eastAsia="zh-CN"/>
              </w:rPr>
            </w:pPr>
            <w:r>
              <w:rPr>
                <w:rFonts w:hint="eastAsia" w:eastAsia="方正黑体_GBK" w:cs="方正黑体_GBK"/>
                <w:b/>
                <w:color w:val="000000"/>
                <w:sz w:val="21"/>
                <w:szCs w:val="22"/>
                <w:lang w:eastAsia="zh-CN" w:bidi="ar"/>
              </w:rPr>
              <w:t>自评得分</w:t>
            </w:r>
          </w:p>
        </w:tc>
      </w:tr>
      <w:tr w14:paraId="710E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84" w:hRule="atLeast"/>
          <w:jc w:val="center"/>
        </w:trPr>
        <w:tc>
          <w:tcPr>
            <w:tcW w:w="575" w:type="dxa"/>
            <w:vMerge w:val="restart"/>
            <w:noWrap/>
            <w:vAlign w:val="center"/>
          </w:tcPr>
          <w:p w14:paraId="7789E8D7">
            <w:pPr>
              <w:snapToGrid w:val="0"/>
              <w:jc w:val="center"/>
              <w:textAlignment w:val="center"/>
              <w:rPr>
                <w:rFonts w:hint="default" w:ascii="宋体" w:eastAsia="宋体"/>
                <w:color w:val="000000"/>
                <w:sz w:val="21"/>
                <w:szCs w:val="22"/>
              </w:rPr>
            </w:pPr>
            <w:r>
              <w:rPr>
                <w:rFonts w:ascii="宋体" w:eastAsia="宋体"/>
                <w:color w:val="000000"/>
                <w:sz w:val="21"/>
                <w:szCs w:val="22"/>
                <w:lang w:bidi="ar"/>
              </w:rPr>
              <w:t>1</w:t>
            </w:r>
          </w:p>
        </w:tc>
        <w:tc>
          <w:tcPr>
            <w:tcW w:w="1999" w:type="dxa"/>
            <w:vMerge w:val="restart"/>
            <w:noWrap/>
            <w:vAlign w:val="center"/>
          </w:tcPr>
          <w:p w14:paraId="4C0408E8">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2024年学前教育家庭经济困难幼儿资助专项经费</w:t>
            </w:r>
          </w:p>
        </w:tc>
        <w:tc>
          <w:tcPr>
            <w:tcW w:w="1712" w:type="dxa"/>
            <w:noWrap/>
            <w:vAlign w:val="center"/>
          </w:tcPr>
          <w:p w14:paraId="2CF0E24B">
            <w:pPr>
              <w:snapToGrid w:val="0"/>
              <w:jc w:val="center"/>
              <w:rPr>
                <w:rFonts w:hint="eastAsia" w:ascii="宋体" w:eastAsia="宋体" w:cs="宋体"/>
                <w:color w:val="000000"/>
                <w:sz w:val="21"/>
                <w:szCs w:val="22"/>
                <w:lang w:eastAsia="zh-CN"/>
              </w:rPr>
            </w:pPr>
            <w:r>
              <w:rPr>
                <w:rFonts w:hint="eastAsia" w:ascii="宋体" w:eastAsia="宋体" w:cs="宋体"/>
                <w:color w:val="000000"/>
                <w:sz w:val="21"/>
                <w:szCs w:val="22"/>
                <w:lang w:eastAsia="zh-CN"/>
              </w:rPr>
              <w:t>资助学生数量</w:t>
            </w:r>
          </w:p>
        </w:tc>
        <w:tc>
          <w:tcPr>
            <w:tcW w:w="681" w:type="dxa"/>
            <w:noWrap/>
            <w:vAlign w:val="center"/>
          </w:tcPr>
          <w:p w14:paraId="7754D46E">
            <w:pPr>
              <w:snapToGrid w:val="0"/>
              <w:jc w:val="center"/>
              <w:rPr>
                <w:rFonts w:hint="default" w:ascii="宋体" w:eastAsia="宋体" w:cs="宋体"/>
                <w:color w:val="000000"/>
                <w:sz w:val="21"/>
                <w:szCs w:val="22"/>
              </w:rPr>
            </w:pPr>
            <w:r>
              <w:rPr>
                <w:rFonts w:hint="default" w:ascii="宋体" w:hAnsi="Arial" w:eastAsia="宋体" w:cs="Arial"/>
                <w:color w:val="000000"/>
                <w:sz w:val="21"/>
                <w:szCs w:val="22"/>
              </w:rPr>
              <w:t>≥</w:t>
            </w:r>
          </w:p>
        </w:tc>
        <w:tc>
          <w:tcPr>
            <w:tcW w:w="726" w:type="dxa"/>
            <w:noWrap/>
            <w:vAlign w:val="center"/>
          </w:tcPr>
          <w:p w14:paraId="31792446">
            <w:pPr>
              <w:snapToGrid w:val="0"/>
              <w:jc w:val="center"/>
              <w:rPr>
                <w:rFonts w:hint="eastAsia" w:ascii="宋体" w:eastAsia="宋体" w:cs="宋体"/>
                <w:color w:val="000000"/>
                <w:sz w:val="21"/>
                <w:szCs w:val="22"/>
                <w:lang w:val="en-US" w:eastAsia="zh-CN"/>
              </w:rPr>
            </w:pPr>
            <w:r>
              <w:rPr>
                <w:rFonts w:hint="eastAsia" w:ascii="宋体" w:eastAsia="宋体" w:cs="宋体"/>
                <w:color w:val="000000"/>
                <w:sz w:val="21"/>
                <w:szCs w:val="22"/>
                <w:lang w:val="en-US" w:eastAsia="zh-CN"/>
              </w:rPr>
              <w:t>2</w:t>
            </w:r>
          </w:p>
        </w:tc>
        <w:tc>
          <w:tcPr>
            <w:tcW w:w="635" w:type="dxa"/>
            <w:noWrap/>
            <w:vAlign w:val="center"/>
          </w:tcPr>
          <w:p w14:paraId="7325940C">
            <w:pPr>
              <w:snapToGrid w:val="0"/>
              <w:jc w:val="center"/>
              <w:rPr>
                <w:rFonts w:hint="eastAsia" w:ascii="宋体" w:eastAsia="宋体" w:cs="宋体"/>
                <w:color w:val="000000"/>
                <w:sz w:val="21"/>
                <w:szCs w:val="22"/>
                <w:lang w:eastAsia="zh-CN"/>
              </w:rPr>
            </w:pPr>
            <w:r>
              <w:rPr>
                <w:rFonts w:hint="eastAsia" w:ascii="宋体" w:eastAsia="宋体" w:cs="宋体"/>
                <w:color w:val="000000"/>
                <w:sz w:val="21"/>
                <w:szCs w:val="22"/>
                <w:lang w:eastAsia="zh-CN"/>
              </w:rPr>
              <w:t>人次</w:t>
            </w:r>
          </w:p>
        </w:tc>
        <w:tc>
          <w:tcPr>
            <w:tcW w:w="613" w:type="dxa"/>
            <w:noWrap/>
            <w:vAlign w:val="center"/>
          </w:tcPr>
          <w:p w14:paraId="5B912272">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20</w:t>
            </w:r>
          </w:p>
        </w:tc>
        <w:tc>
          <w:tcPr>
            <w:tcW w:w="908" w:type="dxa"/>
            <w:noWrap/>
            <w:vAlign w:val="center"/>
          </w:tcPr>
          <w:p w14:paraId="3DA8DBB0">
            <w:pPr>
              <w:snapToGrid w:val="0"/>
              <w:jc w:val="center"/>
              <w:rPr>
                <w:rFonts w:hint="eastAsia" w:ascii="宋体" w:eastAsia="宋体" w:cs="宋体"/>
                <w:color w:val="000000"/>
                <w:sz w:val="21"/>
                <w:szCs w:val="22"/>
                <w:lang w:val="en-US" w:eastAsia="zh-CN"/>
              </w:rPr>
            </w:pPr>
            <w:r>
              <w:rPr>
                <w:rFonts w:hint="eastAsia" w:ascii="宋体" w:eastAsia="宋体" w:cs="宋体"/>
                <w:color w:val="000000"/>
                <w:sz w:val="21"/>
                <w:szCs w:val="22"/>
                <w:lang w:val="en-US" w:eastAsia="zh-CN"/>
              </w:rPr>
              <w:t>2</w:t>
            </w:r>
          </w:p>
        </w:tc>
        <w:tc>
          <w:tcPr>
            <w:tcW w:w="579" w:type="dxa"/>
            <w:noWrap/>
            <w:vAlign w:val="center"/>
          </w:tcPr>
          <w:p w14:paraId="46E3E1B7">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20</w:t>
            </w:r>
          </w:p>
        </w:tc>
        <w:tc>
          <w:tcPr>
            <w:tcW w:w="897" w:type="dxa"/>
            <w:noWrap/>
            <w:vAlign w:val="center"/>
          </w:tcPr>
          <w:p w14:paraId="13E82271">
            <w:pPr>
              <w:snapToGrid w:val="0"/>
              <w:jc w:val="center"/>
              <w:rPr>
                <w:rFonts w:hint="default" w:ascii="宋体" w:eastAsia="宋体" w:cs="宋体"/>
                <w:color w:val="000000"/>
                <w:sz w:val="21"/>
                <w:szCs w:val="22"/>
              </w:rPr>
            </w:pPr>
          </w:p>
        </w:tc>
        <w:tc>
          <w:tcPr>
            <w:tcW w:w="610" w:type="dxa"/>
            <w:vMerge w:val="restart"/>
            <w:noWrap/>
            <w:vAlign w:val="center"/>
          </w:tcPr>
          <w:p w14:paraId="46C474CC">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100</w:t>
            </w:r>
          </w:p>
        </w:tc>
      </w:tr>
      <w:tr w14:paraId="3A15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76" w:hRule="atLeast"/>
          <w:jc w:val="center"/>
        </w:trPr>
        <w:tc>
          <w:tcPr>
            <w:tcW w:w="575" w:type="dxa"/>
            <w:vMerge w:val="continue"/>
            <w:noWrap/>
            <w:vAlign w:val="center"/>
          </w:tcPr>
          <w:p w14:paraId="532A29FB">
            <w:pPr>
              <w:snapToGrid w:val="0"/>
              <w:jc w:val="center"/>
              <w:textAlignment w:val="center"/>
              <w:rPr>
                <w:rFonts w:hint="default" w:ascii="宋体" w:eastAsia="宋体"/>
                <w:color w:val="000000"/>
                <w:sz w:val="21"/>
                <w:szCs w:val="22"/>
              </w:rPr>
            </w:pPr>
          </w:p>
        </w:tc>
        <w:tc>
          <w:tcPr>
            <w:tcW w:w="1999" w:type="dxa"/>
            <w:vMerge w:val="continue"/>
            <w:noWrap/>
            <w:vAlign w:val="center"/>
          </w:tcPr>
          <w:p w14:paraId="0061DD5B">
            <w:pPr>
              <w:snapToGrid w:val="0"/>
              <w:jc w:val="center"/>
              <w:rPr>
                <w:rFonts w:hint="default" w:ascii="宋体" w:eastAsia="宋体" w:cs="宋体"/>
                <w:color w:val="000000"/>
                <w:sz w:val="21"/>
                <w:szCs w:val="22"/>
              </w:rPr>
            </w:pPr>
          </w:p>
        </w:tc>
        <w:tc>
          <w:tcPr>
            <w:tcW w:w="1712" w:type="dxa"/>
            <w:noWrap/>
            <w:vAlign w:val="center"/>
          </w:tcPr>
          <w:p w14:paraId="4A5D3815">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eastAsia="zh-CN"/>
              </w:rPr>
              <w:t>资助到位时间</w:t>
            </w:r>
            <w:r>
              <w:rPr>
                <w:rFonts w:hint="eastAsia" w:ascii="宋体" w:eastAsia="宋体" w:cs="宋体"/>
                <w:color w:val="000000"/>
                <w:sz w:val="21"/>
                <w:szCs w:val="22"/>
                <w:lang w:val="en-US" w:eastAsia="zh-CN"/>
              </w:rPr>
              <w:t>jlp</w:t>
            </w:r>
          </w:p>
        </w:tc>
        <w:tc>
          <w:tcPr>
            <w:tcW w:w="681" w:type="dxa"/>
            <w:noWrap/>
            <w:vAlign w:val="center"/>
          </w:tcPr>
          <w:p w14:paraId="1FC658A1">
            <w:pPr>
              <w:snapToGrid w:val="0"/>
              <w:jc w:val="center"/>
              <w:rPr>
                <w:rFonts w:hint="default" w:ascii="宋体" w:eastAsia="宋体" w:cs="宋体"/>
                <w:color w:val="000000"/>
                <w:sz w:val="21"/>
                <w:szCs w:val="22"/>
              </w:rPr>
            </w:pPr>
            <w:r>
              <w:rPr>
                <w:rFonts w:hint="default" w:ascii="宋体" w:hAnsi="Arial" w:eastAsia="宋体" w:cs="Arial"/>
                <w:color w:val="000000"/>
                <w:sz w:val="21"/>
                <w:szCs w:val="22"/>
              </w:rPr>
              <w:t>≤</w:t>
            </w:r>
          </w:p>
        </w:tc>
        <w:tc>
          <w:tcPr>
            <w:tcW w:w="726" w:type="dxa"/>
            <w:noWrap/>
            <w:vAlign w:val="center"/>
          </w:tcPr>
          <w:p w14:paraId="7E983439">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50</w:t>
            </w:r>
          </w:p>
        </w:tc>
        <w:tc>
          <w:tcPr>
            <w:tcW w:w="635" w:type="dxa"/>
            <w:noWrap/>
            <w:vAlign w:val="center"/>
          </w:tcPr>
          <w:p w14:paraId="5594FC53">
            <w:pPr>
              <w:snapToGrid w:val="0"/>
              <w:jc w:val="center"/>
              <w:rPr>
                <w:rFonts w:hint="eastAsia" w:ascii="宋体" w:eastAsia="宋体" w:cs="宋体"/>
                <w:color w:val="000000"/>
                <w:sz w:val="21"/>
                <w:szCs w:val="22"/>
                <w:lang w:eastAsia="zh-CN"/>
              </w:rPr>
            </w:pPr>
            <w:r>
              <w:rPr>
                <w:rFonts w:hint="eastAsia" w:ascii="宋体" w:eastAsia="宋体" w:cs="宋体"/>
                <w:color w:val="000000"/>
                <w:sz w:val="21"/>
                <w:szCs w:val="22"/>
                <w:lang w:eastAsia="zh-CN"/>
              </w:rPr>
              <w:t>天</w:t>
            </w:r>
          </w:p>
        </w:tc>
        <w:tc>
          <w:tcPr>
            <w:tcW w:w="613" w:type="dxa"/>
            <w:noWrap/>
            <w:vAlign w:val="center"/>
          </w:tcPr>
          <w:p w14:paraId="18FDE93F">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15</w:t>
            </w:r>
          </w:p>
        </w:tc>
        <w:tc>
          <w:tcPr>
            <w:tcW w:w="908" w:type="dxa"/>
            <w:noWrap/>
            <w:vAlign w:val="center"/>
          </w:tcPr>
          <w:p w14:paraId="634357F1">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50</w:t>
            </w:r>
          </w:p>
        </w:tc>
        <w:tc>
          <w:tcPr>
            <w:tcW w:w="579" w:type="dxa"/>
            <w:noWrap/>
            <w:vAlign w:val="center"/>
          </w:tcPr>
          <w:p w14:paraId="0425C1CB">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15</w:t>
            </w:r>
          </w:p>
        </w:tc>
        <w:tc>
          <w:tcPr>
            <w:tcW w:w="897" w:type="dxa"/>
            <w:noWrap/>
            <w:vAlign w:val="center"/>
          </w:tcPr>
          <w:p w14:paraId="761BBA1A">
            <w:pPr>
              <w:snapToGrid w:val="0"/>
              <w:jc w:val="center"/>
              <w:rPr>
                <w:rFonts w:hint="default" w:ascii="宋体" w:eastAsia="宋体" w:cs="宋体"/>
                <w:color w:val="000000"/>
                <w:sz w:val="21"/>
                <w:szCs w:val="22"/>
              </w:rPr>
            </w:pPr>
          </w:p>
        </w:tc>
        <w:tc>
          <w:tcPr>
            <w:tcW w:w="610" w:type="dxa"/>
            <w:vMerge w:val="continue"/>
            <w:noWrap/>
            <w:vAlign w:val="center"/>
          </w:tcPr>
          <w:p w14:paraId="1C225A95">
            <w:pPr>
              <w:snapToGrid w:val="0"/>
              <w:jc w:val="center"/>
              <w:rPr>
                <w:rFonts w:hint="default" w:ascii="宋体" w:eastAsia="宋体" w:cs="宋体"/>
                <w:color w:val="000000"/>
                <w:sz w:val="21"/>
                <w:szCs w:val="22"/>
              </w:rPr>
            </w:pPr>
          </w:p>
        </w:tc>
      </w:tr>
      <w:tr w14:paraId="221A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76" w:hRule="atLeast"/>
          <w:jc w:val="center"/>
        </w:trPr>
        <w:tc>
          <w:tcPr>
            <w:tcW w:w="575" w:type="dxa"/>
            <w:vMerge w:val="continue"/>
            <w:noWrap/>
            <w:vAlign w:val="center"/>
          </w:tcPr>
          <w:p w14:paraId="39423C5C">
            <w:pPr>
              <w:snapToGrid w:val="0"/>
              <w:jc w:val="center"/>
              <w:textAlignment w:val="center"/>
              <w:rPr>
                <w:rFonts w:hint="default" w:ascii="宋体" w:eastAsia="宋体"/>
                <w:color w:val="000000"/>
                <w:sz w:val="21"/>
                <w:szCs w:val="22"/>
              </w:rPr>
            </w:pPr>
          </w:p>
        </w:tc>
        <w:tc>
          <w:tcPr>
            <w:tcW w:w="1999" w:type="dxa"/>
            <w:vMerge w:val="continue"/>
            <w:noWrap/>
            <w:vAlign w:val="center"/>
          </w:tcPr>
          <w:p w14:paraId="72DD17AA">
            <w:pPr>
              <w:snapToGrid w:val="0"/>
              <w:jc w:val="center"/>
              <w:rPr>
                <w:rFonts w:hint="default" w:ascii="宋体" w:eastAsia="宋体" w:cs="宋体"/>
                <w:color w:val="000000"/>
                <w:sz w:val="21"/>
                <w:szCs w:val="22"/>
              </w:rPr>
            </w:pPr>
          </w:p>
        </w:tc>
        <w:tc>
          <w:tcPr>
            <w:tcW w:w="1712" w:type="dxa"/>
            <w:noWrap/>
            <w:vAlign w:val="center"/>
          </w:tcPr>
          <w:p w14:paraId="54959CED">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eastAsia="zh-CN"/>
              </w:rPr>
              <w:t>资助资金及时到位率</w:t>
            </w:r>
            <w:r>
              <w:rPr>
                <w:rFonts w:hint="eastAsia" w:ascii="宋体" w:eastAsia="宋体" w:cs="宋体"/>
                <w:color w:val="000000"/>
                <w:sz w:val="21"/>
                <w:szCs w:val="22"/>
                <w:lang w:val="en-US" w:eastAsia="zh-CN"/>
              </w:rPr>
              <w:t>jlp</w:t>
            </w:r>
          </w:p>
        </w:tc>
        <w:tc>
          <w:tcPr>
            <w:tcW w:w="681" w:type="dxa"/>
            <w:noWrap/>
            <w:vAlign w:val="center"/>
          </w:tcPr>
          <w:p w14:paraId="4750016E">
            <w:pPr>
              <w:snapToGrid w:val="0"/>
              <w:jc w:val="center"/>
              <w:rPr>
                <w:rFonts w:hint="default" w:ascii="宋体" w:eastAsia="宋体" w:cs="宋体"/>
                <w:color w:val="000000"/>
                <w:sz w:val="21"/>
                <w:szCs w:val="22"/>
              </w:rPr>
            </w:pPr>
            <w:r>
              <w:rPr>
                <w:rFonts w:hint="default" w:ascii="宋体" w:hAnsi="Arial" w:eastAsia="宋体" w:cs="Arial"/>
                <w:color w:val="000000"/>
                <w:sz w:val="21"/>
                <w:szCs w:val="22"/>
              </w:rPr>
              <w:t>≥</w:t>
            </w:r>
          </w:p>
        </w:tc>
        <w:tc>
          <w:tcPr>
            <w:tcW w:w="726" w:type="dxa"/>
            <w:noWrap/>
            <w:vAlign w:val="center"/>
          </w:tcPr>
          <w:p w14:paraId="07E939B8">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100</w:t>
            </w:r>
          </w:p>
        </w:tc>
        <w:tc>
          <w:tcPr>
            <w:tcW w:w="635" w:type="dxa"/>
            <w:noWrap/>
            <w:vAlign w:val="center"/>
          </w:tcPr>
          <w:p w14:paraId="6F8F9F7E">
            <w:pPr>
              <w:snapToGrid w:val="0"/>
              <w:jc w:val="center"/>
              <w:rPr>
                <w:rFonts w:hint="default" w:ascii="宋体" w:eastAsia="宋体" w:cs="宋体"/>
                <w:color w:val="000000"/>
                <w:sz w:val="21"/>
                <w:szCs w:val="22"/>
              </w:rPr>
            </w:pPr>
            <w:r>
              <w:rPr>
                <w:rFonts w:hint="eastAsia" w:ascii="宋体" w:hAnsi="宋体" w:eastAsia="宋体" w:cs="宋体"/>
                <w:color w:val="000000"/>
                <w:sz w:val="21"/>
                <w:szCs w:val="22"/>
              </w:rPr>
              <w:t>％</w:t>
            </w:r>
          </w:p>
        </w:tc>
        <w:tc>
          <w:tcPr>
            <w:tcW w:w="613" w:type="dxa"/>
            <w:noWrap/>
            <w:vAlign w:val="center"/>
          </w:tcPr>
          <w:p w14:paraId="1A7BB3DC">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15</w:t>
            </w:r>
          </w:p>
        </w:tc>
        <w:tc>
          <w:tcPr>
            <w:tcW w:w="908" w:type="dxa"/>
            <w:noWrap/>
            <w:vAlign w:val="center"/>
          </w:tcPr>
          <w:p w14:paraId="128D22A3">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100</w:t>
            </w:r>
          </w:p>
        </w:tc>
        <w:tc>
          <w:tcPr>
            <w:tcW w:w="579" w:type="dxa"/>
            <w:noWrap/>
            <w:vAlign w:val="center"/>
          </w:tcPr>
          <w:p w14:paraId="7C5F0CC4">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15</w:t>
            </w:r>
          </w:p>
        </w:tc>
        <w:tc>
          <w:tcPr>
            <w:tcW w:w="897" w:type="dxa"/>
            <w:noWrap/>
            <w:vAlign w:val="center"/>
          </w:tcPr>
          <w:p w14:paraId="3FB6B94E">
            <w:pPr>
              <w:snapToGrid w:val="0"/>
              <w:jc w:val="center"/>
              <w:rPr>
                <w:rFonts w:hint="default" w:ascii="宋体" w:eastAsia="宋体" w:cs="宋体"/>
                <w:color w:val="000000"/>
                <w:sz w:val="21"/>
                <w:szCs w:val="22"/>
              </w:rPr>
            </w:pPr>
          </w:p>
        </w:tc>
        <w:tc>
          <w:tcPr>
            <w:tcW w:w="610" w:type="dxa"/>
            <w:vMerge w:val="continue"/>
            <w:noWrap/>
            <w:vAlign w:val="center"/>
          </w:tcPr>
          <w:p w14:paraId="26AE0920">
            <w:pPr>
              <w:snapToGrid w:val="0"/>
              <w:jc w:val="center"/>
              <w:rPr>
                <w:rFonts w:hint="default" w:ascii="宋体" w:eastAsia="宋体" w:cs="宋体"/>
                <w:color w:val="000000"/>
                <w:sz w:val="21"/>
                <w:szCs w:val="22"/>
              </w:rPr>
            </w:pPr>
          </w:p>
        </w:tc>
      </w:tr>
      <w:tr w14:paraId="7202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76" w:hRule="atLeast"/>
          <w:jc w:val="center"/>
        </w:trPr>
        <w:tc>
          <w:tcPr>
            <w:tcW w:w="575" w:type="dxa"/>
            <w:vMerge w:val="continue"/>
            <w:noWrap/>
            <w:vAlign w:val="center"/>
          </w:tcPr>
          <w:p w14:paraId="581DA1C2">
            <w:pPr>
              <w:snapToGrid w:val="0"/>
              <w:jc w:val="center"/>
              <w:textAlignment w:val="center"/>
              <w:rPr>
                <w:rFonts w:hint="default" w:ascii="宋体" w:eastAsia="宋体"/>
                <w:color w:val="000000"/>
                <w:sz w:val="21"/>
                <w:szCs w:val="22"/>
              </w:rPr>
            </w:pPr>
          </w:p>
        </w:tc>
        <w:tc>
          <w:tcPr>
            <w:tcW w:w="1999" w:type="dxa"/>
            <w:vMerge w:val="continue"/>
            <w:noWrap/>
            <w:vAlign w:val="center"/>
          </w:tcPr>
          <w:p w14:paraId="746172AE">
            <w:pPr>
              <w:snapToGrid w:val="0"/>
              <w:jc w:val="center"/>
              <w:rPr>
                <w:rFonts w:hint="default" w:ascii="宋体" w:eastAsia="宋体" w:cs="宋体"/>
                <w:color w:val="000000"/>
                <w:sz w:val="21"/>
                <w:szCs w:val="22"/>
              </w:rPr>
            </w:pPr>
          </w:p>
        </w:tc>
        <w:tc>
          <w:tcPr>
            <w:tcW w:w="1712" w:type="dxa"/>
            <w:noWrap/>
            <w:vAlign w:val="center"/>
          </w:tcPr>
          <w:p w14:paraId="7A42855D">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eastAsia="zh-CN"/>
              </w:rPr>
              <w:t>资助事项公示率</w:t>
            </w:r>
            <w:r>
              <w:rPr>
                <w:rFonts w:hint="eastAsia" w:ascii="宋体" w:eastAsia="宋体" w:cs="宋体"/>
                <w:color w:val="000000"/>
                <w:sz w:val="21"/>
                <w:szCs w:val="22"/>
                <w:lang w:val="en-US" w:eastAsia="zh-CN"/>
              </w:rPr>
              <w:t>jlp</w:t>
            </w:r>
          </w:p>
        </w:tc>
        <w:tc>
          <w:tcPr>
            <w:tcW w:w="681" w:type="dxa"/>
            <w:noWrap/>
            <w:vAlign w:val="center"/>
          </w:tcPr>
          <w:p w14:paraId="6FDF1105">
            <w:pPr>
              <w:snapToGrid w:val="0"/>
              <w:jc w:val="center"/>
              <w:rPr>
                <w:rFonts w:hint="default" w:ascii="宋体" w:eastAsia="宋体" w:cs="宋体"/>
                <w:color w:val="000000"/>
                <w:sz w:val="21"/>
                <w:szCs w:val="22"/>
              </w:rPr>
            </w:pPr>
            <w:r>
              <w:rPr>
                <w:rFonts w:hint="default" w:ascii="宋体" w:hAnsi="Arial" w:eastAsia="宋体" w:cs="Arial"/>
                <w:color w:val="000000"/>
                <w:sz w:val="21"/>
                <w:szCs w:val="22"/>
              </w:rPr>
              <w:t>≥</w:t>
            </w:r>
          </w:p>
        </w:tc>
        <w:tc>
          <w:tcPr>
            <w:tcW w:w="726" w:type="dxa"/>
            <w:noWrap/>
            <w:vAlign w:val="center"/>
          </w:tcPr>
          <w:p w14:paraId="378384C7">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100</w:t>
            </w:r>
          </w:p>
        </w:tc>
        <w:tc>
          <w:tcPr>
            <w:tcW w:w="635" w:type="dxa"/>
            <w:noWrap/>
            <w:vAlign w:val="center"/>
          </w:tcPr>
          <w:p w14:paraId="6E79A127">
            <w:pPr>
              <w:snapToGrid w:val="0"/>
              <w:jc w:val="center"/>
              <w:rPr>
                <w:rFonts w:hint="default" w:ascii="宋体" w:eastAsia="宋体" w:cs="宋体"/>
                <w:color w:val="000000"/>
                <w:sz w:val="21"/>
                <w:szCs w:val="22"/>
              </w:rPr>
            </w:pPr>
            <w:r>
              <w:rPr>
                <w:rFonts w:hint="eastAsia" w:ascii="宋体" w:hAnsi="宋体" w:eastAsia="宋体" w:cs="宋体"/>
                <w:color w:val="000000"/>
                <w:sz w:val="21"/>
                <w:szCs w:val="22"/>
              </w:rPr>
              <w:t>％</w:t>
            </w:r>
          </w:p>
        </w:tc>
        <w:tc>
          <w:tcPr>
            <w:tcW w:w="613" w:type="dxa"/>
            <w:noWrap/>
            <w:vAlign w:val="center"/>
          </w:tcPr>
          <w:p w14:paraId="73330E82">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15</w:t>
            </w:r>
          </w:p>
        </w:tc>
        <w:tc>
          <w:tcPr>
            <w:tcW w:w="908" w:type="dxa"/>
            <w:noWrap/>
            <w:vAlign w:val="center"/>
          </w:tcPr>
          <w:p w14:paraId="656782EF">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100</w:t>
            </w:r>
          </w:p>
        </w:tc>
        <w:tc>
          <w:tcPr>
            <w:tcW w:w="579" w:type="dxa"/>
            <w:noWrap/>
            <w:vAlign w:val="center"/>
          </w:tcPr>
          <w:p w14:paraId="67F69AA3">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15</w:t>
            </w:r>
          </w:p>
        </w:tc>
        <w:tc>
          <w:tcPr>
            <w:tcW w:w="897" w:type="dxa"/>
            <w:noWrap/>
            <w:vAlign w:val="center"/>
          </w:tcPr>
          <w:p w14:paraId="684EC2DF">
            <w:pPr>
              <w:snapToGrid w:val="0"/>
              <w:jc w:val="center"/>
              <w:rPr>
                <w:rFonts w:hint="default" w:ascii="宋体" w:eastAsia="宋体" w:cs="宋体"/>
                <w:color w:val="000000"/>
                <w:sz w:val="21"/>
                <w:szCs w:val="22"/>
              </w:rPr>
            </w:pPr>
          </w:p>
        </w:tc>
        <w:tc>
          <w:tcPr>
            <w:tcW w:w="610" w:type="dxa"/>
            <w:vMerge w:val="continue"/>
            <w:noWrap/>
            <w:vAlign w:val="center"/>
          </w:tcPr>
          <w:p w14:paraId="1EC7BD22">
            <w:pPr>
              <w:snapToGrid w:val="0"/>
              <w:jc w:val="center"/>
              <w:rPr>
                <w:rFonts w:hint="default" w:ascii="宋体" w:eastAsia="宋体" w:cs="宋体"/>
                <w:color w:val="000000"/>
                <w:sz w:val="21"/>
                <w:szCs w:val="22"/>
              </w:rPr>
            </w:pPr>
          </w:p>
        </w:tc>
      </w:tr>
      <w:tr w14:paraId="35AD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76" w:hRule="atLeast"/>
          <w:jc w:val="center"/>
        </w:trPr>
        <w:tc>
          <w:tcPr>
            <w:tcW w:w="575" w:type="dxa"/>
            <w:vMerge w:val="continue"/>
            <w:noWrap/>
            <w:vAlign w:val="center"/>
          </w:tcPr>
          <w:p w14:paraId="58A1C1CB">
            <w:pPr>
              <w:snapToGrid w:val="0"/>
              <w:jc w:val="center"/>
              <w:textAlignment w:val="center"/>
              <w:rPr>
                <w:rFonts w:hint="default" w:ascii="宋体" w:eastAsia="宋体"/>
                <w:color w:val="000000"/>
                <w:sz w:val="21"/>
                <w:szCs w:val="22"/>
              </w:rPr>
            </w:pPr>
          </w:p>
        </w:tc>
        <w:tc>
          <w:tcPr>
            <w:tcW w:w="1999" w:type="dxa"/>
            <w:vMerge w:val="continue"/>
            <w:noWrap/>
            <w:vAlign w:val="center"/>
          </w:tcPr>
          <w:p w14:paraId="5D30ACFB">
            <w:pPr>
              <w:snapToGrid w:val="0"/>
              <w:jc w:val="center"/>
              <w:rPr>
                <w:rFonts w:hint="default" w:ascii="宋体" w:eastAsia="宋体" w:cs="宋体"/>
                <w:color w:val="000000"/>
                <w:sz w:val="21"/>
                <w:szCs w:val="22"/>
              </w:rPr>
            </w:pPr>
          </w:p>
        </w:tc>
        <w:tc>
          <w:tcPr>
            <w:tcW w:w="1712" w:type="dxa"/>
            <w:noWrap/>
            <w:vAlign w:val="center"/>
          </w:tcPr>
          <w:p w14:paraId="142E3860">
            <w:pPr>
              <w:snapToGrid w:val="0"/>
              <w:jc w:val="center"/>
              <w:rPr>
                <w:rFonts w:hint="eastAsia" w:ascii="宋体" w:eastAsia="宋体" w:cs="宋体"/>
                <w:color w:val="000000"/>
                <w:sz w:val="21"/>
                <w:szCs w:val="22"/>
                <w:lang w:eastAsia="zh-CN"/>
              </w:rPr>
            </w:pPr>
            <w:r>
              <w:rPr>
                <w:rFonts w:hint="eastAsia" w:ascii="宋体" w:eastAsia="宋体" w:cs="宋体"/>
                <w:color w:val="000000"/>
                <w:sz w:val="21"/>
                <w:szCs w:val="22"/>
                <w:lang w:eastAsia="zh-CN"/>
              </w:rPr>
              <w:t>促进幼儿健康成长</w:t>
            </w:r>
          </w:p>
        </w:tc>
        <w:tc>
          <w:tcPr>
            <w:tcW w:w="681" w:type="dxa"/>
            <w:noWrap/>
            <w:vAlign w:val="center"/>
          </w:tcPr>
          <w:p w14:paraId="68FE4EA5">
            <w:pPr>
              <w:snapToGrid w:val="0"/>
              <w:jc w:val="center"/>
              <w:rPr>
                <w:rFonts w:hint="eastAsia" w:ascii="宋体" w:eastAsia="宋体" w:cs="宋体"/>
                <w:color w:val="000000"/>
                <w:sz w:val="21"/>
                <w:szCs w:val="22"/>
                <w:lang w:eastAsia="zh-CN"/>
              </w:rPr>
            </w:pPr>
            <w:r>
              <w:rPr>
                <w:rFonts w:hint="eastAsia" w:ascii="宋体" w:eastAsia="宋体" w:cs="宋体"/>
                <w:color w:val="000000"/>
                <w:sz w:val="21"/>
                <w:szCs w:val="22"/>
                <w:lang w:eastAsia="zh-CN"/>
              </w:rPr>
              <w:t>定性</w:t>
            </w:r>
          </w:p>
        </w:tc>
        <w:tc>
          <w:tcPr>
            <w:tcW w:w="726" w:type="dxa"/>
            <w:noWrap/>
            <w:vAlign w:val="center"/>
          </w:tcPr>
          <w:p w14:paraId="3BDEE79A">
            <w:pPr>
              <w:snapToGrid w:val="0"/>
              <w:jc w:val="center"/>
              <w:rPr>
                <w:rFonts w:hint="eastAsia" w:ascii="宋体" w:eastAsia="宋体" w:cs="宋体"/>
                <w:color w:val="000000"/>
                <w:sz w:val="21"/>
                <w:szCs w:val="22"/>
                <w:lang w:eastAsia="zh-CN"/>
              </w:rPr>
            </w:pPr>
            <w:r>
              <w:rPr>
                <w:rFonts w:hint="eastAsia" w:ascii="宋体" w:eastAsia="宋体" w:cs="宋体"/>
                <w:color w:val="000000"/>
                <w:sz w:val="21"/>
                <w:szCs w:val="22"/>
                <w:lang w:eastAsia="zh-CN"/>
              </w:rPr>
              <w:t>优</w:t>
            </w:r>
          </w:p>
        </w:tc>
        <w:tc>
          <w:tcPr>
            <w:tcW w:w="635" w:type="dxa"/>
            <w:noWrap/>
            <w:vAlign w:val="center"/>
          </w:tcPr>
          <w:p w14:paraId="344783F8">
            <w:pPr>
              <w:snapToGrid w:val="0"/>
              <w:jc w:val="center"/>
              <w:rPr>
                <w:rFonts w:hint="default" w:ascii="宋体" w:eastAsia="宋体" w:cs="宋体"/>
                <w:color w:val="000000"/>
                <w:sz w:val="21"/>
                <w:szCs w:val="22"/>
              </w:rPr>
            </w:pPr>
          </w:p>
        </w:tc>
        <w:tc>
          <w:tcPr>
            <w:tcW w:w="613" w:type="dxa"/>
            <w:noWrap/>
            <w:vAlign w:val="center"/>
          </w:tcPr>
          <w:p w14:paraId="067A8D01">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15</w:t>
            </w:r>
          </w:p>
        </w:tc>
        <w:tc>
          <w:tcPr>
            <w:tcW w:w="908" w:type="dxa"/>
            <w:noWrap/>
            <w:vAlign w:val="center"/>
          </w:tcPr>
          <w:p w14:paraId="3DBECBFF">
            <w:pPr>
              <w:snapToGrid w:val="0"/>
              <w:jc w:val="center"/>
              <w:rPr>
                <w:rFonts w:hint="eastAsia" w:ascii="宋体" w:eastAsia="宋体" w:cs="宋体"/>
                <w:color w:val="000000"/>
                <w:sz w:val="21"/>
                <w:szCs w:val="22"/>
                <w:lang w:eastAsia="zh-CN"/>
              </w:rPr>
            </w:pPr>
            <w:r>
              <w:rPr>
                <w:rFonts w:hint="eastAsia" w:ascii="宋体" w:eastAsia="宋体" w:cs="宋体"/>
                <w:color w:val="000000"/>
                <w:sz w:val="21"/>
                <w:szCs w:val="22"/>
                <w:lang w:eastAsia="zh-CN"/>
              </w:rPr>
              <w:t>全部完成</w:t>
            </w:r>
          </w:p>
        </w:tc>
        <w:tc>
          <w:tcPr>
            <w:tcW w:w="579" w:type="dxa"/>
            <w:noWrap/>
            <w:vAlign w:val="center"/>
          </w:tcPr>
          <w:p w14:paraId="34DC5660">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15</w:t>
            </w:r>
          </w:p>
        </w:tc>
        <w:tc>
          <w:tcPr>
            <w:tcW w:w="897" w:type="dxa"/>
            <w:noWrap/>
            <w:vAlign w:val="center"/>
          </w:tcPr>
          <w:p w14:paraId="7E800FBB">
            <w:pPr>
              <w:snapToGrid w:val="0"/>
              <w:jc w:val="center"/>
              <w:rPr>
                <w:rFonts w:hint="default" w:ascii="宋体" w:eastAsia="宋体" w:cs="宋体"/>
                <w:color w:val="000000"/>
                <w:sz w:val="21"/>
                <w:szCs w:val="22"/>
              </w:rPr>
            </w:pPr>
          </w:p>
        </w:tc>
        <w:tc>
          <w:tcPr>
            <w:tcW w:w="610" w:type="dxa"/>
            <w:vMerge w:val="continue"/>
            <w:noWrap/>
            <w:vAlign w:val="center"/>
          </w:tcPr>
          <w:p w14:paraId="372FF0A2">
            <w:pPr>
              <w:snapToGrid w:val="0"/>
              <w:jc w:val="center"/>
              <w:rPr>
                <w:rFonts w:hint="default" w:ascii="宋体" w:eastAsia="宋体" w:cs="宋体"/>
                <w:color w:val="000000"/>
                <w:sz w:val="21"/>
                <w:szCs w:val="22"/>
              </w:rPr>
            </w:pPr>
          </w:p>
        </w:tc>
      </w:tr>
      <w:tr w14:paraId="0CCE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76" w:hRule="atLeast"/>
          <w:jc w:val="center"/>
        </w:trPr>
        <w:tc>
          <w:tcPr>
            <w:tcW w:w="575" w:type="dxa"/>
            <w:vMerge w:val="continue"/>
            <w:noWrap/>
            <w:vAlign w:val="center"/>
          </w:tcPr>
          <w:p w14:paraId="0D7E567D">
            <w:pPr>
              <w:snapToGrid w:val="0"/>
              <w:jc w:val="center"/>
              <w:textAlignment w:val="center"/>
              <w:rPr>
                <w:rFonts w:hint="default" w:ascii="宋体" w:eastAsia="宋体"/>
                <w:color w:val="000000"/>
                <w:sz w:val="21"/>
                <w:szCs w:val="22"/>
              </w:rPr>
            </w:pPr>
          </w:p>
        </w:tc>
        <w:tc>
          <w:tcPr>
            <w:tcW w:w="1999" w:type="dxa"/>
            <w:vMerge w:val="continue"/>
            <w:noWrap/>
            <w:vAlign w:val="center"/>
          </w:tcPr>
          <w:p w14:paraId="766C8F9C">
            <w:pPr>
              <w:snapToGrid w:val="0"/>
              <w:jc w:val="center"/>
              <w:rPr>
                <w:rFonts w:hint="default" w:ascii="宋体" w:eastAsia="宋体" w:cs="宋体"/>
                <w:color w:val="000000"/>
                <w:sz w:val="21"/>
                <w:szCs w:val="22"/>
              </w:rPr>
            </w:pPr>
          </w:p>
        </w:tc>
        <w:tc>
          <w:tcPr>
            <w:tcW w:w="1712" w:type="dxa"/>
            <w:noWrap/>
            <w:vAlign w:val="center"/>
          </w:tcPr>
          <w:p w14:paraId="6F6B5A75">
            <w:pPr>
              <w:snapToGrid w:val="0"/>
              <w:jc w:val="center"/>
              <w:rPr>
                <w:rFonts w:hint="default" w:ascii="宋体" w:eastAsia="宋体" w:cs="宋体"/>
                <w:color w:val="000000"/>
                <w:sz w:val="21"/>
                <w:szCs w:val="22"/>
                <w:lang w:val="en-US" w:eastAsia="zh-CN"/>
              </w:rPr>
            </w:pPr>
            <w:r>
              <w:rPr>
                <w:rFonts w:hint="eastAsia" w:cs="宋体"/>
                <w:color w:val="000000"/>
                <w:sz w:val="21"/>
                <w:szCs w:val="22"/>
                <w:lang w:val="en-US" w:eastAsia="zh-CN"/>
              </w:rPr>
              <w:t>执行率</w:t>
            </w:r>
          </w:p>
        </w:tc>
        <w:tc>
          <w:tcPr>
            <w:tcW w:w="681" w:type="dxa"/>
            <w:noWrap/>
            <w:vAlign w:val="center"/>
          </w:tcPr>
          <w:p w14:paraId="4332C2D4">
            <w:pPr>
              <w:snapToGrid w:val="0"/>
              <w:jc w:val="center"/>
              <w:rPr>
                <w:rFonts w:hint="default" w:ascii="宋体" w:eastAsia="宋体" w:cs="宋体"/>
                <w:color w:val="000000"/>
                <w:sz w:val="21"/>
                <w:szCs w:val="22"/>
                <w:lang w:val="en-US" w:eastAsia="zh-CN"/>
              </w:rPr>
            </w:pPr>
            <w:r>
              <w:rPr>
                <w:rFonts w:hint="eastAsia" w:cs="宋体"/>
                <w:color w:val="000000"/>
                <w:sz w:val="21"/>
                <w:szCs w:val="22"/>
                <w:lang w:val="en-US" w:eastAsia="zh-CN"/>
              </w:rPr>
              <w:t>=</w:t>
            </w:r>
          </w:p>
        </w:tc>
        <w:tc>
          <w:tcPr>
            <w:tcW w:w="726" w:type="dxa"/>
            <w:noWrap/>
            <w:vAlign w:val="center"/>
          </w:tcPr>
          <w:p w14:paraId="1A89C95D">
            <w:pPr>
              <w:snapToGrid w:val="0"/>
              <w:jc w:val="center"/>
              <w:rPr>
                <w:rFonts w:hint="default" w:ascii="宋体" w:eastAsia="宋体" w:cs="宋体"/>
                <w:color w:val="000000"/>
                <w:sz w:val="21"/>
                <w:szCs w:val="22"/>
                <w:lang w:val="en-US" w:eastAsia="zh-CN"/>
              </w:rPr>
            </w:pPr>
            <w:r>
              <w:rPr>
                <w:rFonts w:hint="eastAsia" w:cs="宋体"/>
                <w:color w:val="000000"/>
                <w:sz w:val="21"/>
                <w:szCs w:val="22"/>
                <w:lang w:val="en-US" w:eastAsia="zh-CN"/>
              </w:rPr>
              <w:t>100</w:t>
            </w:r>
          </w:p>
        </w:tc>
        <w:tc>
          <w:tcPr>
            <w:tcW w:w="635" w:type="dxa"/>
            <w:noWrap/>
            <w:vAlign w:val="center"/>
          </w:tcPr>
          <w:p w14:paraId="4A11E1F2">
            <w:pPr>
              <w:snapToGrid w:val="0"/>
              <w:jc w:val="center"/>
              <w:rPr>
                <w:rFonts w:hint="eastAsia" w:ascii="宋体" w:eastAsia="宋体" w:cs="宋体"/>
                <w:color w:val="000000"/>
                <w:sz w:val="21"/>
                <w:szCs w:val="22"/>
                <w:lang w:val="en-US" w:eastAsia="zh-CN"/>
              </w:rPr>
            </w:pPr>
            <w:r>
              <w:rPr>
                <w:rFonts w:hint="eastAsia" w:cs="宋体"/>
                <w:color w:val="000000"/>
                <w:sz w:val="21"/>
                <w:szCs w:val="22"/>
                <w:lang w:val="en-US" w:eastAsia="zh-CN"/>
              </w:rPr>
              <w:t>%</w:t>
            </w:r>
          </w:p>
        </w:tc>
        <w:tc>
          <w:tcPr>
            <w:tcW w:w="613" w:type="dxa"/>
            <w:noWrap/>
            <w:vAlign w:val="center"/>
          </w:tcPr>
          <w:p w14:paraId="0DEC819F">
            <w:pPr>
              <w:snapToGrid w:val="0"/>
              <w:jc w:val="center"/>
              <w:rPr>
                <w:rFonts w:hint="default" w:ascii="宋体" w:eastAsia="宋体" w:cs="宋体"/>
                <w:color w:val="000000"/>
                <w:sz w:val="21"/>
                <w:szCs w:val="22"/>
                <w:lang w:val="en-US" w:eastAsia="zh-CN"/>
              </w:rPr>
            </w:pPr>
            <w:r>
              <w:rPr>
                <w:rFonts w:hint="eastAsia" w:cs="宋体"/>
                <w:color w:val="000000"/>
                <w:sz w:val="21"/>
                <w:szCs w:val="22"/>
                <w:lang w:val="en-US" w:eastAsia="zh-CN"/>
              </w:rPr>
              <w:t>10</w:t>
            </w:r>
          </w:p>
        </w:tc>
        <w:tc>
          <w:tcPr>
            <w:tcW w:w="908" w:type="dxa"/>
            <w:noWrap/>
            <w:vAlign w:val="center"/>
          </w:tcPr>
          <w:p w14:paraId="1F842BC3">
            <w:pPr>
              <w:snapToGrid w:val="0"/>
              <w:jc w:val="center"/>
              <w:rPr>
                <w:rFonts w:hint="default" w:ascii="宋体" w:eastAsia="宋体" w:cs="宋体"/>
                <w:color w:val="000000"/>
                <w:sz w:val="21"/>
                <w:szCs w:val="22"/>
                <w:lang w:val="en-US" w:eastAsia="zh-CN"/>
              </w:rPr>
            </w:pPr>
            <w:r>
              <w:rPr>
                <w:rFonts w:hint="eastAsia" w:cs="宋体"/>
                <w:color w:val="000000"/>
                <w:sz w:val="21"/>
                <w:szCs w:val="22"/>
                <w:lang w:val="en-US" w:eastAsia="zh-CN"/>
              </w:rPr>
              <w:t>100</w:t>
            </w:r>
          </w:p>
        </w:tc>
        <w:tc>
          <w:tcPr>
            <w:tcW w:w="579" w:type="dxa"/>
            <w:noWrap/>
            <w:vAlign w:val="center"/>
          </w:tcPr>
          <w:p w14:paraId="5FDBBD4C">
            <w:pPr>
              <w:snapToGrid w:val="0"/>
              <w:jc w:val="center"/>
              <w:rPr>
                <w:rFonts w:hint="default" w:ascii="宋体" w:eastAsia="宋体" w:cs="宋体"/>
                <w:color w:val="000000"/>
                <w:sz w:val="21"/>
                <w:szCs w:val="22"/>
                <w:lang w:val="en-US" w:eastAsia="zh-CN"/>
              </w:rPr>
            </w:pPr>
            <w:r>
              <w:rPr>
                <w:rFonts w:hint="eastAsia" w:cs="宋体"/>
                <w:color w:val="000000"/>
                <w:sz w:val="21"/>
                <w:szCs w:val="22"/>
                <w:lang w:val="en-US" w:eastAsia="zh-CN"/>
              </w:rPr>
              <w:t>10</w:t>
            </w:r>
          </w:p>
        </w:tc>
        <w:tc>
          <w:tcPr>
            <w:tcW w:w="897" w:type="dxa"/>
            <w:noWrap/>
            <w:vAlign w:val="center"/>
          </w:tcPr>
          <w:p w14:paraId="2AE03CD8">
            <w:pPr>
              <w:snapToGrid w:val="0"/>
              <w:jc w:val="center"/>
              <w:rPr>
                <w:rFonts w:hint="default" w:ascii="宋体" w:eastAsia="宋体" w:cs="宋体"/>
                <w:color w:val="000000"/>
                <w:sz w:val="21"/>
                <w:szCs w:val="22"/>
              </w:rPr>
            </w:pPr>
          </w:p>
        </w:tc>
        <w:tc>
          <w:tcPr>
            <w:tcW w:w="610" w:type="dxa"/>
            <w:vMerge w:val="continue"/>
            <w:noWrap/>
            <w:vAlign w:val="center"/>
          </w:tcPr>
          <w:p w14:paraId="3F6D2CD2">
            <w:pPr>
              <w:snapToGrid w:val="0"/>
              <w:jc w:val="center"/>
              <w:rPr>
                <w:rFonts w:hint="default" w:ascii="宋体" w:eastAsia="宋体" w:cs="宋体"/>
                <w:color w:val="000000"/>
                <w:sz w:val="21"/>
                <w:szCs w:val="22"/>
              </w:rPr>
            </w:pPr>
          </w:p>
        </w:tc>
      </w:tr>
      <w:tr w14:paraId="29B7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94" w:hRule="atLeast"/>
          <w:jc w:val="center"/>
        </w:trPr>
        <w:tc>
          <w:tcPr>
            <w:tcW w:w="575" w:type="dxa"/>
            <w:vMerge w:val="continue"/>
            <w:noWrap/>
            <w:vAlign w:val="center"/>
          </w:tcPr>
          <w:p w14:paraId="68623F30">
            <w:pPr>
              <w:snapToGrid w:val="0"/>
              <w:jc w:val="center"/>
              <w:textAlignment w:val="center"/>
              <w:rPr>
                <w:rFonts w:hint="default" w:ascii="宋体" w:eastAsia="宋体"/>
                <w:color w:val="000000"/>
                <w:sz w:val="21"/>
                <w:szCs w:val="22"/>
              </w:rPr>
            </w:pPr>
          </w:p>
        </w:tc>
        <w:tc>
          <w:tcPr>
            <w:tcW w:w="1999" w:type="dxa"/>
            <w:vMerge w:val="continue"/>
            <w:noWrap/>
            <w:vAlign w:val="center"/>
          </w:tcPr>
          <w:p w14:paraId="7AB78AC4">
            <w:pPr>
              <w:snapToGrid w:val="0"/>
              <w:jc w:val="center"/>
              <w:rPr>
                <w:rFonts w:hint="default" w:ascii="宋体" w:eastAsia="宋体" w:cs="宋体"/>
                <w:color w:val="000000"/>
                <w:sz w:val="21"/>
                <w:szCs w:val="22"/>
              </w:rPr>
            </w:pPr>
          </w:p>
        </w:tc>
        <w:tc>
          <w:tcPr>
            <w:tcW w:w="1712" w:type="dxa"/>
            <w:noWrap/>
            <w:vAlign w:val="center"/>
          </w:tcPr>
          <w:p w14:paraId="35ED5016">
            <w:pPr>
              <w:snapToGrid w:val="0"/>
              <w:jc w:val="center"/>
              <w:rPr>
                <w:rFonts w:hint="eastAsia" w:ascii="宋体" w:eastAsia="宋体" w:cs="宋体"/>
                <w:color w:val="000000"/>
                <w:sz w:val="21"/>
                <w:szCs w:val="22"/>
                <w:lang w:eastAsia="zh-CN"/>
              </w:rPr>
            </w:pPr>
            <w:r>
              <w:rPr>
                <w:rFonts w:hint="eastAsia" w:ascii="宋体" w:eastAsia="宋体" w:cs="宋体"/>
                <w:color w:val="000000"/>
                <w:sz w:val="21"/>
                <w:szCs w:val="22"/>
                <w:lang w:eastAsia="zh-CN"/>
              </w:rPr>
              <w:t>幼儿家长满意度</w:t>
            </w:r>
          </w:p>
        </w:tc>
        <w:tc>
          <w:tcPr>
            <w:tcW w:w="681" w:type="dxa"/>
            <w:noWrap/>
            <w:vAlign w:val="center"/>
          </w:tcPr>
          <w:p w14:paraId="603CFFA6">
            <w:pPr>
              <w:snapToGrid w:val="0"/>
              <w:jc w:val="center"/>
              <w:rPr>
                <w:rFonts w:hint="default" w:ascii="宋体" w:eastAsia="宋体" w:cs="宋体"/>
                <w:color w:val="000000"/>
                <w:sz w:val="21"/>
                <w:szCs w:val="22"/>
              </w:rPr>
            </w:pPr>
            <w:r>
              <w:rPr>
                <w:rFonts w:hint="default" w:ascii="宋体" w:hAnsi="Arial" w:eastAsia="宋体" w:cs="Arial"/>
                <w:color w:val="000000"/>
                <w:sz w:val="21"/>
                <w:szCs w:val="22"/>
              </w:rPr>
              <w:t>≥</w:t>
            </w:r>
          </w:p>
        </w:tc>
        <w:tc>
          <w:tcPr>
            <w:tcW w:w="726" w:type="dxa"/>
            <w:noWrap/>
            <w:vAlign w:val="center"/>
          </w:tcPr>
          <w:p w14:paraId="03CC59E9">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95</w:t>
            </w:r>
          </w:p>
        </w:tc>
        <w:tc>
          <w:tcPr>
            <w:tcW w:w="635" w:type="dxa"/>
            <w:noWrap/>
            <w:vAlign w:val="center"/>
          </w:tcPr>
          <w:p w14:paraId="539D43DC">
            <w:pPr>
              <w:snapToGrid w:val="0"/>
              <w:jc w:val="center"/>
              <w:rPr>
                <w:rFonts w:hint="default" w:ascii="宋体" w:eastAsia="宋体" w:cs="宋体"/>
                <w:color w:val="000000"/>
                <w:sz w:val="21"/>
                <w:szCs w:val="22"/>
              </w:rPr>
            </w:pPr>
            <w:r>
              <w:rPr>
                <w:rFonts w:hint="eastAsia" w:ascii="宋体" w:hAnsi="宋体" w:eastAsia="宋体" w:cs="宋体"/>
                <w:color w:val="000000"/>
                <w:sz w:val="21"/>
                <w:szCs w:val="22"/>
              </w:rPr>
              <w:t>％</w:t>
            </w:r>
          </w:p>
        </w:tc>
        <w:tc>
          <w:tcPr>
            <w:tcW w:w="613" w:type="dxa"/>
            <w:noWrap/>
            <w:vAlign w:val="center"/>
          </w:tcPr>
          <w:p w14:paraId="2C56429A">
            <w:pPr>
              <w:snapToGrid w:val="0"/>
              <w:jc w:val="center"/>
              <w:rPr>
                <w:rFonts w:hint="default" w:ascii="宋体" w:eastAsia="宋体" w:cs="宋体"/>
                <w:color w:val="000000"/>
                <w:sz w:val="21"/>
                <w:szCs w:val="22"/>
                <w:lang w:val="en-US" w:eastAsia="zh-CN"/>
              </w:rPr>
            </w:pPr>
            <w:r>
              <w:rPr>
                <w:rFonts w:hint="eastAsia" w:cs="宋体"/>
                <w:color w:val="000000"/>
                <w:sz w:val="21"/>
                <w:szCs w:val="22"/>
                <w:lang w:val="en-US" w:eastAsia="zh-CN"/>
              </w:rPr>
              <w:t>10</w:t>
            </w:r>
          </w:p>
        </w:tc>
        <w:tc>
          <w:tcPr>
            <w:tcW w:w="908" w:type="dxa"/>
            <w:noWrap/>
            <w:vAlign w:val="center"/>
          </w:tcPr>
          <w:p w14:paraId="49203C4B">
            <w:pPr>
              <w:snapToGrid w:val="0"/>
              <w:jc w:val="center"/>
              <w:rPr>
                <w:rFonts w:hint="default" w:ascii="宋体" w:eastAsia="宋体" w:cs="宋体"/>
                <w:color w:val="000000"/>
                <w:sz w:val="21"/>
                <w:szCs w:val="22"/>
                <w:lang w:val="en-US" w:eastAsia="zh-CN"/>
              </w:rPr>
            </w:pPr>
            <w:r>
              <w:rPr>
                <w:rFonts w:hint="eastAsia" w:ascii="宋体" w:eastAsia="宋体" w:cs="宋体"/>
                <w:color w:val="000000"/>
                <w:sz w:val="21"/>
                <w:szCs w:val="22"/>
                <w:lang w:val="en-US" w:eastAsia="zh-CN"/>
              </w:rPr>
              <w:t>95</w:t>
            </w:r>
          </w:p>
        </w:tc>
        <w:tc>
          <w:tcPr>
            <w:tcW w:w="579" w:type="dxa"/>
            <w:noWrap/>
            <w:vAlign w:val="center"/>
          </w:tcPr>
          <w:p w14:paraId="771D3112">
            <w:pPr>
              <w:snapToGrid w:val="0"/>
              <w:jc w:val="center"/>
              <w:rPr>
                <w:rFonts w:hint="default" w:ascii="宋体" w:eastAsia="宋体" w:cs="宋体"/>
                <w:color w:val="000000"/>
                <w:sz w:val="21"/>
                <w:szCs w:val="22"/>
                <w:lang w:val="en-US" w:eastAsia="zh-CN"/>
              </w:rPr>
            </w:pPr>
            <w:r>
              <w:rPr>
                <w:rFonts w:hint="eastAsia" w:cs="宋体"/>
                <w:color w:val="000000"/>
                <w:sz w:val="21"/>
                <w:szCs w:val="22"/>
                <w:lang w:val="en-US" w:eastAsia="zh-CN"/>
              </w:rPr>
              <w:t>10</w:t>
            </w:r>
          </w:p>
        </w:tc>
        <w:tc>
          <w:tcPr>
            <w:tcW w:w="897" w:type="dxa"/>
            <w:noWrap/>
            <w:vAlign w:val="center"/>
          </w:tcPr>
          <w:p w14:paraId="61DE1572">
            <w:pPr>
              <w:snapToGrid w:val="0"/>
              <w:jc w:val="center"/>
              <w:rPr>
                <w:rFonts w:hint="default" w:ascii="宋体" w:eastAsia="宋体" w:cs="宋体"/>
                <w:color w:val="000000"/>
                <w:sz w:val="21"/>
                <w:szCs w:val="22"/>
              </w:rPr>
            </w:pPr>
          </w:p>
        </w:tc>
        <w:tc>
          <w:tcPr>
            <w:tcW w:w="610" w:type="dxa"/>
            <w:vMerge w:val="continue"/>
            <w:noWrap/>
            <w:vAlign w:val="center"/>
          </w:tcPr>
          <w:p w14:paraId="20B4E92C">
            <w:pPr>
              <w:snapToGrid w:val="0"/>
              <w:jc w:val="center"/>
              <w:rPr>
                <w:rFonts w:hint="default" w:ascii="宋体" w:eastAsia="宋体" w:cs="宋体"/>
                <w:color w:val="000000"/>
                <w:sz w:val="21"/>
                <w:szCs w:val="22"/>
              </w:rPr>
            </w:pPr>
          </w:p>
        </w:tc>
      </w:tr>
    </w:tbl>
    <w:p w14:paraId="2580B577">
      <w:pPr>
        <w:pStyle w:val="12"/>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（二）单位重点绩效评价情况</w:t>
      </w:r>
    </w:p>
    <w:p w14:paraId="22E0DFAA">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我单位对</w:t>
      </w:r>
      <w:r>
        <w:rPr>
          <w:rFonts w:hint="eastAsia" w:ascii="Times New Roman" w:hAnsi="Times New Roman" w:eastAsia="方正仿宋_GBK" w:cs="方正仿宋_GBK"/>
          <w:sz w:val="32"/>
          <w:szCs w:val="32"/>
          <w:shd w:val="clear" w:color="auto" w:fill="FFFFFF"/>
          <w:lang w:val="en-US" w:eastAsia="zh-CN"/>
        </w:rPr>
        <w:t>2024年学前教育家庭经济困难幼儿资助专项经费</w:t>
      </w:r>
      <w:r>
        <w:rPr>
          <w:rFonts w:ascii="Times New Roman" w:hAnsi="Times New Roman" w:eastAsia="方正仿宋_GBK" w:cs="方正仿宋_GBK"/>
          <w:sz w:val="32"/>
          <w:szCs w:val="32"/>
          <w:shd w:val="clear" w:color="auto" w:fill="FFFFFF"/>
        </w:rPr>
        <w:t>开展了绩效评价，涉及财政拨款项目资金</w:t>
      </w:r>
      <w:r>
        <w:rPr>
          <w:rFonts w:hint="eastAsia" w:ascii="Times New Roman" w:hAnsi="Times New Roman" w:eastAsia="方正仿宋_GBK" w:cs="方正仿宋_GBK"/>
          <w:sz w:val="32"/>
          <w:szCs w:val="32"/>
          <w:shd w:val="clear" w:color="auto" w:fill="FFFFFF"/>
          <w:lang w:val="en-US" w:eastAsia="zh-CN"/>
        </w:rPr>
        <w:t>0.55</w:t>
      </w:r>
      <w:r>
        <w:rPr>
          <w:rFonts w:ascii="Times New Roman" w:hAnsi="Times New Roman" w:eastAsia="方正仿宋_GBK" w:cs="方正仿宋_GBK"/>
          <w:sz w:val="32"/>
          <w:szCs w:val="32"/>
          <w:shd w:val="clear" w:color="auto" w:fill="FFFFFF"/>
        </w:rPr>
        <w:t>万元，评价得分</w:t>
      </w:r>
      <w:r>
        <w:rPr>
          <w:rFonts w:hint="eastAsia" w:ascii="Times New Roman" w:hAnsi="Times New Roman" w:eastAsia="方正仿宋_GBK" w:cs="方正仿宋_GBK"/>
          <w:sz w:val="32"/>
          <w:szCs w:val="32"/>
          <w:shd w:val="clear" w:color="auto" w:fill="FFFFFF"/>
          <w:lang w:val="en-US" w:eastAsia="zh-CN"/>
        </w:rPr>
        <w:t>100</w:t>
      </w:r>
      <w:r>
        <w:rPr>
          <w:rFonts w:ascii="Times New Roman" w:hAnsi="Times New Roman" w:eastAsia="方正仿宋_GBK" w:cs="方正仿宋_GBK"/>
          <w:sz w:val="32"/>
          <w:szCs w:val="32"/>
          <w:shd w:val="clear" w:color="auto" w:fill="FFFFFF"/>
        </w:rPr>
        <w:t>分，评价等次为</w:t>
      </w:r>
      <w:r>
        <w:rPr>
          <w:rFonts w:hint="eastAsia" w:ascii="Times New Roman" w:hAnsi="Times New Roman" w:eastAsia="方正仿宋_GBK" w:cs="方正仿宋_GBK"/>
          <w:sz w:val="32"/>
          <w:szCs w:val="32"/>
          <w:shd w:val="clear" w:color="auto" w:fill="FFFFFF"/>
          <w:lang w:eastAsia="zh-CN"/>
        </w:rPr>
        <w:t>优</w:t>
      </w:r>
      <w:r>
        <w:rPr>
          <w:rFonts w:ascii="Times New Roman" w:hAnsi="Times New Roman" w:eastAsia="方正仿宋_GBK" w:cs="方正仿宋_GBK"/>
          <w:sz w:val="32"/>
          <w:szCs w:val="32"/>
          <w:shd w:val="clear" w:color="auto" w:fill="FFFFFF"/>
        </w:rPr>
        <w:t>，绩效评价</w:t>
      </w:r>
      <w:r>
        <w:rPr>
          <w:rFonts w:hint="eastAsia" w:ascii="Times New Roman" w:hAnsi="Times New Roman" w:eastAsia="方正仿宋_GBK" w:cs="方正仿宋_GBK"/>
          <w:sz w:val="32"/>
          <w:szCs w:val="32"/>
          <w:shd w:val="clear" w:color="auto" w:fill="FFFFFF"/>
          <w:lang w:eastAsia="zh-CN"/>
        </w:rPr>
        <w:t>未发现问题，财政资金均实行专项管理，专款专用。在项目实施过程中，严格按专项资金管理办法和各项财务管理制度执行，审批流程齐全、附件资料完整，资金使用无截留、挤占、挪用、虚列支出等情况。</w:t>
      </w:r>
    </w:p>
    <w:p w14:paraId="554E072C">
      <w:pPr>
        <w:pStyle w:val="12"/>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Style w:val="11"/>
          <w:rFonts w:hint="default"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（三）财政绩效评价情况</w:t>
      </w:r>
    </w:p>
    <w:p w14:paraId="3CCE8DAB">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财政</w:t>
      </w:r>
      <w:r>
        <w:rPr>
          <w:rFonts w:ascii="Times New Roman" w:hAnsi="Times New Roman" w:eastAsia="方正仿宋_GBK" w:cs="方正仿宋_GBK"/>
          <w:sz w:val="32"/>
          <w:szCs w:val="32"/>
          <w:shd w:val="clear" w:color="auto" w:fill="FFFFFF"/>
        </w:rPr>
        <w:t>重点绩效评价工作由区财政局统一公开。</w:t>
      </w:r>
    </w:p>
    <w:p w14:paraId="6B2546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黑体_GBK" w:cs="Times New Roman"/>
          <w:kern w:val="2"/>
          <w:sz w:val="32"/>
          <w:szCs w:val="32"/>
          <w:lang w:val="en-US" w:eastAsia="zh-Hans" w:bidi="ar-SA"/>
        </w:rPr>
      </w:pPr>
      <w:r>
        <w:rPr>
          <w:rFonts w:hint="eastAsia" w:ascii="Times New Roman" w:hAnsi="Times New Roman" w:eastAsia="方正黑体_GBK" w:cs="Times New Roman"/>
          <w:kern w:val="2"/>
          <w:sz w:val="32"/>
          <w:szCs w:val="32"/>
          <w:lang w:val="en-US" w:eastAsia="zh-Hans" w:bidi="ar-SA"/>
        </w:rPr>
        <w:t>六、专业名词解释</w:t>
      </w:r>
    </w:p>
    <w:p w14:paraId="4FB06926">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（一）财政拨款收入：</w:t>
      </w:r>
      <w:r>
        <w:rPr>
          <w:rFonts w:hint="eastAsia" w:ascii="Times New Roman" w:hAnsi="Times New Roman" w:eastAsia="方正仿宋_GBK" w:cs="方正仿宋_GBK"/>
          <w:sz w:val="32"/>
          <w:szCs w:val="32"/>
          <w:shd w:val="clear" w:color="auto" w:fill="FFFFFF"/>
        </w:rPr>
        <w:t>指本年度从本级财政单位取得的财政拨款，包括一般公共预算财政拨款和政府性基金预算财政拨款。</w:t>
      </w:r>
    </w:p>
    <w:p w14:paraId="0B1D81F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70481A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1423A5F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7B0201EB">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B82FBA5">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49648F4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5784FDA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30C035EC">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A1A98D">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724033F2">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5323047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EA3A0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F84D69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2A9E1AD6">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2A8C4497">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2E8E9D5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Times New Roman"/>
          <w:b w:val="0"/>
          <w:sz w:val="32"/>
          <w:szCs w:val="32"/>
          <w:lang w:val="en-US" w:eastAsia="zh-CN" w:bidi="ar-SA"/>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6A147B7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方正黑体_GBK" w:cs="Times New Roman"/>
          <w:kern w:val="2"/>
          <w:sz w:val="32"/>
          <w:szCs w:val="32"/>
          <w:lang w:val="en-US" w:eastAsia="zh-Hans" w:bidi="ar-SA"/>
        </w:rPr>
      </w:pPr>
      <w:r>
        <w:rPr>
          <w:rFonts w:hint="eastAsia" w:ascii="Times New Roman" w:hAnsi="Times New Roman" w:eastAsia="方正黑体_GBK" w:cs="Times New Roman"/>
          <w:kern w:val="2"/>
          <w:sz w:val="32"/>
          <w:szCs w:val="32"/>
          <w:lang w:val="en-US" w:eastAsia="zh-Hans" w:bidi="ar-SA"/>
        </w:rPr>
        <w:t>七、决算公开联系方式及信息反馈渠道</w:t>
      </w:r>
    </w:p>
    <w:p w14:paraId="6352372A">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本单位决算公开信息反馈和联系方式：023-61650597。</w:t>
      </w:r>
    </w:p>
    <w:p w14:paraId="52B31C6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方正仿宋_GBK"/>
          <w:sz w:val="32"/>
          <w:szCs w:val="32"/>
          <w:shd w:val="clear" w:color="auto" w:fill="FFFFFF"/>
        </w:rPr>
      </w:pPr>
    </w:p>
    <w:p w14:paraId="0185FDD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79E28C0E">
      <w:pPr>
        <w:keepNext w:val="0"/>
        <w:keepLines w:val="0"/>
        <w:pageBreakBefore w:val="0"/>
        <w:widowControl/>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2F47B8D1">
      <w:pPr>
        <w:keepNext w:val="0"/>
        <w:keepLines w:val="0"/>
        <w:pageBreakBefore w:val="0"/>
        <w:widowControl/>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366C6B13">
      <w:pPr>
        <w:keepNext w:val="0"/>
        <w:keepLines w:val="0"/>
        <w:pageBreakBefore w:val="0"/>
        <w:widowControl/>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689F41C1">
      <w:pPr>
        <w:keepNext w:val="0"/>
        <w:keepLines w:val="0"/>
        <w:pageBreakBefore w:val="0"/>
        <w:widowControl/>
        <w:kinsoku/>
        <w:wordWrap/>
        <w:overflowPunct/>
        <w:topLinePunct w:val="0"/>
        <w:autoSpaceDN/>
        <w:bidi w:val="0"/>
        <w:adjustRightInd w:val="0"/>
        <w:snapToGrid w:val="0"/>
        <w:spacing w:line="600" w:lineRule="exact"/>
        <w:ind w:firstLine="1600" w:firstLineChars="500"/>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07E9447B">
      <w:pPr>
        <w:keepNext w:val="0"/>
        <w:keepLines w:val="0"/>
        <w:pageBreakBefore w:val="0"/>
        <w:widowControl/>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3E4B4137">
      <w:pPr>
        <w:keepNext w:val="0"/>
        <w:keepLines w:val="0"/>
        <w:pageBreakBefore w:val="0"/>
        <w:widowControl/>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0B84E93C">
      <w:pPr>
        <w:keepNext w:val="0"/>
        <w:keepLines w:val="0"/>
        <w:pageBreakBefore w:val="0"/>
        <w:widowControl/>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1BE41BCC">
      <w:pPr>
        <w:pStyle w:val="12"/>
        <w:keepNext w:val="0"/>
        <w:keepLines w:val="0"/>
        <w:pageBreakBefore w:val="0"/>
        <w:widowControl/>
        <w:kinsoku/>
        <w:wordWrap/>
        <w:overflowPunct/>
        <w:topLinePunct w:val="0"/>
        <w:autoSpaceDE w:val="0"/>
        <w:autoSpaceDN/>
        <w:bidi w:val="0"/>
        <w:spacing w:line="596" w:lineRule="exact"/>
        <w:ind w:firstLine="1600" w:firstLineChars="500"/>
        <w:jc w:val="both"/>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9.机构运行信息表</w:t>
      </w:r>
    </w:p>
    <w:p w14:paraId="79271A1A">
      <w:pPr>
        <w:pStyle w:val="12"/>
        <w:keepNext w:val="0"/>
        <w:keepLines w:val="0"/>
        <w:pageBreakBefore w:val="0"/>
        <w:widowControl/>
        <w:kinsoku/>
        <w:wordWrap/>
        <w:overflowPunct/>
        <w:topLinePunct w:val="0"/>
        <w:autoSpaceDE w:val="0"/>
        <w:autoSpaceDN/>
        <w:bidi w:val="0"/>
        <w:spacing w:line="596" w:lineRule="exact"/>
        <w:ind w:firstLine="640" w:firstLineChars="200"/>
        <w:jc w:val="both"/>
        <w:textAlignment w:val="auto"/>
        <w:rPr>
          <w:rFonts w:ascii="方正仿宋_GBK" w:hAnsi="方正仿宋_GBK" w:eastAsia="方正仿宋_GBK" w:cs="方正仿宋_GBK"/>
          <w:sz w:val="32"/>
          <w:szCs w:val="32"/>
          <w:shd w:val="clear" w:color="auto" w:fill="FFFFFF"/>
        </w:rPr>
      </w:pPr>
    </w:p>
    <w:p w14:paraId="7852740C">
      <w:pPr>
        <w:pStyle w:val="12"/>
        <w:keepNext w:val="0"/>
        <w:keepLines w:val="0"/>
        <w:pageBreakBefore w:val="0"/>
        <w:widowControl/>
        <w:kinsoku/>
        <w:wordWrap/>
        <w:overflowPunct/>
        <w:topLinePunct w:val="0"/>
        <w:autoSpaceDE w:val="0"/>
        <w:autoSpaceDN/>
        <w:bidi w:val="0"/>
        <w:spacing w:line="596" w:lineRule="exact"/>
        <w:ind w:firstLine="643"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p w14:paraId="2F4B4BDE">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83706A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6C09D9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F5A01D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946336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511B2A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EF6CEC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4633CC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5C8384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3BA699F">
            <w:pPr>
              <w:spacing w:line="280" w:lineRule="exact"/>
              <w:rPr>
                <w:rFonts w:hint="default" w:ascii="Arial" w:hAnsi="Arial" w:cs="Arial"/>
                <w:color w:val="000000"/>
                <w:sz w:val="22"/>
                <w:szCs w:val="22"/>
              </w:rPr>
            </w:pPr>
            <w:r>
              <w:rPr>
                <w:rFonts w:cs="宋体"/>
                <w:sz w:val="20"/>
                <w:szCs w:val="20"/>
              </w:rPr>
              <w:t>单位：</w:t>
            </w:r>
            <w:r>
              <w:rPr>
                <w:sz w:val="20"/>
              </w:rPr>
              <w:t>重庆市九龙坡区铜罐驿实验学校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B751FB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89E73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45DC4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285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F3DAB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00BB4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6DA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684C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1A03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6AEB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36FAA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FE8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023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1,579.87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CD63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AA5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2850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BD4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EA2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9359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ED5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E9E0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683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45D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27AE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942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9CC1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3E4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E33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61E2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25C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3851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D38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90E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09F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24B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1,347.43</w:t>
            </w:r>
            <w:r>
              <w:rPr>
                <w:rFonts w:ascii="Times New Roman" w:hAnsi="Times New Roman"/>
                <w:color w:val="000000"/>
                <w:sz w:val="20"/>
              </w:rPr>
              <w:t xml:space="preserve"> </w:t>
            </w:r>
          </w:p>
        </w:tc>
      </w:tr>
      <w:tr w14:paraId="0D25EC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FE4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F0F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483B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2EA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7F2F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13E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0EE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68FB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514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7484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C9F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CC213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C295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BDE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145.80</w:t>
            </w:r>
            <w:r>
              <w:rPr>
                <w:rFonts w:ascii="Times New Roman" w:hAnsi="Times New Roman"/>
                <w:color w:val="000000"/>
                <w:sz w:val="20"/>
              </w:rPr>
              <w:t xml:space="preserve"> </w:t>
            </w:r>
          </w:p>
        </w:tc>
      </w:tr>
      <w:tr w14:paraId="0EC1D3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C4C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3AB2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2C46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A0D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72.87</w:t>
            </w:r>
            <w:r>
              <w:rPr>
                <w:rFonts w:ascii="Times New Roman" w:hAnsi="Times New Roman"/>
                <w:color w:val="000000"/>
                <w:sz w:val="20"/>
              </w:rPr>
              <w:t xml:space="preserve"> </w:t>
            </w:r>
          </w:p>
        </w:tc>
      </w:tr>
      <w:tr w14:paraId="45F5E1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E99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801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69E2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E43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ED6C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448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7F98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323B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62E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12FB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C67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688CE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BC31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0EF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FDE1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81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08B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57C4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77F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DB4E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8AC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044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CB51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93E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98A0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B3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3AD7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5EDC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F20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23CB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D7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6581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0A74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F7C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3F80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FA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4E3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9F12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F30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C14D5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721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791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DDC8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212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322C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F3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0A1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BE20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697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67.97</w:t>
            </w:r>
            <w:r>
              <w:rPr>
                <w:rFonts w:ascii="Times New Roman" w:hAnsi="Times New Roman"/>
                <w:color w:val="000000"/>
                <w:sz w:val="20"/>
              </w:rPr>
              <w:t xml:space="preserve"> </w:t>
            </w:r>
          </w:p>
        </w:tc>
      </w:tr>
      <w:tr w14:paraId="0770AB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51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8A9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940C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0E7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32CD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E8E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9EE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2FB7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E86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BA0D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F6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93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49A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FD8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4D3B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040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9D7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88D1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9E0F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46103A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7B6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4BA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635B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CF6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54D6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C0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CAD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E59F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151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4280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9EC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34C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6FE6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7A8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22C4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B54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8AE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1,636.07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1882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808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1,636.07</w:t>
            </w:r>
            <w:r>
              <w:rPr>
                <w:rFonts w:ascii="Times New Roman" w:hAnsi="Times New Roman"/>
                <w:color w:val="000000"/>
                <w:sz w:val="20"/>
              </w:rPr>
              <w:t xml:space="preserve"> </w:t>
            </w:r>
          </w:p>
        </w:tc>
      </w:tr>
      <w:tr w14:paraId="7584DE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1EF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EDA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B459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307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5012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3DC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FA2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2E3F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2AFE6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30225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2F6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75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1,636.07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AEB682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156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1,636.07</w:t>
            </w:r>
            <w:r>
              <w:rPr>
                <w:rFonts w:ascii="Times New Roman" w:hAnsi="Times New Roman"/>
                <w:color w:val="000000"/>
                <w:sz w:val="20"/>
              </w:rPr>
              <w:t xml:space="preserve"> </w:t>
            </w:r>
          </w:p>
        </w:tc>
      </w:tr>
    </w:tbl>
    <w:p w14:paraId="666FFF0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9212A12">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B79DC8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736F8FA">
            <w:pPr>
              <w:jc w:val="center"/>
              <w:textAlignment w:val="bottom"/>
              <w:rPr>
                <w:rFonts w:hint="default" w:cs="宋体"/>
                <w:b/>
                <w:color w:val="000000"/>
                <w:sz w:val="32"/>
                <w:szCs w:val="32"/>
              </w:rPr>
            </w:pPr>
            <w:r>
              <w:rPr>
                <w:rFonts w:cs="宋体"/>
                <w:b/>
                <w:color w:val="000000"/>
                <w:sz w:val="32"/>
                <w:szCs w:val="32"/>
              </w:rPr>
              <w:t>收入决算表</w:t>
            </w:r>
          </w:p>
        </w:tc>
      </w:tr>
      <w:tr w14:paraId="2154806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FF4C107">
            <w:pPr>
              <w:spacing w:line="280" w:lineRule="exact"/>
              <w:rPr>
                <w:rFonts w:hint="default" w:cs="宋体"/>
                <w:color w:val="000000"/>
                <w:sz w:val="20"/>
                <w:szCs w:val="20"/>
              </w:rPr>
            </w:pPr>
            <w:r>
              <w:rPr>
                <w:rFonts w:cs="宋体"/>
                <w:sz w:val="20"/>
                <w:szCs w:val="20"/>
              </w:rPr>
              <w:t>单位：</w:t>
            </w:r>
            <w:r>
              <w:rPr>
                <w:sz w:val="20"/>
              </w:rPr>
              <w:t>重庆市九龙坡区铜罐驿实验学校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410F696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C1A6FF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64FC5C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76F883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4ADAE7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AAAB85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6264F1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53B47D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6AD9E04">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26021A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90EFF1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7A2486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EFFFE0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A54A27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4086B5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F7DBDF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B556D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328FFEC">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4FFE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D29E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68C1">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7924D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8C94B">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3E8B">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C4B23">
            <w:pPr>
              <w:jc w:val="center"/>
              <w:textAlignment w:val="center"/>
              <w:rPr>
                <w:rFonts w:hint="default" w:cs="宋体"/>
                <w:b/>
                <w:color w:val="000000"/>
                <w:sz w:val="20"/>
                <w:szCs w:val="20"/>
              </w:rPr>
            </w:pPr>
            <w:r>
              <w:rPr>
                <w:rFonts w:cs="宋体"/>
                <w:b/>
                <w:color w:val="000000"/>
                <w:sz w:val="20"/>
                <w:szCs w:val="20"/>
              </w:rPr>
              <w:t>其他收入</w:t>
            </w:r>
          </w:p>
        </w:tc>
      </w:tr>
      <w:tr w14:paraId="47B2398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75F3">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7CD49E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21F2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1827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0AF2">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5FF3">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A47C">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FEE6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09A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B6F07">
            <w:pPr>
              <w:jc w:val="center"/>
              <w:rPr>
                <w:rFonts w:hint="default" w:cs="宋体"/>
                <w:b/>
                <w:color w:val="000000"/>
                <w:sz w:val="20"/>
                <w:szCs w:val="20"/>
              </w:rPr>
            </w:pPr>
          </w:p>
        </w:tc>
      </w:tr>
      <w:tr w14:paraId="25415B2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CA1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5B23F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B43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D6DD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09AC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914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5169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5D2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9D6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DF52">
            <w:pPr>
              <w:jc w:val="center"/>
              <w:rPr>
                <w:rFonts w:hint="default" w:cs="宋体"/>
                <w:b/>
                <w:color w:val="000000"/>
                <w:sz w:val="20"/>
                <w:szCs w:val="20"/>
              </w:rPr>
            </w:pPr>
          </w:p>
        </w:tc>
      </w:tr>
      <w:tr w14:paraId="4A67A2D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3B3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D1533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9AF1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38BE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EAB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1DEC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DA5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61F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447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2D41">
            <w:pPr>
              <w:jc w:val="center"/>
              <w:rPr>
                <w:rFonts w:hint="default" w:cs="宋体"/>
                <w:b/>
                <w:color w:val="000000"/>
                <w:sz w:val="20"/>
                <w:szCs w:val="20"/>
              </w:rPr>
            </w:pPr>
          </w:p>
        </w:tc>
      </w:tr>
      <w:tr w14:paraId="73D687B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206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F5D8A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81C2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693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5FD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430C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F7B5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BC5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5C2F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E6E47">
            <w:pPr>
              <w:jc w:val="center"/>
              <w:rPr>
                <w:rFonts w:hint="default" w:cs="宋体"/>
                <w:b/>
                <w:color w:val="000000"/>
                <w:sz w:val="20"/>
                <w:szCs w:val="20"/>
              </w:rPr>
            </w:pPr>
          </w:p>
        </w:tc>
      </w:tr>
      <w:tr w14:paraId="7766AAB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D23B">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C7E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1,636.07</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24F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1,581.87</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786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DAC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54.20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C96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54.20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E26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40F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55D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3C716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4098">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AA099">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D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8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9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A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D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2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1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1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171D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0D4A">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8CD33">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C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3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0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A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0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6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1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2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7C2A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BB5F">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6F8C5">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D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E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1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8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4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F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2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1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2A9F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0719">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CD6AF">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6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7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1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8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E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D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2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5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438B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99A4">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D9902">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4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1,223.32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F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1,223.32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F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0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C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5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1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6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209D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805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701F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A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C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5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E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7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2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7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1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5103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35D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EB80A">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B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A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F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7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B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4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0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7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DAC2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2CCF">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0591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6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A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5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C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3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6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1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1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912F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4F06">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55A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6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9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1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6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D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8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6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4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77B1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F82C">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CC820">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0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B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E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D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9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F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1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6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3E69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519A">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1E72">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4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8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3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A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1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E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3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1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63A0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0F5F">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E3A8B">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3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7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2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7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0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E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A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5E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6D56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0B5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3A60E">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8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D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1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7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0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D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A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1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92AF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B55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D8631">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2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D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7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E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4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4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8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7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D452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5D7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48ABA">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4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B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A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E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C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D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9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4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0FCF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CEFD">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BAB5">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E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A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B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4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9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4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9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0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36CB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8E0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2F67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3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2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5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F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1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7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D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B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2F9D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3AC0">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02E53">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E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0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9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3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0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5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F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0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FBC1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7D90">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E456">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3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4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7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8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9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F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9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8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6CAA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A936">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0B12B">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1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1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5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C9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2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7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8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2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1054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D77E">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6805B">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C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9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8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3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F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C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D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D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328D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9298">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6C54">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9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2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6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A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7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8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9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9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98F7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BEE2">
            <w:pPr>
              <w:textAlignment w:val="center"/>
              <w:rPr>
                <w:rFonts w:hint="default" w:cs="宋体"/>
                <w:color w:val="000000"/>
                <w:sz w:val="20"/>
                <w:szCs w:val="20"/>
              </w:rPr>
            </w:pPr>
            <w:r>
              <w:rPr>
                <w:rFonts w:cs="宋体"/>
                <w:color w:val="000000"/>
                <w:sz w:val="20"/>
                <w:szCs w:val="20"/>
              </w:rPr>
              <w:t>2296004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7AD83">
            <w:pPr>
              <w:textAlignment w:val="center"/>
              <w:rPr>
                <w:rFonts w:hint="default" w:cs="宋体"/>
                <w:color w:val="000000"/>
                <w:sz w:val="20"/>
                <w:szCs w:val="20"/>
              </w:rPr>
            </w:pPr>
            <w:r>
              <w:rPr>
                <w:rFonts w:cs="宋体"/>
                <w:color w:val="000000"/>
                <w:sz w:val="20"/>
                <w:szCs w:val="20"/>
              </w:rPr>
              <w:t>用于教育事业的彩票公益金支出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1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D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4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0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A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3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98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1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A8F7096">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4236B57">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0F616BD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17E89A2">
            <w:pPr>
              <w:jc w:val="center"/>
              <w:textAlignment w:val="bottom"/>
              <w:rPr>
                <w:rFonts w:hint="default" w:cs="宋体"/>
                <w:b/>
                <w:color w:val="000000"/>
                <w:sz w:val="32"/>
                <w:szCs w:val="32"/>
              </w:rPr>
            </w:pPr>
            <w:r>
              <w:rPr>
                <w:rFonts w:cs="宋体"/>
                <w:b/>
                <w:color w:val="000000"/>
                <w:sz w:val="32"/>
                <w:szCs w:val="32"/>
              </w:rPr>
              <w:t>支出决算表</w:t>
            </w:r>
          </w:p>
        </w:tc>
      </w:tr>
      <w:tr w14:paraId="3998F53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ECD297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重庆市九龙坡区铜罐驿实验学校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9927C5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3B2135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F49628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0876ED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B85B36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6165235">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3D4AAF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6DFDB6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F6339E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31B05B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FF61ED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ECDD45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2971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55367E">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D7DC">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A905">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E30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979A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5CFF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C8EE">
            <w:pPr>
              <w:jc w:val="center"/>
              <w:textAlignment w:val="center"/>
              <w:rPr>
                <w:rFonts w:hint="default" w:cs="宋体"/>
                <w:b/>
                <w:color w:val="000000"/>
                <w:sz w:val="20"/>
                <w:szCs w:val="20"/>
              </w:rPr>
            </w:pPr>
            <w:r>
              <w:rPr>
                <w:rFonts w:cs="宋体"/>
                <w:b/>
                <w:color w:val="000000"/>
                <w:sz w:val="20"/>
                <w:szCs w:val="20"/>
              </w:rPr>
              <w:t>对附属单位补助支出</w:t>
            </w:r>
          </w:p>
        </w:tc>
      </w:tr>
      <w:tr w14:paraId="7D59F12A">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10B3">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FB772F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23C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D8F3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9556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A18E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D7D0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490F">
            <w:pPr>
              <w:jc w:val="center"/>
              <w:rPr>
                <w:rFonts w:hint="default" w:cs="宋体"/>
                <w:b/>
                <w:color w:val="000000"/>
                <w:sz w:val="20"/>
                <w:szCs w:val="20"/>
              </w:rPr>
            </w:pPr>
          </w:p>
        </w:tc>
      </w:tr>
      <w:tr w14:paraId="1A38B0C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679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32867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6D0B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06A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772C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2425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333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BE65">
            <w:pPr>
              <w:jc w:val="center"/>
              <w:rPr>
                <w:rFonts w:hint="default" w:cs="宋体"/>
                <w:b/>
                <w:color w:val="000000"/>
                <w:sz w:val="20"/>
                <w:szCs w:val="20"/>
              </w:rPr>
            </w:pPr>
          </w:p>
        </w:tc>
      </w:tr>
      <w:tr w14:paraId="02F3118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E4C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BAD27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B067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025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F0D3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DEF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A455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C483F">
            <w:pPr>
              <w:jc w:val="center"/>
              <w:rPr>
                <w:rFonts w:hint="default" w:cs="宋体"/>
                <w:b/>
                <w:color w:val="000000"/>
                <w:sz w:val="20"/>
                <w:szCs w:val="20"/>
              </w:rPr>
            </w:pPr>
          </w:p>
        </w:tc>
      </w:tr>
      <w:tr w14:paraId="08B364B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531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16A68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C84F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1AED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031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479C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9F74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55C7">
            <w:pPr>
              <w:jc w:val="center"/>
              <w:rPr>
                <w:rFonts w:hint="default" w:cs="宋体"/>
                <w:b/>
                <w:color w:val="000000"/>
                <w:sz w:val="20"/>
                <w:szCs w:val="20"/>
              </w:rPr>
            </w:pPr>
          </w:p>
        </w:tc>
      </w:tr>
      <w:tr w14:paraId="55A2A19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1CED">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76D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1,636.07</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963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1,495.74</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C92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140.33</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FA8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E96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C2F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59EBF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02EA">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CBAC4">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7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5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C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B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D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3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8B0F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B410">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814CD">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C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3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5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F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C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3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5EE9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1D8D">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26FDF">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8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2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9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6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A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D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682F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7700">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3E63F">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4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0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2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A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3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2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5B55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4EF8">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9CB78">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D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1,223.32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7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1,191.93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D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F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D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C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412C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782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A9564">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7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6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C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D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F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A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D63F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3BC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7CF1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C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E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123.86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2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C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E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D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1AAF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C5B9">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4A31A">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2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F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7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4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7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9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643E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0CD7">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9171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8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9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5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1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E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E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3F56F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EA67">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E7C68">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4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3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7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9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F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E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EEB2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8B10">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4EE7F">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E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9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C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B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C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1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B796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C8A3">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A1547">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A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F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D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5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0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4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CD72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361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8E4E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7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E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6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3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5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7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B4AA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0B3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D262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D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6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6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7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8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4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DCE3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C050">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8F5FE">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8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2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A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E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2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B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9437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0BF6">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12122">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D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1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6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7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2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F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9766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6497">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3CA15">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8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C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7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B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C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6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39FB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52DA">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BFF6D">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9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A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C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B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4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3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5047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D15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1BE0">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F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F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2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4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1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F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A3EA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129D">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5B86A">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D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3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A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4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A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D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C619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6FE3">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1611D">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8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2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6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4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2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1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C1CD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D90B">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68CFD">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2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0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E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7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B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C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D67D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6650">
            <w:pPr>
              <w:textAlignment w:val="center"/>
              <w:rPr>
                <w:rFonts w:hint="default" w:cs="宋体"/>
                <w:color w:val="000000"/>
                <w:sz w:val="20"/>
                <w:szCs w:val="20"/>
              </w:rPr>
            </w:pPr>
            <w:r>
              <w:rPr>
                <w:rFonts w:cs="宋体"/>
                <w:color w:val="000000"/>
                <w:sz w:val="20"/>
                <w:szCs w:val="20"/>
              </w:rPr>
              <w:t>2296004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9194">
            <w:pPr>
              <w:textAlignment w:val="center"/>
              <w:rPr>
                <w:rFonts w:hint="default" w:cs="宋体"/>
                <w:color w:val="000000"/>
                <w:sz w:val="20"/>
                <w:szCs w:val="20"/>
              </w:rPr>
            </w:pPr>
            <w:r>
              <w:rPr>
                <w:rFonts w:cs="宋体"/>
                <w:color w:val="000000"/>
                <w:sz w:val="20"/>
                <w:szCs w:val="20"/>
              </w:rPr>
              <w:t>用于教育事业的彩票公益金支出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0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2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9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E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A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7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A41E82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64CEE02">
      <w:pPr>
        <w:rPr>
          <w:rFonts w:hint="default" w:cs="宋体"/>
          <w:sz w:val="21"/>
          <w:szCs w:val="21"/>
        </w:rPr>
      </w:pPr>
      <w:r>
        <w:rPr>
          <w:rFonts w:cs="宋体"/>
          <w:sz w:val="21"/>
          <w:szCs w:val="21"/>
        </w:rPr>
        <w:br w:type="page"/>
      </w:r>
    </w:p>
    <w:p w14:paraId="3F0F672C">
      <w:pPr>
        <w:rPr>
          <w:rFonts w:hint="default" w:cs="宋体"/>
          <w:sz w:val="21"/>
          <w:szCs w:val="21"/>
        </w:rPr>
      </w:pP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00A3390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50D840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7361A0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A7918C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重庆市九龙坡区铜罐驿实验学校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0193F71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6C4EB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870ED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E02096C">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79C835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03C88B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68C89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34483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6EDB2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B6F2A07">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F623D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2A4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6D8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A8B28D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DFDE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045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6AC3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04F2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69137A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57F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7C3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4082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98B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51BD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3F81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30D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E39B8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028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9E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1,579.87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ECC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24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08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8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B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A3A5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478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F7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17A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B2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53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7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C1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AC80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D8C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59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243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D4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5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E8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9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0CA3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8A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D5472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073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7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4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D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A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534F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86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FBD7D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D02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2C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0E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D7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2B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6AAB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6C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8EDE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516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E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25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5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59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6026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C7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78D04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E94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6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CE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69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4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6C39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D9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76FD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F5A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EF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D6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49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7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3B20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05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B213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F25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CE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97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5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F0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4926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50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85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A7A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A4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5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F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2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6762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79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6A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69E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3D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C9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D5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B4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5127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2D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86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B9C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6C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DA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7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98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B961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73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57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3CF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A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D0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FA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52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40C2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FC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E6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110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19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2A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13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1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5765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3D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00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1EF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4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7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D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67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945E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35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8F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61F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A3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8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7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0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9F30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57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9B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814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8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F7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B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4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2EC1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358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AA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800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78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6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AF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1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1FA0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89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91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666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BE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B7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82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F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4582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8B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86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C55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C4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8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A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1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472D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AA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03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12C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5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7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80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BC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18C6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FC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21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C66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C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8E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3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1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C73B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EA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E5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359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CF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40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B0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1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9682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786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D3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FD4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0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B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01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7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2463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47D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5C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8C7C">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1E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CD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F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10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1BA9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0EBF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5D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464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5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4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9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D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237D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5C1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29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1,581.87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EC6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94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C0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F6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0F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F6C0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116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F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6B3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2E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F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B7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1F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87FB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878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6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7E1B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420DC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3C08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D002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C391FF">
            <w:pPr>
              <w:spacing w:line="200" w:lineRule="exact"/>
              <w:rPr>
                <w:rFonts w:hint="default" w:ascii="Times New Roman" w:hAnsi="Times New Roman"/>
                <w:color w:val="000000"/>
                <w:sz w:val="18"/>
                <w:szCs w:val="18"/>
              </w:rPr>
            </w:pPr>
          </w:p>
        </w:tc>
      </w:tr>
      <w:tr w14:paraId="0F569F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C71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47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A4A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6F3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DCA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DF4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6FDA">
            <w:pPr>
              <w:spacing w:line="200" w:lineRule="exact"/>
              <w:jc w:val="right"/>
              <w:rPr>
                <w:rFonts w:hint="default" w:ascii="Times New Roman" w:hAnsi="Times New Roman"/>
                <w:color w:val="000000"/>
                <w:sz w:val="18"/>
                <w:szCs w:val="18"/>
              </w:rPr>
            </w:pPr>
          </w:p>
        </w:tc>
      </w:tr>
      <w:tr w14:paraId="651D90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020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8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D78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FE2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957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5C6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FE0D">
            <w:pPr>
              <w:spacing w:line="200" w:lineRule="exact"/>
              <w:jc w:val="right"/>
              <w:rPr>
                <w:rFonts w:hint="default" w:ascii="Times New Roman" w:hAnsi="Times New Roman"/>
                <w:color w:val="000000"/>
                <w:sz w:val="18"/>
                <w:szCs w:val="18"/>
              </w:rPr>
            </w:pPr>
          </w:p>
        </w:tc>
      </w:tr>
      <w:tr w14:paraId="43CC54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E81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60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1,581.87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8A9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95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A3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0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CA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FC4EDA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7F7C9C3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476538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90C370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CD7BF3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重庆市九龙坡区铜罐驿实验学校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1B752C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104985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F57445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EC1D76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20EE25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F63629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61EFB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F2F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F91BE8">
            <w:pPr>
              <w:jc w:val="center"/>
              <w:textAlignment w:val="center"/>
              <w:rPr>
                <w:rFonts w:hint="default" w:cs="宋体"/>
                <w:b/>
                <w:color w:val="000000"/>
                <w:sz w:val="20"/>
                <w:szCs w:val="20"/>
              </w:rPr>
            </w:pPr>
            <w:r>
              <w:rPr>
                <w:rFonts w:cs="宋体"/>
                <w:b/>
                <w:color w:val="000000"/>
                <w:sz w:val="20"/>
                <w:szCs w:val="20"/>
              </w:rPr>
              <w:t>本年支出</w:t>
            </w:r>
          </w:p>
        </w:tc>
      </w:tr>
      <w:tr w14:paraId="0E853C0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705C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33AD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D233C">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3FD3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96F82">
            <w:pPr>
              <w:jc w:val="center"/>
              <w:textAlignment w:val="center"/>
              <w:rPr>
                <w:rFonts w:hint="default" w:cs="宋体"/>
                <w:b/>
                <w:color w:val="000000"/>
                <w:sz w:val="20"/>
                <w:szCs w:val="20"/>
              </w:rPr>
            </w:pPr>
            <w:r>
              <w:rPr>
                <w:rFonts w:cs="宋体"/>
                <w:b/>
                <w:color w:val="000000"/>
                <w:sz w:val="20"/>
                <w:szCs w:val="20"/>
              </w:rPr>
              <w:t>项目支出</w:t>
            </w:r>
          </w:p>
        </w:tc>
      </w:tr>
      <w:tr w14:paraId="78EFCDF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FF7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046A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10C9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6179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AD2AD">
            <w:pPr>
              <w:jc w:val="center"/>
              <w:rPr>
                <w:rFonts w:hint="default" w:cs="宋体"/>
                <w:b/>
                <w:color w:val="000000"/>
                <w:sz w:val="20"/>
                <w:szCs w:val="20"/>
              </w:rPr>
            </w:pPr>
          </w:p>
        </w:tc>
      </w:tr>
      <w:tr w14:paraId="2DE480B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ABD6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E700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DD83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FF94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5DD1C">
            <w:pPr>
              <w:jc w:val="center"/>
              <w:rPr>
                <w:rFonts w:hint="default" w:cs="宋体"/>
                <w:b/>
                <w:color w:val="000000"/>
                <w:sz w:val="20"/>
                <w:szCs w:val="20"/>
              </w:rPr>
            </w:pPr>
          </w:p>
        </w:tc>
      </w:tr>
      <w:tr w14:paraId="3CE25CEE">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CF5D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E71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1,579.87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956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1,495.74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6E5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84.13</w:t>
            </w:r>
            <w:r>
              <w:rPr>
                <w:rFonts w:ascii="Times New Roman" w:hAnsi="Times New Roman"/>
                <w:b/>
                <w:color w:val="000000"/>
                <w:sz w:val="20"/>
              </w:rPr>
              <w:t xml:space="preserve"> </w:t>
            </w:r>
          </w:p>
        </w:tc>
      </w:tr>
      <w:tr w14:paraId="56B2B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FF37">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35AE3">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B64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540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1,209.10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4E3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84.13</w:t>
            </w:r>
            <w:r>
              <w:rPr>
                <w:rFonts w:ascii="Times New Roman" w:hAnsi="Times New Roman"/>
                <w:b/>
                <w:color w:val="000000"/>
                <w:sz w:val="20"/>
              </w:rPr>
              <w:t xml:space="preserve"> </w:t>
            </w:r>
          </w:p>
        </w:tc>
      </w:tr>
      <w:tr w14:paraId="067428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E9BB">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E6376">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382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8BC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1,209.10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90A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84.13</w:t>
            </w:r>
            <w:r>
              <w:rPr>
                <w:rFonts w:ascii="Times New Roman" w:hAnsi="Times New Roman"/>
                <w:b/>
                <w:color w:val="000000"/>
                <w:sz w:val="20"/>
              </w:rPr>
              <w:t xml:space="preserve"> </w:t>
            </w:r>
          </w:p>
        </w:tc>
      </w:tr>
      <w:tr w14:paraId="57843F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B387">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0DCD6">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A43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171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E38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r>
      <w:tr w14:paraId="1B426F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707F">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B6CA">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61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72C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603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37.96</w:t>
            </w:r>
            <w:r>
              <w:rPr>
                <w:rFonts w:ascii="Times New Roman" w:hAnsi="Times New Roman"/>
                <w:color w:val="000000"/>
                <w:sz w:val="20"/>
              </w:rPr>
              <w:t xml:space="preserve"> </w:t>
            </w:r>
          </w:p>
        </w:tc>
      </w:tr>
      <w:tr w14:paraId="470A92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40A4">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CB850">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9C9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BCA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1,191.93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92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31.39</w:t>
            </w:r>
            <w:r>
              <w:rPr>
                <w:rFonts w:ascii="Times New Roman" w:hAnsi="Times New Roman"/>
                <w:color w:val="000000"/>
                <w:sz w:val="20"/>
              </w:rPr>
              <w:t xml:space="preserve"> </w:t>
            </w:r>
          </w:p>
        </w:tc>
      </w:tr>
      <w:tr w14:paraId="01F8D6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67C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908B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C9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26A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C25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CFE1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CA58">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7E83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A4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AB9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55B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B61B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84A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10BD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D5E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8B8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DC5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3496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E92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FDFF">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3E5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BA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A63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9167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B7E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D422">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AD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DCD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4D3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7E4D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5997">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FFA91">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9A1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BD6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753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D276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C17F">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D84C7">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FD0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9A8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E9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4FBF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EC9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F3B9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A2E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C6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951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AD57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9B0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912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03E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27F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95C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1B35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98B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1F64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5B9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81F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02D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BE2B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462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C278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215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08B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34D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8606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396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F59A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18E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DD5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A4B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68FE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4C1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6022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1C9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5F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A8D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AB46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B29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C3E3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BEB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E25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A8A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E863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2231">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59B39">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1D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E65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26D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C13000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630896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55252B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2B5662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364223A">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重庆市九龙坡区铜罐驿实验学校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9ABAA50">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6542B55">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CAD5E2">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ED8612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C95CC23">
        <w:tblPrEx>
          <w:tblCellMar>
            <w:top w:w="0" w:type="dxa"/>
            <w:left w:w="0" w:type="dxa"/>
            <w:bottom w:w="0" w:type="dxa"/>
            <w:right w:w="0" w:type="dxa"/>
          </w:tblCellMar>
        </w:tblPrEx>
        <w:trPr>
          <w:trHeight w:val="213"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0560A20">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E67C4CA">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CD4CB91">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9EB13C">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8EB6E6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07492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7096">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402E32">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9C7464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6B05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0A6A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D297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6DA4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BC2C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DCA9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71BF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A05B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CC73E">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07C2F8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7ABE5">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2DD17">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43BD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32701">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FAA84">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B9DC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C522">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FDEA1">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F4B66">
            <w:pPr>
              <w:spacing w:line="192" w:lineRule="exact"/>
              <w:jc w:val="center"/>
              <w:rPr>
                <w:rFonts w:hint="default" w:cs="宋体"/>
                <w:b/>
                <w:color w:val="000000"/>
                <w:sz w:val="18"/>
                <w:szCs w:val="18"/>
              </w:rPr>
            </w:pPr>
          </w:p>
        </w:tc>
      </w:tr>
      <w:tr w14:paraId="1E1F1B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66E1">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B7C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9B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5643">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0E5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37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74A6">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31B7">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57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r>
      <w:tr w14:paraId="68D09A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54D0">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822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CF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8C9D">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8962">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BB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1469">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7055">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E3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B1C2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36BB">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6FE3">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96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226B">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3A6C">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A1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3BE2">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DD98">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E4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r>
      <w:tr w14:paraId="15D14A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E109">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5001">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6F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DE51">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FD45">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D4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2A3A">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6D78">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22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1FA1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33FE">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EF19">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71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0A0EC">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D8CD">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15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49EA">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80B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5C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1251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18A5">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1A15">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2E9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2327">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1DAB">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24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907D">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E767">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98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402F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97D9">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002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12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8099">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97E6">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02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3D5D">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89BF">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93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F453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2E8D">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0963">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BF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075D">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6507">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CF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5849">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E575">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A9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5EFF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2F06">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089A">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78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884D">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9A7D">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31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0158">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B6A4">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9F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9FF6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D63C">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7C11">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DE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5B02">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8BB6">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3F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2B22">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DCF2">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B6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2F5D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A509">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57E8">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0E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BAB1">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D20A">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C2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A236">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76EF">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0F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D30C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30DA">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4617">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88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0553">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F4FE">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69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2D33">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0A85">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A7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1839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B7E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EFF7">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41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7B3E">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33BE">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57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A29B">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5944">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D8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B862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3FF9">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B71E">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A6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FB79">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A80D">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68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B50B">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AA2A">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A2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F5AC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51EE">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2136">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DF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998F">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8932">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F8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C1FB">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036C">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D4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3BA2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ED99">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4536">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6F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50A0">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34EA">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7D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C3AE">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59D6">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AD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9006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47EF">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0AC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6E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AEBC">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889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7D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DF7A">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EACB">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B5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4D2E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7496">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CDB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C1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842D">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7BC0">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9A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19D9">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EABE">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3E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D999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DDCD">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CFB0">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BD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1A75">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F570">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DD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D2B9">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EBAC">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FD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E39A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CFF4">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E128">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3F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0A1D">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D242">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37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39FA">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84AC">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25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0F18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FCA8">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7A86">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76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0278">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186B">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F3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839E">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D93E">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27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96DA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C5D0">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AE08">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73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4B7F">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E7AF">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88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183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0C50">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AD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8C8F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2C33">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B910">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19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326E">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D4C4">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AA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4469">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E71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26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82FF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A3D6">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9434">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08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6983">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09F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A3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E525">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B229">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6D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25A7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FDD0">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D82E">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73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B7E6">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0CDA">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53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C4E2">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C879">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7C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C6C7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9BF8">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B104">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4D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CF1A">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BCFC">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5D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88C8">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5D07">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F7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8955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0D45">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22EC">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5B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B808">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901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02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EB83">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DEEA">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2F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E298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2BE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9A3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1DB42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F337">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7D04">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02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FC36">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8747">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7D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CF5F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684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5E8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F4D9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8F6F">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17B9">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87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D138">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82AB">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BC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F681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F50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ABB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96C12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81A1">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C0A8">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20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71E5">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6880">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22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32FD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F1E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7A0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0DF4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516F">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1D69">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14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D2F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D503">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FFEF">
            <w:pPr>
              <w:spacing w:line="192" w:lineRule="exact"/>
              <w:jc w:val="right"/>
              <w:rPr>
                <w:rFonts w:hint="default" w:ascii="Times New Roman" w:hAnsi="Times New Roman"/>
                <w:color w:val="000000"/>
                <w:sz w:val="18"/>
                <w:szCs w:val="18"/>
              </w:rPr>
            </w:pPr>
          </w:p>
        </w:tc>
      </w:tr>
      <w:tr w14:paraId="26CF53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ED9E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52B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8681E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18EC">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1F72">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75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5F71">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A7C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1E53">
            <w:pPr>
              <w:spacing w:line="192" w:lineRule="exact"/>
              <w:jc w:val="right"/>
              <w:rPr>
                <w:rFonts w:hint="default" w:ascii="Times New Roman" w:hAnsi="Times New Roman"/>
                <w:color w:val="000000"/>
                <w:sz w:val="18"/>
                <w:szCs w:val="18"/>
              </w:rPr>
            </w:pPr>
          </w:p>
        </w:tc>
      </w:tr>
      <w:tr w14:paraId="2DB8377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6CB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E0B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5E547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E998">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8FBA">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B8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639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D16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F3D0">
            <w:pPr>
              <w:spacing w:line="192" w:lineRule="exact"/>
              <w:jc w:val="right"/>
              <w:rPr>
                <w:rFonts w:hint="default" w:ascii="Times New Roman" w:hAnsi="Times New Roman"/>
                <w:color w:val="000000"/>
                <w:sz w:val="18"/>
                <w:szCs w:val="18"/>
              </w:rPr>
            </w:pPr>
          </w:p>
        </w:tc>
      </w:tr>
      <w:tr w14:paraId="6C9BEB7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443C">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4D081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1,392.60</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1BD88">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650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103.14</w:t>
            </w:r>
            <w:r>
              <w:rPr>
                <w:rFonts w:ascii="Times New Roman" w:hAnsi="Times New Roman"/>
                <w:color w:val="000000"/>
                <w:sz w:val="18"/>
              </w:rPr>
              <w:t xml:space="preserve"> </w:t>
            </w:r>
          </w:p>
        </w:tc>
      </w:tr>
    </w:tbl>
    <w:p w14:paraId="1D5A6334">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D497C3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1232B2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3DE9A3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92FBEF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重庆市九龙坡区铜罐驿实验学校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6819236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861D5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E760D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7E3E43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7F326D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647DCA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C12DE3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209CB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58322C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6A04B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4AE0E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3D0E75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6FEF3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75F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DB4BE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754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C0223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D701B">
            <w:pPr>
              <w:jc w:val="center"/>
              <w:textAlignment w:val="center"/>
              <w:rPr>
                <w:rFonts w:hint="default" w:cs="宋体"/>
                <w:b/>
                <w:color w:val="000000"/>
                <w:sz w:val="20"/>
                <w:szCs w:val="20"/>
              </w:rPr>
            </w:pPr>
            <w:r>
              <w:rPr>
                <w:rFonts w:cs="宋体"/>
                <w:b/>
                <w:color w:val="000000"/>
                <w:sz w:val="20"/>
                <w:szCs w:val="20"/>
              </w:rPr>
              <w:t>年末结转和结余</w:t>
            </w:r>
          </w:p>
        </w:tc>
      </w:tr>
      <w:tr w14:paraId="1014599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D41B2">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87BA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A13D1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DBAC">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C60B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D136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5A40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49D9">
            <w:pPr>
              <w:jc w:val="center"/>
              <w:rPr>
                <w:rFonts w:hint="default" w:cs="宋体"/>
                <w:b/>
                <w:color w:val="000000"/>
                <w:sz w:val="20"/>
                <w:szCs w:val="20"/>
              </w:rPr>
            </w:pPr>
          </w:p>
        </w:tc>
      </w:tr>
      <w:tr w14:paraId="5C2CAAA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E33C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8FA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5F599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9855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B566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DADA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274C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AE6D">
            <w:pPr>
              <w:jc w:val="center"/>
              <w:rPr>
                <w:rFonts w:hint="default" w:cs="宋体"/>
                <w:b/>
                <w:color w:val="000000"/>
                <w:sz w:val="20"/>
                <w:szCs w:val="20"/>
              </w:rPr>
            </w:pPr>
          </w:p>
        </w:tc>
      </w:tr>
      <w:tr w14:paraId="3F63CA7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629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558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40145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9DE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3BAB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861E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3F05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263F">
            <w:pPr>
              <w:jc w:val="center"/>
              <w:rPr>
                <w:rFonts w:hint="default" w:cs="宋体"/>
                <w:b/>
                <w:color w:val="000000"/>
                <w:sz w:val="20"/>
                <w:szCs w:val="20"/>
              </w:rPr>
            </w:pPr>
          </w:p>
        </w:tc>
      </w:tr>
      <w:tr w14:paraId="7CF3FA2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1D6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C62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0AB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B5B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0A2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5E5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956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5F17F8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FF20">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D2787">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B36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D1F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A1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97A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FFF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99D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B6941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9B4E">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D0B07">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AF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044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DE8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83E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1B5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3AA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740B3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0615">
            <w:pPr>
              <w:jc w:val="both"/>
              <w:textAlignment w:val="center"/>
              <w:rPr>
                <w:rFonts w:hint="default" w:cs="宋体"/>
                <w:color w:val="000000"/>
                <w:sz w:val="20"/>
                <w:szCs w:val="20"/>
              </w:rPr>
            </w:pPr>
            <w:r>
              <w:rPr>
                <w:rFonts w:cs="宋体"/>
                <w:color w:val="000000"/>
                <w:sz w:val="20"/>
                <w:szCs w:val="20"/>
              </w:rPr>
              <w:t>2296004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90DCC">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F2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E4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38C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725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4F1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F29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155E5A2">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0E64BF3">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A59231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227F16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91F584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AF7C86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重庆市九龙坡区铜罐驿实验学校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23BE1A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8131F8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891076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8D89BF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A2F83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CF60AF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9CFA3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60872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41B3D8">
            <w:pPr>
              <w:jc w:val="center"/>
              <w:textAlignment w:val="bottom"/>
              <w:rPr>
                <w:rFonts w:hint="default" w:cs="宋体"/>
                <w:b/>
                <w:color w:val="000000"/>
                <w:sz w:val="20"/>
                <w:szCs w:val="20"/>
              </w:rPr>
            </w:pPr>
            <w:r>
              <w:rPr>
                <w:rFonts w:cs="宋体"/>
                <w:b/>
                <w:color w:val="000000"/>
                <w:sz w:val="20"/>
                <w:szCs w:val="20"/>
              </w:rPr>
              <w:t>本年支出</w:t>
            </w:r>
          </w:p>
        </w:tc>
      </w:tr>
      <w:tr w14:paraId="51FACD8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2E9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A7D9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09BF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8707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B512E">
            <w:pPr>
              <w:jc w:val="center"/>
              <w:textAlignment w:val="center"/>
              <w:rPr>
                <w:rFonts w:hint="default" w:cs="宋体"/>
                <w:b/>
                <w:color w:val="000000"/>
                <w:sz w:val="20"/>
                <w:szCs w:val="20"/>
              </w:rPr>
            </w:pPr>
            <w:r>
              <w:rPr>
                <w:rFonts w:cs="宋体"/>
                <w:b/>
                <w:color w:val="000000"/>
                <w:sz w:val="20"/>
                <w:szCs w:val="20"/>
              </w:rPr>
              <w:t>项目支出</w:t>
            </w:r>
          </w:p>
        </w:tc>
      </w:tr>
      <w:tr w14:paraId="73CBE10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0B34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B960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64A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E875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E89CD">
            <w:pPr>
              <w:jc w:val="center"/>
              <w:rPr>
                <w:rFonts w:hint="default" w:cs="宋体"/>
                <w:b/>
                <w:color w:val="000000"/>
                <w:sz w:val="20"/>
                <w:szCs w:val="20"/>
              </w:rPr>
            </w:pPr>
          </w:p>
        </w:tc>
      </w:tr>
      <w:tr w14:paraId="40981A3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49D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3C11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778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1594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BCD82">
            <w:pPr>
              <w:jc w:val="center"/>
              <w:rPr>
                <w:rFonts w:hint="default" w:cs="宋体"/>
                <w:b/>
                <w:color w:val="000000"/>
                <w:sz w:val="20"/>
                <w:szCs w:val="20"/>
              </w:rPr>
            </w:pPr>
          </w:p>
        </w:tc>
      </w:tr>
      <w:tr w14:paraId="2C5D469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5FE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FF08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42EB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F1C7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EB3B0">
            <w:pPr>
              <w:jc w:val="center"/>
              <w:rPr>
                <w:rFonts w:hint="default" w:cs="宋体"/>
                <w:b/>
                <w:color w:val="000000"/>
                <w:sz w:val="20"/>
                <w:szCs w:val="20"/>
              </w:rPr>
            </w:pPr>
          </w:p>
        </w:tc>
      </w:tr>
      <w:tr w14:paraId="67F4CB5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6501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27C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7626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754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E92EA0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D62E">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646F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40B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902C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AC7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C97B70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79E50B5">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5B3E08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4E6B45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61B86C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1636EFE">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065E79D">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B051AA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209F1B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0B6E8C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AC1D74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1BBAF34">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重庆市九龙坡区铜罐驿实验学校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743512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CFCAAA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6E9009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74C0F3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445B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79B0C">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DD50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08D7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B614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AC99CA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2DDC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752D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BA3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B0F6B">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286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6EB1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DC8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EA6E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AD1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39F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267E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CD85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FBC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F9A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AB4D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E09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7A0AB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2613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577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FF9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F1F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F4E41">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0D59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A2075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8A9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07A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CC72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BFD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B28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72680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ACA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18A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73C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843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C442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AF14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80E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24C4C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07E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C8B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F21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9B1C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BBA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186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AEE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EA3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0EA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DD02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311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1CC9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AFA4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530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5BCC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ABF3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729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E26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1D2A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6B2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0A1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D61E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A7D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1A9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690B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29E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A62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DB3C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BC9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726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E3A1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AAE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0D82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2151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ABB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2D9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FCF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4D5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588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4196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9F8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A50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5C8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8B8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D6A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EAA1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8E4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4FD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080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22A94">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B314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749A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08E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1A7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3A83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BE9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9968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r>
      <w:tr w14:paraId="2051B5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89C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A46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418A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CB4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800D2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r>
      <w:tr w14:paraId="6F674E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1D0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073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E1B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81D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C071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4136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EF9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D5F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B6B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BD5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BA13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0228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FF9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AED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222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9DB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D12B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r>
      <w:tr w14:paraId="61A11C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3E9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931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567E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271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5DA0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r>
      <w:tr w14:paraId="265B9D5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451FF">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3355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F165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3BEB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CD880">
            <w:pPr>
              <w:spacing w:line="280" w:lineRule="exact"/>
              <w:jc w:val="right"/>
              <w:rPr>
                <w:rFonts w:hint="default" w:cs="宋体"/>
                <w:color w:val="000000"/>
                <w:kern w:val="2"/>
                <w:sz w:val="16"/>
                <w:szCs w:val="16"/>
              </w:rPr>
            </w:pPr>
          </w:p>
        </w:tc>
      </w:tr>
      <w:tr w14:paraId="72D79E2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BCCA5">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2E3A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6769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9.38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071E7">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FD3CF">
            <w:pPr>
              <w:spacing w:line="280" w:lineRule="exact"/>
              <w:jc w:val="right"/>
              <w:rPr>
                <w:rFonts w:hint="default" w:cs="宋体"/>
                <w:color w:val="000000"/>
                <w:kern w:val="2"/>
                <w:sz w:val="16"/>
                <w:szCs w:val="16"/>
              </w:rPr>
            </w:pPr>
          </w:p>
        </w:tc>
      </w:tr>
      <w:tr w14:paraId="3EDA82F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BF44E">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9DBC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7914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9.69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3A0B2">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BE58A">
            <w:pPr>
              <w:spacing w:line="280" w:lineRule="exact"/>
              <w:jc w:val="right"/>
              <w:rPr>
                <w:rFonts w:hint="default" w:cs="宋体"/>
                <w:color w:val="000000"/>
                <w:sz w:val="16"/>
                <w:szCs w:val="16"/>
              </w:rPr>
            </w:pPr>
          </w:p>
        </w:tc>
      </w:tr>
    </w:tbl>
    <w:p w14:paraId="784DE782">
      <w:pPr>
        <w:rPr>
          <w:rFonts w:ascii="方正仿宋_GBK" w:hAnsi="方正仿宋_GBK" w:eastAsia="方正仿宋_GBK" w:cs="方正仿宋_GBK"/>
          <w:sz w:val="32"/>
          <w:szCs w:val="32"/>
          <w:shd w:val="clear" w:color="auto" w:fill="FFFFFF"/>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3AE8D">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138A61">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3138A61">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66E8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565542">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11</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2565542">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11</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5D9EB48">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5D9EB48">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92DD5">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4913C8"/>
    <w:rsid w:val="00550ABE"/>
    <w:rsid w:val="006203E0"/>
    <w:rsid w:val="007B419D"/>
    <w:rsid w:val="009B67B8"/>
    <w:rsid w:val="00B03CCD"/>
    <w:rsid w:val="00DC5419"/>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59E0F19"/>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6177CF"/>
    <w:rsid w:val="1E8A0CAA"/>
    <w:rsid w:val="1EF67CA4"/>
    <w:rsid w:val="1F213FD9"/>
    <w:rsid w:val="1FCD26AF"/>
    <w:rsid w:val="20642787"/>
    <w:rsid w:val="20C83310"/>
    <w:rsid w:val="20EC77A3"/>
    <w:rsid w:val="21556F04"/>
    <w:rsid w:val="216838F8"/>
    <w:rsid w:val="22403BD3"/>
    <w:rsid w:val="22A72480"/>
    <w:rsid w:val="24AF1021"/>
    <w:rsid w:val="24B92327"/>
    <w:rsid w:val="24D3717D"/>
    <w:rsid w:val="2533755C"/>
    <w:rsid w:val="26396DF4"/>
    <w:rsid w:val="266B763B"/>
    <w:rsid w:val="26DE5D69"/>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3E4427"/>
    <w:rsid w:val="35573069"/>
    <w:rsid w:val="358C217E"/>
    <w:rsid w:val="359E7284"/>
    <w:rsid w:val="359F188C"/>
    <w:rsid w:val="36C9128A"/>
    <w:rsid w:val="37221DD2"/>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BAA5F9D"/>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CB2428"/>
    <w:rsid w:val="4BD53EDA"/>
    <w:rsid w:val="4BE11807"/>
    <w:rsid w:val="4C484CE5"/>
    <w:rsid w:val="4DAC4ACA"/>
    <w:rsid w:val="4DD06F63"/>
    <w:rsid w:val="4E043596"/>
    <w:rsid w:val="4E7C3473"/>
    <w:rsid w:val="4E9B0C57"/>
    <w:rsid w:val="4EA8523F"/>
    <w:rsid w:val="4F186D58"/>
    <w:rsid w:val="4F224836"/>
    <w:rsid w:val="4F231B40"/>
    <w:rsid w:val="5114155E"/>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8D35CF5"/>
    <w:rsid w:val="598A28E2"/>
    <w:rsid w:val="5A6279C1"/>
    <w:rsid w:val="5AD563E4"/>
    <w:rsid w:val="5B1B42A8"/>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7EC2319"/>
    <w:rsid w:val="687E45FE"/>
    <w:rsid w:val="692172FD"/>
    <w:rsid w:val="6A3829EE"/>
    <w:rsid w:val="6A924CB7"/>
    <w:rsid w:val="6ACB6656"/>
    <w:rsid w:val="6AE0292E"/>
    <w:rsid w:val="6B474EF5"/>
    <w:rsid w:val="6BC27679"/>
    <w:rsid w:val="6BC54EFE"/>
    <w:rsid w:val="6C0737CC"/>
    <w:rsid w:val="6C560CAE"/>
    <w:rsid w:val="6CBF7478"/>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AD738CD"/>
    <w:rsid w:val="7B420052"/>
    <w:rsid w:val="7B7D43A1"/>
    <w:rsid w:val="7BD06A28"/>
    <w:rsid w:val="7C0C5586"/>
    <w:rsid w:val="7C1E4CD7"/>
    <w:rsid w:val="7C3A7C0B"/>
    <w:rsid w:val="7C5248E4"/>
    <w:rsid w:val="7C566698"/>
    <w:rsid w:val="7CE56AF6"/>
    <w:rsid w:val="7CF02E5B"/>
    <w:rsid w:val="7D213FB2"/>
    <w:rsid w:val="7D9615AC"/>
    <w:rsid w:val="7E644097"/>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 w:type="character" w:customStyle="1" w:styleId="16">
    <w:name w:val="7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5073</Words>
  <Characters>5681</Characters>
  <Lines>131</Lines>
  <Paragraphs>36</Paragraphs>
  <TotalTime>0</TotalTime>
  <ScaleCrop>false</ScaleCrop>
  <LinksUpToDate>false</LinksUpToDate>
  <CharactersWithSpaces>5729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2025-10-28T03:38:20Z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