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0087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重庆市九龙坡区陶家镇小学校</w:t>
      </w:r>
    </w:p>
    <w:p w14:paraId="3A39095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小标宋_GBK" w:cs="方正小标宋_GBK"/>
          <w:sz w:val="44"/>
          <w:szCs w:val="44"/>
          <w:shd w:val="clear" w:color="auto" w:fill="FFFFFF"/>
        </w:rPr>
      </w:pPr>
      <w:r>
        <w:rPr>
          <w:rFonts w:hint="eastAsia" w:ascii="Times New Roman" w:hAnsi="Times New Roman" w:eastAsia="方正小标宋_GBK" w:cs="方正小标宋_GBK"/>
          <w:sz w:val="44"/>
          <w:szCs w:val="44"/>
          <w:shd w:val="clear" w:color="auto" w:fill="FFFFFF"/>
        </w:rPr>
        <w:t>202</w:t>
      </w:r>
      <w:r>
        <w:rPr>
          <w:rFonts w:hint="eastAsia" w:ascii="Times New Roman" w:hAnsi="Times New Roman" w:eastAsia="方正小标宋_GBK" w:cs="方正小标宋_GBK"/>
          <w:sz w:val="44"/>
          <w:szCs w:val="44"/>
          <w:shd w:val="clear" w:color="auto" w:fill="FFFFFF"/>
          <w:lang w:val="en-US" w:eastAsia="zh-CN"/>
        </w:rPr>
        <w:t>4</w:t>
      </w:r>
      <w:r>
        <w:rPr>
          <w:rFonts w:hint="eastAsia" w:ascii="Times New Roman" w:hAnsi="Times New Roman" w:eastAsia="方正小标宋_GBK" w:cs="方正小标宋_GBK"/>
          <w:sz w:val="44"/>
          <w:szCs w:val="44"/>
          <w:shd w:val="clear" w:color="auto" w:fill="FFFFFF"/>
        </w:rPr>
        <w:t>年度</w:t>
      </w:r>
      <w:r>
        <w:rPr>
          <w:rFonts w:hint="eastAsia" w:ascii="Times New Roman" w:hAnsi="Times New Roman" w:eastAsia="方正小标宋_GBK" w:cs="方正小标宋_GBK"/>
          <w:sz w:val="44"/>
          <w:szCs w:val="44"/>
          <w:shd w:val="clear" w:color="auto" w:fill="FFFFFF"/>
          <w:lang w:val="en-US" w:eastAsia="zh-CN"/>
        </w:rPr>
        <w:t>单位</w:t>
      </w:r>
      <w:r>
        <w:rPr>
          <w:rFonts w:hint="eastAsia" w:ascii="Times New Roman" w:hAnsi="Times New Roman" w:eastAsia="方正小标宋_GBK" w:cs="方正小标宋_GBK"/>
          <w:sz w:val="44"/>
          <w:szCs w:val="44"/>
          <w:shd w:val="clear" w:color="auto" w:fill="FFFFFF"/>
        </w:rPr>
        <w:t>决算</w:t>
      </w:r>
      <w:r>
        <w:rPr>
          <w:rFonts w:hint="eastAsia" w:ascii="Times New Roman" w:hAnsi="Times New Roman" w:eastAsia="方正小标宋_GBK" w:cs="方正小标宋_GBK"/>
          <w:sz w:val="44"/>
          <w:szCs w:val="44"/>
          <w:shd w:val="clear" w:color="auto" w:fill="FFFFFF"/>
          <w:lang w:val="en-US" w:eastAsia="zh-CN"/>
        </w:rPr>
        <w:t>情况</w:t>
      </w:r>
      <w:r>
        <w:rPr>
          <w:rFonts w:hint="eastAsia" w:ascii="Times New Roman" w:hAnsi="Times New Roman" w:eastAsia="方正小标宋_GBK" w:cs="方正小标宋_GBK"/>
          <w:sz w:val="44"/>
          <w:szCs w:val="44"/>
          <w:shd w:val="clear" w:color="auto" w:fill="FFFFFF"/>
        </w:rPr>
        <w:t>说明</w:t>
      </w:r>
    </w:p>
    <w:p w14:paraId="64524BB3">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lang w:val="en-US" w:eastAsia="zh-CN"/>
        </w:rPr>
      </w:pPr>
    </w:p>
    <w:p w14:paraId="365F09B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一、单位基本情况</w:t>
      </w:r>
    </w:p>
    <w:p w14:paraId="5B697E7F">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（一）职能职责</w:t>
      </w:r>
    </w:p>
    <w:p w14:paraId="3F7D23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Style w:val="16"/>
          <w:rFonts w:hint="eastAsia" w:ascii="Times New Roman" w:hAnsi="Times New Roman" w:eastAsia="方正仿宋_GBK" w:cs="方正仿宋_GBK"/>
          <w:szCs w:val="32"/>
          <w:lang w:val="en-US" w:eastAsia="zh-CN"/>
        </w:rPr>
      </w:pPr>
      <w:r>
        <w:rPr>
          <w:rStyle w:val="16"/>
          <w:rFonts w:hint="eastAsia" w:ascii="Times New Roman" w:hAnsi="Times New Roman" w:eastAsia="方正仿宋_GBK" w:cs="方正仿宋_GBK"/>
          <w:szCs w:val="32"/>
          <w:lang w:val="en-US" w:eastAsia="zh-CN"/>
        </w:rPr>
        <w:t>我校是一所执行义务教育阶段教学任务的普通小学。主要宗旨和业务范围是实施普通小学义务教育，促进学生全面发展。开展教育教学工作；开展学校德育工作；开展学校体育、卫生、艺术工作；负责学校行政管理工作；开展对外交流工作；维护校园安全，提供后勤保障服务；按政策规定开展学前教育。</w:t>
      </w:r>
    </w:p>
    <w:p w14:paraId="5A687E4C">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（二）机构设置</w:t>
      </w:r>
    </w:p>
    <w:p w14:paraId="39D7F3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Style w:val="16"/>
          <w:rFonts w:hint="eastAsia" w:ascii="Times New Roman" w:hAnsi="Times New Roman" w:eastAsia="方正仿宋_GBK" w:cs="方正仿宋_GBK"/>
          <w:szCs w:val="32"/>
          <w:lang w:eastAsia="zh-CN"/>
        </w:rPr>
      </w:pPr>
      <w:r>
        <w:rPr>
          <w:rStyle w:val="16"/>
          <w:rFonts w:hint="eastAsia" w:ascii="Times New Roman" w:hAnsi="Times New Roman" w:eastAsia="方正仿宋_GBK" w:cs="方正仿宋_GBK"/>
          <w:szCs w:val="32"/>
        </w:rPr>
        <w:t>学校设置行政办公室、教导处、教科室、德育处、后勤处和</w:t>
      </w:r>
      <w:r>
        <w:rPr>
          <w:rStyle w:val="16"/>
          <w:rFonts w:hint="eastAsia" w:ascii="Times New Roman" w:hAnsi="Times New Roman" w:eastAsia="方正仿宋_GBK" w:cs="方正仿宋_GBK"/>
          <w:szCs w:val="32"/>
          <w:lang w:eastAsia="zh-CN"/>
        </w:rPr>
        <w:t>安全办公室</w:t>
      </w:r>
      <w:r>
        <w:rPr>
          <w:rStyle w:val="16"/>
          <w:rFonts w:hint="eastAsia" w:ascii="Times New Roman" w:hAnsi="Times New Roman" w:eastAsia="方正仿宋_GBK" w:cs="方正仿宋_GBK"/>
          <w:szCs w:val="32"/>
        </w:rPr>
        <w:t>等职能部门，分别承担相应的管理职能</w:t>
      </w:r>
      <w:r>
        <w:rPr>
          <w:rStyle w:val="16"/>
          <w:rFonts w:hint="eastAsia" w:ascii="Times New Roman" w:hAnsi="Times New Roman" w:eastAsia="方正仿宋_GBK" w:cs="方正仿宋_GBK"/>
          <w:szCs w:val="32"/>
          <w:lang w:eastAsia="zh-CN"/>
        </w:rPr>
        <w:t>。</w:t>
      </w:r>
    </w:p>
    <w:p w14:paraId="6B336F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Style w:val="16"/>
          <w:rFonts w:hint="eastAsia" w:ascii="Times New Roman" w:hAnsi="Times New Roman" w:eastAsia="方正仿宋_GBK" w:cs="方正仿宋_GBK"/>
          <w:szCs w:val="32"/>
        </w:rPr>
      </w:pPr>
      <w:r>
        <w:rPr>
          <w:rStyle w:val="16"/>
          <w:rFonts w:hint="eastAsia" w:ascii="Times New Roman" w:hAnsi="Times New Roman" w:eastAsia="方正仿宋_GBK" w:cs="方正仿宋_GBK"/>
          <w:szCs w:val="32"/>
        </w:rPr>
        <w:t>学校按上级规定设立</w:t>
      </w:r>
      <w:r>
        <w:rPr>
          <w:rStyle w:val="16"/>
          <w:rFonts w:hint="eastAsia" w:ascii="Times New Roman" w:hAnsi="Times New Roman" w:eastAsia="方正仿宋_GBK" w:cs="方正仿宋_GBK"/>
          <w:szCs w:val="32"/>
          <w:lang w:eastAsia="zh-CN"/>
        </w:rPr>
        <w:t>党</w:t>
      </w:r>
      <w:r>
        <w:rPr>
          <w:rStyle w:val="16"/>
          <w:rFonts w:hint="eastAsia" w:ascii="Times New Roman" w:hAnsi="Times New Roman" w:eastAsia="方正仿宋_GBK" w:cs="方正仿宋_GBK"/>
          <w:szCs w:val="32"/>
        </w:rPr>
        <w:t>支部、少先队大队部、教研组、年级组、家委会、工会小家等组织，在学校管理中发挥相应的作用。</w:t>
      </w:r>
    </w:p>
    <w:p w14:paraId="40B1A7A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黑体_GBK" w:cs="宋体"/>
          <w:bCs/>
          <w:kern w:val="0"/>
          <w:sz w:val="32"/>
          <w:szCs w:val="20"/>
          <w:lang w:val="en-US" w:eastAsia="zh-CN" w:bidi="ar-SA"/>
        </w:rPr>
        <w:t>二、单位决算收支情况说明</w:t>
      </w:r>
    </w:p>
    <w:p w14:paraId="1D72FF08">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（一）收入支出决算总体情况说明。</w:t>
      </w:r>
    </w:p>
    <w:p w14:paraId="5328E822">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1.总体情况。</w:t>
      </w:r>
      <w:r>
        <w:rPr>
          <w:rFonts w:hint="eastAsia" w:ascii="Times New Roman" w:hAnsi="Times New Roman" w:eastAsia="方正仿宋_GBK" w:cs="宋体"/>
          <w:kern w:val="0"/>
          <w:sz w:val="32"/>
          <w:szCs w:val="32"/>
          <w:lang w:val="en-US" w:eastAsia="zh-CN" w:bidi="ar-SA"/>
        </w:rPr>
        <w:t>2024年度收入总计2350.20万元，支出总计2350.20万元。收、支与2023年度相比，增加325.74万元，增长16.1%，主要原因是养老保险基数调整、学生人数增加、重庆市乡村少年宫项目增加。</w:t>
      </w:r>
    </w:p>
    <w:p w14:paraId="45C15FC5">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2.收入情况。</w:t>
      </w:r>
      <w:r>
        <w:rPr>
          <w:rFonts w:hint="eastAsia" w:ascii="Times New Roman" w:hAnsi="Times New Roman" w:eastAsia="方正仿宋_GBK" w:cs="宋体"/>
          <w:kern w:val="0"/>
          <w:sz w:val="32"/>
          <w:szCs w:val="32"/>
          <w:lang w:val="en-US" w:eastAsia="zh-CN" w:bidi="ar-SA"/>
        </w:rPr>
        <w:t>2024年度收入合计2350.20万元，与2023年度相比，增加325.74万元，增长16.1%，主要原因是养老保险基数调整、学生人数增加、重庆市乡村少年宫项目增加。其中：财政拨款收入2272.10万元，占96.68%；事业收入78.10万元，占3.32%。</w:t>
      </w:r>
    </w:p>
    <w:p w14:paraId="367AC57F">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3.支出情况。</w:t>
      </w:r>
      <w:r>
        <w:rPr>
          <w:rFonts w:hint="eastAsia" w:ascii="Times New Roman" w:hAnsi="Times New Roman" w:eastAsia="方正仿宋_GBK" w:cs="宋体"/>
          <w:kern w:val="0"/>
          <w:sz w:val="32"/>
          <w:szCs w:val="32"/>
          <w:lang w:val="en-US" w:eastAsia="zh-CN" w:bidi="ar-SA"/>
        </w:rPr>
        <w:t>2024年度支出合计2350.20万元，与2023年度相比，增加325.74万元，增长16.1%，主要原因是养老保险基数调整、学生人数增加、重庆市乡村少年宫项目增加。其中：基本支出1486.39万元，占63.25%；项目支出863.81万元，占36.75%。</w:t>
      </w:r>
    </w:p>
    <w:p w14:paraId="21F48D90">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4.结转结余情况。</w:t>
      </w:r>
      <w:r>
        <w:rPr>
          <w:rFonts w:hint="eastAsia" w:ascii="Times New Roman" w:hAnsi="Times New Roman" w:eastAsia="方正仿宋_GBK" w:cs="宋体"/>
          <w:kern w:val="0"/>
          <w:sz w:val="32"/>
          <w:szCs w:val="32"/>
          <w:lang w:val="en-US" w:eastAsia="zh-CN" w:bidi="ar-SA"/>
        </w:rPr>
        <w:t>2024年度年末结转和结余0.00万元，与2023年度相比，无增减，主要原因是本年度收支平衡。</w:t>
      </w:r>
    </w:p>
    <w:p w14:paraId="74420CFA">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（二）财政拨款收入支出决算总体情况说明</w:t>
      </w:r>
    </w:p>
    <w:p w14:paraId="440FEE1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宋体"/>
          <w:kern w:val="0"/>
          <w:sz w:val="32"/>
          <w:szCs w:val="32"/>
          <w:lang w:val="en-US" w:eastAsia="zh-CN" w:bidi="ar-SA"/>
        </w:rPr>
        <w:t>2024年度财政拨款收、支总计2272.10万元。与2023年相比，财政拨款收、支总计各增加315.44万元，增长16.1%。主要原因是养老保险基数调整、学生人数增加。</w:t>
      </w:r>
    </w:p>
    <w:p w14:paraId="54DA0DAC">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（三）一般公共预算财政拨款收入支出决算情况说明</w:t>
      </w:r>
    </w:p>
    <w:p w14:paraId="179C5024">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rPr>
        <w:t>1.收入情况。</w:t>
      </w:r>
      <w:r>
        <w:rPr>
          <w:rFonts w:hint="eastAsia" w:ascii="Times New Roman" w:hAnsi="Times New Roman" w:eastAsia="方正仿宋_GBK" w:cs="宋体"/>
          <w:kern w:val="0"/>
          <w:sz w:val="32"/>
          <w:szCs w:val="32"/>
          <w:lang w:val="en-US" w:eastAsia="zh-CN" w:bidi="ar-SA"/>
        </w:rPr>
        <w:t>2024年度一般公共预算财政拨款收入1932.98万元，与2023年度相比，增加222.03万元，增长13.0%。主要原因是养老保险基数调整，公用经费增加。较年初预算数增加153.25万元，增长8.6%。主要原因是养老保险基数调整，公用经费增加。此外，年初财政拨款结转和结余0.00万元。</w:t>
      </w:r>
    </w:p>
    <w:p w14:paraId="18F8E325">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2.支出情况。</w:t>
      </w:r>
      <w:r>
        <w:rPr>
          <w:rFonts w:hint="eastAsia" w:ascii="Times New Roman" w:hAnsi="Times New Roman" w:eastAsia="方正仿宋_GBK" w:cs="宋体"/>
          <w:kern w:val="0"/>
          <w:sz w:val="32"/>
          <w:szCs w:val="32"/>
          <w:lang w:val="en-US" w:eastAsia="zh-CN" w:bidi="ar-SA"/>
        </w:rPr>
        <w:t>2024年度一般公共预算财政拨款支出1932.98万元，与2023年度相比，增加222.03万元，增长13.0%。主要原因是养老保险基数调整，公用经费增加。较年初预算数增加153.25万元，增长8.6%。主要原因是养老保险基数调整，公用经费增加。</w:t>
      </w:r>
    </w:p>
    <w:p w14:paraId="31B8BD00">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3.结转结余情况。</w:t>
      </w:r>
      <w:r>
        <w:rPr>
          <w:rFonts w:hint="eastAsia" w:ascii="Times New Roman" w:hAnsi="Times New Roman" w:eastAsia="方正仿宋_GBK" w:cs="宋体"/>
          <w:kern w:val="0"/>
          <w:sz w:val="32"/>
          <w:szCs w:val="32"/>
          <w:lang w:val="en-US" w:eastAsia="zh-CN" w:bidi="ar-SA"/>
        </w:rPr>
        <w:t>22024年度年末一般公共预算财政拨款结转和结余0.00万元，与2023年度相比，无增减，主要原因是本年度收支平衡。</w:t>
      </w:r>
    </w:p>
    <w:p w14:paraId="472D59F0">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4.比较情况。</w:t>
      </w:r>
      <w:r>
        <w:rPr>
          <w:rFonts w:hint="eastAsia" w:ascii="Times New Roman" w:hAnsi="Times New Roman" w:eastAsia="方正仿宋_GBK" w:cs="宋体"/>
          <w:kern w:val="0"/>
          <w:sz w:val="32"/>
          <w:szCs w:val="32"/>
          <w:lang w:val="en-US" w:eastAsia="zh-CN" w:bidi="ar-SA"/>
        </w:rPr>
        <w:t>本单位2024年度一般公共预算财政拨款支出主要用于以下几个方面：</w:t>
      </w:r>
    </w:p>
    <w:p w14:paraId="32E9261A">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（1）教育支出1588.34万元，占82.17%，较年初预算数增加229.75万元，增长16.9%，主要原因是学生人数增加、项目支出增加。</w:t>
      </w:r>
    </w:p>
    <w:p w14:paraId="4EEF913A">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（2）社会保障与就业支出180.29万元，占9.33%，较年初预算数减少76.50万元，下降29.8%，主要原因是政策性调整。</w:t>
      </w:r>
    </w:p>
    <w:p w14:paraId="2809BCA7">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（3）卫生健康支出67.33万元，占3.48%，较年初预算数无增减，主要原因是严格按照预算执行。</w:t>
      </w:r>
    </w:p>
    <w:p w14:paraId="2073B0EA">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（4）住房保障支出97.01万元，占5.02%，较年初预算数无增减，主要原因是在职人员人数无增减，公积金经费无变化。</w:t>
      </w:r>
    </w:p>
    <w:p w14:paraId="03BF409D">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（四）一般公共预算财政拨款基本支出决算情况说明</w:t>
      </w:r>
    </w:p>
    <w:p w14:paraId="12E58194">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2024年度一般公共财政拨款基本支出1486.39万元。其中：人员经费1295.73万元，与2023年度相比，增加90.69万元，增长7.5%，主要原因是本年度</w:t>
      </w:r>
      <w:r>
        <w:rPr>
          <w:rFonts w:hint="default" w:ascii="Times New Roman" w:hAnsi="Times New Roman" w:eastAsia="方正仿宋_GBK" w:cs="宋体"/>
          <w:kern w:val="0"/>
          <w:sz w:val="32"/>
          <w:szCs w:val="32"/>
          <w:lang w:val="en-US" w:eastAsia="zh-CN" w:bidi="ar-SA"/>
        </w:rPr>
        <w:t>教师职务晋升、岗位晋升引起工资变动</w:t>
      </w:r>
      <w:r>
        <w:rPr>
          <w:rFonts w:hint="eastAsia" w:ascii="Times New Roman" w:hAnsi="Times New Roman" w:eastAsia="方正仿宋_GBK" w:cs="宋体"/>
          <w:kern w:val="0"/>
          <w:sz w:val="32"/>
          <w:szCs w:val="32"/>
          <w:lang w:val="en-US" w:eastAsia="zh-CN" w:bidi="ar-SA"/>
        </w:rPr>
        <w:t>及工资标准调整。人员经费用途主要包括基本工资、津贴补贴、绩效工资、社会保险费、退休人员健康疗养费、生活补助和医疗垫底资金等。公用经费190.66万元，与2023年度相比，增加5.03万元，增长2.7%，主要原因是学生人数增加，公用经费增加。公用经费用途主要包括办公费、印刷费、咨询费、水费、电费、邮电费、物业管理费、维修（护）费、培训费、专用材料费、劳务费、工会经费、福利费、其他商品服务支出等。</w:t>
      </w:r>
    </w:p>
    <w:p w14:paraId="7B5EE140">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（五）政府性基金预算收支决算情况说明</w:t>
      </w:r>
    </w:p>
    <w:p w14:paraId="548374D6">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政府性基金预算财政拨款年初结转结余0.00万元，年末结转结余0.00万元。本年收入339.12万元，与2023年度相比，增加93.41万元，增长38.0%，主要原因是本年度重庆市乡村少年宫项目增加经费增加。本年支出339.12万元，与2023年度相比，增加93.41万元，增长38.0%，主要原因是重庆市乡村少年宫项目增加经费增加。</w:t>
      </w:r>
    </w:p>
    <w:p w14:paraId="091FC07C">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（六）国有资本经营预算财政拨款支出决算情况说明</w:t>
      </w:r>
    </w:p>
    <w:p w14:paraId="5B4C1D4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本单位2024年度无国有资本经营预算财政拨款支出。</w:t>
      </w:r>
    </w:p>
    <w:p w14:paraId="59E89CE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黑体" w:cs="黑体"/>
          <w:sz w:val="32"/>
          <w:szCs w:val="32"/>
          <w:shd w:val="clear" w:color="auto" w:fill="FFFFFF"/>
        </w:rPr>
      </w:pPr>
      <w:r>
        <w:rPr>
          <w:rFonts w:hint="eastAsia" w:ascii="Times New Roman" w:hAnsi="Times New Roman" w:eastAsia="方正黑体_GBK" w:cs="宋体"/>
          <w:bCs/>
          <w:kern w:val="0"/>
          <w:sz w:val="32"/>
          <w:szCs w:val="20"/>
          <w:lang w:val="en-US" w:eastAsia="zh-CN" w:bidi="ar-SA"/>
        </w:rPr>
        <w:t>三、财政拨款“三公”经费情况说明</w:t>
      </w:r>
    </w:p>
    <w:p w14:paraId="0864374D">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（一）“三公”经费支出总体情况说明</w:t>
      </w:r>
    </w:p>
    <w:p w14:paraId="4C1DC997">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2024年度“三公”经费支出共计0.00万元，较年初预算数无增减，较上年支出数无增减，主要原因是本单位2024年度未发生“三公”经费支出，与上年决算数持平。</w:t>
      </w:r>
    </w:p>
    <w:p w14:paraId="343C7AC7">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（二）“三公”经费分项支出情况</w:t>
      </w:r>
    </w:p>
    <w:p w14:paraId="4A5D5DBC">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2024年度本单位因公出国（境）费用0.00万元，费用支出较年初预算数无增减，较上年支出数无增减，主要原因是本单位2024年度未发生因公出国（境）费用，与上年决算数持平。</w:t>
      </w:r>
    </w:p>
    <w:p w14:paraId="69FF9FE4">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公务车购置费0.00万元，费用支出较年初预算数无增减，较上年支出数无增减，主要原因是本单位2024年度未发生公务车购置费用，与上年决算数持平。</w:t>
      </w:r>
    </w:p>
    <w:p w14:paraId="0D5A7B61">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公务车运行维护费0.00万元，费用支出较年初预算数无增减，较上年支出数无增减，主要原因是本单位2024年度未发生公务车运行维护费用，与上年决算数持平。</w:t>
      </w:r>
    </w:p>
    <w:p w14:paraId="4F7DB790">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公务接待费0.00万元，费用支出较年初预算数无增减，较上年支出数无增减，主要原因是本单位2024年度未发生未发生公务接待费用，与上年决算数持平。</w:t>
      </w:r>
    </w:p>
    <w:p w14:paraId="00944436">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（三）“三公”经费实物量情况</w:t>
      </w:r>
    </w:p>
    <w:p w14:paraId="68A011D2">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6CEE210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宋体"/>
          <w:bCs/>
          <w:kern w:val="0"/>
          <w:sz w:val="32"/>
          <w:szCs w:val="20"/>
          <w:lang w:val="en-US" w:eastAsia="zh-CN" w:bidi="ar-SA"/>
        </w:rPr>
      </w:pPr>
      <w:r>
        <w:rPr>
          <w:rFonts w:hint="eastAsia" w:ascii="Times New Roman" w:hAnsi="Times New Roman" w:eastAsia="方正黑体_GBK" w:cs="宋体"/>
          <w:bCs/>
          <w:kern w:val="0"/>
          <w:sz w:val="32"/>
          <w:szCs w:val="20"/>
          <w:lang w:val="en-US" w:eastAsia="zh-CN" w:bidi="ar-SA"/>
        </w:rPr>
        <w:t>四、其他需要说明的事项</w:t>
      </w:r>
    </w:p>
    <w:p w14:paraId="2B4F458B">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（一）财政拨款会议费和培训费情况说明</w:t>
      </w:r>
    </w:p>
    <w:p w14:paraId="4CBC172B">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本年度会议费支出0.00万元，与2023年度相比，无增减。本年度培训费支出66.55万元，与2023年度相比，增加30.20万元，增长83.1%，主要原因是教师外出培训增加。</w:t>
      </w:r>
    </w:p>
    <w:p w14:paraId="4285FDC6">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（二）机关运行经费情况说明</w:t>
      </w:r>
    </w:p>
    <w:p w14:paraId="232518D3">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按照单位决算列报口径，我单位不在机关运行经费统计范围之内。</w:t>
      </w:r>
    </w:p>
    <w:p w14:paraId="78D08525">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（三）国有资产占用情况说明</w:t>
      </w:r>
    </w:p>
    <w:p w14:paraId="72D0E0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54C29A18">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（四）政府采购支出情况说明</w:t>
      </w:r>
    </w:p>
    <w:p w14:paraId="0D5F4972">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政府采购支出总额23.39万元，其中：政府采购货物支出23.39万元、政府采购工程支出0.00万元、政府采购服务支出0.00万元。授予中小企业合同金额21.96万元，占政府采购支出总额的93.87%，其中：授予小微企业合同金额21.96万元，占政府采购支出总额的93.87%。主要用于采购教师办公打印纸和学生机房改造。</w:t>
      </w:r>
    </w:p>
    <w:p w14:paraId="75ADF77E">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黑体_GBK" w:cs="宋体"/>
          <w:bCs/>
          <w:kern w:val="0"/>
          <w:sz w:val="32"/>
          <w:szCs w:val="20"/>
          <w:lang w:val="en-US" w:eastAsia="zh-CN" w:bidi="ar-SA"/>
        </w:rPr>
      </w:pPr>
      <w:r>
        <w:rPr>
          <w:rFonts w:hint="eastAsia" w:ascii="Times New Roman" w:hAnsi="Times New Roman" w:eastAsia="方正黑体_GBK" w:cs="宋体"/>
          <w:bCs/>
          <w:kern w:val="0"/>
          <w:sz w:val="32"/>
          <w:szCs w:val="20"/>
          <w:lang w:val="en-US" w:eastAsia="zh-CN" w:bidi="ar-SA"/>
        </w:rPr>
        <w:t>五、2024年度预算绩效管理情况说明</w:t>
      </w:r>
    </w:p>
    <w:p w14:paraId="364DB223">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（一）预算绩效管理工作开展情况</w:t>
      </w:r>
    </w:p>
    <w:p w14:paraId="330D1A4C">
      <w:pPr>
        <w:keepNext w:val="0"/>
        <w:keepLines w:val="0"/>
        <w:pageBreakBefore w:val="0"/>
        <w:widowControl w:val="0"/>
        <w:tabs>
          <w:tab w:val="center" w:pos="4153"/>
          <w:tab w:val="left" w:pos="7275"/>
        </w:tabs>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根据预算绩效管理要求，我单位对15个二级项目开展了绩效自评，涉及财政拨款项目支出446.59万元。</w:t>
      </w:r>
    </w:p>
    <w:p w14:paraId="76130139">
      <w:pPr>
        <w:tabs>
          <w:tab w:val="center" w:pos="4153"/>
          <w:tab w:val="left" w:pos="7275"/>
        </w:tabs>
        <w:spacing w:line="596" w:lineRule="exact"/>
        <w:jc w:val="center"/>
        <w:rPr>
          <w:rFonts w:hint="eastAsia" w:ascii="Times New Roman" w:hAnsi="Times New Roman" w:eastAsia="方正小标宋_GBK" w:cs="方正小标宋_GBK"/>
          <w:color w:val="000000"/>
          <w:kern w:val="0"/>
          <w:sz w:val="36"/>
          <w:szCs w:val="36"/>
          <w:lang w:eastAsia="zh-CN" w:bidi="ar"/>
        </w:rPr>
      </w:pPr>
      <w:r>
        <w:rPr>
          <w:rFonts w:hint="eastAsia" w:ascii="Times New Roman" w:hAnsi="Times New Roman" w:eastAsia="方正小标宋_GBK" w:cs="方正小标宋_GBK"/>
          <w:color w:val="000000"/>
          <w:kern w:val="0"/>
          <w:sz w:val="36"/>
          <w:szCs w:val="36"/>
          <w:lang w:eastAsia="zh-CN" w:bidi="ar"/>
        </w:rPr>
        <w:t>重庆市九龙坡区陶家镇小学校</w:t>
      </w:r>
    </w:p>
    <w:p w14:paraId="0067C901">
      <w:pPr>
        <w:tabs>
          <w:tab w:val="center" w:pos="4153"/>
          <w:tab w:val="left" w:pos="7275"/>
        </w:tabs>
        <w:spacing w:line="596" w:lineRule="exact"/>
        <w:jc w:val="center"/>
        <w:rPr>
          <w:rFonts w:ascii="Times New Roman" w:hAnsi="Times New Roman" w:cs="宋体"/>
          <w:kern w:val="0"/>
          <w:szCs w:val="32"/>
        </w:rPr>
      </w:pPr>
      <w:r>
        <w:rPr>
          <w:rFonts w:hint="eastAsia" w:ascii="Times New Roman" w:hAnsi="Times New Roman" w:eastAsia="方正小标宋_GBK" w:cs="方正小标宋_GBK"/>
          <w:color w:val="000000"/>
          <w:kern w:val="0"/>
          <w:sz w:val="36"/>
          <w:szCs w:val="36"/>
          <w:lang w:bidi="ar"/>
        </w:rPr>
        <w:t>2024年度</w:t>
      </w:r>
      <w:r>
        <w:rPr>
          <w:rFonts w:hint="eastAsia" w:ascii="Times New Roman" w:hAnsi="Times New Roman" w:eastAsia="方正小标宋_GBK" w:cs="方正小标宋_GBK"/>
          <w:color w:val="000000"/>
          <w:kern w:val="0"/>
          <w:sz w:val="36"/>
          <w:szCs w:val="36"/>
          <w:lang w:val="en-US" w:eastAsia="zh-CN" w:bidi="ar"/>
        </w:rPr>
        <w:t>重点</w:t>
      </w:r>
      <w:r>
        <w:rPr>
          <w:rFonts w:hint="eastAsia" w:ascii="Times New Roman" w:hAnsi="Times New Roman" w:eastAsia="方正小标宋_GBK" w:cs="方正小标宋_GBK"/>
          <w:color w:val="000000"/>
          <w:kern w:val="0"/>
          <w:sz w:val="36"/>
          <w:szCs w:val="36"/>
          <w:lang w:bidi="ar"/>
        </w:rPr>
        <w:t>项目支出绩效自评表</w:t>
      </w:r>
    </w:p>
    <w:tbl>
      <w:tblPr>
        <w:tblStyle w:val="9"/>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439"/>
        <w:gridCol w:w="2172"/>
        <w:gridCol w:w="1956"/>
        <w:gridCol w:w="600"/>
        <w:gridCol w:w="768"/>
        <w:gridCol w:w="624"/>
        <w:gridCol w:w="720"/>
        <w:gridCol w:w="744"/>
        <w:gridCol w:w="576"/>
        <w:gridCol w:w="720"/>
        <w:gridCol w:w="594"/>
      </w:tblGrid>
      <w:tr w14:paraId="78BD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439" w:type="dxa"/>
            <w:tcBorders>
              <w:top w:val="single" w:color="auto" w:sz="4" w:space="0"/>
            </w:tcBorders>
            <w:noWrap w:val="0"/>
            <w:vAlign w:val="center"/>
          </w:tcPr>
          <w:p w14:paraId="2414EC02">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序号</w:t>
            </w:r>
          </w:p>
        </w:tc>
        <w:tc>
          <w:tcPr>
            <w:tcW w:w="2172" w:type="dxa"/>
            <w:tcBorders>
              <w:top w:val="single" w:color="auto" w:sz="4" w:space="0"/>
            </w:tcBorders>
            <w:noWrap w:val="0"/>
            <w:vAlign w:val="center"/>
          </w:tcPr>
          <w:p w14:paraId="64F31E5A">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项目名称</w:t>
            </w:r>
          </w:p>
        </w:tc>
        <w:tc>
          <w:tcPr>
            <w:tcW w:w="1956" w:type="dxa"/>
            <w:tcBorders>
              <w:top w:val="single" w:color="auto" w:sz="4" w:space="0"/>
            </w:tcBorders>
            <w:noWrap w:val="0"/>
            <w:vAlign w:val="center"/>
          </w:tcPr>
          <w:p w14:paraId="40453620">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指标名称</w:t>
            </w:r>
          </w:p>
        </w:tc>
        <w:tc>
          <w:tcPr>
            <w:tcW w:w="600" w:type="dxa"/>
            <w:tcBorders>
              <w:top w:val="single" w:color="auto" w:sz="4" w:space="0"/>
            </w:tcBorders>
            <w:noWrap w:val="0"/>
            <w:vAlign w:val="center"/>
          </w:tcPr>
          <w:p w14:paraId="7A31A753">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指标性质</w:t>
            </w:r>
          </w:p>
        </w:tc>
        <w:tc>
          <w:tcPr>
            <w:tcW w:w="768" w:type="dxa"/>
            <w:tcBorders>
              <w:top w:val="single" w:color="auto" w:sz="4" w:space="0"/>
            </w:tcBorders>
            <w:noWrap w:val="0"/>
            <w:vAlign w:val="center"/>
          </w:tcPr>
          <w:p w14:paraId="46B6A0EF">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指标值</w:t>
            </w:r>
          </w:p>
        </w:tc>
        <w:tc>
          <w:tcPr>
            <w:tcW w:w="624" w:type="dxa"/>
            <w:tcBorders>
              <w:top w:val="single" w:color="auto" w:sz="4" w:space="0"/>
            </w:tcBorders>
            <w:noWrap w:val="0"/>
            <w:vAlign w:val="center"/>
          </w:tcPr>
          <w:p w14:paraId="5DA19EFD">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计量单位</w:t>
            </w:r>
          </w:p>
        </w:tc>
        <w:tc>
          <w:tcPr>
            <w:tcW w:w="720" w:type="dxa"/>
            <w:tcBorders>
              <w:top w:val="single" w:color="auto" w:sz="4" w:space="0"/>
            </w:tcBorders>
            <w:noWrap w:val="0"/>
            <w:vAlign w:val="center"/>
          </w:tcPr>
          <w:p w14:paraId="2B40CF11">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指标权重</w:t>
            </w:r>
          </w:p>
        </w:tc>
        <w:tc>
          <w:tcPr>
            <w:tcW w:w="744" w:type="dxa"/>
            <w:tcBorders>
              <w:top w:val="single" w:color="auto" w:sz="4" w:space="0"/>
            </w:tcBorders>
            <w:noWrap w:val="0"/>
            <w:vAlign w:val="center"/>
          </w:tcPr>
          <w:p w14:paraId="30D95EA6">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全年完成值</w:t>
            </w:r>
          </w:p>
        </w:tc>
        <w:tc>
          <w:tcPr>
            <w:tcW w:w="576" w:type="dxa"/>
            <w:tcBorders>
              <w:top w:val="single" w:color="auto" w:sz="4" w:space="0"/>
            </w:tcBorders>
            <w:noWrap w:val="0"/>
            <w:vAlign w:val="center"/>
          </w:tcPr>
          <w:p w14:paraId="2C198F1F">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指标得分</w:t>
            </w:r>
          </w:p>
        </w:tc>
        <w:tc>
          <w:tcPr>
            <w:tcW w:w="720" w:type="dxa"/>
            <w:tcBorders>
              <w:top w:val="single" w:color="auto" w:sz="4" w:space="0"/>
            </w:tcBorders>
            <w:noWrap w:val="0"/>
            <w:vAlign w:val="center"/>
          </w:tcPr>
          <w:p w14:paraId="56CB97AD">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说明</w:t>
            </w:r>
          </w:p>
        </w:tc>
        <w:tc>
          <w:tcPr>
            <w:tcW w:w="594" w:type="dxa"/>
            <w:tcBorders>
              <w:top w:val="single" w:color="auto" w:sz="4" w:space="0"/>
            </w:tcBorders>
            <w:noWrap w:val="0"/>
            <w:vAlign w:val="center"/>
          </w:tcPr>
          <w:p w14:paraId="7F7DE023">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自评得分</w:t>
            </w:r>
          </w:p>
        </w:tc>
      </w:tr>
      <w:tr w14:paraId="262F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439" w:type="dxa"/>
            <w:vMerge w:val="restart"/>
            <w:noWrap/>
            <w:vAlign w:val="center"/>
          </w:tcPr>
          <w:p w14:paraId="23F5ABDC">
            <w:pPr>
              <w:snapToGrid w:val="0"/>
              <w:jc w:val="center"/>
              <w:textAlignment w:val="center"/>
              <w:rPr>
                <w:rFonts w:ascii="宋体" w:eastAsia="宋体"/>
                <w:color w:val="000000"/>
                <w:sz w:val="22"/>
              </w:rPr>
            </w:pPr>
            <w:r>
              <w:rPr>
                <w:rFonts w:ascii="宋体" w:eastAsia="宋体"/>
                <w:color w:val="000000"/>
                <w:kern w:val="0"/>
                <w:sz w:val="22"/>
                <w:lang w:bidi="ar"/>
              </w:rPr>
              <w:t>1</w:t>
            </w:r>
          </w:p>
        </w:tc>
        <w:tc>
          <w:tcPr>
            <w:tcW w:w="2172" w:type="dxa"/>
            <w:vMerge w:val="restart"/>
            <w:noWrap/>
            <w:vAlign w:val="center"/>
          </w:tcPr>
          <w:p w14:paraId="7C569A1E">
            <w:pPr>
              <w:snapToGrid w:val="0"/>
              <w:jc w:val="center"/>
              <w:rPr>
                <w:rFonts w:ascii="宋体" w:eastAsia="宋体" w:cs="宋体"/>
                <w:color w:val="000000"/>
                <w:sz w:val="22"/>
              </w:rPr>
            </w:pPr>
            <w:r>
              <w:rPr>
                <w:rFonts w:ascii="宋体" w:hAnsi="宋体" w:eastAsia="宋体" w:cs="宋体"/>
                <w:sz w:val="22"/>
                <w:szCs w:val="24"/>
              </w:rPr>
              <w:t>2024年学前教育家庭经济困难幼儿资助专项经费</w:t>
            </w:r>
          </w:p>
        </w:tc>
        <w:tc>
          <w:tcPr>
            <w:tcW w:w="1956" w:type="dxa"/>
            <w:noWrap/>
            <w:vAlign w:val="center"/>
          </w:tcPr>
          <w:p w14:paraId="5FDF2FE8">
            <w:pPr>
              <w:snapToGrid w:val="0"/>
              <w:jc w:val="center"/>
              <w:rPr>
                <w:rFonts w:hint="default" w:ascii="宋体" w:eastAsia="宋体" w:cs="宋体"/>
                <w:color w:val="000000"/>
                <w:sz w:val="22"/>
                <w:lang w:val="en-US" w:eastAsia="zh-CN"/>
              </w:rPr>
            </w:pPr>
            <w:r>
              <w:rPr>
                <w:rFonts w:hint="eastAsia" w:ascii="宋体" w:eastAsia="宋体" w:cs="宋体"/>
                <w:color w:val="000000"/>
                <w:sz w:val="22"/>
                <w:lang w:eastAsia="zh-CN"/>
              </w:rPr>
              <w:t>资助学生数量</w:t>
            </w:r>
            <w:r>
              <w:rPr>
                <w:rFonts w:hint="eastAsia" w:ascii="宋体" w:eastAsia="宋体" w:cs="宋体"/>
                <w:color w:val="000000"/>
                <w:sz w:val="22"/>
                <w:lang w:val="en-US" w:eastAsia="zh-CN"/>
              </w:rPr>
              <w:t>jlp</w:t>
            </w:r>
          </w:p>
        </w:tc>
        <w:tc>
          <w:tcPr>
            <w:tcW w:w="600" w:type="dxa"/>
            <w:noWrap/>
            <w:vAlign w:val="center"/>
          </w:tcPr>
          <w:p w14:paraId="15BD6A75">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w:t>
            </w:r>
          </w:p>
        </w:tc>
        <w:tc>
          <w:tcPr>
            <w:tcW w:w="768" w:type="dxa"/>
            <w:noWrap/>
            <w:vAlign w:val="center"/>
          </w:tcPr>
          <w:p w14:paraId="0140AAA8">
            <w:pPr>
              <w:snapToGrid w:val="0"/>
              <w:jc w:val="center"/>
              <w:rPr>
                <w:rFonts w:hint="eastAsia" w:ascii="宋体" w:eastAsia="宋体" w:cs="宋体"/>
                <w:color w:val="000000"/>
                <w:sz w:val="22"/>
                <w:lang w:val="en-US" w:eastAsia="zh-CN"/>
              </w:rPr>
            </w:pPr>
            <w:r>
              <w:rPr>
                <w:rFonts w:hint="eastAsia" w:ascii="宋体" w:eastAsia="宋体" w:cs="宋体"/>
                <w:color w:val="000000"/>
                <w:sz w:val="22"/>
                <w:lang w:val="en-US" w:eastAsia="zh-CN"/>
              </w:rPr>
              <w:t>9</w:t>
            </w:r>
          </w:p>
        </w:tc>
        <w:tc>
          <w:tcPr>
            <w:tcW w:w="624" w:type="dxa"/>
            <w:noWrap/>
            <w:vAlign w:val="center"/>
          </w:tcPr>
          <w:p w14:paraId="74B1CC47">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人次</w:t>
            </w:r>
          </w:p>
        </w:tc>
        <w:tc>
          <w:tcPr>
            <w:tcW w:w="720" w:type="dxa"/>
            <w:noWrap/>
            <w:vAlign w:val="center"/>
          </w:tcPr>
          <w:p w14:paraId="00B89401">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744" w:type="dxa"/>
            <w:noWrap/>
            <w:vAlign w:val="center"/>
          </w:tcPr>
          <w:p w14:paraId="06C676FC">
            <w:pPr>
              <w:snapToGrid w:val="0"/>
              <w:jc w:val="center"/>
              <w:rPr>
                <w:rFonts w:hint="eastAsia" w:ascii="宋体" w:eastAsia="宋体" w:cs="宋体"/>
                <w:color w:val="000000"/>
                <w:sz w:val="22"/>
                <w:lang w:val="en-US" w:eastAsia="zh-CN"/>
              </w:rPr>
            </w:pPr>
            <w:r>
              <w:rPr>
                <w:rFonts w:hint="eastAsia" w:ascii="宋体" w:eastAsia="宋体" w:cs="宋体"/>
                <w:color w:val="000000"/>
                <w:sz w:val="22"/>
                <w:lang w:val="en-US" w:eastAsia="zh-CN"/>
              </w:rPr>
              <w:t>9</w:t>
            </w:r>
          </w:p>
        </w:tc>
        <w:tc>
          <w:tcPr>
            <w:tcW w:w="576" w:type="dxa"/>
            <w:noWrap/>
            <w:vAlign w:val="center"/>
          </w:tcPr>
          <w:p w14:paraId="55BB81EF">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720" w:type="dxa"/>
            <w:noWrap/>
            <w:vAlign w:val="center"/>
          </w:tcPr>
          <w:p w14:paraId="51453F3E">
            <w:pPr>
              <w:snapToGrid w:val="0"/>
              <w:jc w:val="center"/>
              <w:rPr>
                <w:rFonts w:ascii="宋体" w:eastAsia="宋体" w:cs="宋体"/>
                <w:color w:val="000000"/>
                <w:sz w:val="22"/>
              </w:rPr>
            </w:pPr>
          </w:p>
        </w:tc>
        <w:tc>
          <w:tcPr>
            <w:tcW w:w="594" w:type="dxa"/>
            <w:vMerge w:val="restart"/>
            <w:noWrap/>
            <w:vAlign w:val="center"/>
          </w:tcPr>
          <w:p w14:paraId="589ACE11">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100</w:t>
            </w:r>
          </w:p>
        </w:tc>
      </w:tr>
      <w:tr w14:paraId="2119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439" w:type="dxa"/>
            <w:vMerge w:val="continue"/>
            <w:noWrap/>
            <w:vAlign w:val="center"/>
          </w:tcPr>
          <w:p w14:paraId="12F6E9B1">
            <w:pPr>
              <w:snapToGrid w:val="0"/>
              <w:jc w:val="center"/>
              <w:textAlignment w:val="center"/>
              <w:rPr>
                <w:rFonts w:ascii="宋体" w:eastAsia="宋体"/>
                <w:color w:val="000000"/>
                <w:sz w:val="22"/>
              </w:rPr>
            </w:pPr>
          </w:p>
        </w:tc>
        <w:tc>
          <w:tcPr>
            <w:tcW w:w="2172" w:type="dxa"/>
            <w:vMerge w:val="continue"/>
            <w:noWrap/>
            <w:vAlign w:val="center"/>
          </w:tcPr>
          <w:p w14:paraId="11589075">
            <w:pPr>
              <w:snapToGrid w:val="0"/>
              <w:jc w:val="center"/>
              <w:rPr>
                <w:rFonts w:ascii="宋体" w:eastAsia="宋体" w:cs="宋体"/>
                <w:color w:val="000000"/>
                <w:sz w:val="22"/>
              </w:rPr>
            </w:pPr>
          </w:p>
        </w:tc>
        <w:tc>
          <w:tcPr>
            <w:tcW w:w="1956" w:type="dxa"/>
            <w:noWrap/>
            <w:vAlign w:val="center"/>
          </w:tcPr>
          <w:p w14:paraId="7B525A13">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资金下达时间</w:t>
            </w:r>
          </w:p>
        </w:tc>
        <w:tc>
          <w:tcPr>
            <w:tcW w:w="600" w:type="dxa"/>
            <w:noWrap/>
            <w:vAlign w:val="center"/>
          </w:tcPr>
          <w:p w14:paraId="0D33EB27">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w:t>
            </w:r>
          </w:p>
        </w:tc>
        <w:tc>
          <w:tcPr>
            <w:tcW w:w="768" w:type="dxa"/>
            <w:noWrap/>
            <w:vAlign w:val="center"/>
          </w:tcPr>
          <w:p w14:paraId="03CF9691">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2024</w:t>
            </w:r>
          </w:p>
        </w:tc>
        <w:tc>
          <w:tcPr>
            <w:tcW w:w="624" w:type="dxa"/>
            <w:noWrap/>
            <w:vAlign w:val="center"/>
          </w:tcPr>
          <w:p w14:paraId="0258933B">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年</w:t>
            </w:r>
          </w:p>
        </w:tc>
        <w:tc>
          <w:tcPr>
            <w:tcW w:w="720" w:type="dxa"/>
            <w:noWrap/>
            <w:vAlign w:val="center"/>
          </w:tcPr>
          <w:p w14:paraId="62C58309">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w:t>
            </w:r>
          </w:p>
        </w:tc>
        <w:tc>
          <w:tcPr>
            <w:tcW w:w="744" w:type="dxa"/>
            <w:noWrap/>
            <w:vAlign w:val="center"/>
          </w:tcPr>
          <w:p w14:paraId="652D3B05">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2024</w:t>
            </w:r>
          </w:p>
        </w:tc>
        <w:tc>
          <w:tcPr>
            <w:tcW w:w="576" w:type="dxa"/>
            <w:noWrap/>
            <w:vAlign w:val="center"/>
          </w:tcPr>
          <w:p w14:paraId="214DB786">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w:t>
            </w:r>
          </w:p>
        </w:tc>
        <w:tc>
          <w:tcPr>
            <w:tcW w:w="720" w:type="dxa"/>
            <w:noWrap/>
            <w:vAlign w:val="center"/>
          </w:tcPr>
          <w:p w14:paraId="21775B18">
            <w:pPr>
              <w:snapToGrid w:val="0"/>
              <w:jc w:val="center"/>
              <w:rPr>
                <w:rFonts w:ascii="宋体" w:eastAsia="宋体" w:cs="宋体"/>
                <w:color w:val="000000"/>
                <w:sz w:val="22"/>
              </w:rPr>
            </w:pPr>
          </w:p>
        </w:tc>
        <w:tc>
          <w:tcPr>
            <w:tcW w:w="594" w:type="dxa"/>
            <w:vMerge w:val="continue"/>
            <w:noWrap/>
            <w:vAlign w:val="center"/>
          </w:tcPr>
          <w:p w14:paraId="778021F8">
            <w:pPr>
              <w:snapToGrid w:val="0"/>
              <w:jc w:val="center"/>
              <w:rPr>
                <w:rFonts w:ascii="宋体" w:eastAsia="宋体" w:cs="宋体"/>
                <w:color w:val="000000"/>
                <w:sz w:val="22"/>
              </w:rPr>
            </w:pPr>
          </w:p>
        </w:tc>
      </w:tr>
      <w:tr w14:paraId="541F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439" w:type="dxa"/>
            <w:vMerge w:val="continue"/>
            <w:noWrap/>
            <w:vAlign w:val="center"/>
          </w:tcPr>
          <w:p w14:paraId="2EE57D86">
            <w:pPr>
              <w:snapToGrid w:val="0"/>
              <w:jc w:val="center"/>
              <w:textAlignment w:val="center"/>
              <w:rPr>
                <w:rFonts w:ascii="宋体" w:eastAsia="宋体"/>
                <w:color w:val="000000"/>
                <w:sz w:val="22"/>
              </w:rPr>
            </w:pPr>
          </w:p>
        </w:tc>
        <w:tc>
          <w:tcPr>
            <w:tcW w:w="2172" w:type="dxa"/>
            <w:vMerge w:val="continue"/>
            <w:noWrap/>
            <w:vAlign w:val="center"/>
          </w:tcPr>
          <w:p w14:paraId="6C87E29F">
            <w:pPr>
              <w:snapToGrid w:val="0"/>
              <w:jc w:val="center"/>
              <w:rPr>
                <w:rFonts w:ascii="宋体" w:eastAsia="宋体" w:cs="宋体"/>
                <w:color w:val="000000"/>
                <w:sz w:val="22"/>
              </w:rPr>
            </w:pPr>
          </w:p>
        </w:tc>
        <w:tc>
          <w:tcPr>
            <w:tcW w:w="1956" w:type="dxa"/>
            <w:noWrap/>
            <w:vAlign w:val="center"/>
          </w:tcPr>
          <w:p w14:paraId="4E1037C6">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资金下达金额</w:t>
            </w:r>
          </w:p>
        </w:tc>
        <w:tc>
          <w:tcPr>
            <w:tcW w:w="600" w:type="dxa"/>
            <w:noWrap/>
            <w:vAlign w:val="center"/>
          </w:tcPr>
          <w:p w14:paraId="43E18817">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w:t>
            </w:r>
          </w:p>
        </w:tc>
        <w:tc>
          <w:tcPr>
            <w:tcW w:w="768" w:type="dxa"/>
            <w:noWrap/>
            <w:vAlign w:val="center"/>
          </w:tcPr>
          <w:p w14:paraId="4F0EB626">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53600</w:t>
            </w:r>
          </w:p>
        </w:tc>
        <w:tc>
          <w:tcPr>
            <w:tcW w:w="624" w:type="dxa"/>
            <w:noWrap/>
            <w:vAlign w:val="center"/>
          </w:tcPr>
          <w:p w14:paraId="2DDF7A6A">
            <w:pPr>
              <w:snapToGrid w:val="0"/>
              <w:jc w:val="center"/>
              <w:rPr>
                <w:rFonts w:hint="default" w:ascii="宋体" w:eastAsia="宋体" w:cs="宋体"/>
                <w:color w:val="000000"/>
                <w:sz w:val="22"/>
                <w:lang w:val="en-US" w:eastAsia="zh-CN"/>
              </w:rPr>
            </w:pPr>
            <w:r>
              <w:rPr>
                <w:rFonts w:hint="eastAsia" w:ascii="宋体" w:eastAsia="宋体" w:cs="宋体"/>
                <w:color w:val="000000"/>
                <w:sz w:val="22"/>
                <w:lang w:eastAsia="zh-CN"/>
              </w:rPr>
              <w:t>元</w:t>
            </w:r>
          </w:p>
        </w:tc>
        <w:tc>
          <w:tcPr>
            <w:tcW w:w="720" w:type="dxa"/>
            <w:noWrap/>
            <w:vAlign w:val="center"/>
          </w:tcPr>
          <w:p w14:paraId="473FA0B5">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w:t>
            </w:r>
          </w:p>
        </w:tc>
        <w:tc>
          <w:tcPr>
            <w:tcW w:w="744" w:type="dxa"/>
            <w:noWrap/>
            <w:vAlign w:val="center"/>
          </w:tcPr>
          <w:p w14:paraId="19BA643E">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53600</w:t>
            </w:r>
          </w:p>
        </w:tc>
        <w:tc>
          <w:tcPr>
            <w:tcW w:w="576" w:type="dxa"/>
            <w:noWrap/>
            <w:vAlign w:val="center"/>
          </w:tcPr>
          <w:p w14:paraId="0A883FB0">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w:t>
            </w:r>
          </w:p>
        </w:tc>
        <w:tc>
          <w:tcPr>
            <w:tcW w:w="720" w:type="dxa"/>
            <w:noWrap/>
            <w:vAlign w:val="center"/>
          </w:tcPr>
          <w:p w14:paraId="3FAE8770">
            <w:pPr>
              <w:snapToGrid w:val="0"/>
              <w:jc w:val="center"/>
              <w:rPr>
                <w:rFonts w:ascii="宋体" w:eastAsia="宋体" w:cs="宋体"/>
                <w:color w:val="000000"/>
                <w:sz w:val="22"/>
              </w:rPr>
            </w:pPr>
          </w:p>
        </w:tc>
        <w:tc>
          <w:tcPr>
            <w:tcW w:w="594" w:type="dxa"/>
            <w:vMerge w:val="continue"/>
            <w:noWrap/>
            <w:vAlign w:val="center"/>
          </w:tcPr>
          <w:p w14:paraId="7C6EA106">
            <w:pPr>
              <w:snapToGrid w:val="0"/>
              <w:jc w:val="center"/>
              <w:rPr>
                <w:rFonts w:ascii="宋体" w:eastAsia="宋体" w:cs="宋体"/>
                <w:color w:val="000000"/>
                <w:sz w:val="22"/>
              </w:rPr>
            </w:pPr>
          </w:p>
        </w:tc>
      </w:tr>
      <w:tr w14:paraId="04C8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439" w:type="dxa"/>
            <w:vMerge w:val="continue"/>
            <w:noWrap/>
            <w:vAlign w:val="center"/>
          </w:tcPr>
          <w:p w14:paraId="61F18948">
            <w:pPr>
              <w:snapToGrid w:val="0"/>
              <w:jc w:val="center"/>
              <w:textAlignment w:val="center"/>
              <w:rPr>
                <w:rFonts w:ascii="宋体" w:eastAsia="宋体"/>
                <w:color w:val="000000"/>
                <w:sz w:val="22"/>
              </w:rPr>
            </w:pPr>
          </w:p>
        </w:tc>
        <w:tc>
          <w:tcPr>
            <w:tcW w:w="2172" w:type="dxa"/>
            <w:vMerge w:val="continue"/>
            <w:noWrap/>
            <w:vAlign w:val="center"/>
          </w:tcPr>
          <w:p w14:paraId="40D491CF">
            <w:pPr>
              <w:snapToGrid w:val="0"/>
              <w:jc w:val="center"/>
              <w:rPr>
                <w:rFonts w:ascii="宋体" w:eastAsia="宋体" w:cs="宋体"/>
                <w:color w:val="000000"/>
                <w:sz w:val="22"/>
              </w:rPr>
            </w:pPr>
          </w:p>
        </w:tc>
        <w:tc>
          <w:tcPr>
            <w:tcW w:w="1956" w:type="dxa"/>
            <w:noWrap/>
            <w:vAlign w:val="center"/>
          </w:tcPr>
          <w:p w14:paraId="1D7094F4">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困难补助标准</w:t>
            </w:r>
          </w:p>
        </w:tc>
        <w:tc>
          <w:tcPr>
            <w:tcW w:w="600" w:type="dxa"/>
            <w:noWrap/>
            <w:vAlign w:val="center"/>
          </w:tcPr>
          <w:p w14:paraId="75342844">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w:t>
            </w:r>
          </w:p>
        </w:tc>
        <w:tc>
          <w:tcPr>
            <w:tcW w:w="768" w:type="dxa"/>
            <w:noWrap/>
            <w:vAlign w:val="center"/>
          </w:tcPr>
          <w:p w14:paraId="4589848E">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0.335</w:t>
            </w:r>
          </w:p>
        </w:tc>
        <w:tc>
          <w:tcPr>
            <w:tcW w:w="624" w:type="dxa"/>
            <w:noWrap/>
            <w:vAlign w:val="center"/>
          </w:tcPr>
          <w:p w14:paraId="638D5F62">
            <w:pPr>
              <w:snapToGrid w:val="0"/>
              <w:jc w:val="center"/>
              <w:rPr>
                <w:rFonts w:hint="default" w:ascii="宋体" w:eastAsia="宋体" w:cs="宋体"/>
                <w:color w:val="000000"/>
                <w:sz w:val="22"/>
                <w:lang w:val="en-US" w:eastAsia="zh-CN"/>
              </w:rPr>
            </w:pPr>
            <w:r>
              <w:rPr>
                <w:rFonts w:hint="eastAsia" w:ascii="宋体" w:eastAsia="宋体" w:cs="宋体"/>
                <w:color w:val="000000"/>
                <w:sz w:val="22"/>
                <w:lang w:eastAsia="zh-CN"/>
              </w:rPr>
              <w:t>万元</w:t>
            </w:r>
            <w:r>
              <w:rPr>
                <w:rFonts w:hint="eastAsia" w:ascii="宋体" w:eastAsia="宋体" w:cs="宋体"/>
                <w:color w:val="000000"/>
                <w:sz w:val="22"/>
                <w:lang w:val="en-US" w:eastAsia="zh-CN"/>
              </w:rPr>
              <w:t>/人</w:t>
            </w:r>
          </w:p>
        </w:tc>
        <w:tc>
          <w:tcPr>
            <w:tcW w:w="720" w:type="dxa"/>
            <w:noWrap/>
            <w:vAlign w:val="center"/>
          </w:tcPr>
          <w:p w14:paraId="7805463C">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744" w:type="dxa"/>
            <w:noWrap/>
            <w:vAlign w:val="center"/>
          </w:tcPr>
          <w:p w14:paraId="2FA879B1">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0.335</w:t>
            </w:r>
          </w:p>
        </w:tc>
        <w:tc>
          <w:tcPr>
            <w:tcW w:w="576" w:type="dxa"/>
            <w:noWrap/>
            <w:vAlign w:val="center"/>
          </w:tcPr>
          <w:p w14:paraId="002353D9">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720" w:type="dxa"/>
            <w:noWrap/>
            <w:vAlign w:val="center"/>
          </w:tcPr>
          <w:p w14:paraId="5E15E587">
            <w:pPr>
              <w:snapToGrid w:val="0"/>
              <w:jc w:val="center"/>
              <w:rPr>
                <w:rFonts w:ascii="宋体" w:eastAsia="宋体" w:cs="宋体"/>
                <w:color w:val="000000"/>
                <w:sz w:val="22"/>
              </w:rPr>
            </w:pPr>
          </w:p>
        </w:tc>
        <w:tc>
          <w:tcPr>
            <w:tcW w:w="594" w:type="dxa"/>
            <w:vMerge w:val="continue"/>
            <w:noWrap/>
            <w:vAlign w:val="center"/>
          </w:tcPr>
          <w:p w14:paraId="7F5057B0">
            <w:pPr>
              <w:snapToGrid w:val="0"/>
              <w:jc w:val="center"/>
              <w:rPr>
                <w:rFonts w:ascii="宋体" w:eastAsia="宋体" w:cs="宋体"/>
                <w:color w:val="000000"/>
                <w:sz w:val="22"/>
              </w:rPr>
            </w:pPr>
          </w:p>
        </w:tc>
      </w:tr>
      <w:tr w14:paraId="7A8D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439" w:type="dxa"/>
            <w:vMerge w:val="continue"/>
            <w:noWrap/>
            <w:vAlign w:val="center"/>
          </w:tcPr>
          <w:p w14:paraId="3A2DEA71">
            <w:pPr>
              <w:snapToGrid w:val="0"/>
              <w:jc w:val="center"/>
              <w:textAlignment w:val="center"/>
              <w:rPr>
                <w:rFonts w:ascii="宋体" w:eastAsia="宋体"/>
                <w:color w:val="000000"/>
                <w:sz w:val="22"/>
              </w:rPr>
            </w:pPr>
          </w:p>
        </w:tc>
        <w:tc>
          <w:tcPr>
            <w:tcW w:w="2172" w:type="dxa"/>
            <w:vMerge w:val="continue"/>
            <w:noWrap/>
            <w:vAlign w:val="center"/>
          </w:tcPr>
          <w:p w14:paraId="28A074D9">
            <w:pPr>
              <w:snapToGrid w:val="0"/>
              <w:jc w:val="center"/>
              <w:rPr>
                <w:rFonts w:ascii="宋体" w:eastAsia="宋体" w:cs="宋体"/>
                <w:color w:val="000000"/>
                <w:sz w:val="22"/>
              </w:rPr>
            </w:pPr>
          </w:p>
        </w:tc>
        <w:tc>
          <w:tcPr>
            <w:tcW w:w="1956" w:type="dxa"/>
            <w:noWrap/>
            <w:vAlign w:val="center"/>
          </w:tcPr>
          <w:p w14:paraId="20B066A7">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促进学前教育儿童健康成长</w:t>
            </w:r>
          </w:p>
        </w:tc>
        <w:tc>
          <w:tcPr>
            <w:tcW w:w="600" w:type="dxa"/>
            <w:noWrap/>
            <w:vAlign w:val="center"/>
          </w:tcPr>
          <w:p w14:paraId="3233AAFF">
            <w:pPr>
              <w:tabs>
                <w:tab w:val="left" w:pos="451"/>
              </w:tabs>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定性</w:t>
            </w:r>
          </w:p>
        </w:tc>
        <w:tc>
          <w:tcPr>
            <w:tcW w:w="768" w:type="dxa"/>
            <w:noWrap/>
            <w:vAlign w:val="center"/>
          </w:tcPr>
          <w:p w14:paraId="4D5DA4A5">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好</w:t>
            </w:r>
          </w:p>
        </w:tc>
        <w:tc>
          <w:tcPr>
            <w:tcW w:w="624" w:type="dxa"/>
            <w:noWrap/>
            <w:vAlign w:val="center"/>
          </w:tcPr>
          <w:p w14:paraId="6EF50A76">
            <w:pPr>
              <w:snapToGrid w:val="0"/>
              <w:jc w:val="center"/>
              <w:rPr>
                <w:rFonts w:ascii="宋体" w:eastAsia="宋体" w:cs="宋体"/>
                <w:color w:val="000000"/>
                <w:sz w:val="22"/>
              </w:rPr>
            </w:pPr>
          </w:p>
        </w:tc>
        <w:tc>
          <w:tcPr>
            <w:tcW w:w="720" w:type="dxa"/>
            <w:noWrap/>
            <w:vAlign w:val="center"/>
          </w:tcPr>
          <w:p w14:paraId="432C96F7">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w:t>
            </w:r>
          </w:p>
        </w:tc>
        <w:tc>
          <w:tcPr>
            <w:tcW w:w="744" w:type="dxa"/>
            <w:noWrap/>
            <w:vAlign w:val="center"/>
          </w:tcPr>
          <w:p w14:paraId="1D33B0F3">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全部完成</w:t>
            </w:r>
          </w:p>
        </w:tc>
        <w:tc>
          <w:tcPr>
            <w:tcW w:w="576" w:type="dxa"/>
            <w:noWrap/>
            <w:vAlign w:val="center"/>
          </w:tcPr>
          <w:p w14:paraId="37B82013">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w:t>
            </w:r>
          </w:p>
        </w:tc>
        <w:tc>
          <w:tcPr>
            <w:tcW w:w="720" w:type="dxa"/>
            <w:noWrap/>
            <w:vAlign w:val="center"/>
          </w:tcPr>
          <w:p w14:paraId="5C12EAF2">
            <w:pPr>
              <w:snapToGrid w:val="0"/>
              <w:jc w:val="center"/>
              <w:rPr>
                <w:rFonts w:ascii="宋体" w:eastAsia="宋体" w:cs="宋体"/>
                <w:color w:val="000000"/>
                <w:sz w:val="22"/>
              </w:rPr>
            </w:pPr>
          </w:p>
        </w:tc>
        <w:tc>
          <w:tcPr>
            <w:tcW w:w="594" w:type="dxa"/>
            <w:vMerge w:val="continue"/>
            <w:noWrap/>
            <w:vAlign w:val="center"/>
          </w:tcPr>
          <w:p w14:paraId="5C305224">
            <w:pPr>
              <w:snapToGrid w:val="0"/>
              <w:jc w:val="center"/>
              <w:rPr>
                <w:rFonts w:ascii="宋体" w:eastAsia="宋体" w:cs="宋体"/>
                <w:color w:val="000000"/>
                <w:sz w:val="22"/>
              </w:rPr>
            </w:pPr>
          </w:p>
        </w:tc>
      </w:tr>
      <w:tr w14:paraId="54E1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439" w:type="dxa"/>
            <w:vMerge w:val="continue"/>
            <w:noWrap/>
            <w:vAlign w:val="center"/>
          </w:tcPr>
          <w:p w14:paraId="49E87091">
            <w:pPr>
              <w:snapToGrid w:val="0"/>
              <w:jc w:val="center"/>
              <w:textAlignment w:val="center"/>
              <w:rPr>
                <w:rFonts w:ascii="宋体" w:eastAsia="宋体"/>
                <w:color w:val="000000"/>
                <w:sz w:val="22"/>
              </w:rPr>
            </w:pPr>
          </w:p>
        </w:tc>
        <w:tc>
          <w:tcPr>
            <w:tcW w:w="2172" w:type="dxa"/>
            <w:vMerge w:val="continue"/>
            <w:noWrap/>
            <w:vAlign w:val="center"/>
          </w:tcPr>
          <w:p w14:paraId="69C998A1">
            <w:pPr>
              <w:snapToGrid w:val="0"/>
              <w:jc w:val="center"/>
              <w:rPr>
                <w:rFonts w:ascii="宋体" w:eastAsia="宋体" w:cs="宋体"/>
                <w:color w:val="000000"/>
                <w:sz w:val="22"/>
              </w:rPr>
            </w:pPr>
          </w:p>
        </w:tc>
        <w:tc>
          <w:tcPr>
            <w:tcW w:w="1956" w:type="dxa"/>
            <w:noWrap/>
            <w:vAlign w:val="center"/>
          </w:tcPr>
          <w:p w14:paraId="456DCB47">
            <w:pPr>
              <w:snapToGrid w:val="0"/>
              <w:jc w:val="center"/>
              <w:rPr>
                <w:rFonts w:hint="default" w:ascii="宋体" w:eastAsia="宋体" w:cs="宋体"/>
                <w:color w:val="000000"/>
                <w:sz w:val="22"/>
                <w:lang w:val="en-US" w:eastAsia="zh-CN"/>
              </w:rPr>
            </w:pPr>
            <w:r>
              <w:rPr>
                <w:rFonts w:hint="eastAsia" w:cs="宋体"/>
                <w:color w:val="000000"/>
                <w:sz w:val="22"/>
                <w:lang w:val="en-US" w:eastAsia="zh-CN"/>
              </w:rPr>
              <w:t>执行率</w:t>
            </w:r>
          </w:p>
        </w:tc>
        <w:tc>
          <w:tcPr>
            <w:tcW w:w="600" w:type="dxa"/>
            <w:noWrap/>
            <w:vAlign w:val="center"/>
          </w:tcPr>
          <w:p w14:paraId="4FBE6201">
            <w:pPr>
              <w:tabs>
                <w:tab w:val="left" w:pos="451"/>
              </w:tabs>
              <w:snapToGrid w:val="0"/>
              <w:jc w:val="center"/>
              <w:rPr>
                <w:rFonts w:hint="default" w:ascii="宋体" w:eastAsia="宋体" w:cs="宋体"/>
                <w:color w:val="000000"/>
                <w:sz w:val="22"/>
                <w:lang w:val="en-US" w:eastAsia="zh-CN"/>
              </w:rPr>
            </w:pPr>
            <w:r>
              <w:rPr>
                <w:rFonts w:hint="eastAsia" w:cs="宋体"/>
                <w:color w:val="000000"/>
                <w:sz w:val="22"/>
                <w:lang w:val="en-US" w:eastAsia="zh-CN"/>
              </w:rPr>
              <w:t>=</w:t>
            </w:r>
          </w:p>
        </w:tc>
        <w:tc>
          <w:tcPr>
            <w:tcW w:w="768" w:type="dxa"/>
            <w:noWrap/>
            <w:vAlign w:val="center"/>
          </w:tcPr>
          <w:p w14:paraId="6D21B464">
            <w:pPr>
              <w:snapToGrid w:val="0"/>
              <w:jc w:val="center"/>
              <w:rPr>
                <w:rFonts w:hint="default" w:ascii="宋体" w:eastAsia="宋体" w:cs="宋体"/>
                <w:color w:val="000000"/>
                <w:sz w:val="22"/>
                <w:lang w:val="en-US" w:eastAsia="zh-CN"/>
              </w:rPr>
            </w:pPr>
            <w:r>
              <w:rPr>
                <w:rFonts w:hint="eastAsia" w:cs="宋体"/>
                <w:color w:val="000000"/>
                <w:sz w:val="22"/>
                <w:lang w:val="en-US" w:eastAsia="zh-CN"/>
              </w:rPr>
              <w:t>100</w:t>
            </w:r>
          </w:p>
        </w:tc>
        <w:tc>
          <w:tcPr>
            <w:tcW w:w="624" w:type="dxa"/>
            <w:noWrap/>
            <w:vAlign w:val="center"/>
          </w:tcPr>
          <w:p w14:paraId="63609C8E">
            <w:pPr>
              <w:snapToGrid w:val="0"/>
              <w:jc w:val="center"/>
              <w:rPr>
                <w:rFonts w:hint="eastAsia" w:ascii="宋体" w:eastAsia="宋体" w:cs="宋体"/>
                <w:color w:val="000000"/>
                <w:sz w:val="22"/>
                <w:lang w:val="en-US" w:eastAsia="zh-CN"/>
              </w:rPr>
            </w:pPr>
            <w:r>
              <w:rPr>
                <w:rFonts w:hint="eastAsia" w:cs="宋体"/>
                <w:color w:val="000000"/>
                <w:sz w:val="22"/>
                <w:lang w:val="en-US" w:eastAsia="zh-CN"/>
              </w:rPr>
              <w:t>%</w:t>
            </w:r>
          </w:p>
        </w:tc>
        <w:tc>
          <w:tcPr>
            <w:tcW w:w="720" w:type="dxa"/>
            <w:noWrap/>
            <w:vAlign w:val="center"/>
          </w:tcPr>
          <w:p w14:paraId="65E82A87">
            <w:pPr>
              <w:snapToGrid w:val="0"/>
              <w:jc w:val="center"/>
              <w:rPr>
                <w:rFonts w:hint="default" w:ascii="宋体" w:eastAsia="宋体" w:cs="宋体"/>
                <w:color w:val="000000"/>
                <w:sz w:val="22"/>
                <w:lang w:val="en-US" w:eastAsia="zh-CN"/>
              </w:rPr>
            </w:pPr>
            <w:r>
              <w:rPr>
                <w:rFonts w:hint="eastAsia" w:cs="宋体"/>
                <w:color w:val="000000"/>
                <w:sz w:val="22"/>
                <w:lang w:val="en-US" w:eastAsia="zh-CN"/>
              </w:rPr>
              <w:t>10</w:t>
            </w:r>
          </w:p>
        </w:tc>
        <w:tc>
          <w:tcPr>
            <w:tcW w:w="744" w:type="dxa"/>
            <w:noWrap/>
            <w:vAlign w:val="center"/>
          </w:tcPr>
          <w:p w14:paraId="487DD2F9">
            <w:pPr>
              <w:snapToGrid w:val="0"/>
              <w:jc w:val="center"/>
              <w:rPr>
                <w:rFonts w:hint="default" w:ascii="宋体" w:eastAsia="宋体" w:cs="宋体"/>
                <w:color w:val="000000"/>
                <w:sz w:val="22"/>
                <w:lang w:val="en-US" w:eastAsia="zh-CN"/>
              </w:rPr>
            </w:pPr>
            <w:r>
              <w:rPr>
                <w:rFonts w:hint="eastAsia" w:cs="宋体"/>
                <w:color w:val="000000"/>
                <w:sz w:val="22"/>
                <w:lang w:val="en-US" w:eastAsia="zh-CN"/>
              </w:rPr>
              <w:t>100</w:t>
            </w:r>
          </w:p>
        </w:tc>
        <w:tc>
          <w:tcPr>
            <w:tcW w:w="576" w:type="dxa"/>
            <w:noWrap/>
            <w:vAlign w:val="center"/>
          </w:tcPr>
          <w:p w14:paraId="02F7786A">
            <w:pPr>
              <w:snapToGrid w:val="0"/>
              <w:jc w:val="center"/>
              <w:rPr>
                <w:rFonts w:hint="default" w:ascii="宋体" w:eastAsia="宋体" w:cs="宋体"/>
                <w:color w:val="000000"/>
                <w:sz w:val="22"/>
                <w:lang w:val="en-US" w:eastAsia="zh-CN"/>
              </w:rPr>
            </w:pPr>
            <w:r>
              <w:rPr>
                <w:rFonts w:hint="eastAsia" w:cs="宋体"/>
                <w:color w:val="000000"/>
                <w:sz w:val="22"/>
                <w:lang w:val="en-US" w:eastAsia="zh-CN"/>
              </w:rPr>
              <w:t>10</w:t>
            </w:r>
          </w:p>
        </w:tc>
        <w:tc>
          <w:tcPr>
            <w:tcW w:w="720" w:type="dxa"/>
            <w:noWrap/>
            <w:vAlign w:val="center"/>
          </w:tcPr>
          <w:p w14:paraId="7A353969">
            <w:pPr>
              <w:snapToGrid w:val="0"/>
              <w:jc w:val="center"/>
              <w:rPr>
                <w:rFonts w:ascii="宋体" w:eastAsia="宋体" w:cs="宋体"/>
                <w:color w:val="000000"/>
                <w:sz w:val="22"/>
              </w:rPr>
            </w:pPr>
          </w:p>
        </w:tc>
        <w:tc>
          <w:tcPr>
            <w:tcW w:w="594" w:type="dxa"/>
            <w:vMerge w:val="continue"/>
            <w:noWrap/>
            <w:vAlign w:val="center"/>
          </w:tcPr>
          <w:p w14:paraId="7B193680">
            <w:pPr>
              <w:snapToGrid w:val="0"/>
              <w:jc w:val="center"/>
              <w:rPr>
                <w:rFonts w:ascii="宋体" w:eastAsia="宋体" w:cs="宋体"/>
                <w:color w:val="000000"/>
                <w:sz w:val="22"/>
              </w:rPr>
            </w:pPr>
          </w:p>
        </w:tc>
      </w:tr>
      <w:tr w14:paraId="6699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439" w:type="dxa"/>
            <w:vMerge w:val="continue"/>
            <w:noWrap/>
            <w:vAlign w:val="center"/>
          </w:tcPr>
          <w:p w14:paraId="4AB9826C">
            <w:pPr>
              <w:snapToGrid w:val="0"/>
              <w:jc w:val="center"/>
              <w:textAlignment w:val="center"/>
              <w:rPr>
                <w:rFonts w:ascii="宋体" w:eastAsia="宋体"/>
                <w:color w:val="000000"/>
                <w:sz w:val="22"/>
              </w:rPr>
            </w:pPr>
          </w:p>
        </w:tc>
        <w:tc>
          <w:tcPr>
            <w:tcW w:w="2172" w:type="dxa"/>
            <w:vMerge w:val="continue"/>
            <w:noWrap/>
            <w:vAlign w:val="center"/>
          </w:tcPr>
          <w:p w14:paraId="53C7E0D4">
            <w:pPr>
              <w:snapToGrid w:val="0"/>
              <w:jc w:val="center"/>
              <w:rPr>
                <w:rFonts w:ascii="宋体" w:eastAsia="宋体" w:cs="宋体"/>
                <w:color w:val="000000"/>
                <w:sz w:val="22"/>
              </w:rPr>
            </w:pPr>
          </w:p>
        </w:tc>
        <w:tc>
          <w:tcPr>
            <w:tcW w:w="1956" w:type="dxa"/>
            <w:noWrap/>
            <w:vAlign w:val="center"/>
          </w:tcPr>
          <w:p w14:paraId="5270F67E">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学生满意度</w:t>
            </w:r>
          </w:p>
        </w:tc>
        <w:tc>
          <w:tcPr>
            <w:tcW w:w="600" w:type="dxa"/>
            <w:noWrap/>
            <w:vAlign w:val="center"/>
          </w:tcPr>
          <w:p w14:paraId="61026A60">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w:t>
            </w:r>
          </w:p>
        </w:tc>
        <w:tc>
          <w:tcPr>
            <w:tcW w:w="768" w:type="dxa"/>
            <w:noWrap/>
            <w:vAlign w:val="center"/>
          </w:tcPr>
          <w:p w14:paraId="6F145176">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95</w:t>
            </w:r>
          </w:p>
        </w:tc>
        <w:tc>
          <w:tcPr>
            <w:tcW w:w="624" w:type="dxa"/>
            <w:noWrap/>
            <w:vAlign w:val="center"/>
          </w:tcPr>
          <w:p w14:paraId="0176E77F">
            <w:pPr>
              <w:snapToGrid w:val="0"/>
              <w:jc w:val="center"/>
              <w:rPr>
                <w:rFonts w:hint="eastAsia" w:ascii="宋体" w:eastAsia="宋体" w:cs="宋体"/>
                <w:color w:val="000000"/>
                <w:sz w:val="22"/>
                <w:lang w:val="en-US" w:eastAsia="zh-CN"/>
              </w:rPr>
            </w:pPr>
            <w:r>
              <w:rPr>
                <w:rFonts w:hint="eastAsia" w:ascii="宋体" w:eastAsia="宋体" w:cs="宋体"/>
                <w:color w:val="000000"/>
                <w:sz w:val="22"/>
                <w:lang w:val="en-US" w:eastAsia="zh-CN"/>
              </w:rPr>
              <w:t>%</w:t>
            </w:r>
          </w:p>
        </w:tc>
        <w:tc>
          <w:tcPr>
            <w:tcW w:w="720" w:type="dxa"/>
            <w:noWrap/>
            <w:vAlign w:val="center"/>
          </w:tcPr>
          <w:p w14:paraId="2C38DA97">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744" w:type="dxa"/>
            <w:noWrap/>
            <w:vAlign w:val="center"/>
          </w:tcPr>
          <w:p w14:paraId="062E9179">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95</w:t>
            </w:r>
          </w:p>
        </w:tc>
        <w:tc>
          <w:tcPr>
            <w:tcW w:w="576" w:type="dxa"/>
            <w:noWrap/>
            <w:vAlign w:val="center"/>
          </w:tcPr>
          <w:p w14:paraId="7441EDC8">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720" w:type="dxa"/>
            <w:noWrap/>
            <w:vAlign w:val="center"/>
          </w:tcPr>
          <w:p w14:paraId="55A8F25A">
            <w:pPr>
              <w:snapToGrid w:val="0"/>
              <w:jc w:val="center"/>
              <w:rPr>
                <w:rFonts w:ascii="宋体" w:eastAsia="宋体" w:cs="宋体"/>
                <w:color w:val="000000"/>
                <w:sz w:val="22"/>
              </w:rPr>
            </w:pPr>
          </w:p>
        </w:tc>
        <w:tc>
          <w:tcPr>
            <w:tcW w:w="594" w:type="dxa"/>
            <w:vMerge w:val="continue"/>
            <w:noWrap/>
            <w:vAlign w:val="center"/>
          </w:tcPr>
          <w:p w14:paraId="3066A10D">
            <w:pPr>
              <w:snapToGrid w:val="0"/>
              <w:jc w:val="center"/>
              <w:rPr>
                <w:rFonts w:ascii="宋体" w:eastAsia="宋体" w:cs="宋体"/>
                <w:color w:val="000000"/>
                <w:sz w:val="22"/>
              </w:rPr>
            </w:pPr>
          </w:p>
        </w:tc>
      </w:tr>
    </w:tbl>
    <w:p w14:paraId="64565592">
      <w:pPr>
        <w:pStyle w:val="8"/>
        <w:widowControl/>
        <w:shd w:val="clear" w:color="auto" w:fill="FFFFFF"/>
        <w:adjustRightInd w:val="0"/>
        <w:snapToGrid w:val="0"/>
        <w:spacing w:before="0" w:beforeAutospacing="0" w:after="0" w:afterAutospacing="0" w:line="600" w:lineRule="exact"/>
        <w:ind w:firstLine="640" w:firstLineChars="200"/>
        <w:jc w:val="both"/>
        <w:rPr>
          <w:rFonts w:hint="eastAsia"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（二）单位重点绩效评价情况</w:t>
      </w:r>
    </w:p>
    <w:p w14:paraId="6CF23DCD">
      <w:pPr>
        <w:tabs>
          <w:tab w:val="center" w:pos="4153"/>
          <w:tab w:val="left" w:pos="7275"/>
        </w:tabs>
        <w:spacing w:line="600" w:lineRule="exact"/>
        <w:ind w:firstLine="640" w:firstLineChars="200"/>
        <w:jc w:val="both"/>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我单位对2024年学前教育家庭经济困难幼儿资助专项经费》开展了绩效评价，涉及财政拨款项目资金5.36万元，评价得分100分，评价等次为优，绩效评价中，未发现明显问题，财政资金均实行专项管理，专款专用。在项目实施过程中，严格按专项资金管理办法和各项财务管理制度执行，审批流程齐全、附件资料完整，资金使用无截留、挤占、挪用、虚列支出等情况。</w:t>
      </w:r>
    </w:p>
    <w:p w14:paraId="2A179DCE">
      <w:pPr>
        <w:pStyle w:val="8"/>
        <w:widowControl/>
        <w:shd w:val="clear" w:color="auto" w:fill="FFFFFF"/>
        <w:adjustRightInd w:val="0"/>
        <w:snapToGrid w:val="0"/>
        <w:spacing w:before="0" w:beforeAutospacing="0" w:after="0" w:afterAutospacing="0" w:line="600" w:lineRule="exact"/>
        <w:ind w:firstLine="640" w:firstLineChars="200"/>
        <w:jc w:val="both"/>
        <w:rPr>
          <w:rFonts w:hint="eastAsia" w:ascii="Times New Roman" w:hAnsi="Times New Roman" w:eastAsia="方正楷体_GBK"/>
          <w:bCs/>
          <w:kern w:val="0"/>
          <w:sz w:val="32"/>
          <w:szCs w:val="32"/>
          <w:lang w:val="en-US" w:eastAsia="zh-CN"/>
        </w:rPr>
      </w:pPr>
      <w:r>
        <w:rPr>
          <w:rFonts w:hint="eastAsia" w:ascii="Times New Roman" w:hAnsi="Times New Roman" w:eastAsia="方正楷体_GBK"/>
          <w:bCs/>
          <w:kern w:val="0"/>
          <w:sz w:val="32"/>
          <w:szCs w:val="32"/>
          <w:lang w:val="en-US" w:eastAsia="zh-CN"/>
        </w:rPr>
        <w:t>（三）财政绩效评价情况</w:t>
      </w:r>
    </w:p>
    <w:p w14:paraId="4DC456E5">
      <w:pPr>
        <w:tabs>
          <w:tab w:val="center" w:pos="4153"/>
          <w:tab w:val="left" w:pos="7275"/>
        </w:tabs>
        <w:spacing w:line="600" w:lineRule="exact"/>
        <w:ind w:firstLine="640" w:firstLineChars="200"/>
        <w:jc w:val="both"/>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财政</w:t>
      </w:r>
      <w:bookmarkStart w:id="0" w:name="_GoBack"/>
      <w:bookmarkEnd w:id="0"/>
      <w:r>
        <w:rPr>
          <w:rFonts w:hint="eastAsia" w:ascii="Times New Roman" w:hAnsi="Times New Roman" w:eastAsia="方正仿宋_GBK" w:cs="宋体"/>
          <w:kern w:val="0"/>
          <w:sz w:val="32"/>
          <w:szCs w:val="32"/>
          <w:lang w:val="en-US" w:eastAsia="zh-CN" w:bidi="ar-SA"/>
        </w:rPr>
        <w:t>重点绩效评价工作由区财政局统一公开。</w:t>
      </w:r>
    </w:p>
    <w:p w14:paraId="5BAAD38E">
      <w:pPr>
        <w:widowControl w:val="0"/>
        <w:spacing w:line="600" w:lineRule="exact"/>
        <w:ind w:firstLine="640" w:firstLineChars="200"/>
        <w:jc w:val="both"/>
        <w:rPr>
          <w:rFonts w:hint="eastAsia" w:ascii="Times New Roman" w:hAnsi="Times New Roman" w:eastAsia="方正黑体_GBK" w:cs="宋体"/>
          <w:bCs/>
          <w:kern w:val="0"/>
          <w:sz w:val="32"/>
          <w:szCs w:val="20"/>
          <w:lang w:val="en-US" w:eastAsia="zh-CN" w:bidi="ar-SA"/>
        </w:rPr>
      </w:pPr>
      <w:r>
        <w:rPr>
          <w:rFonts w:hint="eastAsia" w:ascii="Times New Roman" w:hAnsi="Times New Roman" w:eastAsia="方正黑体_GBK" w:cs="宋体"/>
          <w:bCs/>
          <w:kern w:val="0"/>
          <w:sz w:val="32"/>
          <w:szCs w:val="20"/>
          <w:lang w:val="en-US" w:eastAsia="zh-CN" w:bidi="ar-SA"/>
        </w:rPr>
        <w:t>六、专业名词解释</w:t>
      </w:r>
    </w:p>
    <w:p w14:paraId="3469B297">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楷体_GBK" w:cs="Times New Roman"/>
          <w:bCs/>
          <w:kern w:val="0"/>
          <w:sz w:val="32"/>
          <w:szCs w:val="32"/>
          <w:lang w:val="en-US" w:eastAsia="zh-CN" w:bidi="ar-SA"/>
        </w:rPr>
        <w:t>（一）财政拨款收入：</w:t>
      </w:r>
      <w:r>
        <w:rPr>
          <w:rFonts w:hint="eastAsia" w:ascii="Times New Roman" w:hAnsi="Times New Roman" w:eastAsia="方正仿宋_GBK" w:cs="宋体"/>
          <w:kern w:val="0"/>
          <w:sz w:val="32"/>
          <w:szCs w:val="32"/>
          <w:lang w:val="en-US" w:eastAsia="zh-CN" w:bidi="ar-SA"/>
        </w:rPr>
        <w:t>指本年度从本级财政单位取得的财政拨款，包括一般公共预算财政拨款和政府性基金预算财政拨款。</w:t>
      </w:r>
    </w:p>
    <w:p w14:paraId="033001AF">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楷体_GBK" w:cs="Times New Roman"/>
          <w:bCs/>
          <w:kern w:val="0"/>
          <w:sz w:val="32"/>
          <w:szCs w:val="32"/>
          <w:lang w:val="en-US" w:eastAsia="zh-CN" w:bidi="ar-SA"/>
        </w:rPr>
        <w:t>（二）事业收入：</w:t>
      </w:r>
      <w:r>
        <w:rPr>
          <w:rFonts w:hint="eastAsia" w:ascii="Times New Roman" w:hAnsi="Times New Roman" w:eastAsia="方正仿宋_GBK" w:cs="宋体"/>
          <w:kern w:val="0"/>
          <w:sz w:val="32"/>
          <w:szCs w:val="32"/>
          <w:lang w:val="en-US" w:eastAsia="zh-CN" w:bidi="ar-SA"/>
        </w:rPr>
        <w:t>指事业单位开展专业业务活动及其辅助活动取得的现金流入；事业单位收到的财政专户实际核拨的教育收费等资金在此反映。</w:t>
      </w:r>
    </w:p>
    <w:p w14:paraId="566868CA">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Times New Roman"/>
          <w:bCs/>
          <w:kern w:val="0"/>
          <w:sz w:val="32"/>
          <w:szCs w:val="32"/>
          <w:lang w:val="en-US" w:eastAsia="zh-CN" w:bidi="ar-SA"/>
        </w:rPr>
        <w:t>（三）经营收入：</w:t>
      </w:r>
      <w:r>
        <w:rPr>
          <w:rFonts w:hint="eastAsia" w:ascii="Times New Roman" w:hAnsi="Times New Roman" w:eastAsia="方正仿宋_GBK" w:cs="宋体"/>
          <w:kern w:val="0"/>
          <w:sz w:val="32"/>
          <w:szCs w:val="32"/>
          <w:lang w:val="en-US" w:eastAsia="zh-CN" w:bidi="ar-SA"/>
        </w:rPr>
        <w:t>指事业单位在专业业务活动及其辅助活动之外开展非独立核算经营活动取得的现金流入。</w:t>
      </w:r>
    </w:p>
    <w:p w14:paraId="1B5DBA54">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楷体_GBK" w:cs="Times New Roman"/>
          <w:bCs/>
          <w:kern w:val="0"/>
          <w:sz w:val="32"/>
          <w:szCs w:val="32"/>
          <w:lang w:val="en-US" w:eastAsia="zh-CN" w:bidi="ar-SA"/>
        </w:rPr>
        <w:t>（四）其他收入：</w:t>
      </w:r>
      <w:r>
        <w:rPr>
          <w:rFonts w:hint="eastAsia" w:ascii="Times New Roman" w:hAnsi="Times New Roman" w:eastAsia="方正仿宋_GBK" w:cs="宋体"/>
          <w:kern w:val="0"/>
          <w:sz w:val="32"/>
          <w:szCs w:val="32"/>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3E3CDDD8">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楷体_GBK" w:cs="Times New Roman"/>
          <w:bCs/>
          <w:kern w:val="0"/>
          <w:sz w:val="32"/>
          <w:szCs w:val="32"/>
          <w:lang w:val="en-US" w:eastAsia="zh-CN" w:bidi="ar-SA"/>
        </w:rPr>
        <w:t>（五）使用非财政拨款结余：</w:t>
      </w:r>
      <w:r>
        <w:rPr>
          <w:rFonts w:hint="eastAsia" w:ascii="Times New Roman" w:hAnsi="Times New Roman" w:eastAsia="方正仿宋_GBK" w:cs="宋体"/>
          <w:kern w:val="0"/>
          <w:sz w:val="32"/>
          <w:szCs w:val="32"/>
          <w:lang w:val="en-US" w:eastAsia="zh-CN" w:bidi="ar-SA"/>
        </w:rPr>
        <w:t>指单位在当年的“财政拨款收入”、“事业收入”、“经营收入”、“其他收入”等不足以安排当年支出的情况下，使用以前年度积累的非财政拨款结余弥补本年度收支缺口的资金。</w:t>
      </w:r>
    </w:p>
    <w:p w14:paraId="2D9BC709">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楷体_GBK" w:cs="Times New Roman"/>
          <w:bCs/>
          <w:kern w:val="0"/>
          <w:sz w:val="32"/>
          <w:szCs w:val="32"/>
          <w:lang w:val="en-US" w:eastAsia="zh-CN" w:bidi="ar-SA"/>
        </w:rPr>
        <w:t>（六）年初结转和结余：</w:t>
      </w:r>
      <w:r>
        <w:rPr>
          <w:rFonts w:hint="eastAsia" w:ascii="Times New Roman" w:hAnsi="Times New Roman" w:eastAsia="方正仿宋_GBK" w:cs="宋体"/>
          <w:kern w:val="0"/>
          <w:sz w:val="32"/>
          <w:szCs w:val="32"/>
          <w:lang w:val="en-US" w:eastAsia="zh-CN" w:bidi="ar-SA"/>
        </w:rPr>
        <w:t>指单位上年结转本年使用的基本支出结转、项目支出结转和结余、经营结余。</w:t>
      </w:r>
    </w:p>
    <w:p w14:paraId="2EDC6621">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楷体_GBK" w:cs="Times New Roman"/>
          <w:bCs/>
          <w:kern w:val="0"/>
          <w:sz w:val="32"/>
          <w:szCs w:val="32"/>
          <w:lang w:val="en-US" w:eastAsia="zh-CN" w:bidi="ar-SA"/>
        </w:rPr>
        <w:t>（七）结余分配：</w:t>
      </w:r>
      <w:r>
        <w:rPr>
          <w:rFonts w:hint="eastAsia" w:ascii="Times New Roman" w:hAnsi="Times New Roman" w:eastAsia="方正仿宋_GBK" w:cs="宋体"/>
          <w:kern w:val="0"/>
          <w:sz w:val="32"/>
          <w:szCs w:val="32"/>
          <w:lang w:val="en-US" w:eastAsia="zh-CN" w:bidi="ar-SA"/>
        </w:rPr>
        <w:t>指单位按照国家有关规定，缴纳所得税、提取专用基金、转入非财政拨款结余等当年结余的分配情况。</w:t>
      </w:r>
    </w:p>
    <w:p w14:paraId="3DD66F02">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Times New Roman"/>
          <w:bCs/>
          <w:kern w:val="0"/>
          <w:sz w:val="32"/>
          <w:szCs w:val="32"/>
          <w:lang w:val="en-US" w:eastAsia="zh-CN" w:bidi="ar-SA"/>
        </w:rPr>
        <w:t>（八）年末结转和结余：</w:t>
      </w:r>
      <w:r>
        <w:rPr>
          <w:rFonts w:hint="eastAsia" w:ascii="Times New Roman" w:hAnsi="Times New Roman" w:eastAsia="方正仿宋_GBK" w:cs="宋体"/>
          <w:kern w:val="0"/>
          <w:sz w:val="32"/>
          <w:szCs w:val="32"/>
          <w:lang w:val="en-US" w:eastAsia="zh-CN" w:bidi="ar-SA"/>
        </w:rPr>
        <w:t>指单位结转下年的基本支出结转、项目支出结转和结余、经营结余。</w:t>
      </w:r>
    </w:p>
    <w:p w14:paraId="4B02CD34">
      <w:pPr>
        <w:tabs>
          <w:tab w:val="center" w:pos="4153"/>
          <w:tab w:val="left" w:pos="7275"/>
        </w:tabs>
        <w:spacing w:line="600" w:lineRule="exact"/>
        <w:ind w:firstLine="640" w:firstLineChars="200"/>
        <w:jc w:val="both"/>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楷体_GBK" w:cs="Times New Roman"/>
          <w:bCs/>
          <w:kern w:val="0"/>
          <w:sz w:val="32"/>
          <w:szCs w:val="32"/>
          <w:lang w:val="en-US" w:eastAsia="zh-CN" w:bidi="ar-SA"/>
        </w:rPr>
        <w:t>（九）基本支出：</w:t>
      </w:r>
      <w:r>
        <w:rPr>
          <w:rFonts w:hint="eastAsia" w:ascii="Times New Roman" w:hAnsi="Times New Roman" w:eastAsia="方正仿宋_GBK" w:cs="宋体"/>
          <w:kern w:val="0"/>
          <w:sz w:val="32"/>
          <w:szCs w:val="32"/>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EB40E9F">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Times New Roman"/>
          <w:bCs/>
          <w:kern w:val="0"/>
          <w:sz w:val="32"/>
          <w:szCs w:val="32"/>
          <w:lang w:val="en-US" w:eastAsia="zh-CN" w:bidi="ar-SA"/>
        </w:rPr>
        <w:t>（十）项目支出：</w:t>
      </w:r>
      <w:r>
        <w:rPr>
          <w:rFonts w:hint="eastAsia" w:ascii="Times New Roman" w:hAnsi="Times New Roman" w:eastAsia="方正仿宋_GBK" w:cs="宋体"/>
          <w:kern w:val="0"/>
          <w:sz w:val="32"/>
          <w:szCs w:val="32"/>
          <w:lang w:val="en-US" w:eastAsia="zh-CN" w:bidi="ar-SA"/>
        </w:rPr>
        <w:t>指在基本支出之外为完成特定行政任务和事业发展目标所发生的支出。</w:t>
      </w:r>
    </w:p>
    <w:p w14:paraId="4C1BBAB4">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楷体_GBK" w:cs="Times New Roman"/>
          <w:bCs/>
          <w:kern w:val="0"/>
          <w:sz w:val="32"/>
          <w:szCs w:val="32"/>
          <w:lang w:val="en-US" w:eastAsia="zh-CN" w:bidi="ar-SA"/>
        </w:rPr>
        <w:t>（十一）经营支出：</w:t>
      </w:r>
      <w:r>
        <w:rPr>
          <w:rFonts w:hint="eastAsia" w:ascii="Times New Roman" w:hAnsi="Times New Roman" w:eastAsia="方正仿宋_GBK" w:cs="宋体"/>
          <w:kern w:val="0"/>
          <w:sz w:val="32"/>
          <w:szCs w:val="32"/>
          <w:lang w:val="en-US" w:eastAsia="zh-CN" w:bidi="ar-SA"/>
        </w:rPr>
        <w:t>指事业单位在专业业务活动及其辅助活动之外开展非独立核算经营活动发生的支出。</w:t>
      </w:r>
    </w:p>
    <w:p w14:paraId="00925E77">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楷体_GBK" w:cs="Times New Roman"/>
          <w:bCs/>
          <w:kern w:val="0"/>
          <w:sz w:val="32"/>
          <w:szCs w:val="32"/>
          <w:lang w:val="en-US" w:eastAsia="zh-CN" w:bidi="ar-SA"/>
        </w:rPr>
        <w:t>（十二）“三公”经费：</w:t>
      </w:r>
      <w:r>
        <w:rPr>
          <w:rFonts w:hint="eastAsia" w:ascii="Times New Roman" w:hAnsi="Times New Roman" w:eastAsia="方正仿宋_GBK" w:cs="宋体"/>
          <w:kern w:val="0"/>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BC35F19">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楷体_GBK" w:cs="Times New Roman"/>
          <w:bCs/>
          <w:kern w:val="0"/>
          <w:sz w:val="32"/>
          <w:szCs w:val="32"/>
          <w:lang w:val="en-US" w:eastAsia="zh-CN" w:bidi="ar-SA"/>
        </w:rPr>
        <w:t>（十三）机关运行经费：</w:t>
      </w:r>
      <w:r>
        <w:rPr>
          <w:rFonts w:hint="eastAsia" w:ascii="Times New Roman" w:hAnsi="Times New Roman" w:eastAsia="方正仿宋_GBK" w:cs="宋体"/>
          <w:kern w:val="0"/>
          <w:sz w:val="32"/>
          <w:szCs w:val="32"/>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092135F">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楷体_GBK" w:cs="Times New Roman"/>
          <w:bCs/>
          <w:kern w:val="0"/>
          <w:sz w:val="32"/>
          <w:szCs w:val="32"/>
          <w:lang w:val="en-US" w:eastAsia="zh-CN" w:bidi="ar-SA"/>
        </w:rPr>
        <w:t>（十四）工资福利支出（支出经济分类科目类级）：</w:t>
      </w:r>
      <w:r>
        <w:rPr>
          <w:rFonts w:hint="eastAsia" w:ascii="Times New Roman" w:hAnsi="Times New Roman" w:eastAsia="方正仿宋_GBK" w:cs="宋体"/>
          <w:kern w:val="0"/>
          <w:sz w:val="32"/>
          <w:szCs w:val="32"/>
          <w:lang w:val="en-US" w:eastAsia="zh-CN" w:bidi="ar-SA"/>
        </w:rPr>
        <w:t>反映单位开支的在职职工和编制外长期聘用人员的各类劳动报酬，以及为上述人员缴纳的各项社会保险费等。</w:t>
      </w:r>
    </w:p>
    <w:p w14:paraId="6D6C9CA7">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Times New Roman"/>
          <w:bCs/>
          <w:kern w:val="0"/>
          <w:sz w:val="32"/>
          <w:szCs w:val="32"/>
          <w:lang w:val="en-US" w:eastAsia="zh-CN" w:bidi="ar-SA"/>
        </w:rPr>
        <w:t>（十五）商品和服务支出（支出经济分类科目类级）：</w:t>
      </w:r>
      <w:r>
        <w:rPr>
          <w:rFonts w:hint="eastAsia" w:ascii="Times New Roman" w:hAnsi="Times New Roman" w:eastAsia="方正仿宋_GBK" w:cs="宋体"/>
          <w:kern w:val="0"/>
          <w:sz w:val="32"/>
          <w:szCs w:val="32"/>
          <w:lang w:val="en-US" w:eastAsia="zh-CN" w:bidi="ar-SA"/>
        </w:rPr>
        <w:t>反映单位购买商品和服务的支出（不包括用于购置固定资产的支出、战略性和应急储备支出）。</w:t>
      </w:r>
    </w:p>
    <w:p w14:paraId="629A64DA">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楷体_GBK" w:cs="Times New Roman"/>
          <w:bCs/>
          <w:kern w:val="0"/>
          <w:sz w:val="32"/>
          <w:szCs w:val="32"/>
          <w:lang w:val="en-US" w:eastAsia="zh-CN" w:bidi="ar-SA"/>
        </w:rPr>
        <w:t>（十六）对个人和家庭的补助（支出经济分类科目类级）：</w:t>
      </w:r>
      <w:r>
        <w:rPr>
          <w:rFonts w:hint="eastAsia" w:ascii="Times New Roman" w:hAnsi="Times New Roman" w:eastAsia="方正仿宋_GBK" w:cs="宋体"/>
          <w:kern w:val="0"/>
          <w:sz w:val="32"/>
          <w:szCs w:val="32"/>
          <w:lang w:val="en-US" w:eastAsia="zh-CN" w:bidi="ar-SA"/>
        </w:rPr>
        <w:t>反映用于对个人和家庭的补助支出。</w:t>
      </w:r>
    </w:p>
    <w:p w14:paraId="4D6676E5">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楷体_GBK" w:cs="Times New Roman"/>
          <w:bCs/>
          <w:kern w:val="0"/>
          <w:sz w:val="32"/>
          <w:szCs w:val="32"/>
          <w:lang w:val="en-US" w:eastAsia="zh-CN" w:bidi="ar-SA"/>
        </w:rPr>
        <w:t>（十七）其他资本性支出（支出经济分类科目类级）：</w:t>
      </w:r>
      <w:r>
        <w:rPr>
          <w:rFonts w:hint="eastAsia" w:ascii="Times New Roman" w:hAnsi="Times New Roman" w:eastAsia="方正仿宋_GBK" w:cs="宋体"/>
          <w:kern w:val="0"/>
          <w:sz w:val="32"/>
          <w:szCs w:val="32"/>
          <w:lang w:val="en-US" w:eastAsia="zh-CN" w:bidi="ar-SA"/>
        </w:rPr>
        <w:t>反映非各级发展与改革单位集中安排的用于购置固定资产、战略性和应急性储备、土地和无形资产，以及构建基础设施、大型修缮和财政支持企业更新改造所发生的支出。</w:t>
      </w:r>
    </w:p>
    <w:p w14:paraId="08B29FA9">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黑体_GBK" w:cs="宋体"/>
          <w:bCs/>
          <w:kern w:val="0"/>
          <w:sz w:val="32"/>
          <w:szCs w:val="20"/>
          <w:lang w:val="en-US" w:eastAsia="zh-CN" w:bidi="ar-SA"/>
        </w:rPr>
      </w:pPr>
      <w:r>
        <w:rPr>
          <w:rFonts w:hint="eastAsia" w:ascii="Times New Roman" w:hAnsi="Times New Roman" w:eastAsia="方正黑体_GBK" w:cs="宋体"/>
          <w:bCs/>
          <w:kern w:val="0"/>
          <w:sz w:val="32"/>
          <w:szCs w:val="20"/>
          <w:lang w:val="en-US" w:eastAsia="zh-CN" w:bidi="ar-SA"/>
        </w:rPr>
        <w:t>七、决算公开联系方式及信息反馈渠道</w:t>
      </w:r>
    </w:p>
    <w:p w14:paraId="248F3C71">
      <w:pPr>
        <w:tabs>
          <w:tab w:val="center" w:pos="4153"/>
          <w:tab w:val="left" w:pos="7275"/>
        </w:tabs>
        <w:spacing w:line="600" w:lineRule="exact"/>
        <w:ind w:firstLine="640" w:firstLineChars="200"/>
        <w:jc w:val="both"/>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本单位决算公开信息反馈和联系方式：023-65785382</w:t>
      </w:r>
    </w:p>
    <w:p w14:paraId="30F7B8E0">
      <w:pPr>
        <w:ind w:firstLine="640" w:firstLineChars="200"/>
        <w:rPr>
          <w:rFonts w:hint="eastAsia" w:ascii="Times New Roman" w:hAnsi="Times New Roman" w:eastAsia="方正仿宋_GBK" w:cs="方正仿宋_GBK"/>
          <w:kern w:val="0"/>
          <w:sz w:val="32"/>
          <w:szCs w:val="32"/>
          <w:shd w:val="clear" w:fill="FFFFFF"/>
          <w:lang w:val="en-US" w:eastAsia="zh-CN" w:bidi="ar-SA"/>
        </w:rPr>
      </w:pPr>
    </w:p>
    <w:p w14:paraId="501C3265">
      <w:pPr>
        <w:ind w:firstLine="640" w:firstLineChars="200"/>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附件：1.收入支出决算总表</w:t>
      </w:r>
    </w:p>
    <w:p w14:paraId="2C936D03">
      <w:pPr>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2.收入决算表</w:t>
      </w:r>
    </w:p>
    <w:p w14:paraId="768C47B4">
      <w:pPr>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3.支出决算表</w:t>
      </w:r>
    </w:p>
    <w:p w14:paraId="4481632C">
      <w:pPr>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4.财政拨款收入支出决算总表</w:t>
      </w:r>
    </w:p>
    <w:p w14:paraId="6C25A613">
      <w:pPr>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5.一般公共预算财政拨款支出决算表</w:t>
      </w:r>
    </w:p>
    <w:p w14:paraId="7DCF752F">
      <w:pPr>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6.一般公共预算财政拨款基本支出决算表</w:t>
      </w:r>
    </w:p>
    <w:p w14:paraId="514C07B2">
      <w:pPr>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7.政府性基金预算财政拨款收入支出决算表</w:t>
      </w:r>
    </w:p>
    <w:p w14:paraId="16E04554">
      <w:pPr>
        <w:adjustRightInd w:val="0"/>
        <w:snapToGrid w:val="0"/>
        <w:spacing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8.国有资本经营预算财政拨款支出决算表</w:t>
      </w:r>
    </w:p>
    <w:p w14:paraId="575D8C41">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9.机构运行信息表</w:t>
      </w:r>
    </w:p>
    <w:p w14:paraId="62B51032">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p>
    <w:p w14:paraId="118796D4">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p>
    <w:p w14:paraId="640533C4">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7F5037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AEE02BE">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BE0EF2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E2F191B">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A577D8D">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66FE1F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36D05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6E7C439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C5A72C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重庆市九龙坡区陶家镇小学校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5261982">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6E1C72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BC31F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D86F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ED7CA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96BF5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5E1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9FFD8">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4328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EA59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C9A97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706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A5D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1,932.98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AA9C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BDA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42DA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33B7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2217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339.12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5AE5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BFC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D817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7F5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51B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0615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CAD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C1C4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3A7F">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931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3B65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A8E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AF8F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52DDB">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50BB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AD90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BE2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1,666.44</w:t>
            </w:r>
            <w:r>
              <w:rPr>
                <w:rFonts w:ascii="Times New Roman" w:hAnsi="Times New Roman"/>
                <w:color w:val="000000"/>
                <w:sz w:val="20"/>
                <w:u w:color="auto"/>
              </w:rPr>
              <w:t xml:space="preserve"> </w:t>
            </w:r>
          </w:p>
        </w:tc>
      </w:tr>
      <w:tr w14:paraId="31A8D3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694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C74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730C3">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366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FC07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1A6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657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5812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626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8E23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6A9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24263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60E1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699A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180.29</w:t>
            </w:r>
            <w:r>
              <w:rPr>
                <w:rFonts w:ascii="Times New Roman" w:hAnsi="Times New Roman"/>
                <w:color w:val="000000"/>
                <w:sz w:val="20"/>
                <w:u w:color="auto"/>
              </w:rPr>
              <w:t xml:space="preserve"> </w:t>
            </w:r>
          </w:p>
        </w:tc>
      </w:tr>
      <w:tr w14:paraId="508829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AA3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67A5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06A10">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C6B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67.33</w:t>
            </w:r>
            <w:r>
              <w:rPr>
                <w:rFonts w:ascii="Times New Roman" w:hAnsi="Times New Roman"/>
                <w:color w:val="000000"/>
                <w:sz w:val="20"/>
                <w:u w:color="auto"/>
              </w:rPr>
              <w:t xml:space="preserve"> </w:t>
            </w:r>
          </w:p>
        </w:tc>
      </w:tr>
      <w:tr w14:paraId="7A34E0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F7E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80C3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9048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6A7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BB48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3375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E738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2389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4D2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3E20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1D0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B2FC3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6ACA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B8F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D1A8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DE1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608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7998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4B1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ADAF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63DE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6687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C9C2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009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EE3D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358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A567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BEDA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1C6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3F66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3CB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B9FE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DF06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8D1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AB8F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562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7A5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3570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EFE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EE17E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BD5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C4E5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E560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403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D1A1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B51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797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25A7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47B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97.01</w:t>
            </w:r>
            <w:r>
              <w:rPr>
                <w:rFonts w:ascii="Times New Roman" w:hAnsi="Times New Roman"/>
                <w:color w:val="000000"/>
                <w:sz w:val="20"/>
                <w:u w:color="auto"/>
              </w:rPr>
              <w:t xml:space="preserve"> </w:t>
            </w:r>
          </w:p>
        </w:tc>
      </w:tr>
      <w:tr w14:paraId="129B76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80D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905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683E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67F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7DE2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427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9D91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C038F">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7C2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8B1E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39E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728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9112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9A7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6788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9394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5B7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D799C">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AA30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339.12</w:t>
            </w:r>
            <w:r>
              <w:rPr>
                <w:rFonts w:ascii="Times New Roman" w:hAnsi="Times New Roman"/>
                <w:color w:val="000000"/>
                <w:sz w:val="20"/>
                <w:u w:color="auto"/>
              </w:rPr>
              <w:t xml:space="preserve"> </w:t>
            </w:r>
          </w:p>
        </w:tc>
      </w:tr>
      <w:tr w14:paraId="2814D8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5706">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F0E5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9B82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68A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B147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AD4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7B9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14BC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47B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563B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E5B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087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994F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0D9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C651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7EA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C9B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2F9A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5D02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2,350.20</w:t>
            </w:r>
            <w:r>
              <w:rPr>
                <w:rFonts w:ascii="Times New Roman" w:hAnsi="Times New Roman"/>
                <w:color w:val="000000"/>
                <w:sz w:val="20"/>
                <w:u w:color="auto"/>
              </w:rPr>
              <w:t xml:space="preserve"> </w:t>
            </w:r>
          </w:p>
        </w:tc>
      </w:tr>
      <w:tr w14:paraId="76D953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090E">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6C3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8527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525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A0D0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3A6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777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B231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680CA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0DB9F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0A8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B93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214264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48B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2,350.20</w:t>
            </w:r>
            <w:r>
              <w:rPr>
                <w:rFonts w:ascii="Times New Roman" w:hAnsi="Times New Roman"/>
                <w:color w:val="000000"/>
                <w:sz w:val="20"/>
                <w:u w:color="auto"/>
              </w:rPr>
              <w:t xml:space="preserve"> </w:t>
            </w:r>
          </w:p>
        </w:tc>
      </w:tr>
    </w:tbl>
    <w:p w14:paraId="19E6AB3A">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C269EB8">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6B5EE8F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7FCBE33">
            <w:pPr>
              <w:jc w:val="center"/>
              <w:textAlignment w:val="bottom"/>
              <w:rPr>
                <w:rFonts w:hint="default" w:cs="宋体"/>
                <w:b/>
                <w:color w:val="000000"/>
                <w:sz w:val="32"/>
                <w:szCs w:val="32"/>
              </w:rPr>
            </w:pPr>
            <w:r>
              <w:rPr>
                <w:rFonts w:cs="宋体"/>
                <w:b/>
                <w:color w:val="000000"/>
                <w:sz w:val="32"/>
                <w:szCs w:val="32"/>
              </w:rPr>
              <w:t>收入决算表</w:t>
            </w:r>
          </w:p>
        </w:tc>
      </w:tr>
      <w:tr w14:paraId="6057183D">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63CAC5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重庆市九龙坡区陶家镇小学校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4071332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8616E7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B31E5DD">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F59C098">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8BC2AB5">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0100861">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F809D8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5A1E3B1C">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C3BC2FF">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0F136E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17DA742">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A6497B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C08826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91316A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3FB55E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37A274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C03931">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F283D84">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F7C40">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B735F">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DAA9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5D8757">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552BD">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C82FC">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E4CF8">
            <w:pPr>
              <w:jc w:val="center"/>
              <w:textAlignment w:val="center"/>
              <w:rPr>
                <w:rFonts w:hint="default" w:cs="宋体"/>
                <w:b/>
                <w:color w:val="000000"/>
                <w:sz w:val="20"/>
                <w:szCs w:val="20"/>
              </w:rPr>
            </w:pPr>
            <w:r>
              <w:rPr>
                <w:rFonts w:cs="宋体"/>
                <w:b/>
                <w:color w:val="000000"/>
                <w:sz w:val="20"/>
                <w:szCs w:val="20"/>
              </w:rPr>
              <w:t>其他收入</w:t>
            </w:r>
          </w:p>
        </w:tc>
      </w:tr>
      <w:tr w14:paraId="0F74D1BD">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5CC0">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774279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2845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2FAF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EFFA0">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D8796">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2788F">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FBBC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39C2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24954">
            <w:pPr>
              <w:jc w:val="center"/>
              <w:rPr>
                <w:rFonts w:hint="default" w:cs="宋体"/>
                <w:b/>
                <w:color w:val="000000"/>
                <w:sz w:val="20"/>
                <w:szCs w:val="20"/>
              </w:rPr>
            </w:pPr>
          </w:p>
        </w:tc>
      </w:tr>
      <w:tr w14:paraId="3625C2E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034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AD064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AB29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A01D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C781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3CEA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B932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8C85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0F6A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27E5A">
            <w:pPr>
              <w:jc w:val="center"/>
              <w:rPr>
                <w:rFonts w:hint="default" w:cs="宋体"/>
                <w:b/>
                <w:color w:val="000000"/>
                <w:sz w:val="20"/>
                <w:szCs w:val="20"/>
              </w:rPr>
            </w:pPr>
          </w:p>
        </w:tc>
      </w:tr>
      <w:tr w14:paraId="31EB543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E33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F59F5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EC98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0464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EA4E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A5A7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8ABF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6B82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60A0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32A00">
            <w:pPr>
              <w:jc w:val="center"/>
              <w:rPr>
                <w:rFonts w:hint="default" w:cs="宋体"/>
                <w:b/>
                <w:color w:val="000000"/>
                <w:sz w:val="20"/>
                <w:szCs w:val="20"/>
              </w:rPr>
            </w:pPr>
          </w:p>
        </w:tc>
      </w:tr>
      <w:tr w14:paraId="113E760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3E2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1FA0E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3866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89BA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CA36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AD3D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E8CB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3A4A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AD34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F6F44">
            <w:pPr>
              <w:jc w:val="center"/>
              <w:rPr>
                <w:rFonts w:hint="default" w:cs="宋体"/>
                <w:b/>
                <w:color w:val="000000"/>
                <w:sz w:val="20"/>
                <w:szCs w:val="20"/>
              </w:rPr>
            </w:pPr>
          </w:p>
        </w:tc>
      </w:tr>
      <w:tr w14:paraId="0FA2A888">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65786">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B62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2,350.20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5EB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2,272.10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9BB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321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78.10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953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74.50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8EC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CB1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044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6C5D8D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2EBB">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CA418">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2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1,666.44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3B1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A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4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3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45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0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D6F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49A0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B447">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47270">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C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1,666.44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80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1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4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BC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7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1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0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9600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7194">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5FEB1">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C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280.72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3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8B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4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96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C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5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7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645E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5CF5">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C1DF9">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E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1,385.72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DD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1,382.72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A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B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59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8C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56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9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7F83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5223">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6804F">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1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9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BD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D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8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9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5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55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68C46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99B6">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E06CC">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F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6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8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B3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C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11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4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E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13A4B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1D66">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27521">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0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4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F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50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D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DE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B1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6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B2975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8DFA">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1F616">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8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5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A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8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3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92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96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9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A2C1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2E2D">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14AE6">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2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8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6D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0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CC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3B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0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92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C193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D4C8">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6BDAD">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5E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D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8F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7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545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B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AF0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F2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5846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6DD14">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7B645">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7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77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5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5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1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3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7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875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2BBA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6987">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A2999">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12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52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BC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3C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7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B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9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45B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2B72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DA6C">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4ADA3">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52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9A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2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C1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B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BD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D9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2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9A12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FE89">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C9547">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E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61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EB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F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B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2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31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1E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58E1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51F6A">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BB903">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EF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8E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E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1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B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1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E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5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316F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25B8">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7C788">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2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8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8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D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2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38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98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25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A8F1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921B">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FB3F1">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BDC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9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C7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0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CB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C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A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7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1F03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50810">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1DC50">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6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7B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4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40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B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8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94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4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2AE9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ECF3">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77291">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D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2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71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06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3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7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3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9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B3FD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7858">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8FBC1">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0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339.12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F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339.12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7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2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F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36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0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6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E611B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D848">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DF51D">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8B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339.12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2E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339.12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74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2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6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7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5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6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FF4C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13D5">
            <w:pPr>
              <w:textAlignment w:val="center"/>
              <w:rPr>
                <w:rFonts w:hint="default" w:cs="宋体"/>
                <w:color w:val="000000"/>
                <w:sz w:val="20"/>
                <w:szCs w:val="20"/>
              </w:rPr>
            </w:pPr>
            <w:r>
              <w:rPr>
                <w:rFonts w:cs="宋体"/>
                <w:color w:val="000000"/>
                <w:sz w:val="20"/>
                <w:szCs w:val="20"/>
              </w:rPr>
              <w:t>2296004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0CC9D">
            <w:pPr>
              <w:textAlignment w:val="center"/>
              <w:rPr>
                <w:rFonts w:hint="default" w:cs="宋体"/>
                <w:color w:val="000000"/>
                <w:sz w:val="20"/>
                <w:szCs w:val="20"/>
              </w:rPr>
            </w:pPr>
            <w:r>
              <w:rPr>
                <w:rFonts w:cs="宋体"/>
                <w:color w:val="000000"/>
                <w:sz w:val="20"/>
                <w:szCs w:val="20"/>
              </w:rPr>
              <w:t>用于教育事业的彩票公益金支出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90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F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0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A8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7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D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6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8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BE39A9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533078B">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7436D17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23C46B6">
            <w:pPr>
              <w:jc w:val="center"/>
              <w:textAlignment w:val="bottom"/>
              <w:rPr>
                <w:rFonts w:hint="default" w:cs="宋体"/>
                <w:b/>
                <w:color w:val="000000"/>
                <w:sz w:val="32"/>
                <w:szCs w:val="32"/>
              </w:rPr>
            </w:pPr>
            <w:r>
              <w:rPr>
                <w:rFonts w:cs="宋体"/>
                <w:b/>
                <w:color w:val="000000"/>
                <w:sz w:val="32"/>
                <w:szCs w:val="32"/>
              </w:rPr>
              <w:t>支出决算表</w:t>
            </w:r>
          </w:p>
        </w:tc>
      </w:tr>
      <w:tr w14:paraId="49920DD6">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1556A5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重庆市九龙坡区陶家镇小学校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552A547">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1AE61ED">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D261E9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21F003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F10E1F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48B70A5">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FB1E8B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D4832AB">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EF8F63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F0019C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16F69A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674025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6B824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60B308">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2072C">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DF8C9">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EE19">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12AC9">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10203">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20FBB">
            <w:pPr>
              <w:jc w:val="center"/>
              <w:textAlignment w:val="center"/>
              <w:rPr>
                <w:rFonts w:hint="default" w:cs="宋体"/>
                <w:b/>
                <w:color w:val="000000"/>
                <w:sz w:val="20"/>
                <w:szCs w:val="20"/>
              </w:rPr>
            </w:pPr>
            <w:r>
              <w:rPr>
                <w:rFonts w:cs="宋体"/>
                <w:b/>
                <w:color w:val="000000"/>
                <w:sz w:val="20"/>
                <w:szCs w:val="20"/>
              </w:rPr>
              <w:t>对附属单位补助支出</w:t>
            </w:r>
          </w:p>
        </w:tc>
      </w:tr>
      <w:tr w14:paraId="435AAC9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B9BF">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E49CA5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E3A2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D1F6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52E0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790B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DC80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E991B">
            <w:pPr>
              <w:jc w:val="center"/>
              <w:rPr>
                <w:rFonts w:hint="default" w:cs="宋体"/>
                <w:b/>
                <w:color w:val="000000"/>
                <w:sz w:val="20"/>
                <w:szCs w:val="20"/>
              </w:rPr>
            </w:pPr>
          </w:p>
        </w:tc>
      </w:tr>
      <w:tr w14:paraId="1B2BD75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7CE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CD329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C8C9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8CAB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1A5C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BA24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BCF1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C61EC">
            <w:pPr>
              <w:jc w:val="center"/>
              <w:rPr>
                <w:rFonts w:hint="default" w:cs="宋体"/>
                <w:b/>
                <w:color w:val="000000"/>
                <w:sz w:val="20"/>
                <w:szCs w:val="20"/>
              </w:rPr>
            </w:pPr>
          </w:p>
        </w:tc>
      </w:tr>
      <w:tr w14:paraId="5EE2BB3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9E8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70582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9D36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0C3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BCA8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98EF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5BED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2A04D">
            <w:pPr>
              <w:jc w:val="center"/>
              <w:rPr>
                <w:rFonts w:hint="default" w:cs="宋体"/>
                <w:b/>
                <w:color w:val="000000"/>
                <w:sz w:val="20"/>
                <w:szCs w:val="20"/>
              </w:rPr>
            </w:pPr>
          </w:p>
        </w:tc>
      </w:tr>
      <w:tr w14:paraId="549FE2B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162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8E77B0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6F3F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4824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C3C0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CD93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0FCF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FF883">
            <w:pPr>
              <w:jc w:val="center"/>
              <w:rPr>
                <w:rFonts w:hint="default" w:cs="宋体"/>
                <w:b/>
                <w:color w:val="000000"/>
                <w:sz w:val="20"/>
                <w:szCs w:val="20"/>
              </w:rPr>
            </w:pPr>
          </w:p>
        </w:tc>
      </w:tr>
      <w:tr w14:paraId="72353A16">
        <w:tblPrEx>
          <w:tblCellMar>
            <w:top w:w="0" w:type="dxa"/>
            <w:left w:w="0" w:type="dxa"/>
            <w:bottom w:w="0" w:type="dxa"/>
            <w:right w:w="0" w:type="dxa"/>
          </w:tblCellMar>
        </w:tblPrEx>
        <w:trPr>
          <w:trHeight w:val="283"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A60F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1B0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2,350.20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EC1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1,486.39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41C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863.81</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F91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171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ED0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B4C07F">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1641">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5927C">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7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1,666.44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C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D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524.69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1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9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A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09B458">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E1B6">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6C9B2">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46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1,666.44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CFE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0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524.69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0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0A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3A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A58392">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F264">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F4D91">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F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8C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7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267.72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E8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C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F1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8E1F0D">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42CA">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A393E">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0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1,385.72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C8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1,128.75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4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256.97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A1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3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9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DEC408">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F20B">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7943F">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E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A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4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5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32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5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67323C">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5C4D">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DCC94">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F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7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172.77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F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F7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2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A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BDD8C9">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4886">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300FC">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E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B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B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8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D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EE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849DF4">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C285">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6296A">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9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D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B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95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B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9D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356DF5">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866A">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18A1F">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A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9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3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4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7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1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4FC9B6">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89E9">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63946">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8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8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A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7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1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BF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20CC73">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41A0">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3365E">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08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8F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E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52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E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2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211084">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AD3B">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7A395">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29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0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7B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7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A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80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EB6F3A">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B1F4">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8D37B">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1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F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4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2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C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0A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5CA6AA">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B1C6">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2014E">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8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2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3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D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4D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3EE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9F5C1A">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099E">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2C9E7">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8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1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A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8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D0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3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957B75">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35D6">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37677">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7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E1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0A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0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3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EC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8C5371">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1E24B">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B3B03">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6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A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FA9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53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C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6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BD2F3D">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DF42">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F866A">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9F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B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B3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5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5B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2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E57E2E">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2C56">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E0F43">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D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6A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7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1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F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BB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8A25C9">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D1216">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10F1B">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27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339.12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3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3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339.12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4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B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C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FA690E">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EB5F">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5BCB6">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1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339.12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F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E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339.12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6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F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3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8EE9D2">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54A4">
            <w:pPr>
              <w:textAlignment w:val="center"/>
              <w:rPr>
                <w:rFonts w:hint="default" w:cs="宋体"/>
                <w:color w:val="000000"/>
                <w:sz w:val="20"/>
                <w:szCs w:val="20"/>
              </w:rPr>
            </w:pPr>
            <w:r>
              <w:rPr>
                <w:rFonts w:cs="宋体"/>
                <w:color w:val="000000"/>
                <w:sz w:val="20"/>
                <w:szCs w:val="20"/>
              </w:rPr>
              <w:t>2296004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28E50">
            <w:pPr>
              <w:textAlignment w:val="center"/>
              <w:rPr>
                <w:rFonts w:hint="default" w:cs="宋体"/>
                <w:color w:val="000000"/>
                <w:sz w:val="20"/>
                <w:szCs w:val="20"/>
              </w:rPr>
            </w:pPr>
            <w:r>
              <w:rPr>
                <w:rFonts w:cs="宋体"/>
                <w:color w:val="000000"/>
                <w:sz w:val="20"/>
                <w:szCs w:val="20"/>
              </w:rPr>
              <w:t>用于教育事业的彩票公益金支出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58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D4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8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339.12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5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4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C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138B47E">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4789" w:type="pct"/>
        <w:tblInd w:w="0" w:type="dxa"/>
        <w:tblLayout w:type="autofit"/>
        <w:tblCellMar>
          <w:top w:w="0" w:type="dxa"/>
          <w:left w:w="0" w:type="dxa"/>
          <w:bottom w:w="0" w:type="dxa"/>
          <w:right w:w="0" w:type="dxa"/>
        </w:tblCellMar>
      </w:tblPr>
      <w:tblGrid>
        <w:gridCol w:w="2967"/>
        <w:gridCol w:w="1520"/>
        <w:gridCol w:w="3179"/>
        <w:gridCol w:w="1693"/>
        <w:gridCol w:w="1693"/>
        <w:gridCol w:w="1694"/>
        <w:gridCol w:w="1929"/>
      </w:tblGrid>
      <w:tr w14:paraId="0E60CD4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7CB2B8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A025C7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337D42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重庆市九龙坡区陶家镇小学校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17E2B23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75698E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5DBB7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2EC40B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CD9F65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9A8910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45D075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780BF6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5FB147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7447CE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816A8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3FC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D4E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9271A63">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2754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FECE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867D1">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EBA7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A9462BE">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914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0E7A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CFEB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0AA3">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EA66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B779">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206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207CC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3583A">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63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1,932.98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34B9">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9D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C5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3E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31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F86A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793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D9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339.12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29F0D">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18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56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4D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96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5AAE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45E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DE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D1BC">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4E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2C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26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500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37D1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389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27846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C34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00B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98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351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76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A005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3B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FF025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D27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AA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1,588.34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08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1,588.34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E6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E6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4809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15D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D8F91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C8D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5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CE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7A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20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B900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51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A1A79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971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E18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E4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17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0E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AB1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650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09C88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0898">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7A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14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01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B1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F3B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BF9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079F6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0EB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465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689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88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7A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39F6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664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0BF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AE8A">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AC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4E0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9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B9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01E4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17C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383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AE07">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9D7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A8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F0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B8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5BFE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AFB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05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9933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02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83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86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A4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C7DB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CBB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ABD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CB8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B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CE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8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AB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3706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29C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4C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C281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A8E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8F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90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42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DC0F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854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34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F66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CA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CBF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89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6D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F472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9C9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67A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5F3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EB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C7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FE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9A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97F3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C26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EB7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4DA0">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D5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0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6C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7D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5676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751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5DF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400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53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7F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44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FA1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38C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591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AB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BA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C0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F5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77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62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03C2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B3D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27D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1C2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87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28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6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DD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A6A7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B8A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4FB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99F4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48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A0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56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17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8BCF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626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FFC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7A1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4C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E9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D6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91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1612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383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7E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88F8">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88C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EF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2A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339.12</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96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D016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3E2B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DE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83D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B8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FA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3FF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CEE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E611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F223E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B69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453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45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3C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03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A1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9C81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157C7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CA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FD5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FEA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C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EC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FAD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68C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A77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53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2,272.10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AE1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28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2,272.10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42F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1,932.98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41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339.12</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CC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60E7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B1B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1D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5F2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B15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01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2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0A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3B67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BD6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A9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6496F4">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4281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8BD69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BCAFCF">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B8F8D8">
            <w:pPr>
              <w:spacing w:line="200" w:lineRule="exact"/>
              <w:rPr>
                <w:rFonts w:hint="default" w:ascii="Times New Roman" w:hAnsi="Times New Roman"/>
                <w:color w:val="000000"/>
                <w:sz w:val="18"/>
                <w:szCs w:val="18"/>
              </w:rPr>
            </w:pPr>
          </w:p>
        </w:tc>
      </w:tr>
      <w:tr w14:paraId="3DDDED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F14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F4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DEB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47A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10C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29C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82EB">
            <w:pPr>
              <w:spacing w:line="200" w:lineRule="exact"/>
              <w:jc w:val="right"/>
              <w:rPr>
                <w:rFonts w:hint="default" w:ascii="Times New Roman" w:hAnsi="Times New Roman"/>
                <w:color w:val="000000"/>
                <w:sz w:val="18"/>
                <w:szCs w:val="18"/>
              </w:rPr>
            </w:pPr>
          </w:p>
        </w:tc>
      </w:tr>
      <w:tr w14:paraId="19D549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6ECF">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A3B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5D6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CBFA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3BF6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D4F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6CA5">
            <w:pPr>
              <w:spacing w:line="200" w:lineRule="exact"/>
              <w:jc w:val="right"/>
              <w:rPr>
                <w:rFonts w:hint="default" w:ascii="Times New Roman" w:hAnsi="Times New Roman"/>
                <w:color w:val="000000"/>
                <w:sz w:val="18"/>
                <w:szCs w:val="18"/>
              </w:rPr>
            </w:pPr>
          </w:p>
        </w:tc>
      </w:tr>
      <w:tr w14:paraId="36DDD1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664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33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2,272.10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1AE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F1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2,272.10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C2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1,932.98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F80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339.12</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10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5A037BF">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5F1ECEF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EEB6E1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C62B00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22A86D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重庆市九龙坡区陶家镇小学校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249086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C6194B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9957D6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4F9A1E7">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A4DCA5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FA5A20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6C309F">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766D7">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77088A">
            <w:pPr>
              <w:jc w:val="center"/>
              <w:textAlignment w:val="center"/>
              <w:rPr>
                <w:rFonts w:hint="default" w:cs="宋体"/>
                <w:b/>
                <w:color w:val="000000"/>
                <w:sz w:val="20"/>
                <w:szCs w:val="20"/>
              </w:rPr>
            </w:pPr>
            <w:r>
              <w:rPr>
                <w:rFonts w:cs="宋体"/>
                <w:b/>
                <w:color w:val="000000"/>
                <w:sz w:val="20"/>
                <w:szCs w:val="20"/>
              </w:rPr>
              <w:t>本年支出</w:t>
            </w:r>
          </w:p>
        </w:tc>
      </w:tr>
      <w:tr w14:paraId="043BC2F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A166B">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9FF8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BF70E">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790B8">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F2002">
            <w:pPr>
              <w:jc w:val="center"/>
              <w:textAlignment w:val="center"/>
              <w:rPr>
                <w:rFonts w:hint="default" w:cs="宋体"/>
                <w:b/>
                <w:color w:val="000000"/>
                <w:sz w:val="20"/>
                <w:szCs w:val="20"/>
              </w:rPr>
            </w:pPr>
            <w:r>
              <w:rPr>
                <w:rFonts w:cs="宋体"/>
                <w:b/>
                <w:color w:val="000000"/>
                <w:sz w:val="20"/>
                <w:szCs w:val="20"/>
              </w:rPr>
              <w:t>项目支出</w:t>
            </w:r>
          </w:p>
        </w:tc>
      </w:tr>
      <w:tr w14:paraId="2B9A973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DE69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CEDF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B1D0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18DE5">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AD10F">
            <w:pPr>
              <w:jc w:val="center"/>
              <w:rPr>
                <w:rFonts w:hint="default" w:cs="宋体"/>
                <w:b/>
                <w:color w:val="000000"/>
                <w:sz w:val="20"/>
                <w:szCs w:val="20"/>
              </w:rPr>
            </w:pPr>
          </w:p>
        </w:tc>
      </w:tr>
      <w:tr w14:paraId="309A6713">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7E8D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C158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70A7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5C30A">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FF7AC">
            <w:pPr>
              <w:jc w:val="center"/>
              <w:rPr>
                <w:rFonts w:hint="default" w:cs="宋体"/>
                <w:b/>
                <w:color w:val="000000"/>
                <w:sz w:val="20"/>
                <w:szCs w:val="20"/>
              </w:rPr>
            </w:pPr>
          </w:p>
        </w:tc>
      </w:tr>
      <w:tr w14:paraId="28777D45">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6CF22">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EC6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1,932.98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820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1,486.39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C66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446.59</w:t>
            </w:r>
            <w:r>
              <w:rPr>
                <w:rFonts w:ascii="Times New Roman" w:hAnsi="Times New Roman"/>
                <w:b/>
                <w:color w:val="000000"/>
                <w:sz w:val="20"/>
                <w:u w:color="auto"/>
              </w:rPr>
              <w:t xml:space="preserve"> </w:t>
            </w:r>
          </w:p>
        </w:tc>
      </w:tr>
      <w:tr w14:paraId="3E4210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53DE">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A469C">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DB6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1,588.34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D74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1,141.75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B99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446.59</w:t>
            </w:r>
            <w:r>
              <w:rPr>
                <w:rFonts w:ascii="Times New Roman" w:hAnsi="Times New Roman"/>
                <w:b/>
                <w:color w:val="000000"/>
                <w:sz w:val="20"/>
                <w:u w:color="auto"/>
              </w:rPr>
              <w:t xml:space="preserve"> </w:t>
            </w:r>
          </w:p>
        </w:tc>
      </w:tr>
      <w:tr w14:paraId="19F656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66A7">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04CFE">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080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1,588.34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5E5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1,141.75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057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446.59</w:t>
            </w:r>
            <w:r>
              <w:rPr>
                <w:rFonts w:ascii="Times New Roman" w:hAnsi="Times New Roman"/>
                <w:b/>
                <w:color w:val="000000"/>
                <w:sz w:val="20"/>
                <w:u w:color="auto"/>
              </w:rPr>
              <w:t xml:space="preserve"> </w:t>
            </w:r>
          </w:p>
        </w:tc>
      </w:tr>
      <w:tr w14:paraId="71DCBA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EC85">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6C4BC">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844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D60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06D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192.62</w:t>
            </w:r>
            <w:r>
              <w:rPr>
                <w:rFonts w:ascii="Times New Roman" w:hAnsi="Times New Roman"/>
                <w:color w:val="000000"/>
                <w:sz w:val="20"/>
                <w:u w:color="auto"/>
              </w:rPr>
              <w:t xml:space="preserve"> </w:t>
            </w:r>
          </w:p>
        </w:tc>
      </w:tr>
      <w:tr w14:paraId="30A1E5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4EC2">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2D543">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C89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1,382.72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E7D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313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253.97</w:t>
            </w:r>
            <w:r>
              <w:rPr>
                <w:rFonts w:ascii="Times New Roman" w:hAnsi="Times New Roman"/>
                <w:color w:val="000000"/>
                <w:sz w:val="20"/>
                <w:u w:color="auto"/>
              </w:rPr>
              <w:t xml:space="preserve"> </w:t>
            </w:r>
          </w:p>
        </w:tc>
      </w:tr>
      <w:tr w14:paraId="274147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223A1">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6D259">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6FC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589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161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3EB5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7440">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3C590">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AA9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16D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109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699C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84140">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7E5DC">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A74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147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39B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2046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ED83">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8B77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753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A8D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888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1968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DE47">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9FD35">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944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985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B1F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FDF6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1590">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947EC">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409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350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B74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1B0C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6181">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99696">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F32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255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626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E9F4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0A19">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FC439">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832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141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27F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4EDE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E15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4A3A6">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53C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2DB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C88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A015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8D14F">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8E1D2">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4C6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989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6EE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CBF3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185B">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EDE58">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E56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075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FD0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7971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9FA8">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1D5FA">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466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92C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B4B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B222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D162">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80B77">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616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A6E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E46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8E23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5EA7">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C8CB2">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53E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DC6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EFE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1A64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0523">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7C1BD">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EA6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9A4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F83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3AE5F28">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4993"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5892C33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B566E3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4C6238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E1E0BE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重庆市九龙坡区陶家镇小学校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3943119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B18FB4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878626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8CF0CD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0D30FA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20B68E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E405D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357065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DB9796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FCA033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0DE8C8">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D5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DA4CF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0A93B6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EF5E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D449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8E81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E67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4C62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46ED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6E8E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E539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8818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0B6BFAB">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4940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0F0D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2D0A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D0D3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65BF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4C6B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2C79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93F3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B963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1846EB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27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BE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1C4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AD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55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C4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C5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0C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DF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w:t>
            </w:r>
            <w:r>
              <w:rPr>
                <w:rFonts w:ascii="Times New Roman" w:hAnsi="Times New Roman"/>
                <w:color w:val="000000"/>
                <w:sz w:val="18"/>
                <w:u w:color="auto"/>
              </w:rPr>
              <w:t xml:space="preserve"> </w:t>
            </w:r>
          </w:p>
        </w:tc>
      </w:tr>
      <w:tr w14:paraId="3184E6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D1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A8D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EF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E3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3D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93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D7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90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AC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4632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CA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73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A2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48E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D6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03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A5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1F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17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w:t>
            </w:r>
            <w:r>
              <w:rPr>
                <w:rFonts w:ascii="Times New Roman" w:hAnsi="Times New Roman"/>
                <w:color w:val="000000"/>
                <w:sz w:val="18"/>
                <w:u w:color="auto"/>
              </w:rPr>
              <w:t xml:space="preserve"> </w:t>
            </w:r>
          </w:p>
        </w:tc>
      </w:tr>
      <w:tr w14:paraId="174D96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21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F3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1E0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4E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B0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4A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0D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AE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CB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B811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01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55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71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42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15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38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31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C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63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0DF2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3E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7D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47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39D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B2C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DD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72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C6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07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6555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44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A85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E9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B5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01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62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9DC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0F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91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83C6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CB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67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641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21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3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FA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7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2D6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98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C477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39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C6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06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F5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55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C3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11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14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0E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B76D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F2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86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15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D68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3E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A4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28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69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53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8398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FD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24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93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D9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AB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4A3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CD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94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7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885E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7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C7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06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1F1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D3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0E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DD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20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CE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C572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6D1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92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D9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EE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49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BE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A6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BB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1F7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08F6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745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6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A8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41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6F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B64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D7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08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3F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421A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59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2C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DF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D8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F9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3C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72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0C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96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64C3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B0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96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CC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18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17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C7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C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19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AD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D42E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703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CD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C5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29A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CF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AF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BD0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4D7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D9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E048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FA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E2C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78D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C6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04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212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4B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AB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C07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232C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BF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FE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F5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65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A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72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D4B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D3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3D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C928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64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BA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42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98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B2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CD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DC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E3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F9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41E6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B5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C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EA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67A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98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47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7C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5D5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629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6349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F1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22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B8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6F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E7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7F1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24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A9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C4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9DA4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0B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40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ED8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DD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7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ED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03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FDE4">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05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31D7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0A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90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B4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0E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10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45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CF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1B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D5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BF9A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D5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A7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8B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DB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DB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895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4E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C6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8F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6505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78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6E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BE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E0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AF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B4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D3F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B9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80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ABF8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49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AC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733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B8E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F07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CA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F5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163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A8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D12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542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304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D61A7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D7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77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7DC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6CB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A4B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74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F3DB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8A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FB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DF578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44C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50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A4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CE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D9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5C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6C7A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1B2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1AC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E98B7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36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FF9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19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87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3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A0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23B8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C4D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62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52BB3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65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AD0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FD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2B47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52C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31AE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16160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DCC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E13E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CBC06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2E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AA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61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38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FF7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157A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B9F13F6">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53E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441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736F3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65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2A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36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5CE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890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730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64A1E2A">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E00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B8D4D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1,295.73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1DA5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CF1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190.66</w:t>
            </w:r>
            <w:r>
              <w:rPr>
                <w:rFonts w:ascii="Times New Roman" w:hAnsi="Times New Roman"/>
                <w:color w:val="000000"/>
                <w:sz w:val="18"/>
                <w:u w:color="auto"/>
              </w:rPr>
              <w:t xml:space="preserve"> </w:t>
            </w:r>
          </w:p>
        </w:tc>
      </w:tr>
    </w:tbl>
    <w:p w14:paraId="6F3C928D">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1F848B2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CEF7836">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99EFE6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555D49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重庆市九龙坡区陶家镇小学校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6AC8C14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1024B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63B2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D8B426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DA3CED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B6CCC1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0970E3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28717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EF5DE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0A3D0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C3D7C5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4A5B26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C03D5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E8FAA">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8B2BDF">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C5774">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1D11B4">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ABA28">
            <w:pPr>
              <w:jc w:val="center"/>
              <w:textAlignment w:val="center"/>
              <w:rPr>
                <w:rFonts w:hint="default" w:cs="宋体"/>
                <w:b/>
                <w:color w:val="000000"/>
                <w:sz w:val="20"/>
                <w:szCs w:val="20"/>
              </w:rPr>
            </w:pPr>
            <w:r>
              <w:rPr>
                <w:rFonts w:cs="宋体"/>
                <w:b/>
                <w:color w:val="000000"/>
                <w:sz w:val="20"/>
                <w:szCs w:val="20"/>
              </w:rPr>
              <w:t>年末结转和结余</w:t>
            </w:r>
          </w:p>
        </w:tc>
      </w:tr>
      <w:tr w14:paraId="0F5ADF1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F5CE5">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D938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2DD00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D25E1">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EF44B">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B2518">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7FE35">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B38A0">
            <w:pPr>
              <w:jc w:val="center"/>
              <w:rPr>
                <w:rFonts w:hint="default" w:cs="宋体"/>
                <w:b/>
                <w:color w:val="000000"/>
                <w:sz w:val="20"/>
                <w:szCs w:val="20"/>
              </w:rPr>
            </w:pPr>
          </w:p>
        </w:tc>
      </w:tr>
      <w:tr w14:paraId="14F9C952">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C58BE">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0E9A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19858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0357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AD38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3BCE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C156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A095E">
            <w:pPr>
              <w:jc w:val="center"/>
              <w:rPr>
                <w:rFonts w:hint="default" w:cs="宋体"/>
                <w:b/>
                <w:color w:val="000000"/>
                <w:sz w:val="20"/>
                <w:szCs w:val="20"/>
              </w:rPr>
            </w:pPr>
          </w:p>
        </w:tc>
      </w:tr>
      <w:tr w14:paraId="7F586C4C">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4DC0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F3E3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87D07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AE9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B2F2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CD6B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BCC0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D9438">
            <w:pPr>
              <w:jc w:val="center"/>
              <w:rPr>
                <w:rFonts w:hint="default" w:cs="宋体"/>
                <w:b/>
                <w:color w:val="000000"/>
                <w:sz w:val="20"/>
                <w:szCs w:val="20"/>
              </w:rPr>
            </w:pPr>
          </w:p>
        </w:tc>
      </w:tr>
      <w:tr w14:paraId="70C1EEB2">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43154">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E2D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E95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339.12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B57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339.12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5B9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CC5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339.12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B61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FD6060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7B54B">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D79D1">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EDA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59C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339.12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A66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339.12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959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731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339.12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040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201F8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0A4B">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E8CB1">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13F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30F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339.12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462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339.12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4ED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E3E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339.12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ED6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83184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CABE">
            <w:pPr>
              <w:jc w:val="both"/>
              <w:textAlignment w:val="center"/>
              <w:rPr>
                <w:rFonts w:hint="default" w:cs="宋体"/>
                <w:color w:val="000000"/>
                <w:sz w:val="20"/>
                <w:szCs w:val="20"/>
              </w:rPr>
            </w:pPr>
            <w:r>
              <w:rPr>
                <w:rFonts w:cs="宋体"/>
                <w:color w:val="000000"/>
                <w:sz w:val="20"/>
                <w:szCs w:val="20"/>
              </w:rPr>
              <w:t>2296004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FF3EA">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469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D51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339.12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F9A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339.12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452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20E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339.12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452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55201D3">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7D5F101">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212AF1E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57BD525">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85858F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3401D2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重庆市九龙坡区陶家镇小学校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D4118F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BCDEDF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0079FD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E466578">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AE6BA2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72E285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166D2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665FAE">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7723F1">
            <w:pPr>
              <w:jc w:val="center"/>
              <w:textAlignment w:val="bottom"/>
              <w:rPr>
                <w:rFonts w:hint="default" w:cs="宋体"/>
                <w:b/>
                <w:color w:val="000000"/>
                <w:sz w:val="20"/>
                <w:szCs w:val="20"/>
              </w:rPr>
            </w:pPr>
            <w:r>
              <w:rPr>
                <w:rFonts w:cs="宋体"/>
                <w:b/>
                <w:color w:val="000000"/>
                <w:sz w:val="20"/>
                <w:szCs w:val="20"/>
              </w:rPr>
              <w:t>本年支出</w:t>
            </w:r>
          </w:p>
        </w:tc>
      </w:tr>
      <w:tr w14:paraId="3E411388">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41B38">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B381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411F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4CA0D">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65553">
            <w:pPr>
              <w:jc w:val="center"/>
              <w:textAlignment w:val="center"/>
              <w:rPr>
                <w:rFonts w:hint="default" w:cs="宋体"/>
                <w:b/>
                <w:color w:val="000000"/>
                <w:sz w:val="20"/>
                <w:szCs w:val="20"/>
              </w:rPr>
            </w:pPr>
            <w:r>
              <w:rPr>
                <w:rFonts w:cs="宋体"/>
                <w:b/>
                <w:color w:val="000000"/>
                <w:sz w:val="20"/>
                <w:szCs w:val="20"/>
              </w:rPr>
              <w:t>项目支出</w:t>
            </w:r>
          </w:p>
        </w:tc>
      </w:tr>
      <w:tr w14:paraId="350F8FD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38C5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4952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20F6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D0B1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DED75">
            <w:pPr>
              <w:jc w:val="center"/>
              <w:rPr>
                <w:rFonts w:hint="default" w:cs="宋体"/>
                <w:b/>
                <w:color w:val="000000"/>
                <w:sz w:val="20"/>
                <w:szCs w:val="20"/>
              </w:rPr>
            </w:pPr>
          </w:p>
        </w:tc>
      </w:tr>
      <w:tr w14:paraId="0470839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FAA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E629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2C4E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49D5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FFBDA">
            <w:pPr>
              <w:jc w:val="center"/>
              <w:rPr>
                <w:rFonts w:hint="default" w:cs="宋体"/>
                <w:b/>
                <w:color w:val="000000"/>
                <w:sz w:val="20"/>
                <w:szCs w:val="20"/>
              </w:rPr>
            </w:pPr>
          </w:p>
        </w:tc>
      </w:tr>
      <w:tr w14:paraId="0B0DFE70">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3D67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ADF5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8636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D205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98507">
            <w:pPr>
              <w:jc w:val="center"/>
              <w:rPr>
                <w:rFonts w:hint="default" w:cs="宋体"/>
                <w:b/>
                <w:color w:val="000000"/>
                <w:sz w:val="20"/>
                <w:szCs w:val="20"/>
              </w:rPr>
            </w:pPr>
          </w:p>
        </w:tc>
      </w:tr>
      <w:tr w14:paraId="5FE6DC1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C4251">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6FE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D47F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A5E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DF9DEF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BB29">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469D7">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4CE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529F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09E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E2748A0">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1F909CA">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690D8409">
        <w:trPr>
          <w:trHeight w:val="343" w:hRule="atLeast"/>
        </w:trPr>
        <w:tc>
          <w:tcPr>
            <w:tcW w:w="5000" w:type="pct"/>
            <w:gridSpan w:val="5"/>
            <w:shd w:val="clear" w:color="auto" w:fill="auto"/>
            <w:noWrap/>
            <w:tcMar>
              <w:top w:w="15" w:type="dxa"/>
              <w:left w:w="15" w:type="dxa"/>
              <w:right w:w="15" w:type="dxa"/>
            </w:tcMar>
            <w:vAlign w:val="bottom"/>
          </w:tcPr>
          <w:p w14:paraId="509A159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D6931A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ED89200">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7A83647">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A528430">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3DFDA170">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076228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3A446F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A4E6149">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重庆市九龙坡区陶家镇小学校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B54BF89">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BA80312">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AFCF58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C3012A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FF8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FDE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167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E4E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947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611D07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9C75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C8D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08CA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23C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90E4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F58C2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CD6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EB7B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65C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1C7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389F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5864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A1C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6842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D26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DDE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F76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89A1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903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CA17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1C2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FBBE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713A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187C5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E9F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A50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86D7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D7B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2168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0ECF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162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173E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DB39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3DE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02E2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1A9A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3F1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4D3D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2117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EE0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97AC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7D36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B3A4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B32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1A37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3DF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AA51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0261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23C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A73C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A2D7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B694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9826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520C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1BB9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F6F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3B5B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ED3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FDA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E8E1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DFC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CA8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A416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27C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AC76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9EA2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AC9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075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B6E4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9D1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4CB5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8F5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72C1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237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E48F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75C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E54A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D678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D39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572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636D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501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7D59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672F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D6B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1A7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16C4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4190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9CF1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E233D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4445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5A0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98E1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581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A35D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23.39</w:t>
            </w:r>
            <w:r>
              <w:rPr>
                <w:rFonts w:ascii="Times New Roman" w:hAnsi="Times New Roman"/>
                <w:color w:val="000000"/>
                <w:sz w:val="18"/>
                <w:u w:color="auto"/>
              </w:rPr>
              <w:t xml:space="preserve"> </w:t>
            </w:r>
          </w:p>
        </w:tc>
      </w:tr>
      <w:tr w14:paraId="6D60B3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BD0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4099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CD23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4D73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BDB0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23.39</w:t>
            </w:r>
            <w:r>
              <w:rPr>
                <w:rFonts w:ascii="Times New Roman" w:hAnsi="Times New Roman"/>
                <w:color w:val="000000"/>
                <w:sz w:val="18"/>
                <w:u w:color="auto"/>
              </w:rPr>
              <w:t xml:space="preserve"> </w:t>
            </w:r>
          </w:p>
        </w:tc>
      </w:tr>
      <w:tr w14:paraId="6AA7C625">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43ED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6A6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2D2A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B0D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CC3D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CFA4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BC52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83D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817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FDD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9C5B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95DF5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5D5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CCB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8141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F47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4FC1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21.96</w:t>
            </w:r>
            <w:r>
              <w:rPr>
                <w:rFonts w:ascii="Times New Roman" w:hAnsi="Times New Roman"/>
                <w:color w:val="000000"/>
                <w:sz w:val="18"/>
                <w:u w:color="auto"/>
              </w:rPr>
              <w:t xml:space="preserve"> </w:t>
            </w:r>
          </w:p>
        </w:tc>
      </w:tr>
      <w:tr w14:paraId="119DE3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F2DD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B2A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862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4052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E82A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21.96</w:t>
            </w:r>
            <w:r>
              <w:rPr>
                <w:rFonts w:ascii="Times New Roman" w:hAnsi="Times New Roman"/>
                <w:color w:val="000000"/>
                <w:sz w:val="18"/>
                <w:u w:color="auto"/>
              </w:rPr>
              <w:t xml:space="preserve"> </w:t>
            </w:r>
          </w:p>
        </w:tc>
      </w:tr>
      <w:tr w14:paraId="080D478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9DD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4C3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EEE3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0D2E5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0D3EE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36FC6B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DCE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BF66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8756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66.55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F59B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7B5A9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19F17D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F678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4EB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8563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406B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472B6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5688903">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1EFCBAB-B62E-4B91-86FD-F0A6DF0448DD}"/>
  </w:font>
  <w:font w:name="黑体">
    <w:panose1 w:val="02010609060101010101"/>
    <w:charset w:val="86"/>
    <w:family w:val="auto"/>
    <w:pitch w:val="default"/>
    <w:sig w:usb0="800002BF" w:usb1="38CF7CFA" w:usb2="00000016" w:usb3="00000000" w:csb0="00040001" w:csb1="00000000"/>
    <w:embedRegular r:id="rId2" w:fontKey="{F2FDC82E-125F-4F23-82B6-F7945DA8CA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EB153269-6404-4FCC-9148-F8D21306F524}"/>
  </w:font>
  <w:font w:name="方正黑体_GBK">
    <w:panose1 w:val="03000509000000000000"/>
    <w:charset w:val="86"/>
    <w:family w:val="script"/>
    <w:pitch w:val="default"/>
    <w:sig w:usb0="00000001" w:usb1="080E0000" w:usb2="00000000" w:usb3="00000000" w:csb0="00040000" w:csb1="00000000"/>
    <w:embedRegular r:id="rId4" w:fontKey="{6BF474DE-D587-460E-9D53-44E526D86B34}"/>
  </w:font>
  <w:font w:name="方正楷体_GBK">
    <w:panose1 w:val="03000509000000000000"/>
    <w:charset w:val="86"/>
    <w:family w:val="script"/>
    <w:pitch w:val="default"/>
    <w:sig w:usb0="00000001" w:usb1="080E0000" w:usb2="00000000" w:usb3="00000000" w:csb0="00040000" w:csb1="00000000"/>
    <w:embedRegular r:id="rId5" w:fontKey="{FE046B7F-E213-499D-BCCC-2643C8CFA7B4}"/>
  </w:font>
  <w:font w:name="方正仿宋_GBK">
    <w:panose1 w:val="03000509000000000000"/>
    <w:charset w:val="86"/>
    <w:family w:val="script"/>
    <w:pitch w:val="default"/>
    <w:sig w:usb0="00000001" w:usb1="080E0000" w:usb2="00000000" w:usb3="00000000" w:csb0="00040000" w:csb1="00000000"/>
    <w:embedRegular r:id="rId6" w:fontKey="{FAAA649C-15D7-4792-BA71-30874D51B2D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E0603">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907A08">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1907A08">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9E232">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F875A4">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13</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DF875A4">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13</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A58DA00">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A58DA00">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6A26B">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WI0NDg2ZjBlNWNhOWFmODA1YWQyMmExN2MxZjI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3D45AD"/>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95606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4B78BC"/>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511636"/>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270437"/>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07C22A8"/>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0F3A01"/>
    <w:rsid w:val="48225EF7"/>
    <w:rsid w:val="48A36D47"/>
    <w:rsid w:val="495C4A24"/>
    <w:rsid w:val="49A21DF3"/>
    <w:rsid w:val="49C811E4"/>
    <w:rsid w:val="4A216E30"/>
    <w:rsid w:val="4B7951CB"/>
    <w:rsid w:val="4B7C315C"/>
    <w:rsid w:val="4B842010"/>
    <w:rsid w:val="4B9300D7"/>
    <w:rsid w:val="4B99567B"/>
    <w:rsid w:val="4BAB7F90"/>
    <w:rsid w:val="4BD53EDA"/>
    <w:rsid w:val="4BE11807"/>
    <w:rsid w:val="4C436BD0"/>
    <w:rsid w:val="4C484CE5"/>
    <w:rsid w:val="4DAC4ACA"/>
    <w:rsid w:val="4DD06F63"/>
    <w:rsid w:val="4E043596"/>
    <w:rsid w:val="4E7C3473"/>
    <w:rsid w:val="4E9B0C57"/>
    <w:rsid w:val="4EA8523F"/>
    <w:rsid w:val="4F186D58"/>
    <w:rsid w:val="4F224836"/>
    <w:rsid w:val="4F231B40"/>
    <w:rsid w:val="516C3271"/>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DCB533C"/>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FB2E76"/>
    <w:rsid w:val="70AB70D6"/>
    <w:rsid w:val="70DE5507"/>
    <w:rsid w:val="71C34D91"/>
    <w:rsid w:val="71ED38AA"/>
    <w:rsid w:val="723F3B65"/>
    <w:rsid w:val="72DB435C"/>
    <w:rsid w:val="738549F4"/>
    <w:rsid w:val="74ED1B1B"/>
    <w:rsid w:val="750837F0"/>
    <w:rsid w:val="762A73EF"/>
    <w:rsid w:val="7631412E"/>
    <w:rsid w:val="764F62AB"/>
    <w:rsid w:val="765C45EC"/>
    <w:rsid w:val="766464A5"/>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6">
    <w:name w:val="font61"/>
    <w:qFormat/>
    <w:uiPriority w:val="0"/>
    <w:rPr>
      <w:rFonts w:hint="default" w:ascii="Times New Roman" w:hAnsi="Times New Roman" w:eastAsia="楷体_GB2312" w:cs="Times New Roman"/>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5249</Words>
  <Characters>5878</Characters>
  <Lines>161</Lines>
  <Paragraphs>45</Paragraphs>
  <TotalTime>9</TotalTime>
  <ScaleCrop>false</ScaleCrop>
  <LinksUpToDate>false</LinksUpToDate>
  <CharactersWithSpaces>5926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2025-10-23T08:07:04Z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