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2073">
      <w:pPr>
        <w:pStyle w:val="9"/>
        <w:keepNext w:val="0"/>
        <w:keepLines w:val="0"/>
        <w:pageBreakBefore w:val="0"/>
        <w:kinsoku/>
        <w:overflowPunct/>
        <w:topLinePunct w:val="0"/>
        <w:autoSpaceDN/>
        <w:bidi w:val="0"/>
        <w:ind w:left="0" w:leftChars="0" w:firstLine="0" w:firstLineChars="0"/>
        <w:jc w:val="center"/>
        <w:rPr>
          <w:rFonts w:hint="eastAsia" w:ascii="方正小标宋_GBK" w:hAnsi="方正小标宋_GBK" w:eastAsia="方正小标宋_GBK" w:cs="方正小标宋_GBK"/>
          <w:sz w:val="44"/>
          <w:szCs w:val="44"/>
        </w:rPr>
      </w:pPr>
      <w:bookmarkStart w:id="0" w:name="OLE_LINK87"/>
      <w:bookmarkStart w:id="1" w:name="OLE_LINK88"/>
      <w:r>
        <w:rPr>
          <w:rFonts w:hint="eastAsia" w:ascii="方正小标宋_GBK" w:hAnsi="方正小标宋_GBK" w:eastAsia="方正小标宋_GBK" w:cs="方正小标宋_GBK"/>
          <w:sz w:val="44"/>
          <w:szCs w:val="44"/>
        </w:rPr>
        <w:t>重庆铁路小学</w:t>
      </w:r>
    </w:p>
    <w:p w14:paraId="6E30A32E">
      <w:pPr>
        <w:pStyle w:val="9"/>
        <w:keepNext w:val="0"/>
        <w:keepLines w:val="0"/>
        <w:pageBreakBefore w:val="0"/>
        <w:kinsoku/>
        <w:overflowPunct/>
        <w:topLinePunct w:val="0"/>
        <w:autoSpaceDN/>
        <w:bidi w:val="0"/>
        <w:ind w:left="0" w:leftChars="0" w:firstLine="0" w:firstLineChars="0"/>
        <w:jc w:val="center"/>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决算</w:t>
      </w:r>
      <w:r>
        <w:rPr>
          <w:rFonts w:hint="eastAsia" w:ascii="方正小标宋_GBK" w:hAnsi="方正小标宋_GBK" w:eastAsia="方正小标宋_GBK" w:cs="方正小标宋_GBK"/>
          <w:sz w:val="44"/>
          <w:szCs w:val="44"/>
          <w:lang w:val="en-US" w:eastAsia="zh-CN"/>
        </w:rPr>
        <w:t>情况</w:t>
      </w:r>
      <w:r>
        <w:rPr>
          <w:rFonts w:hint="eastAsia" w:ascii="方正小标宋_GBK" w:hAnsi="方正小标宋_GBK" w:eastAsia="方正小标宋_GBK" w:cs="方正小标宋_GBK"/>
          <w:sz w:val="44"/>
          <w:szCs w:val="44"/>
        </w:rPr>
        <w:t>说明</w:t>
      </w:r>
    </w:p>
    <w:p w14:paraId="3D757F58">
      <w:pPr>
        <w:keepNext w:val="0"/>
        <w:keepLines w:val="0"/>
        <w:pageBreakBefore w:val="0"/>
        <w:widowControl w:val="0"/>
        <w:kinsoku/>
        <w:overflowPunct/>
        <w:topLinePunct w:val="0"/>
        <w:autoSpaceDN/>
        <w:bidi w:val="0"/>
        <w:snapToGrid w:val="0"/>
        <w:spacing w:line="600" w:lineRule="exact"/>
        <w:ind w:firstLine="640" w:firstLineChars="200"/>
        <w:jc w:val="center"/>
        <w:rPr>
          <w:rStyle w:val="12"/>
          <w:rFonts w:ascii="Times New Roman" w:hAnsi="Times New Roman" w:eastAsia="方正黑体_GBK" w:cs="黑体"/>
          <w:b w:val="0"/>
          <w:bCs/>
          <w:sz w:val="32"/>
          <w:szCs w:val="32"/>
          <w:shd w:val="clear" w:color="auto" w:fill="FFFFFF"/>
        </w:rPr>
      </w:pPr>
      <w:bookmarkStart w:id="2" w:name="OLE_LINK90"/>
      <w:bookmarkStart w:id="3" w:name="OLE_LINK89"/>
      <w:bookmarkStart w:id="4" w:name="OLE_LINK3"/>
      <w:bookmarkStart w:id="5" w:name="OLE_LINK2"/>
    </w:p>
    <w:p w14:paraId="5AF11FE2">
      <w:pPr>
        <w:keepNext w:val="0"/>
        <w:keepLines w:val="0"/>
        <w:pageBreakBefore w:val="0"/>
        <w:widowControl w:val="0"/>
        <w:kinsoku/>
        <w:overflowPunct/>
        <w:topLinePunct w:val="0"/>
        <w:autoSpaceDN/>
        <w:bidi w:val="0"/>
        <w:snapToGrid w:val="0"/>
        <w:spacing w:line="600" w:lineRule="exact"/>
        <w:ind w:firstLine="640" w:firstLineChars="200"/>
        <w:rPr>
          <w:rStyle w:val="12"/>
          <w:rFonts w:hint="default" w:ascii="Times New Roman" w:hAnsi="Times New Roman" w:eastAsia="方正黑体_GBK" w:cs="黑体"/>
          <w:b w:val="0"/>
          <w:bCs/>
          <w:sz w:val="32"/>
          <w:szCs w:val="32"/>
          <w:shd w:val="clear" w:color="auto" w:fill="FFFFFF"/>
        </w:rPr>
      </w:pPr>
      <w:r>
        <w:rPr>
          <w:rStyle w:val="12"/>
          <w:rFonts w:ascii="Times New Roman" w:hAnsi="Times New Roman" w:eastAsia="方正黑体_GBK" w:cs="黑体"/>
          <w:b w:val="0"/>
          <w:bCs/>
          <w:sz w:val="32"/>
          <w:szCs w:val="32"/>
          <w:shd w:val="clear" w:color="auto" w:fill="FFFFFF"/>
        </w:rPr>
        <w:t>一、单位基本情况</w:t>
      </w:r>
      <w:bookmarkEnd w:id="2"/>
      <w:bookmarkEnd w:id="3"/>
      <w:bookmarkStart w:id="6" w:name="OLE_LINK4"/>
      <w:bookmarkStart w:id="7" w:name="OLE_LINK5"/>
      <w:r>
        <w:rPr>
          <w:rStyle w:val="12"/>
          <w:rFonts w:ascii="Times New Roman" w:hAnsi="Times New Roman" w:eastAsia="方正黑体_GBK" w:cs="黑体"/>
          <w:b w:val="0"/>
          <w:bCs/>
          <w:sz w:val="32"/>
          <w:szCs w:val="32"/>
          <w:shd w:val="clear" w:color="auto" w:fill="FFFFFF"/>
        </w:rPr>
        <w:t xml:space="preserve"> </w:t>
      </w:r>
    </w:p>
    <w:p w14:paraId="6F610AD3">
      <w:pPr>
        <w:keepNext w:val="0"/>
        <w:keepLines w:val="0"/>
        <w:pageBreakBefore w:val="0"/>
        <w:widowControl w:val="0"/>
        <w:kinsoku/>
        <w:overflowPunct/>
        <w:topLinePunct w:val="0"/>
        <w:autoSpaceDN/>
        <w:bidi w:val="0"/>
        <w:snapToGrid w:val="0"/>
        <w:spacing w:line="600" w:lineRule="exact"/>
        <w:ind w:firstLine="640" w:firstLineChars="200"/>
        <w:rPr>
          <w:rFonts w:hint="default" w:ascii="Times New Roman" w:hAnsi="Times New Roman" w:eastAsia="方正楷体_GBK"/>
          <w:sz w:val="32"/>
          <w:szCs w:val="32"/>
        </w:rPr>
      </w:pPr>
      <w:bookmarkStart w:id="8" w:name="OLE_LINK93"/>
      <w:bookmarkStart w:id="9" w:name="OLE_LINK94"/>
      <w:bookmarkStart w:id="10" w:name="OLE_LINK91"/>
      <w:bookmarkStart w:id="11" w:name="OLE_LINK92"/>
      <w:r>
        <w:rPr>
          <w:rFonts w:ascii="Times New Roman" w:hAnsi="Times New Roman" w:eastAsia="方正楷体_GBK"/>
          <w:sz w:val="32"/>
          <w:szCs w:val="32"/>
        </w:rPr>
        <w:t>（一）职能职责</w:t>
      </w:r>
      <w:bookmarkEnd w:id="8"/>
      <w:bookmarkEnd w:id="9"/>
      <w:r>
        <w:rPr>
          <w:rFonts w:ascii="Times New Roman" w:hAnsi="Times New Roman" w:eastAsia="方正楷体_GBK"/>
          <w:sz w:val="32"/>
          <w:szCs w:val="32"/>
        </w:rPr>
        <w:t xml:space="preserve"> </w:t>
      </w:r>
    </w:p>
    <w:bookmarkEnd w:id="0"/>
    <w:bookmarkEnd w:id="1"/>
    <w:bookmarkEnd w:id="10"/>
    <w:bookmarkEnd w:id="11"/>
    <w:p w14:paraId="78E925CD">
      <w:pPr>
        <w:keepNext w:val="0"/>
        <w:keepLines w:val="0"/>
        <w:pageBreakBefore w:val="0"/>
        <w:widowControl w:val="0"/>
        <w:kinsoku/>
        <w:overflowPunct/>
        <w:topLinePunct w:val="0"/>
        <w:autoSpaceDN/>
        <w:bidi w:val="0"/>
        <w:snapToGrid w:val="0"/>
        <w:spacing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实施普通小学义务教育，促进学生全面发</w:t>
      </w:r>
      <w:bookmarkStart w:id="60" w:name="_GoBack"/>
      <w:bookmarkEnd w:id="60"/>
      <w:r>
        <w:rPr>
          <w:rFonts w:ascii="Times New Roman" w:hAnsi="Times New Roman" w:eastAsia="方正仿宋_GBK"/>
          <w:sz w:val="32"/>
          <w:szCs w:val="32"/>
        </w:rPr>
        <w:t>展。开展教育教学工作，开展学校德育工作，开展学校体育、卫生、艺术工作，负责学校行政管理工作，开展对外交交流工作，维护校园安全，提供后勤保障服务，按政策规定开展学前教育。</w:t>
      </w:r>
    </w:p>
    <w:p w14:paraId="235C3212">
      <w:pPr>
        <w:keepNext w:val="0"/>
        <w:keepLines w:val="0"/>
        <w:pageBreakBefore w:val="0"/>
        <w:widowControl w:val="0"/>
        <w:kinsoku/>
        <w:overflowPunct/>
        <w:topLinePunct w:val="0"/>
        <w:autoSpaceDN/>
        <w:bidi w:val="0"/>
        <w:snapToGrid w:val="0"/>
        <w:spacing w:line="600"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（二）机构设置</w:t>
      </w:r>
    </w:p>
    <w:p w14:paraId="22F9951D">
      <w:pPr>
        <w:keepNext w:val="0"/>
        <w:keepLines w:val="0"/>
        <w:pageBreakBefore w:val="0"/>
        <w:widowControl w:val="0"/>
        <w:kinsoku/>
        <w:overflowPunct/>
        <w:topLinePunct w:val="0"/>
        <w:autoSpaceDN/>
        <w:bidi w:val="0"/>
        <w:snapToGrid w:val="0"/>
        <w:spacing w:line="600" w:lineRule="exact"/>
        <w:ind w:firstLine="640" w:firstLineChars="200"/>
        <w:rPr>
          <w:rStyle w:val="12"/>
          <w:rFonts w:hint="default" w:ascii="Times New Roman" w:hAnsi="Times New Roman" w:eastAsia="方正仿宋_GBK"/>
          <w:b w:val="0"/>
          <w:sz w:val="32"/>
          <w:szCs w:val="32"/>
        </w:rPr>
      </w:pPr>
      <w:r>
        <w:rPr>
          <w:rFonts w:ascii="Times New Roman" w:hAnsi="Times New Roman" w:eastAsia="方正仿宋_GBK"/>
          <w:sz w:val="32"/>
          <w:szCs w:val="32"/>
        </w:rPr>
        <w:t>重庆铁路小学设下列内设机构：党政办公室、教导处、德育处、后勤处、信息管理处、安全办公室、幼儿园、财务室。</w:t>
      </w:r>
      <w:bookmarkEnd w:id="6"/>
      <w:bookmarkEnd w:id="7"/>
    </w:p>
    <w:bookmarkEnd w:id="4"/>
    <w:bookmarkEnd w:id="5"/>
    <w:p w14:paraId="5BDA3254">
      <w:pPr>
        <w:pStyle w:val="9"/>
        <w:keepNext w:val="0"/>
        <w:keepLines w:val="0"/>
        <w:pageBreakBefore w:val="0"/>
        <w:kinsoku/>
        <w:overflowPunct/>
        <w:topLinePunct w:val="0"/>
        <w:autoSpaceDN/>
        <w:bidi w:val="0"/>
        <w:ind w:firstLine="643"/>
        <w:rPr>
          <w:rStyle w:val="12"/>
          <w:rFonts w:ascii="Times New Roman" w:hAnsi="Times New Roman" w:eastAsia="方正黑体_GBK"/>
          <w:b w:val="0"/>
          <w:bCs/>
        </w:rPr>
      </w:pPr>
      <w:r>
        <w:rPr>
          <w:rStyle w:val="12"/>
          <w:rFonts w:hint="eastAsia" w:ascii="Times New Roman" w:hAnsi="Times New Roman" w:eastAsia="方正黑体_GBK"/>
          <w:b w:val="0"/>
          <w:bCs/>
        </w:rPr>
        <w:t xml:space="preserve">二、单位决算收支情况说明 </w:t>
      </w:r>
    </w:p>
    <w:p w14:paraId="5CC9B494">
      <w:pPr>
        <w:pStyle w:val="13"/>
        <w:keepNext w:val="0"/>
        <w:keepLines w:val="0"/>
        <w:pageBreakBefore w:val="0"/>
        <w:kinsoku/>
        <w:overflowPunct/>
        <w:topLinePunct w:val="0"/>
        <w:autoSpaceDN/>
        <w:bidi w:val="0"/>
        <w:rPr>
          <w:rFonts w:ascii="Times New Roman" w:hAnsi="Times New Roman"/>
          <w:b w:val="0"/>
          <w:bCs/>
        </w:rPr>
      </w:pPr>
      <w:r>
        <w:rPr>
          <w:rFonts w:hint="eastAsia" w:ascii="Times New Roman" w:hAnsi="Times New Roman"/>
          <w:b w:val="0"/>
          <w:bCs/>
        </w:rPr>
        <w:t>（一）收入支出决算总体情况说明</w:t>
      </w:r>
    </w:p>
    <w:p w14:paraId="41217977">
      <w:pPr>
        <w:keepNext w:val="0"/>
        <w:keepLines w:val="0"/>
        <w:pageBreakBefore w:val="0"/>
        <w:kinsoku/>
        <w:overflowPunct/>
        <w:topLinePunct w:val="0"/>
        <w:autoSpaceDN/>
        <w:bidi w:val="0"/>
        <w:spacing w:line="600" w:lineRule="exact"/>
        <w:ind w:firstLine="630" w:firstLineChars="196"/>
        <w:jc w:val="both"/>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1.总体情况。</w:t>
      </w:r>
      <w:bookmarkStart w:id="12" w:name="OLE_LINK96"/>
      <w:bookmarkStart w:id="13" w:name="OLE_LINK95"/>
      <w:r>
        <w:rPr>
          <w:rFonts w:ascii="Times New Roman" w:hAnsi="Times New Roman" w:eastAsia="方正仿宋_GBK" w:cs="方正仿宋_GBK"/>
          <w:sz w:val="32"/>
          <w:szCs w:val="32"/>
          <w:shd w:val="clear" w:color="auto" w:fill="FFFFFF"/>
        </w:rPr>
        <w:t>2024年度收入总计3212.63万元，支出总计</w:t>
      </w:r>
      <w:r>
        <w:rPr>
          <w:rFonts w:ascii="Times New Roman" w:hAnsi="Times New Roman" w:eastAsia="方正仿宋_GBK" w:cs="方正仿宋_GBK"/>
          <w:sz w:val="32"/>
          <w:szCs w:val="32"/>
        </w:rPr>
        <w:t>3212.63</w:t>
      </w:r>
      <w:r>
        <w:rPr>
          <w:rFonts w:ascii="Times New Roman" w:hAnsi="Times New Roman" w:eastAsia="方正仿宋_GBK" w:cs="方正仿宋_GBK"/>
          <w:sz w:val="32"/>
          <w:szCs w:val="32"/>
          <w:shd w:val="clear" w:color="auto" w:fill="FFFFFF"/>
        </w:rPr>
        <w:t>万元。收、支与2023年度相比，减少365.12万元，下降10.2%，主要原因是</w:t>
      </w:r>
      <w:bookmarkStart w:id="14" w:name="OLE_LINK9"/>
      <w:bookmarkStart w:id="15" w:name="OLE_LINK8"/>
      <w:bookmarkStart w:id="16" w:name="OLE_LINK7"/>
      <w:r>
        <w:rPr>
          <w:rFonts w:ascii="Times New Roman" w:hAnsi="Times New Roman" w:eastAsia="方正仿宋_GBK" w:cs="方正仿宋_GBK"/>
          <w:sz w:val="32"/>
          <w:szCs w:val="32"/>
          <w:shd w:val="clear" w:color="auto" w:fill="FFFFFF"/>
        </w:rPr>
        <w:t>减少了校舍维修项目</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设备购置专项等。</w:t>
      </w:r>
      <w:bookmarkEnd w:id="12"/>
      <w:bookmarkEnd w:id="13"/>
      <w:bookmarkEnd w:id="14"/>
      <w:bookmarkEnd w:id="15"/>
      <w:bookmarkEnd w:id="16"/>
    </w:p>
    <w:p w14:paraId="09577F04">
      <w:pPr>
        <w:keepNext w:val="0"/>
        <w:keepLines w:val="0"/>
        <w:pageBreakBefore w:val="0"/>
        <w:kinsoku/>
        <w:overflowPunct/>
        <w:topLinePunct w:val="0"/>
        <w:autoSpaceDN/>
        <w:bidi w:val="0"/>
        <w:spacing w:line="600" w:lineRule="exact"/>
        <w:ind w:firstLine="630" w:firstLineChars="196"/>
        <w:jc w:val="both"/>
        <w:rPr>
          <w:rFonts w:hint="default"/>
          <w:lang w:val="en-US" w:eastAsia="zh-CN"/>
        </w:rPr>
      </w:pPr>
      <w:r>
        <w:rPr>
          <w:rStyle w:val="12"/>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2024年度收入合计3212.63万元，与2023年度相比，减少365.12万元，下降10.2%，主要原因是减少了校舍维修项目</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设备购置专项</w:t>
      </w:r>
      <w:bookmarkStart w:id="17" w:name="OLE_LINK10"/>
      <w:bookmarkStart w:id="18" w:name="OLE_LINK11"/>
      <w:r>
        <w:rPr>
          <w:rFonts w:ascii="Times New Roman" w:hAnsi="Times New Roman" w:eastAsia="方正仿宋_GBK" w:cs="方正仿宋_GBK"/>
          <w:sz w:val="32"/>
          <w:szCs w:val="32"/>
          <w:shd w:val="clear" w:color="auto" w:fill="FFFFFF"/>
        </w:rPr>
        <w:t>等。</w:t>
      </w:r>
      <w:bookmarkEnd w:id="17"/>
      <w:bookmarkEnd w:id="18"/>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3152.71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98.13</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59.92</w:t>
      </w:r>
      <w:r>
        <w:rPr>
          <w:rFonts w:ascii="Times New Roman" w:hAnsi="Times New Roman" w:eastAsia="方正仿宋_GBK" w:cs="方正仿宋_GBK"/>
          <w:sz w:val="32"/>
          <w:szCs w:val="32"/>
          <w:shd w:val="clear" w:color="auto" w:fill="FFFFFF"/>
        </w:rPr>
        <w:t>万元，占1.87%。</w:t>
      </w:r>
    </w:p>
    <w:p w14:paraId="260AFE59">
      <w:pPr>
        <w:pStyle w:val="9"/>
        <w:keepNext w:val="0"/>
        <w:keepLines w:val="0"/>
        <w:pageBreakBefore w:val="0"/>
        <w:widowControl w:val="0"/>
        <w:kinsoku/>
        <w:wordWrap/>
        <w:overflowPunct/>
        <w:topLinePunct w:val="0"/>
        <w:autoSpaceDE/>
        <w:autoSpaceDN/>
        <w:bidi w:val="0"/>
        <w:adjustRightInd/>
        <w:snapToGrid/>
        <w:ind w:firstLine="643"/>
        <w:textAlignment w:val="auto"/>
        <w:rPr>
          <w:rFonts w:ascii="Times New Roman" w:hAnsi="Times New Roman"/>
        </w:rPr>
      </w:pPr>
      <w:r>
        <w:rPr>
          <w:rStyle w:val="12"/>
          <w:rFonts w:ascii="Times New Roman" w:hAnsi="Times New Roman" w:cs="方正仿宋_GBK"/>
        </w:rPr>
        <w:t>3.支出情况。</w:t>
      </w:r>
      <w:r>
        <w:rPr>
          <w:rFonts w:hint="eastAsia" w:ascii="Times New Roman" w:hAnsi="Times New Roman"/>
        </w:rPr>
        <w:t>2024年度支出合计3212.63万元，与2023年度相比，减少365.12万元，下降10.2%，主要原因是其中：</w:t>
      </w:r>
      <w:bookmarkStart w:id="19" w:name="OLE_LINK15"/>
      <w:bookmarkStart w:id="20" w:name="OLE_LINK16"/>
      <w:r>
        <w:rPr>
          <w:rFonts w:hint="eastAsia" w:ascii="Times New Roman" w:hAnsi="Times New Roman"/>
        </w:rPr>
        <w:t>减少了校舍维修项目，设备购置专项等。</w:t>
      </w:r>
      <w:bookmarkEnd w:id="19"/>
      <w:bookmarkEnd w:id="20"/>
      <w:r>
        <w:rPr>
          <w:rFonts w:hint="eastAsia" w:ascii="Times New Roman" w:hAnsi="Times New Roman"/>
        </w:rPr>
        <w:t>本支出2597.19万元，占80.84%；项目支出615.44万元，占19.16%。</w:t>
      </w:r>
    </w:p>
    <w:p w14:paraId="0ECC6325">
      <w:pPr>
        <w:pStyle w:val="9"/>
        <w:keepNext w:val="0"/>
        <w:keepLines w:val="0"/>
        <w:pageBreakBefore w:val="0"/>
        <w:widowControl w:val="0"/>
        <w:kinsoku/>
        <w:wordWrap/>
        <w:overflowPunct/>
        <w:topLinePunct w:val="0"/>
        <w:autoSpaceDN/>
        <w:bidi w:val="0"/>
        <w:ind w:firstLine="643"/>
        <w:rPr>
          <w:rFonts w:ascii="Times New Roman" w:hAnsi="Times New Roman"/>
        </w:rPr>
      </w:pPr>
      <w:r>
        <w:rPr>
          <w:rStyle w:val="12"/>
          <w:rFonts w:ascii="Times New Roman" w:hAnsi="Times New Roman" w:cs="方正仿宋_GBK"/>
        </w:rPr>
        <w:t>4.结转结余情况。</w:t>
      </w:r>
      <w:r>
        <w:rPr>
          <w:rFonts w:hint="eastAsia" w:ascii="Times New Roman" w:hAnsi="Times New Roman"/>
        </w:rPr>
        <w:t>2024年度年末结转和结余0.00万元，与2023年度相比，无增减，主要原因是</w:t>
      </w:r>
      <w:bookmarkStart w:id="21" w:name="OLE_LINK12"/>
      <w:bookmarkStart w:id="22" w:name="OLE_LINK13"/>
      <w:r>
        <w:rPr>
          <w:rFonts w:hint="eastAsia" w:ascii="Times New Roman" w:hAnsi="Times New Roman"/>
        </w:rPr>
        <w:t>本年度收支平衡。</w:t>
      </w:r>
      <w:bookmarkEnd w:id="21"/>
      <w:bookmarkEnd w:id="22"/>
    </w:p>
    <w:p w14:paraId="52042881">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（二）财政拨款收入支出决算总体情况说明</w:t>
      </w:r>
    </w:p>
    <w:p w14:paraId="0492C132">
      <w:pPr>
        <w:keepNext w:val="0"/>
        <w:keepLines w:val="0"/>
        <w:pageBreakBefore w:val="0"/>
        <w:widowControl w:val="0"/>
        <w:kinsoku/>
        <w:wordWrap/>
        <w:overflowPunct/>
        <w:topLinePunct w:val="0"/>
        <w:autoSpaceDN/>
        <w:bidi w:val="0"/>
        <w:spacing w:line="60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2024年度财政拨款收、支总计3152.71万元。与2023年相比，财政拨款收、支总计各减少346.14万元，下降9.9%。主要原因是</w:t>
      </w:r>
      <w:bookmarkStart w:id="23" w:name="OLE_LINK23"/>
      <w:bookmarkStart w:id="24" w:name="OLE_LINK22"/>
      <w:bookmarkStart w:id="25" w:name="OLE_LINK17"/>
      <w:bookmarkStart w:id="26" w:name="OLE_LINK21"/>
      <w:bookmarkStart w:id="27" w:name="OLE_LINK18"/>
      <w:bookmarkStart w:id="28" w:name="OLE_LINK24"/>
      <w:r>
        <w:rPr>
          <w:rFonts w:ascii="Times New Roman" w:hAnsi="Times New Roman" w:eastAsia="方正仿宋_GBK" w:cs="方正仿宋_GBK"/>
          <w:sz w:val="32"/>
          <w:szCs w:val="32"/>
          <w:shd w:val="clear" w:color="auto" w:fill="FFFFFF"/>
        </w:rPr>
        <w:t>减少了校舍维修项目，设备购置专</w:t>
      </w:r>
      <w:bookmarkStart w:id="29" w:name="OLE_LINK20"/>
      <w:r>
        <w:rPr>
          <w:rFonts w:ascii="Times New Roman" w:hAnsi="Times New Roman" w:eastAsia="方正仿宋_GBK" w:cs="方正仿宋_GBK"/>
          <w:sz w:val="32"/>
          <w:szCs w:val="32"/>
          <w:shd w:val="clear" w:color="auto" w:fill="FFFFFF"/>
        </w:rPr>
        <w:t>项等</w:t>
      </w:r>
      <w:bookmarkEnd w:id="23"/>
      <w:bookmarkEnd w:id="24"/>
      <w:bookmarkEnd w:id="29"/>
      <w:r>
        <w:rPr>
          <w:rFonts w:ascii="Times New Roman" w:hAnsi="Times New Roman" w:eastAsia="方正仿宋_GBK" w:cs="方正仿宋_GBK"/>
          <w:sz w:val="32"/>
          <w:szCs w:val="32"/>
          <w:shd w:val="clear" w:color="auto" w:fill="FFFFFF"/>
        </w:rPr>
        <w:t>。</w:t>
      </w:r>
      <w:bookmarkEnd w:id="25"/>
      <w:bookmarkEnd w:id="26"/>
      <w:bookmarkEnd w:id="27"/>
      <w:bookmarkEnd w:id="28"/>
    </w:p>
    <w:p w14:paraId="0D0A56F6">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（三）一般公共预算财政拨款收入支出决算情况说明</w:t>
      </w:r>
    </w:p>
    <w:p w14:paraId="60B6CCE5">
      <w:pPr>
        <w:pStyle w:val="9"/>
        <w:keepNext w:val="0"/>
        <w:keepLines w:val="0"/>
        <w:pageBreakBefore w:val="0"/>
        <w:widowControl w:val="0"/>
        <w:kinsoku/>
        <w:wordWrap/>
        <w:overflowPunct/>
        <w:topLinePunct w:val="0"/>
        <w:autoSpaceDN/>
        <w:bidi w:val="0"/>
        <w:ind w:firstLine="643"/>
        <w:rPr>
          <w:rFonts w:ascii="Times New Roman" w:hAnsi="Times New Roman"/>
        </w:rPr>
      </w:pPr>
      <w:bookmarkStart w:id="30" w:name="OLE_LINK97"/>
      <w:bookmarkStart w:id="31" w:name="OLE_LINK98"/>
      <w:r>
        <w:rPr>
          <w:rStyle w:val="12"/>
          <w:rFonts w:ascii="Times New Roman" w:hAnsi="Times New Roman" w:cs="方正仿宋_GBK"/>
        </w:rPr>
        <w:t>1.收入情</w:t>
      </w:r>
      <w:bookmarkEnd w:id="30"/>
      <w:bookmarkEnd w:id="31"/>
      <w:r>
        <w:rPr>
          <w:rStyle w:val="12"/>
          <w:rFonts w:ascii="Times New Roman" w:hAnsi="Times New Roman" w:cs="方正仿宋_GBK"/>
        </w:rPr>
        <w:t>况。</w:t>
      </w:r>
      <w:r>
        <w:rPr>
          <w:rFonts w:hint="eastAsia" w:ascii="Times New Roman" w:hAnsi="Times New Roman"/>
        </w:rPr>
        <w:t>2024年度一般公共预算财政拨款收入3150.71万元，与2023年度相比，减少49.14万元，下降1.5%。主要原因是</w:t>
      </w:r>
      <w:bookmarkStart w:id="32" w:name="OLE_LINK28"/>
      <w:bookmarkStart w:id="33" w:name="OLE_LINK27"/>
      <w:r>
        <w:rPr>
          <w:rFonts w:hint="eastAsia" w:ascii="Times New Roman" w:hAnsi="Times New Roman"/>
        </w:rPr>
        <w:t>减少了校舍维修项目</w:t>
      </w:r>
      <w:r>
        <w:rPr>
          <w:rFonts w:hint="eastAsia" w:ascii="Times New Roman" w:hAnsi="Times New Roman"/>
          <w:lang w:eastAsia="zh-CN"/>
        </w:rPr>
        <w:t>、</w:t>
      </w:r>
      <w:r>
        <w:rPr>
          <w:rFonts w:hint="eastAsia" w:ascii="Times New Roman" w:hAnsi="Times New Roman"/>
        </w:rPr>
        <w:t>设备购置专项等。</w:t>
      </w:r>
      <w:bookmarkEnd w:id="32"/>
      <w:bookmarkEnd w:id="33"/>
      <w:r>
        <w:rPr>
          <w:rFonts w:hint="eastAsia" w:ascii="Times New Roman" w:hAnsi="Times New Roman"/>
        </w:rPr>
        <w:t>较年初预算数增加297.62万元，增长10.4%。主要原因是</w:t>
      </w:r>
      <w:bookmarkStart w:id="34" w:name="OLE_LINK29"/>
      <w:bookmarkStart w:id="35" w:name="OLE_LINK30"/>
      <w:bookmarkStart w:id="36" w:name="OLE_LINK19"/>
      <w:r>
        <w:rPr>
          <w:rFonts w:hint="eastAsia" w:ascii="Times New Roman" w:hAnsi="Times New Roman"/>
        </w:rPr>
        <w:t>增加了聘用人员专项经费</w:t>
      </w:r>
      <w:r>
        <w:rPr>
          <w:rFonts w:hint="eastAsia" w:ascii="Times New Roman" w:hAnsi="Times New Roman"/>
          <w:lang w:val="en-US" w:eastAsia="zh-CN"/>
        </w:rPr>
        <w:t>及</w:t>
      </w:r>
      <w:r>
        <w:rPr>
          <w:rFonts w:hint="eastAsia" w:ascii="Times New Roman" w:hAnsi="Times New Roman"/>
        </w:rPr>
        <w:t>优质均衡创建标准建设专项经费等。</w:t>
      </w:r>
      <w:bookmarkEnd w:id="34"/>
      <w:bookmarkEnd w:id="35"/>
      <w:r>
        <w:rPr>
          <w:rFonts w:hint="eastAsia" w:ascii="Times New Roman" w:hAnsi="Times New Roman"/>
        </w:rPr>
        <w:t>此外，年初财政拨款结转和结余0.00万元。</w:t>
      </w:r>
    </w:p>
    <w:bookmarkEnd w:id="36"/>
    <w:p w14:paraId="5FDF4980">
      <w:pPr>
        <w:pStyle w:val="9"/>
        <w:keepNext w:val="0"/>
        <w:keepLines w:val="0"/>
        <w:pageBreakBefore w:val="0"/>
        <w:widowControl w:val="0"/>
        <w:kinsoku/>
        <w:wordWrap/>
        <w:overflowPunct/>
        <w:topLinePunct w:val="0"/>
        <w:autoSpaceDN/>
        <w:bidi w:val="0"/>
        <w:ind w:firstLine="643"/>
        <w:rPr>
          <w:rFonts w:ascii="Times New Roman" w:hAnsi="Times New Roman"/>
        </w:rPr>
      </w:pPr>
      <w:r>
        <w:rPr>
          <w:rStyle w:val="12"/>
          <w:rFonts w:ascii="Times New Roman" w:hAnsi="Times New Roman" w:cs="方正仿宋_GBK"/>
        </w:rPr>
        <w:t>2.支出情况。</w:t>
      </w:r>
      <w:r>
        <w:rPr>
          <w:rFonts w:hint="eastAsia" w:ascii="Times New Roman" w:hAnsi="Times New Roman"/>
        </w:rPr>
        <w:t>2024年度一般公共预算财政拨款支出3150.71万元，与2023年度相比，减少49.14万元，下降1.5%。主要原因是减少了校舍维修项目</w:t>
      </w:r>
      <w:r>
        <w:rPr>
          <w:rFonts w:hint="eastAsia" w:ascii="Times New Roman" w:hAnsi="Times New Roman"/>
          <w:lang w:eastAsia="zh-CN"/>
        </w:rPr>
        <w:t>、</w:t>
      </w:r>
      <w:r>
        <w:rPr>
          <w:rFonts w:hint="eastAsia" w:ascii="Times New Roman" w:hAnsi="Times New Roman"/>
        </w:rPr>
        <w:t>设备购置专项等。较年初预算数增加297.62万元，增长10.4%。主要原因是</w:t>
      </w:r>
      <w:bookmarkStart w:id="37" w:name="OLE_LINK42"/>
      <w:bookmarkStart w:id="38" w:name="OLE_LINK41"/>
      <w:bookmarkStart w:id="39" w:name="OLE_LINK33"/>
      <w:r>
        <w:rPr>
          <w:rFonts w:hint="eastAsia" w:ascii="Times New Roman" w:hAnsi="Times New Roman"/>
        </w:rPr>
        <w:t>增加了聘用人员专项经费</w:t>
      </w:r>
      <w:r>
        <w:rPr>
          <w:rFonts w:hint="eastAsia" w:ascii="Times New Roman" w:hAnsi="Times New Roman"/>
          <w:lang w:val="en-US" w:eastAsia="zh-CN"/>
        </w:rPr>
        <w:t>及</w:t>
      </w:r>
      <w:r>
        <w:rPr>
          <w:rFonts w:hint="eastAsia" w:ascii="Times New Roman" w:hAnsi="Times New Roman"/>
        </w:rPr>
        <w:t>优质均衡创建标准建设专项经费等</w:t>
      </w:r>
      <w:bookmarkEnd w:id="37"/>
      <w:bookmarkEnd w:id="38"/>
      <w:r>
        <w:rPr>
          <w:rFonts w:hint="eastAsia" w:ascii="Times New Roman" w:hAnsi="Times New Roman"/>
        </w:rPr>
        <w:t>。</w:t>
      </w:r>
      <w:bookmarkEnd w:id="39"/>
    </w:p>
    <w:p w14:paraId="1413AB50">
      <w:pPr>
        <w:pStyle w:val="9"/>
        <w:keepNext w:val="0"/>
        <w:keepLines w:val="0"/>
        <w:pageBreakBefore w:val="0"/>
        <w:widowControl w:val="0"/>
        <w:kinsoku/>
        <w:wordWrap/>
        <w:overflowPunct/>
        <w:topLinePunct w:val="0"/>
        <w:autoSpaceDN/>
        <w:bidi w:val="0"/>
        <w:ind w:firstLine="643"/>
        <w:rPr>
          <w:rFonts w:hint="default" w:ascii="Times New Roman" w:hAnsi="Times New Roman" w:eastAsia="方正仿宋_GBK"/>
          <w:lang w:val="en-US" w:eastAsia="zh-CN"/>
        </w:rPr>
      </w:pPr>
      <w:r>
        <w:rPr>
          <w:rStyle w:val="12"/>
          <w:rFonts w:ascii="Times New Roman" w:hAnsi="Times New Roman" w:cs="方正仿宋_GBK"/>
        </w:rPr>
        <w:t>3.结转结余情况。</w:t>
      </w:r>
      <w:r>
        <w:rPr>
          <w:rFonts w:hint="eastAsia" w:ascii="Times New Roman" w:hAnsi="Times New Roman"/>
        </w:rPr>
        <w:t>2024年度年末一般公共预算财政拨款结转和结余0.00万元，与2023年度相比，无增减，主要原因是本年度收支平衡</w:t>
      </w:r>
      <w:r>
        <w:rPr>
          <w:rFonts w:hint="eastAsia" w:ascii="Times New Roman" w:hAnsi="Times New Roman"/>
          <w:lang w:eastAsia="zh-CN"/>
        </w:rPr>
        <w:t>，</w:t>
      </w:r>
      <w:r>
        <w:rPr>
          <w:rFonts w:hint="eastAsia" w:ascii="Times New Roman" w:hAnsi="Times New Roman"/>
          <w:lang w:val="en-US" w:eastAsia="zh-CN"/>
        </w:rPr>
        <w:t>无结转结余。</w:t>
      </w:r>
    </w:p>
    <w:p w14:paraId="519FE08C">
      <w:pPr>
        <w:pStyle w:val="9"/>
        <w:keepNext w:val="0"/>
        <w:keepLines w:val="0"/>
        <w:pageBreakBefore w:val="0"/>
        <w:widowControl w:val="0"/>
        <w:kinsoku/>
        <w:wordWrap/>
        <w:overflowPunct/>
        <w:topLinePunct w:val="0"/>
        <w:autoSpaceDN/>
        <w:bidi w:val="0"/>
        <w:ind w:firstLine="643"/>
        <w:rPr>
          <w:rFonts w:ascii="Times New Roman" w:hAnsi="Times New Roman"/>
          <w:color w:val="FF0000"/>
          <w:highlight w:val="cyan"/>
        </w:rPr>
      </w:pPr>
      <w:r>
        <w:rPr>
          <w:rStyle w:val="12"/>
          <w:rFonts w:ascii="Times New Roman" w:hAnsi="Times New Roman" w:cs="方正仿宋_GBK"/>
        </w:rPr>
        <w:t xml:space="preserve"> 4.比较情况。</w:t>
      </w:r>
      <w:r>
        <w:rPr>
          <w:rFonts w:hint="eastAsia" w:ascii="Times New Roman" w:hAnsi="Times New Roman"/>
        </w:rPr>
        <w:t>本单位2024年度一般公共预算财政拨款支出主要用于以下几个方面：</w:t>
      </w:r>
    </w:p>
    <w:p w14:paraId="7D763572">
      <w:pPr>
        <w:pStyle w:val="9"/>
        <w:keepNext w:val="0"/>
        <w:keepLines w:val="0"/>
        <w:pageBreakBefore w:val="0"/>
        <w:widowControl w:val="0"/>
        <w:kinsoku/>
        <w:wordWrap/>
        <w:overflowPunct/>
        <w:topLinePunct w:val="0"/>
        <w:autoSpaceDN/>
        <w:bidi w:val="0"/>
        <w:rPr>
          <w:rFonts w:ascii="Times New Roman" w:hAnsi="Times New Roman"/>
        </w:rPr>
      </w:pPr>
      <w:bookmarkStart w:id="40" w:name="OLE_LINK99"/>
      <w:bookmarkStart w:id="41" w:name="OLE_LINK100"/>
      <w:r>
        <w:rPr>
          <w:rFonts w:hint="eastAsia" w:ascii="Times New Roman" w:hAnsi="Times New Roman"/>
        </w:rPr>
        <w:t>（1）教育支出2571.21万元，占81.61%，较年初预算数增加659.99万元，增长34.5%，主要原因是增加了聘用人员专项经费</w:t>
      </w:r>
      <w:r>
        <w:rPr>
          <w:rFonts w:hint="eastAsia" w:ascii="Times New Roman" w:hAnsi="Times New Roman"/>
          <w:lang w:val="en-US" w:eastAsia="zh-CN"/>
        </w:rPr>
        <w:t>及</w:t>
      </w:r>
      <w:r>
        <w:rPr>
          <w:rFonts w:hint="eastAsia" w:ascii="Times New Roman" w:hAnsi="Times New Roman"/>
        </w:rPr>
        <w:t>优质均衡创建标准建设专项经费等。</w:t>
      </w:r>
      <w:bookmarkEnd w:id="40"/>
      <w:bookmarkEnd w:id="41"/>
    </w:p>
    <w:p w14:paraId="3AED4768">
      <w:pPr>
        <w:pStyle w:val="9"/>
        <w:keepNext w:val="0"/>
        <w:keepLines w:val="0"/>
        <w:pageBreakBefore w:val="0"/>
        <w:widowControl w:val="0"/>
        <w:kinsoku/>
        <w:wordWrap/>
        <w:overflowPunct/>
        <w:topLinePunct w:val="0"/>
        <w:autoSpaceDN/>
        <w:bidi w:val="0"/>
        <w:rPr>
          <w:rFonts w:ascii="Times New Roman" w:hAnsi="Times New Roman"/>
        </w:rPr>
      </w:pPr>
      <w:r>
        <w:rPr>
          <w:rFonts w:hint="eastAsia" w:ascii="Times New Roman" w:hAnsi="Times New Roman"/>
        </w:rPr>
        <w:t>（2）社会保障与就业支出298.13万元，占9.46%，较年初预算数减少365.59万元，下降55.1%，主要原因是政策性调整。</w:t>
      </w:r>
    </w:p>
    <w:p w14:paraId="3BD93753">
      <w:pPr>
        <w:pStyle w:val="9"/>
        <w:keepNext w:val="0"/>
        <w:keepLines w:val="0"/>
        <w:pageBreakBefore w:val="0"/>
        <w:widowControl w:val="0"/>
        <w:kinsoku/>
        <w:wordWrap/>
        <w:overflowPunct/>
        <w:topLinePunct w:val="0"/>
        <w:autoSpaceDN/>
        <w:bidi w:val="0"/>
        <w:rPr>
          <w:rFonts w:ascii="Times New Roman" w:hAnsi="Times New Roman"/>
        </w:rPr>
      </w:pPr>
      <w:r>
        <w:rPr>
          <w:rFonts w:hint="eastAsia" w:ascii="Times New Roman" w:hAnsi="Times New Roman"/>
        </w:rPr>
        <w:t>（3）卫生健康支出126.20万元，占4.01%，较年初预算数减少1.00万元，下降0.8%，主要原因是在编人员减少。</w:t>
      </w:r>
    </w:p>
    <w:p w14:paraId="172C3D20">
      <w:pPr>
        <w:pStyle w:val="9"/>
        <w:keepNext w:val="0"/>
        <w:keepLines w:val="0"/>
        <w:pageBreakBefore w:val="0"/>
        <w:widowControl w:val="0"/>
        <w:kinsoku/>
        <w:wordWrap/>
        <w:overflowPunct/>
        <w:topLinePunct w:val="0"/>
        <w:autoSpaceDN/>
        <w:bidi w:val="0"/>
        <w:rPr>
          <w:rFonts w:ascii="Times New Roman" w:hAnsi="Times New Roman"/>
        </w:rPr>
      </w:pPr>
      <w:r>
        <w:rPr>
          <w:rFonts w:hint="eastAsia" w:ascii="Times New Roman" w:hAnsi="Times New Roman"/>
        </w:rPr>
        <w:t>（4）住房保障支出155.17万元，占4.92%，较年初预算数增加4.22万元，增长2.8%，主要原因是公积金基数调整。</w:t>
      </w:r>
    </w:p>
    <w:p w14:paraId="1731C387">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（四）一般公共预算财政拨款基本支出决算情况说明</w:t>
      </w:r>
    </w:p>
    <w:p w14:paraId="6B26CFC8">
      <w:pPr>
        <w:pStyle w:val="9"/>
        <w:keepNext w:val="0"/>
        <w:keepLines w:val="0"/>
        <w:pageBreakBefore w:val="0"/>
        <w:widowControl w:val="0"/>
        <w:kinsoku/>
        <w:wordWrap/>
        <w:overflowPunct/>
        <w:topLinePunct w:val="0"/>
        <w:autoSpaceDN/>
        <w:bidi w:val="0"/>
        <w:rPr>
          <w:rFonts w:ascii="Times New Roman" w:hAnsi="Times New Roman"/>
        </w:rPr>
      </w:pPr>
      <w:r>
        <w:rPr>
          <w:rFonts w:hint="eastAsia" w:ascii="Times New Roman" w:hAnsi="Times New Roman"/>
        </w:rPr>
        <w:t>2024年度一般公共财政拨款基本支出2597.19万元。其中：人员经费2298.49万元，与2023年度相比，增加50.44万元，增长2.2%，主要原因是调整工资标准</w:t>
      </w:r>
      <w:r>
        <w:rPr>
          <w:rFonts w:hint="eastAsia" w:ascii="Times New Roman" w:hAnsi="Times New Roman"/>
          <w:lang w:eastAsia="zh-CN"/>
        </w:rPr>
        <w:t>。</w:t>
      </w:r>
      <w:r>
        <w:rPr>
          <w:rFonts w:hint="eastAsia" w:ascii="Times New Roman" w:hAnsi="Times New Roman"/>
        </w:rPr>
        <w:t>人员经费用途主要包括基本工资、津补贴、绩效工资、社会保障缴费、住房公积金、退休人员健康休养费支出。公用经费298.70万元，与2023年度相比，增加8.49万元，增长2.9%，主要原因是</w:t>
      </w:r>
      <w:r>
        <w:rPr>
          <w:rFonts w:hint="eastAsia" w:ascii="Times New Roman" w:hAnsi="Times New Roman"/>
          <w:lang w:val="en-US" w:eastAsia="zh-CN"/>
        </w:rPr>
        <w:t>学生</w:t>
      </w:r>
      <w:r>
        <w:rPr>
          <w:rFonts w:hint="eastAsia" w:ascii="Times New Roman" w:hAnsi="Times New Roman"/>
        </w:rPr>
        <w:t>增加</w:t>
      </w:r>
      <w:r>
        <w:rPr>
          <w:rFonts w:hint="eastAsia" w:ascii="Times New Roman" w:hAnsi="Times New Roman"/>
          <w:color w:val="auto"/>
        </w:rPr>
        <w:t>。</w:t>
      </w:r>
      <w:r>
        <w:rPr>
          <w:rFonts w:hint="eastAsia" w:ascii="Times New Roman" w:hAnsi="Times New Roman"/>
        </w:rPr>
        <w:t>公用经费用途主要包括办公费、印刷费、水费、电费、邮电费、物业管理费、差率费、维修（护）费、培训费、专用材料费、劳务费、工会经费、福利费、其他商品和服务支出。</w:t>
      </w:r>
    </w:p>
    <w:p w14:paraId="4AFE1F45">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（五）政府性基金预算收支决算情况说明</w:t>
      </w:r>
    </w:p>
    <w:p w14:paraId="12027E66">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2024年度政府性基金预算财政拨款年初结转结余0.00万元，年末结转结余0.00万元。本年收入2.00万元，与2023年度相比，减少297.00万元，下降99.3%，主要原因是减少了校舍维修专项经费等。本年支出2.00万元，与2023年度相比，减少297.00万元，下降99.3%，主要原因是减少了校舍维修专项经费等。</w:t>
      </w:r>
    </w:p>
    <w:p w14:paraId="04B7CADA">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（六）国有资本经营预算财政拨款支出决算情况说明</w:t>
      </w:r>
    </w:p>
    <w:p w14:paraId="19EDBEBA">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本单位2024年无国有资本经营预算财政拨款支出。</w:t>
      </w:r>
    </w:p>
    <w:p w14:paraId="50BA9B85">
      <w:pPr>
        <w:pStyle w:val="9"/>
        <w:keepNext w:val="0"/>
        <w:keepLines w:val="0"/>
        <w:pageBreakBefore w:val="0"/>
        <w:widowControl w:val="0"/>
        <w:kinsoku/>
        <w:wordWrap/>
        <w:overflowPunct/>
        <w:topLinePunct w:val="0"/>
        <w:autoSpaceDN/>
        <w:bidi w:val="0"/>
        <w:ind w:firstLine="643"/>
        <w:rPr>
          <w:rStyle w:val="12"/>
          <w:rFonts w:ascii="Times New Roman" w:hAnsi="Times New Roman" w:eastAsia="方正黑体_GBK"/>
          <w:b w:val="0"/>
          <w:bCs/>
        </w:rPr>
      </w:pPr>
      <w:r>
        <w:rPr>
          <w:rStyle w:val="12"/>
          <w:rFonts w:hint="eastAsia" w:ascii="Times New Roman" w:hAnsi="Times New Roman" w:eastAsia="方正黑体_GBK"/>
          <w:b w:val="0"/>
          <w:bCs/>
        </w:rPr>
        <w:t xml:space="preserve">三、财政拨款“三公”经费情况说明 </w:t>
      </w:r>
    </w:p>
    <w:p w14:paraId="21ED0EC4">
      <w:pPr>
        <w:pStyle w:val="13"/>
        <w:keepNext w:val="0"/>
        <w:keepLines w:val="0"/>
        <w:pageBreakBefore w:val="0"/>
        <w:widowControl w:val="0"/>
        <w:kinsoku/>
        <w:wordWrap/>
        <w:overflowPunct/>
        <w:topLinePunct w:val="0"/>
        <w:autoSpaceDN/>
        <w:bidi w:val="0"/>
        <w:rPr>
          <w:rFonts w:ascii="Times New Roman" w:hAnsi="Times New Roman"/>
          <w:b w:val="0"/>
          <w:bCs/>
        </w:rPr>
      </w:pPr>
      <w:r>
        <w:rPr>
          <w:rFonts w:hint="eastAsia" w:ascii="Times New Roman" w:hAnsi="Times New Roman"/>
          <w:b w:val="0"/>
          <w:bCs/>
        </w:rPr>
        <w:t>（一）“三公”经费支出总体情况说明</w:t>
      </w:r>
    </w:p>
    <w:p w14:paraId="1E5C39B1">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2024年度“三公”经费支出共计0.00万元，较年初预算数无增减，主要原因是</w:t>
      </w:r>
      <w:bookmarkStart w:id="42" w:name="OLE_LINK49"/>
      <w:bookmarkStart w:id="43" w:name="OLE_LINK50"/>
      <w:r>
        <w:rPr>
          <w:rFonts w:ascii="Times New Roman" w:hAnsi="Times New Roman"/>
        </w:rPr>
        <w:t>本单位2024年度未发生“三公”经费支出</w:t>
      </w:r>
      <w:r>
        <w:rPr>
          <w:rFonts w:hint="eastAsia" w:ascii="Times New Roman" w:hAnsi="Times New Roman"/>
          <w:lang w:val="en-US" w:eastAsia="zh-CN"/>
        </w:rPr>
        <w:t>与上年数持平</w:t>
      </w:r>
      <w:r>
        <w:rPr>
          <w:rFonts w:ascii="Times New Roman" w:hAnsi="Times New Roman"/>
        </w:rPr>
        <w:t>。</w:t>
      </w:r>
      <w:bookmarkEnd w:id="42"/>
      <w:bookmarkEnd w:id="43"/>
      <w:r>
        <w:rPr>
          <w:rFonts w:ascii="Times New Roman" w:hAnsi="Times New Roman"/>
        </w:rPr>
        <w:t>较上年支出数无增减，主要原因是本单位2024年度未发生“三公”经费支出，与上年决算</w:t>
      </w:r>
      <w:r>
        <w:rPr>
          <w:rFonts w:hint="eastAsia" w:ascii="Times New Roman" w:hAnsi="Times New Roman"/>
          <w:lang w:val="en-US" w:eastAsia="zh-CN"/>
        </w:rPr>
        <w:t>数</w:t>
      </w:r>
      <w:r>
        <w:rPr>
          <w:rFonts w:ascii="Times New Roman" w:hAnsi="Times New Roman"/>
        </w:rPr>
        <w:t>持平。</w:t>
      </w:r>
    </w:p>
    <w:p w14:paraId="531DEF86">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（二）“三公”经费分项支出情况</w:t>
      </w:r>
    </w:p>
    <w:p w14:paraId="3E7AD8AC">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2024年度本单位因公出国（境）费用0.00万元，主要是用于教师出国（境）培训费、教职工出国（境）考察费用等，支出较年初预算数无增减，主要原因是本单位2024年度未发生因公出国（境）费用支出</w:t>
      </w:r>
      <w:r>
        <w:rPr>
          <w:rFonts w:hint="eastAsia" w:ascii="Times New Roman" w:hAnsi="Times New Roman"/>
          <w:lang w:eastAsia="zh-CN"/>
        </w:rPr>
        <w:t>，</w:t>
      </w:r>
      <w:r>
        <w:rPr>
          <w:rFonts w:hint="eastAsia" w:ascii="Times New Roman" w:hAnsi="Times New Roman"/>
          <w:lang w:val="en-US" w:eastAsia="zh-CN"/>
        </w:rPr>
        <w:t>与上年数持平</w:t>
      </w:r>
      <w:r>
        <w:rPr>
          <w:rFonts w:ascii="Times New Roman" w:hAnsi="Times New Roman"/>
        </w:rPr>
        <w:t>。较上年支出数无增减，主要原因是</w:t>
      </w:r>
      <w:bookmarkStart w:id="44" w:name="OLE_LINK53"/>
      <w:bookmarkStart w:id="45" w:name="OLE_LINK54"/>
      <w:r>
        <w:rPr>
          <w:rFonts w:ascii="Times New Roman" w:hAnsi="Times New Roman"/>
        </w:rPr>
        <w:t>本单位2024年度未发生因公出国（境）费用支出</w:t>
      </w:r>
      <w:bookmarkEnd w:id="44"/>
      <w:bookmarkEnd w:id="45"/>
      <w:r>
        <w:rPr>
          <w:rFonts w:ascii="Times New Roman" w:hAnsi="Times New Roman"/>
        </w:rPr>
        <w:t>，与上年决算</w:t>
      </w:r>
      <w:r>
        <w:rPr>
          <w:rFonts w:hint="eastAsia" w:ascii="Times New Roman" w:hAnsi="Times New Roman"/>
          <w:lang w:val="en-US" w:eastAsia="zh-CN"/>
        </w:rPr>
        <w:t>数</w:t>
      </w:r>
      <w:r>
        <w:rPr>
          <w:rFonts w:ascii="Times New Roman" w:hAnsi="Times New Roman"/>
        </w:rPr>
        <w:t>持平。</w:t>
      </w:r>
    </w:p>
    <w:p w14:paraId="09D71508">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公务车购置费0.00万元，主要用于公务车购置等。费用支出较年初预算数无增减，主要原因是</w:t>
      </w:r>
      <w:bookmarkStart w:id="46" w:name="OLE_LINK56"/>
      <w:bookmarkStart w:id="47" w:name="OLE_LINK55"/>
      <w:r>
        <w:rPr>
          <w:rFonts w:ascii="Times New Roman" w:hAnsi="Times New Roman"/>
        </w:rPr>
        <w:t>本单位2024年度未发生公务车购置费支出</w:t>
      </w:r>
      <w:bookmarkEnd w:id="46"/>
      <w:bookmarkEnd w:id="47"/>
      <w:r>
        <w:rPr>
          <w:rFonts w:hint="eastAsia" w:ascii="Times New Roman" w:hAnsi="Times New Roman"/>
          <w:lang w:eastAsia="zh-CN"/>
        </w:rPr>
        <w:t>，</w:t>
      </w:r>
      <w:r>
        <w:rPr>
          <w:rFonts w:ascii="Times New Roman" w:hAnsi="Times New Roman"/>
        </w:rPr>
        <w:t>与上年</w:t>
      </w:r>
      <w:r>
        <w:rPr>
          <w:rFonts w:hint="eastAsia" w:ascii="Times New Roman" w:hAnsi="Times New Roman"/>
          <w:lang w:val="en-US" w:eastAsia="zh-CN"/>
        </w:rPr>
        <w:t>数</w:t>
      </w:r>
      <w:r>
        <w:rPr>
          <w:rFonts w:ascii="Times New Roman" w:hAnsi="Times New Roman"/>
        </w:rPr>
        <w:t>持平。较上年支出数无增减，主要原因是</w:t>
      </w:r>
      <w:bookmarkStart w:id="48" w:name="OLE_LINK60"/>
      <w:bookmarkStart w:id="49" w:name="OLE_LINK59"/>
      <w:r>
        <w:rPr>
          <w:rFonts w:ascii="Times New Roman" w:hAnsi="Times New Roman"/>
        </w:rPr>
        <w:t>本单位2024年度未发生公务车购置费支出，</w:t>
      </w:r>
      <w:bookmarkEnd w:id="48"/>
      <w:bookmarkEnd w:id="49"/>
      <w:r>
        <w:rPr>
          <w:rFonts w:ascii="Times New Roman" w:hAnsi="Times New Roman"/>
        </w:rPr>
        <w:t>与上年决算</w:t>
      </w:r>
      <w:r>
        <w:rPr>
          <w:rFonts w:hint="eastAsia" w:ascii="Times New Roman" w:hAnsi="Times New Roman"/>
          <w:lang w:val="en-US" w:eastAsia="zh-CN"/>
        </w:rPr>
        <w:t>数</w:t>
      </w:r>
      <w:r>
        <w:rPr>
          <w:rFonts w:ascii="Times New Roman" w:hAnsi="Times New Roman"/>
        </w:rPr>
        <w:t>持平。</w:t>
      </w:r>
    </w:p>
    <w:p w14:paraId="1B4E7F84">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公务车运行维护费0.00万元，主要用于校车运行维护费、公务用车维护费等。费用支出较年初预算数无增减，主要原因是本单位2024年度未发生公务车运行维护费支出</w:t>
      </w:r>
      <w:r>
        <w:rPr>
          <w:rFonts w:hint="eastAsia" w:ascii="Times New Roman" w:hAnsi="Times New Roman"/>
          <w:lang w:eastAsia="zh-CN"/>
        </w:rPr>
        <w:t>，</w:t>
      </w:r>
      <w:r>
        <w:rPr>
          <w:rFonts w:ascii="Times New Roman" w:hAnsi="Times New Roman"/>
        </w:rPr>
        <w:t>与上年</w:t>
      </w:r>
      <w:r>
        <w:rPr>
          <w:rFonts w:hint="eastAsia" w:ascii="Times New Roman" w:hAnsi="Times New Roman"/>
          <w:lang w:val="en-US" w:eastAsia="zh-CN"/>
        </w:rPr>
        <w:t>数</w:t>
      </w:r>
      <w:r>
        <w:rPr>
          <w:rFonts w:ascii="Times New Roman" w:hAnsi="Times New Roman"/>
        </w:rPr>
        <w:t>持平。较上年支出数无增减，主要原因是</w:t>
      </w:r>
      <w:bookmarkStart w:id="50" w:name="OLE_LINK64"/>
      <w:bookmarkStart w:id="51" w:name="OLE_LINK63"/>
      <w:r>
        <w:rPr>
          <w:rFonts w:ascii="Times New Roman" w:hAnsi="Times New Roman"/>
        </w:rPr>
        <w:t>本单位2024年度未发生公务车运行维护费支出，</w:t>
      </w:r>
      <w:bookmarkEnd w:id="50"/>
      <w:bookmarkEnd w:id="51"/>
      <w:r>
        <w:rPr>
          <w:rFonts w:ascii="Times New Roman" w:hAnsi="Times New Roman"/>
        </w:rPr>
        <w:t>与上年决算</w:t>
      </w:r>
      <w:r>
        <w:rPr>
          <w:rFonts w:hint="eastAsia" w:ascii="Times New Roman" w:hAnsi="Times New Roman"/>
          <w:lang w:val="en-US" w:eastAsia="zh-CN"/>
        </w:rPr>
        <w:t>数</w:t>
      </w:r>
      <w:r>
        <w:rPr>
          <w:rFonts w:ascii="Times New Roman" w:hAnsi="Times New Roman"/>
        </w:rPr>
        <w:t>持平。</w:t>
      </w:r>
    </w:p>
    <w:p w14:paraId="2D7EB9DB">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公务接待费0.00万元，主要用于接待公务接待等</w:t>
      </w:r>
      <w:r>
        <w:rPr>
          <w:rFonts w:ascii="Times New Roman" w:hAnsi="Times New Roman"/>
          <w:color w:val="auto"/>
        </w:rPr>
        <w:t>。</w:t>
      </w:r>
      <w:r>
        <w:rPr>
          <w:rFonts w:ascii="Times New Roman" w:hAnsi="Times New Roman"/>
        </w:rPr>
        <w:t>费用支出较年初预算数无增减，主要原因是本单位2024年度未发生公务接待费支出</w:t>
      </w:r>
      <w:r>
        <w:rPr>
          <w:rFonts w:hint="eastAsia" w:ascii="Times New Roman" w:hAnsi="Times New Roman"/>
          <w:lang w:eastAsia="zh-CN"/>
        </w:rPr>
        <w:t>，</w:t>
      </w:r>
      <w:r>
        <w:rPr>
          <w:rFonts w:ascii="Times New Roman" w:hAnsi="Times New Roman"/>
        </w:rPr>
        <w:t>与上年</w:t>
      </w:r>
      <w:r>
        <w:rPr>
          <w:rFonts w:hint="eastAsia" w:ascii="Times New Roman" w:hAnsi="Times New Roman"/>
          <w:lang w:val="en-US" w:eastAsia="zh-CN"/>
        </w:rPr>
        <w:t>数</w:t>
      </w:r>
      <w:r>
        <w:rPr>
          <w:rFonts w:ascii="Times New Roman" w:hAnsi="Times New Roman"/>
        </w:rPr>
        <w:t>持平。较上年支出数无增减，主要原因是</w:t>
      </w:r>
      <w:bookmarkStart w:id="52" w:name="OLE_LINK68"/>
      <w:bookmarkStart w:id="53" w:name="OLE_LINK67"/>
      <w:r>
        <w:rPr>
          <w:rFonts w:ascii="Times New Roman" w:hAnsi="Times New Roman"/>
        </w:rPr>
        <w:t>本单位2024年度未发生公务接待费支出，</w:t>
      </w:r>
      <w:bookmarkEnd w:id="52"/>
      <w:bookmarkEnd w:id="53"/>
      <w:r>
        <w:rPr>
          <w:rFonts w:ascii="Times New Roman" w:hAnsi="Times New Roman"/>
        </w:rPr>
        <w:t>与上年决算</w:t>
      </w:r>
      <w:r>
        <w:rPr>
          <w:rFonts w:hint="eastAsia" w:ascii="Times New Roman" w:hAnsi="Times New Roman"/>
          <w:lang w:val="en-US" w:eastAsia="zh-CN"/>
        </w:rPr>
        <w:t>数</w:t>
      </w:r>
      <w:r>
        <w:rPr>
          <w:rFonts w:ascii="Times New Roman" w:hAnsi="Times New Roman"/>
        </w:rPr>
        <w:t>持平。</w:t>
      </w:r>
    </w:p>
    <w:p w14:paraId="71ACC44C">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（三）“三公”经费实物量情况</w:t>
      </w:r>
    </w:p>
    <w:p w14:paraId="0BF38B3A">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1930EE0A">
      <w:pPr>
        <w:pStyle w:val="9"/>
        <w:keepNext w:val="0"/>
        <w:keepLines w:val="0"/>
        <w:pageBreakBefore w:val="0"/>
        <w:widowControl w:val="0"/>
        <w:kinsoku/>
        <w:wordWrap/>
        <w:overflowPunct/>
        <w:topLinePunct w:val="0"/>
        <w:autoSpaceDN/>
        <w:bidi w:val="0"/>
        <w:ind w:firstLine="643"/>
        <w:rPr>
          <w:rStyle w:val="12"/>
          <w:rFonts w:ascii="Times New Roman" w:hAnsi="Times New Roman" w:eastAsia="方正黑体_GBK"/>
          <w:b w:val="0"/>
          <w:bCs/>
        </w:rPr>
      </w:pPr>
      <w:r>
        <w:rPr>
          <w:rStyle w:val="12"/>
          <w:rFonts w:hint="eastAsia" w:ascii="Times New Roman" w:hAnsi="Times New Roman" w:eastAsia="方正黑体_GBK"/>
          <w:b w:val="0"/>
          <w:bCs/>
        </w:rPr>
        <w:t>四、其他需要说明的事项</w:t>
      </w:r>
    </w:p>
    <w:p w14:paraId="0528B16E">
      <w:pPr>
        <w:pStyle w:val="13"/>
        <w:keepNext w:val="0"/>
        <w:keepLines w:val="0"/>
        <w:pageBreakBefore w:val="0"/>
        <w:widowControl w:val="0"/>
        <w:kinsoku/>
        <w:wordWrap/>
        <w:overflowPunct/>
        <w:topLinePunct w:val="0"/>
        <w:autoSpaceDN/>
        <w:bidi w:val="0"/>
        <w:rPr>
          <w:rFonts w:ascii="Times New Roman" w:hAnsi="Times New Roman"/>
          <w:b w:val="0"/>
          <w:bCs/>
        </w:rPr>
      </w:pPr>
      <w:r>
        <w:rPr>
          <w:rFonts w:hint="eastAsia" w:ascii="Times New Roman" w:hAnsi="Times New Roman"/>
          <w:b w:val="0"/>
          <w:bCs/>
        </w:rPr>
        <w:t>（一）财政拨款会议费和培训费情况说明</w:t>
      </w:r>
    </w:p>
    <w:p w14:paraId="052B7A7E">
      <w:pPr>
        <w:pStyle w:val="9"/>
        <w:keepNext w:val="0"/>
        <w:keepLines w:val="0"/>
        <w:pageBreakBefore w:val="0"/>
        <w:widowControl w:val="0"/>
        <w:kinsoku/>
        <w:wordWrap/>
        <w:overflowPunct/>
        <w:topLinePunct w:val="0"/>
        <w:autoSpaceDN/>
        <w:bidi w:val="0"/>
        <w:rPr>
          <w:rFonts w:ascii="Times New Roman" w:hAnsi="Times New Roman"/>
        </w:rPr>
      </w:pPr>
      <w:r>
        <w:rPr>
          <w:rFonts w:ascii="Times New Roman" w:hAnsi="Times New Roman"/>
        </w:rPr>
        <w:t>本年度会议费支出0.00万元，与2023年度相比，无增减，主要原因是</w:t>
      </w:r>
      <w:r>
        <w:rPr>
          <w:rFonts w:hint="eastAsia" w:ascii="Times New Roman" w:hAnsi="Times New Roman"/>
        </w:rPr>
        <w:t>本单位2024年未发生会议费支出</w:t>
      </w:r>
      <w:r>
        <w:rPr>
          <w:rFonts w:ascii="Times New Roman" w:hAnsi="Times New Roman"/>
        </w:rPr>
        <w:t>。本年度培训费支出20.50万元，与2023年度相比，减少21.03万元，下降50.6%，主要原因是</w:t>
      </w:r>
      <w:r>
        <w:rPr>
          <w:rFonts w:hint="eastAsia" w:ascii="Times New Roman" w:hAnsi="Times New Roman"/>
        </w:rPr>
        <w:t>教师外出培训减少</w:t>
      </w:r>
      <w:r>
        <w:rPr>
          <w:rFonts w:ascii="Times New Roman" w:hAnsi="Times New Roman"/>
        </w:rPr>
        <w:t>。</w:t>
      </w:r>
    </w:p>
    <w:p w14:paraId="7006E9B8">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（二）机关运行经费情况说明</w:t>
      </w:r>
    </w:p>
    <w:p w14:paraId="54412FA7">
      <w:pPr>
        <w:pStyle w:val="9"/>
        <w:keepNext w:val="0"/>
        <w:keepLines w:val="0"/>
        <w:pageBreakBefore w:val="0"/>
        <w:widowControl w:val="0"/>
        <w:kinsoku/>
        <w:wordWrap/>
        <w:overflowPunct/>
        <w:topLinePunct w:val="0"/>
        <w:autoSpaceDN/>
        <w:bidi w:val="0"/>
        <w:rPr>
          <w:rFonts w:ascii="Times New Roman" w:hAnsi="Times New Roman" w:cs="方正仿宋_GBK"/>
          <w:highlight w:val="yellow"/>
        </w:rPr>
      </w:pPr>
      <w:bookmarkStart w:id="54" w:name="OLE_LINK71"/>
      <w:r>
        <w:rPr>
          <w:rFonts w:ascii="Times New Roman" w:hAnsi="Times New Roman"/>
        </w:rPr>
        <w:t>按照单位决算列报口径，我单位不在机关运行经费统计范围之</w:t>
      </w:r>
      <w:bookmarkEnd w:id="54"/>
      <w:r>
        <w:rPr>
          <w:rFonts w:ascii="Times New Roman" w:hAnsi="Times New Roman"/>
        </w:rPr>
        <w:t>内。</w:t>
      </w:r>
    </w:p>
    <w:p w14:paraId="63CE0497">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（三）国有资产占用情况说明</w:t>
      </w:r>
    </w:p>
    <w:p w14:paraId="7192F669">
      <w:pPr>
        <w:keepNext w:val="0"/>
        <w:keepLines w:val="0"/>
        <w:pageBreakBefore w:val="0"/>
        <w:widowControl w:val="0"/>
        <w:kinsoku/>
        <w:wordWrap/>
        <w:overflowPunct/>
        <w:topLinePunct w:val="0"/>
        <w:autoSpaceDN/>
        <w:bidi w:val="0"/>
        <w:spacing w:line="600" w:lineRule="exact"/>
        <w:ind w:firstLine="64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2E040704">
      <w:pPr>
        <w:pStyle w:val="13"/>
        <w:keepNext w:val="0"/>
        <w:keepLines w:val="0"/>
        <w:pageBreakBefore w:val="0"/>
        <w:widowControl w:val="0"/>
        <w:kinsoku/>
        <w:wordWrap/>
        <w:overflowPunct/>
        <w:topLinePunct w:val="0"/>
        <w:autoSpaceDN/>
        <w:bidi w:val="0"/>
        <w:rPr>
          <w:rFonts w:ascii="Times New Roman" w:hAnsi="Times New Roman"/>
          <w:b w:val="0"/>
          <w:bCs w:val="0"/>
        </w:rPr>
      </w:pPr>
      <w:r>
        <w:rPr>
          <w:rFonts w:hint="eastAsia" w:ascii="Times New Roman" w:hAnsi="Times New Roman"/>
          <w:b w:val="0"/>
          <w:bCs w:val="0"/>
        </w:rPr>
        <w:t>（四）政府采购支出情况说明</w:t>
      </w:r>
    </w:p>
    <w:p w14:paraId="6B8DFB71">
      <w:pPr>
        <w:pStyle w:val="9"/>
        <w:keepNext w:val="0"/>
        <w:keepLines w:val="0"/>
        <w:pageBreakBefore w:val="0"/>
        <w:widowControl w:val="0"/>
        <w:kinsoku/>
        <w:wordWrap/>
        <w:overflowPunct/>
        <w:topLinePunct w:val="0"/>
        <w:autoSpaceDN/>
        <w:bidi w:val="0"/>
        <w:rPr>
          <w:rFonts w:ascii="Times New Roman" w:hAnsi="Times New Roman" w:cs="宋体"/>
        </w:rPr>
      </w:pPr>
      <w:r>
        <w:rPr>
          <w:rFonts w:ascii="Times New Roman" w:hAnsi="Times New Roman"/>
        </w:rPr>
        <w:t>2024年度本单位政府采购支出总额2.47万元，其中：政府采购货物支出2.47万元、政府采购工程支出0.00万元、政府采购服务支出0.00万元。授予中小企业合同金额2.47万元，占政府采购支出总额的100.00%，其中：授予小微企业合同金额1.59万元，占政府采购支出总额的64.45 %。主要用于采购买打印机、办公电脑等设备。</w:t>
      </w:r>
    </w:p>
    <w:p w14:paraId="40F419D5">
      <w:pPr>
        <w:pStyle w:val="14"/>
        <w:keepNext w:val="0"/>
        <w:keepLines w:val="0"/>
        <w:pageBreakBefore w:val="0"/>
        <w:widowControl w:val="0"/>
        <w:kinsoku/>
        <w:wordWrap/>
        <w:overflowPunct/>
        <w:topLinePunct w:val="0"/>
        <w:autoSpaceDN/>
        <w:bidi w:val="0"/>
        <w:ind w:firstLine="643"/>
        <w:rPr>
          <w:rStyle w:val="12"/>
          <w:rFonts w:ascii="Times New Roman" w:hAnsi="Times New Roman" w:eastAsia="方正黑体_GBK"/>
          <w:b w:val="0"/>
          <w:bCs/>
        </w:rPr>
      </w:pPr>
      <w:r>
        <w:rPr>
          <w:rStyle w:val="12"/>
          <w:rFonts w:hint="eastAsia" w:ascii="Times New Roman" w:hAnsi="Times New Roman" w:eastAsia="方正黑体_GBK"/>
          <w:b w:val="0"/>
          <w:bCs/>
        </w:rPr>
        <w:t xml:space="preserve">五、2024年度预算绩效管理情况说明 </w:t>
      </w:r>
    </w:p>
    <w:p w14:paraId="6F8FDCEA">
      <w:pPr>
        <w:pStyle w:val="14"/>
        <w:keepNext w:val="0"/>
        <w:keepLines w:val="0"/>
        <w:pageBreakBefore w:val="0"/>
        <w:widowControl w:val="0"/>
        <w:kinsoku/>
        <w:wordWrap/>
        <w:overflowPunct/>
        <w:topLinePunct w:val="0"/>
        <w:autoSpaceDN/>
        <w:bidi w:val="0"/>
        <w:rPr>
          <w:rFonts w:ascii="Times New Roman" w:hAnsi="Times New Roman"/>
        </w:rPr>
      </w:pPr>
      <w:r>
        <w:rPr>
          <w:rFonts w:hint="eastAsia" w:ascii="Times New Roman" w:hAnsi="Times New Roman"/>
        </w:rPr>
        <w:t xml:space="preserve">（一）预算绩效管理工作开展情况 </w:t>
      </w:r>
    </w:p>
    <w:p w14:paraId="7D1AE35B">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rPr>
          <w:rFonts w:hint="default" w:ascii="Times New Roman" w:hAnsi="Times New Roman" w:eastAsia="方正仿宋_GBK" w:cs="方正仿宋_GBK"/>
          <w:sz w:val="32"/>
          <w:szCs w:val="32"/>
          <w:highlight w:val="yellow"/>
          <w:shd w:val="clear" w:color="auto" w:fill="FFFFFF"/>
        </w:rPr>
      </w:pPr>
      <w:r>
        <w:rPr>
          <w:rFonts w:ascii="Times New Roman" w:hAnsi="Times New Roman" w:eastAsia="方正仿宋_GBK" w:cs="方正仿宋_GBK"/>
          <w:sz w:val="32"/>
          <w:szCs w:val="32"/>
          <w:shd w:val="clear" w:color="auto" w:fill="FFFFFF"/>
        </w:rPr>
        <w:t>根据预算绩效管理要求，本单位对14个项目开展了绩效自评，其中，以填报目标自评表形式开展自评14项，涉及资金</w:t>
      </w:r>
      <w:r>
        <w:rPr>
          <w:rFonts w:hint="eastAsia" w:ascii="Times New Roman" w:hAnsi="Times New Roman" w:eastAsia="方正仿宋_GBK" w:cs="方正仿宋_GBK"/>
          <w:sz w:val="32"/>
          <w:szCs w:val="32"/>
          <w:shd w:val="clear" w:color="auto" w:fill="FFFFFF"/>
          <w:lang w:val="en-US" w:eastAsia="zh-CN"/>
        </w:rPr>
        <w:t>555.52</w:t>
      </w:r>
      <w:r>
        <w:rPr>
          <w:rFonts w:ascii="Times New Roman" w:hAnsi="Times New Roman" w:eastAsia="方正仿宋_GBK" w:cs="方正仿宋_GBK"/>
          <w:sz w:val="32"/>
          <w:szCs w:val="32"/>
          <w:shd w:val="clear" w:color="auto" w:fill="FFFFFF"/>
        </w:rPr>
        <w:t>万元。从评价情况来看，单位整体预算执行情况较好，基本实现年初既定绩效目标。</w:t>
      </w:r>
    </w:p>
    <w:p w14:paraId="0B911F0F">
      <w:pPr>
        <w:keepNext w:val="0"/>
        <w:keepLines w:val="0"/>
        <w:pageBreakBefore w:val="0"/>
        <w:widowControl w:val="0"/>
        <w:tabs>
          <w:tab w:val="center" w:pos="4153"/>
          <w:tab w:val="left" w:pos="7275"/>
        </w:tabs>
        <w:kinsoku/>
        <w:wordWrap/>
        <w:overflowPunct/>
        <w:topLinePunct w:val="0"/>
        <w:autoSpaceDN/>
        <w:bidi w:val="0"/>
        <w:spacing w:line="600" w:lineRule="exact"/>
        <w:ind w:firstLine="72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rPr>
        <w:t>重庆铁路小学2024年度项目支出绩效自评表</w:t>
      </w:r>
    </w:p>
    <w:tbl>
      <w:tblPr>
        <w:tblStyle w:val="10"/>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042"/>
        <w:gridCol w:w="1418"/>
        <w:gridCol w:w="975"/>
        <w:gridCol w:w="720"/>
        <w:gridCol w:w="705"/>
        <w:gridCol w:w="630"/>
        <w:gridCol w:w="825"/>
        <w:gridCol w:w="675"/>
        <w:gridCol w:w="660"/>
        <w:gridCol w:w="667"/>
      </w:tblGrid>
      <w:tr w14:paraId="626F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43" w:type="dxa"/>
            <w:tcBorders>
              <w:top w:val="single" w:color="auto" w:sz="4" w:space="0"/>
            </w:tcBorders>
            <w:noWrap/>
            <w:vAlign w:val="center"/>
          </w:tcPr>
          <w:p w14:paraId="596145CF">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bookmarkStart w:id="55" w:name="_Hlk212020768"/>
            <w:r>
              <w:rPr>
                <w:rFonts w:ascii="Times New Roman" w:hAnsi="Times New Roman" w:eastAsia="方正黑体_GBK" w:cs="方正黑体_GBK"/>
                <w:color w:val="000000"/>
                <w:sz w:val="18"/>
                <w:szCs w:val="18"/>
              </w:rPr>
              <w:t>序号</w:t>
            </w:r>
          </w:p>
        </w:tc>
        <w:tc>
          <w:tcPr>
            <w:tcW w:w="1042" w:type="dxa"/>
            <w:tcBorders>
              <w:top w:val="single" w:color="auto" w:sz="4" w:space="0"/>
            </w:tcBorders>
            <w:noWrap/>
            <w:vAlign w:val="center"/>
          </w:tcPr>
          <w:p w14:paraId="03BFFB5B">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项目名称</w:t>
            </w:r>
          </w:p>
        </w:tc>
        <w:tc>
          <w:tcPr>
            <w:tcW w:w="1418" w:type="dxa"/>
            <w:tcBorders>
              <w:top w:val="single" w:color="auto" w:sz="4" w:space="0"/>
            </w:tcBorders>
            <w:noWrap/>
            <w:vAlign w:val="center"/>
          </w:tcPr>
          <w:p w14:paraId="771A8DC6">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指标名称</w:t>
            </w:r>
          </w:p>
        </w:tc>
        <w:tc>
          <w:tcPr>
            <w:tcW w:w="975" w:type="dxa"/>
            <w:tcBorders>
              <w:top w:val="single" w:color="auto" w:sz="4" w:space="0"/>
            </w:tcBorders>
            <w:noWrap/>
            <w:vAlign w:val="center"/>
          </w:tcPr>
          <w:p w14:paraId="50BDDC37">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指标性质</w:t>
            </w:r>
          </w:p>
        </w:tc>
        <w:tc>
          <w:tcPr>
            <w:tcW w:w="720" w:type="dxa"/>
            <w:tcBorders>
              <w:top w:val="single" w:color="auto" w:sz="4" w:space="0"/>
            </w:tcBorders>
            <w:noWrap/>
            <w:vAlign w:val="center"/>
          </w:tcPr>
          <w:p w14:paraId="1EB60A6A">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指标值</w:t>
            </w:r>
          </w:p>
        </w:tc>
        <w:tc>
          <w:tcPr>
            <w:tcW w:w="705" w:type="dxa"/>
            <w:tcBorders>
              <w:top w:val="single" w:color="auto" w:sz="4" w:space="0"/>
            </w:tcBorders>
            <w:noWrap/>
            <w:vAlign w:val="center"/>
          </w:tcPr>
          <w:p w14:paraId="48BA5594">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计量单位</w:t>
            </w:r>
          </w:p>
        </w:tc>
        <w:tc>
          <w:tcPr>
            <w:tcW w:w="630" w:type="dxa"/>
            <w:tcBorders>
              <w:top w:val="single" w:color="auto" w:sz="4" w:space="0"/>
            </w:tcBorders>
            <w:noWrap/>
            <w:vAlign w:val="center"/>
          </w:tcPr>
          <w:p w14:paraId="2F71FD23">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指标权重</w:t>
            </w:r>
          </w:p>
        </w:tc>
        <w:tc>
          <w:tcPr>
            <w:tcW w:w="825" w:type="dxa"/>
            <w:tcBorders>
              <w:top w:val="single" w:color="auto" w:sz="4" w:space="0"/>
            </w:tcBorders>
            <w:noWrap/>
            <w:vAlign w:val="center"/>
          </w:tcPr>
          <w:p w14:paraId="4308F08C">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全年完成值</w:t>
            </w:r>
          </w:p>
        </w:tc>
        <w:tc>
          <w:tcPr>
            <w:tcW w:w="675" w:type="dxa"/>
            <w:tcBorders>
              <w:top w:val="single" w:color="auto" w:sz="4" w:space="0"/>
            </w:tcBorders>
            <w:noWrap/>
            <w:vAlign w:val="center"/>
          </w:tcPr>
          <w:p w14:paraId="4900F39D">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指标得分</w:t>
            </w:r>
          </w:p>
        </w:tc>
        <w:tc>
          <w:tcPr>
            <w:tcW w:w="660" w:type="dxa"/>
            <w:tcBorders>
              <w:top w:val="single" w:color="auto" w:sz="4" w:space="0"/>
            </w:tcBorders>
            <w:noWrap/>
            <w:vAlign w:val="center"/>
          </w:tcPr>
          <w:p w14:paraId="448EB62F">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说明</w:t>
            </w:r>
          </w:p>
        </w:tc>
        <w:tc>
          <w:tcPr>
            <w:tcW w:w="667" w:type="dxa"/>
            <w:tcBorders>
              <w:top w:val="single" w:color="auto" w:sz="4" w:space="0"/>
            </w:tcBorders>
            <w:noWrap/>
            <w:vAlign w:val="center"/>
          </w:tcPr>
          <w:p w14:paraId="31F01559">
            <w:pPr>
              <w:keepNext w:val="0"/>
              <w:keepLines w:val="0"/>
              <w:pageBreakBefore w:val="0"/>
              <w:widowControl w:val="0"/>
              <w:kinsoku/>
              <w:wordWrap/>
              <w:overflowPunct/>
              <w:topLinePunct w:val="0"/>
              <w:autoSpaceDN/>
              <w:bidi w:val="0"/>
              <w:spacing w:line="240" w:lineRule="exact"/>
              <w:jc w:val="center"/>
              <w:textAlignment w:val="center"/>
              <w:rPr>
                <w:rFonts w:hint="default" w:ascii="Times New Roman" w:hAnsi="Times New Roman" w:eastAsia="方正黑体_GBK" w:cs="方正黑体_GBK"/>
                <w:color w:val="000000"/>
                <w:sz w:val="18"/>
                <w:szCs w:val="18"/>
              </w:rPr>
            </w:pPr>
            <w:r>
              <w:rPr>
                <w:rFonts w:ascii="Times New Roman" w:hAnsi="Times New Roman" w:eastAsia="方正黑体_GBK" w:cs="方正黑体_GBK"/>
                <w:color w:val="000000"/>
                <w:sz w:val="18"/>
                <w:szCs w:val="18"/>
              </w:rPr>
              <w:t>自评得分</w:t>
            </w:r>
          </w:p>
        </w:tc>
      </w:tr>
      <w:bookmarkEnd w:id="55"/>
      <w:tr w14:paraId="2044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restart"/>
            <w:noWrap/>
            <w:vAlign w:val="center"/>
          </w:tcPr>
          <w:p w14:paraId="73AD59B3">
            <w:pPr>
              <w:keepNext w:val="0"/>
              <w:keepLines w:val="0"/>
              <w:pageBreakBefore w:val="0"/>
              <w:widowControl w:val="0"/>
              <w:kinsoku/>
              <w:wordWrap/>
              <w:overflowPunct/>
              <w:topLinePunct w:val="0"/>
              <w:autoSpaceDN/>
              <w:bidi w:val="0"/>
              <w:spacing w:line="240" w:lineRule="exact"/>
              <w:jc w:val="center"/>
              <w:textAlignment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1042" w:type="dxa"/>
            <w:vMerge w:val="restart"/>
            <w:noWrap/>
            <w:vAlign w:val="center"/>
          </w:tcPr>
          <w:p w14:paraId="5C572C0D">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418" w:type="dxa"/>
            <w:noWrap/>
            <w:vAlign w:val="center"/>
          </w:tcPr>
          <w:p w14:paraId="1741CAAA">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资助学生数量</w:t>
            </w:r>
          </w:p>
        </w:tc>
        <w:tc>
          <w:tcPr>
            <w:tcW w:w="975" w:type="dxa"/>
            <w:noWrap/>
            <w:vAlign w:val="center"/>
          </w:tcPr>
          <w:p w14:paraId="52088A5D">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2CB0EAE0">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7</w:t>
            </w:r>
          </w:p>
        </w:tc>
        <w:tc>
          <w:tcPr>
            <w:tcW w:w="705" w:type="dxa"/>
            <w:noWrap/>
            <w:vAlign w:val="center"/>
          </w:tcPr>
          <w:p w14:paraId="1A2F6C18">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人次</w:t>
            </w:r>
          </w:p>
        </w:tc>
        <w:tc>
          <w:tcPr>
            <w:tcW w:w="630" w:type="dxa"/>
            <w:noWrap/>
            <w:vAlign w:val="center"/>
          </w:tcPr>
          <w:p w14:paraId="28528A98">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5" w:type="dxa"/>
            <w:noWrap/>
            <w:vAlign w:val="center"/>
          </w:tcPr>
          <w:p w14:paraId="019BB3B4">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7</w:t>
            </w:r>
          </w:p>
        </w:tc>
        <w:tc>
          <w:tcPr>
            <w:tcW w:w="675" w:type="dxa"/>
            <w:noWrap/>
            <w:vAlign w:val="center"/>
          </w:tcPr>
          <w:p w14:paraId="4D49A2A2">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60" w:type="dxa"/>
            <w:noWrap/>
            <w:vAlign w:val="center"/>
          </w:tcPr>
          <w:p w14:paraId="1CF0FB12">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667" w:type="dxa"/>
            <w:vMerge w:val="restart"/>
            <w:noWrap/>
            <w:vAlign w:val="center"/>
          </w:tcPr>
          <w:p w14:paraId="63DC94CA">
            <w:pPr>
              <w:keepNext w:val="0"/>
              <w:keepLines w:val="0"/>
              <w:pageBreakBefore w:val="0"/>
              <w:widowControl w:val="0"/>
              <w:kinsoku/>
              <w:wordWrap/>
              <w:overflowPunct/>
              <w:topLinePunct w:val="0"/>
              <w:autoSpaceDN/>
              <w:bidi w:val="0"/>
              <w:spacing w:line="600" w:lineRule="exact"/>
              <w:jc w:val="center"/>
              <w:rPr>
                <w:rFonts w:hint="default" w:ascii="Times New Roman" w:hAnsi="Times New Roman" w:cs="宋体"/>
                <w:color w:val="000000"/>
                <w:sz w:val="22"/>
              </w:rPr>
            </w:pPr>
            <w:r>
              <w:rPr>
                <w:rFonts w:hint="eastAsia" w:ascii="方正仿宋_GBK" w:hAnsi="方正仿宋_GBK" w:eastAsia="方正仿宋_GBK" w:cs="方正仿宋_GBK"/>
                <w:color w:val="000000"/>
                <w:sz w:val="20"/>
                <w:szCs w:val="20"/>
              </w:rPr>
              <w:t>100</w:t>
            </w:r>
          </w:p>
        </w:tc>
      </w:tr>
      <w:tr w14:paraId="547C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ign w:val="center"/>
          </w:tcPr>
          <w:p w14:paraId="0F324359">
            <w:pPr>
              <w:keepNext w:val="0"/>
              <w:keepLines w:val="0"/>
              <w:pageBreakBefore w:val="0"/>
              <w:widowControl w:val="0"/>
              <w:kinsoku/>
              <w:wordWrap/>
              <w:overflowPunct/>
              <w:topLinePunct w:val="0"/>
              <w:autoSpaceDN/>
              <w:bidi w:val="0"/>
              <w:spacing w:line="240" w:lineRule="exact"/>
              <w:ind w:firstLine="320"/>
              <w:jc w:val="center"/>
              <w:textAlignment w:val="center"/>
              <w:rPr>
                <w:rFonts w:hint="eastAsia" w:ascii="方正仿宋_GBK" w:hAnsi="方正仿宋_GBK" w:eastAsia="方正仿宋_GBK" w:cs="方正仿宋_GBK"/>
                <w:color w:val="000000"/>
                <w:sz w:val="20"/>
                <w:szCs w:val="20"/>
              </w:rPr>
            </w:pPr>
          </w:p>
        </w:tc>
        <w:tc>
          <w:tcPr>
            <w:tcW w:w="1042" w:type="dxa"/>
            <w:vMerge w:val="continue"/>
            <w:noWrap/>
            <w:vAlign w:val="center"/>
          </w:tcPr>
          <w:p w14:paraId="164E5413">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1418" w:type="dxa"/>
            <w:noWrap/>
            <w:vAlign w:val="center"/>
          </w:tcPr>
          <w:p w14:paraId="55FC0CDB">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资助到位时间</w:t>
            </w:r>
          </w:p>
        </w:tc>
        <w:tc>
          <w:tcPr>
            <w:tcW w:w="975" w:type="dxa"/>
            <w:noWrap/>
            <w:vAlign w:val="center"/>
          </w:tcPr>
          <w:p w14:paraId="418610FD">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4F46952C">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w:t>
            </w:r>
          </w:p>
        </w:tc>
        <w:tc>
          <w:tcPr>
            <w:tcW w:w="705" w:type="dxa"/>
            <w:noWrap/>
            <w:vAlign w:val="center"/>
          </w:tcPr>
          <w:p w14:paraId="61D59BF7">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月</w:t>
            </w:r>
          </w:p>
        </w:tc>
        <w:tc>
          <w:tcPr>
            <w:tcW w:w="630" w:type="dxa"/>
            <w:noWrap/>
            <w:vAlign w:val="center"/>
          </w:tcPr>
          <w:p w14:paraId="5ACD2A8C">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825" w:type="dxa"/>
            <w:noWrap/>
            <w:vAlign w:val="center"/>
          </w:tcPr>
          <w:p w14:paraId="0BE61235">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w:t>
            </w:r>
          </w:p>
        </w:tc>
        <w:tc>
          <w:tcPr>
            <w:tcW w:w="675" w:type="dxa"/>
            <w:noWrap/>
            <w:vAlign w:val="center"/>
          </w:tcPr>
          <w:p w14:paraId="14552A76">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60" w:type="dxa"/>
            <w:noWrap/>
            <w:vAlign w:val="center"/>
          </w:tcPr>
          <w:p w14:paraId="224AB4FB">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667" w:type="dxa"/>
            <w:vMerge w:val="continue"/>
            <w:noWrap/>
            <w:vAlign w:val="center"/>
          </w:tcPr>
          <w:p w14:paraId="270DB8EF">
            <w:pPr>
              <w:keepNext w:val="0"/>
              <w:keepLines w:val="0"/>
              <w:pageBreakBefore w:val="0"/>
              <w:widowControl w:val="0"/>
              <w:kinsoku/>
              <w:wordWrap/>
              <w:overflowPunct/>
              <w:topLinePunct w:val="0"/>
              <w:autoSpaceDN/>
              <w:bidi w:val="0"/>
              <w:spacing w:line="600" w:lineRule="exact"/>
              <w:ind w:firstLine="440"/>
              <w:jc w:val="center"/>
              <w:rPr>
                <w:rFonts w:hint="default" w:ascii="Times New Roman" w:hAnsi="Times New Roman" w:cs="宋体"/>
                <w:color w:val="000000"/>
                <w:sz w:val="22"/>
              </w:rPr>
            </w:pPr>
          </w:p>
        </w:tc>
      </w:tr>
      <w:tr w14:paraId="2907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ign w:val="center"/>
          </w:tcPr>
          <w:p w14:paraId="42BCBE55">
            <w:pPr>
              <w:keepNext w:val="0"/>
              <w:keepLines w:val="0"/>
              <w:pageBreakBefore w:val="0"/>
              <w:widowControl w:val="0"/>
              <w:kinsoku/>
              <w:wordWrap/>
              <w:overflowPunct/>
              <w:topLinePunct w:val="0"/>
              <w:autoSpaceDN/>
              <w:bidi w:val="0"/>
              <w:spacing w:line="240" w:lineRule="exact"/>
              <w:ind w:firstLine="320"/>
              <w:jc w:val="center"/>
              <w:textAlignment w:val="center"/>
              <w:rPr>
                <w:rFonts w:hint="eastAsia" w:ascii="方正仿宋_GBK" w:hAnsi="方正仿宋_GBK" w:eastAsia="方正仿宋_GBK" w:cs="方正仿宋_GBK"/>
                <w:color w:val="000000"/>
                <w:sz w:val="20"/>
                <w:szCs w:val="20"/>
              </w:rPr>
            </w:pPr>
          </w:p>
        </w:tc>
        <w:tc>
          <w:tcPr>
            <w:tcW w:w="1042" w:type="dxa"/>
            <w:vMerge w:val="continue"/>
            <w:noWrap/>
            <w:vAlign w:val="center"/>
          </w:tcPr>
          <w:p w14:paraId="5DDEA675">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1418" w:type="dxa"/>
            <w:noWrap/>
            <w:vAlign w:val="center"/>
          </w:tcPr>
          <w:p w14:paraId="41A4BFB4">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资助资金及时到位率</w:t>
            </w:r>
          </w:p>
        </w:tc>
        <w:tc>
          <w:tcPr>
            <w:tcW w:w="975" w:type="dxa"/>
            <w:noWrap/>
            <w:vAlign w:val="center"/>
          </w:tcPr>
          <w:p w14:paraId="685B3720">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0E5EC58F">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05" w:type="dxa"/>
            <w:noWrap/>
            <w:vAlign w:val="center"/>
          </w:tcPr>
          <w:p w14:paraId="64CDA6E2">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40882530">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5" w:type="dxa"/>
            <w:noWrap/>
            <w:vAlign w:val="center"/>
          </w:tcPr>
          <w:p w14:paraId="42076A4B">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75" w:type="dxa"/>
            <w:noWrap/>
            <w:vAlign w:val="center"/>
          </w:tcPr>
          <w:p w14:paraId="3185A081">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60" w:type="dxa"/>
            <w:noWrap/>
            <w:vAlign w:val="center"/>
          </w:tcPr>
          <w:p w14:paraId="6E6B45DC">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667" w:type="dxa"/>
            <w:vMerge w:val="continue"/>
            <w:noWrap/>
            <w:vAlign w:val="center"/>
          </w:tcPr>
          <w:p w14:paraId="2463F053">
            <w:pPr>
              <w:keepNext w:val="0"/>
              <w:keepLines w:val="0"/>
              <w:pageBreakBefore w:val="0"/>
              <w:widowControl w:val="0"/>
              <w:kinsoku/>
              <w:wordWrap/>
              <w:overflowPunct/>
              <w:topLinePunct w:val="0"/>
              <w:autoSpaceDN/>
              <w:bidi w:val="0"/>
              <w:spacing w:line="600" w:lineRule="exact"/>
              <w:ind w:firstLine="440"/>
              <w:jc w:val="center"/>
              <w:rPr>
                <w:rFonts w:hint="default" w:ascii="Times New Roman" w:hAnsi="Times New Roman" w:cs="宋体"/>
                <w:color w:val="000000"/>
                <w:sz w:val="22"/>
              </w:rPr>
            </w:pPr>
          </w:p>
        </w:tc>
      </w:tr>
      <w:tr w14:paraId="30A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ign w:val="center"/>
          </w:tcPr>
          <w:p w14:paraId="1CF16D31">
            <w:pPr>
              <w:keepNext w:val="0"/>
              <w:keepLines w:val="0"/>
              <w:pageBreakBefore w:val="0"/>
              <w:widowControl w:val="0"/>
              <w:kinsoku/>
              <w:wordWrap/>
              <w:overflowPunct/>
              <w:topLinePunct w:val="0"/>
              <w:autoSpaceDN/>
              <w:bidi w:val="0"/>
              <w:spacing w:line="240" w:lineRule="exact"/>
              <w:ind w:firstLine="320"/>
              <w:jc w:val="center"/>
              <w:textAlignment w:val="center"/>
              <w:rPr>
                <w:rFonts w:hint="eastAsia" w:ascii="方正仿宋_GBK" w:hAnsi="方正仿宋_GBK" w:eastAsia="方正仿宋_GBK" w:cs="方正仿宋_GBK"/>
                <w:color w:val="000000"/>
                <w:sz w:val="20"/>
                <w:szCs w:val="20"/>
              </w:rPr>
            </w:pPr>
          </w:p>
        </w:tc>
        <w:tc>
          <w:tcPr>
            <w:tcW w:w="1042" w:type="dxa"/>
            <w:vMerge w:val="continue"/>
            <w:noWrap/>
            <w:vAlign w:val="center"/>
          </w:tcPr>
          <w:p w14:paraId="74F6B61B">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1418" w:type="dxa"/>
            <w:noWrap/>
            <w:vAlign w:val="center"/>
          </w:tcPr>
          <w:p w14:paraId="37B52AB0">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受助家庭</w:t>
            </w:r>
          </w:p>
        </w:tc>
        <w:tc>
          <w:tcPr>
            <w:tcW w:w="975" w:type="dxa"/>
            <w:noWrap/>
            <w:vAlign w:val="center"/>
          </w:tcPr>
          <w:p w14:paraId="3C336599">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0" w:type="dxa"/>
            <w:noWrap/>
            <w:vAlign w:val="center"/>
          </w:tcPr>
          <w:p w14:paraId="1ACD793F">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7</w:t>
            </w:r>
          </w:p>
        </w:tc>
        <w:tc>
          <w:tcPr>
            <w:tcW w:w="705" w:type="dxa"/>
            <w:noWrap/>
            <w:vAlign w:val="center"/>
          </w:tcPr>
          <w:p w14:paraId="57B1377C">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户</w:t>
            </w:r>
          </w:p>
        </w:tc>
        <w:tc>
          <w:tcPr>
            <w:tcW w:w="630" w:type="dxa"/>
            <w:noWrap/>
            <w:vAlign w:val="center"/>
          </w:tcPr>
          <w:p w14:paraId="44AA6278">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5" w:type="dxa"/>
            <w:noWrap/>
            <w:vAlign w:val="center"/>
          </w:tcPr>
          <w:p w14:paraId="579067F0">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7</w:t>
            </w:r>
          </w:p>
        </w:tc>
        <w:tc>
          <w:tcPr>
            <w:tcW w:w="675" w:type="dxa"/>
            <w:noWrap/>
            <w:vAlign w:val="center"/>
          </w:tcPr>
          <w:p w14:paraId="59F053ED">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60" w:type="dxa"/>
            <w:noWrap/>
            <w:vAlign w:val="center"/>
          </w:tcPr>
          <w:p w14:paraId="73D0A0F5">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667" w:type="dxa"/>
            <w:vMerge w:val="continue"/>
            <w:noWrap/>
            <w:vAlign w:val="center"/>
          </w:tcPr>
          <w:p w14:paraId="25BBCC7E">
            <w:pPr>
              <w:keepNext w:val="0"/>
              <w:keepLines w:val="0"/>
              <w:pageBreakBefore w:val="0"/>
              <w:widowControl w:val="0"/>
              <w:kinsoku/>
              <w:wordWrap/>
              <w:overflowPunct/>
              <w:topLinePunct w:val="0"/>
              <w:autoSpaceDN/>
              <w:bidi w:val="0"/>
              <w:spacing w:line="600" w:lineRule="exact"/>
              <w:ind w:firstLine="440"/>
              <w:jc w:val="center"/>
              <w:rPr>
                <w:rFonts w:hint="default" w:ascii="Times New Roman" w:hAnsi="Times New Roman" w:cs="宋体"/>
                <w:color w:val="000000"/>
                <w:sz w:val="22"/>
              </w:rPr>
            </w:pPr>
          </w:p>
        </w:tc>
      </w:tr>
      <w:tr w14:paraId="3164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ign w:val="center"/>
          </w:tcPr>
          <w:p w14:paraId="24688020">
            <w:pPr>
              <w:keepNext w:val="0"/>
              <w:keepLines w:val="0"/>
              <w:pageBreakBefore w:val="0"/>
              <w:widowControl w:val="0"/>
              <w:kinsoku/>
              <w:wordWrap/>
              <w:overflowPunct/>
              <w:topLinePunct w:val="0"/>
              <w:autoSpaceDN/>
              <w:bidi w:val="0"/>
              <w:spacing w:line="240" w:lineRule="exact"/>
              <w:ind w:firstLine="320"/>
              <w:jc w:val="center"/>
              <w:textAlignment w:val="center"/>
              <w:rPr>
                <w:rFonts w:hint="eastAsia" w:ascii="方正仿宋_GBK" w:hAnsi="方正仿宋_GBK" w:eastAsia="方正仿宋_GBK" w:cs="方正仿宋_GBK"/>
                <w:color w:val="000000"/>
                <w:sz w:val="20"/>
                <w:szCs w:val="20"/>
              </w:rPr>
            </w:pPr>
          </w:p>
        </w:tc>
        <w:tc>
          <w:tcPr>
            <w:tcW w:w="1042" w:type="dxa"/>
            <w:vMerge w:val="continue"/>
            <w:noWrap/>
            <w:vAlign w:val="center"/>
          </w:tcPr>
          <w:p w14:paraId="58080AA3">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1418" w:type="dxa"/>
            <w:noWrap/>
            <w:vAlign w:val="center"/>
          </w:tcPr>
          <w:p w14:paraId="478D0633">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促时幼儿健康成长</w:t>
            </w:r>
          </w:p>
        </w:tc>
        <w:tc>
          <w:tcPr>
            <w:tcW w:w="975" w:type="dxa"/>
            <w:noWrap/>
            <w:vAlign w:val="center"/>
          </w:tcPr>
          <w:p w14:paraId="0833BD74">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720" w:type="dxa"/>
            <w:noWrap/>
            <w:vAlign w:val="center"/>
          </w:tcPr>
          <w:p w14:paraId="43F7C656">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优</w:t>
            </w:r>
          </w:p>
        </w:tc>
        <w:tc>
          <w:tcPr>
            <w:tcW w:w="705" w:type="dxa"/>
            <w:noWrap/>
            <w:vAlign w:val="center"/>
          </w:tcPr>
          <w:p w14:paraId="138097C1">
            <w:pPr>
              <w:keepNext w:val="0"/>
              <w:keepLines w:val="0"/>
              <w:pageBreakBefore w:val="0"/>
              <w:widowControl w:val="0"/>
              <w:kinsoku/>
              <w:wordWrap/>
              <w:overflowPunct/>
              <w:topLinePunct w:val="0"/>
              <w:autoSpaceDN/>
              <w:bidi w:val="0"/>
              <w:spacing w:line="240" w:lineRule="exact"/>
              <w:ind w:firstLine="200" w:firstLineChars="100"/>
              <w:jc w:val="both"/>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474A77AB">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5" w:type="dxa"/>
            <w:noWrap/>
            <w:vAlign w:val="center"/>
          </w:tcPr>
          <w:p w14:paraId="0EDDA993">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c>
          <w:tcPr>
            <w:tcW w:w="675" w:type="dxa"/>
            <w:noWrap/>
            <w:vAlign w:val="center"/>
          </w:tcPr>
          <w:p w14:paraId="68BF26B2">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60" w:type="dxa"/>
            <w:noWrap/>
            <w:vAlign w:val="center"/>
          </w:tcPr>
          <w:p w14:paraId="083C60A5">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667" w:type="dxa"/>
            <w:vMerge w:val="continue"/>
            <w:noWrap/>
            <w:vAlign w:val="center"/>
          </w:tcPr>
          <w:p w14:paraId="0F545596">
            <w:pPr>
              <w:keepNext w:val="0"/>
              <w:keepLines w:val="0"/>
              <w:pageBreakBefore w:val="0"/>
              <w:widowControl w:val="0"/>
              <w:kinsoku/>
              <w:wordWrap/>
              <w:overflowPunct/>
              <w:topLinePunct w:val="0"/>
              <w:autoSpaceDN/>
              <w:bidi w:val="0"/>
              <w:spacing w:line="600" w:lineRule="exact"/>
              <w:ind w:firstLine="440"/>
              <w:jc w:val="center"/>
              <w:rPr>
                <w:rFonts w:hint="default" w:ascii="Times New Roman" w:hAnsi="Times New Roman" w:cs="宋体"/>
                <w:color w:val="000000"/>
                <w:sz w:val="22"/>
              </w:rPr>
            </w:pPr>
          </w:p>
        </w:tc>
      </w:tr>
      <w:tr w14:paraId="5429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ign w:val="center"/>
          </w:tcPr>
          <w:p w14:paraId="629E4A23">
            <w:pPr>
              <w:keepNext w:val="0"/>
              <w:keepLines w:val="0"/>
              <w:pageBreakBefore w:val="0"/>
              <w:widowControl w:val="0"/>
              <w:kinsoku/>
              <w:wordWrap/>
              <w:overflowPunct/>
              <w:topLinePunct w:val="0"/>
              <w:autoSpaceDN/>
              <w:bidi w:val="0"/>
              <w:spacing w:line="240" w:lineRule="exact"/>
              <w:ind w:firstLine="320"/>
              <w:jc w:val="center"/>
              <w:textAlignment w:val="center"/>
              <w:rPr>
                <w:rFonts w:hint="eastAsia" w:ascii="方正仿宋_GBK" w:hAnsi="方正仿宋_GBK" w:eastAsia="方正仿宋_GBK" w:cs="方正仿宋_GBK"/>
                <w:color w:val="000000"/>
                <w:sz w:val="20"/>
                <w:szCs w:val="20"/>
              </w:rPr>
            </w:pPr>
          </w:p>
        </w:tc>
        <w:tc>
          <w:tcPr>
            <w:tcW w:w="1042" w:type="dxa"/>
            <w:vMerge w:val="continue"/>
            <w:noWrap/>
            <w:vAlign w:val="center"/>
          </w:tcPr>
          <w:p w14:paraId="72A700B6">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1418" w:type="dxa"/>
            <w:shd w:val="clear" w:color="auto" w:fill="auto"/>
            <w:noWrap/>
            <w:vAlign w:val="center"/>
          </w:tcPr>
          <w:p w14:paraId="11E26CA9">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家长满意度</w:t>
            </w:r>
          </w:p>
        </w:tc>
        <w:tc>
          <w:tcPr>
            <w:tcW w:w="975" w:type="dxa"/>
            <w:shd w:val="clear" w:color="auto" w:fill="auto"/>
            <w:noWrap/>
            <w:vAlign w:val="center"/>
          </w:tcPr>
          <w:p w14:paraId="153B9EEA">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w:t>
            </w:r>
          </w:p>
        </w:tc>
        <w:tc>
          <w:tcPr>
            <w:tcW w:w="720" w:type="dxa"/>
            <w:shd w:val="clear" w:color="auto" w:fill="auto"/>
            <w:noWrap/>
            <w:vAlign w:val="center"/>
          </w:tcPr>
          <w:p w14:paraId="47138801">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95</w:t>
            </w:r>
          </w:p>
        </w:tc>
        <w:tc>
          <w:tcPr>
            <w:tcW w:w="705" w:type="dxa"/>
            <w:shd w:val="clear" w:color="auto" w:fill="auto"/>
            <w:noWrap/>
            <w:vAlign w:val="center"/>
          </w:tcPr>
          <w:p w14:paraId="1AC721F3">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w:t>
            </w:r>
          </w:p>
        </w:tc>
        <w:tc>
          <w:tcPr>
            <w:tcW w:w="630" w:type="dxa"/>
            <w:shd w:val="clear" w:color="auto" w:fill="auto"/>
            <w:noWrap/>
            <w:vAlign w:val="center"/>
          </w:tcPr>
          <w:p w14:paraId="414B3074">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10</w:t>
            </w:r>
          </w:p>
        </w:tc>
        <w:tc>
          <w:tcPr>
            <w:tcW w:w="825" w:type="dxa"/>
            <w:shd w:val="clear" w:color="auto" w:fill="auto"/>
            <w:noWrap/>
            <w:vAlign w:val="center"/>
          </w:tcPr>
          <w:p w14:paraId="54F22577">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95</w:t>
            </w:r>
          </w:p>
        </w:tc>
        <w:tc>
          <w:tcPr>
            <w:tcW w:w="675" w:type="dxa"/>
            <w:shd w:val="clear" w:color="auto" w:fill="auto"/>
            <w:noWrap/>
            <w:vAlign w:val="center"/>
          </w:tcPr>
          <w:p w14:paraId="50F9DEFC">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10</w:t>
            </w:r>
          </w:p>
        </w:tc>
        <w:tc>
          <w:tcPr>
            <w:tcW w:w="660" w:type="dxa"/>
            <w:shd w:val="clear" w:color="auto" w:fill="auto"/>
            <w:noWrap/>
            <w:vAlign w:val="center"/>
          </w:tcPr>
          <w:p w14:paraId="1D7665A4">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p w14:paraId="68463215">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p w14:paraId="6FBD67F5">
            <w:pPr>
              <w:keepNext w:val="0"/>
              <w:keepLines w:val="0"/>
              <w:pageBreakBefore w:val="0"/>
              <w:widowControl w:val="0"/>
              <w:kinsoku/>
              <w:wordWrap/>
              <w:overflowPunct/>
              <w:topLinePunct w:val="0"/>
              <w:autoSpaceDN/>
              <w:bidi w:val="0"/>
              <w:spacing w:line="240" w:lineRule="exact"/>
              <w:ind w:firstLine="320" w:firstLineChars="0"/>
              <w:jc w:val="center"/>
              <w:rPr>
                <w:rFonts w:hint="eastAsia" w:ascii="方正仿宋_GBK" w:hAnsi="方正仿宋_GBK" w:eastAsia="方正仿宋_GBK" w:cs="方正仿宋_GBK"/>
                <w:color w:val="000000"/>
                <w:sz w:val="20"/>
                <w:szCs w:val="20"/>
                <w:lang w:val="en-US" w:eastAsia="zh-CN" w:bidi="ar-SA"/>
              </w:rPr>
            </w:pPr>
          </w:p>
        </w:tc>
        <w:tc>
          <w:tcPr>
            <w:tcW w:w="667" w:type="dxa"/>
            <w:vMerge w:val="continue"/>
            <w:noWrap/>
            <w:vAlign w:val="center"/>
          </w:tcPr>
          <w:p w14:paraId="4C722510">
            <w:pPr>
              <w:keepNext w:val="0"/>
              <w:keepLines w:val="0"/>
              <w:pageBreakBefore w:val="0"/>
              <w:widowControl w:val="0"/>
              <w:kinsoku/>
              <w:wordWrap/>
              <w:overflowPunct/>
              <w:topLinePunct w:val="0"/>
              <w:autoSpaceDN/>
              <w:bidi w:val="0"/>
              <w:spacing w:line="600" w:lineRule="exact"/>
              <w:ind w:firstLine="440"/>
              <w:jc w:val="center"/>
              <w:rPr>
                <w:rFonts w:hint="default" w:ascii="Times New Roman" w:hAnsi="Times New Roman" w:cs="宋体"/>
                <w:color w:val="000000"/>
                <w:sz w:val="22"/>
              </w:rPr>
            </w:pPr>
          </w:p>
        </w:tc>
      </w:tr>
      <w:tr w14:paraId="7F7C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ign w:val="center"/>
          </w:tcPr>
          <w:p w14:paraId="4C6EA4CB">
            <w:pPr>
              <w:keepNext w:val="0"/>
              <w:keepLines w:val="0"/>
              <w:pageBreakBefore w:val="0"/>
              <w:widowControl w:val="0"/>
              <w:kinsoku/>
              <w:wordWrap/>
              <w:overflowPunct/>
              <w:topLinePunct w:val="0"/>
              <w:autoSpaceDN/>
              <w:bidi w:val="0"/>
              <w:spacing w:line="240" w:lineRule="exact"/>
              <w:ind w:firstLine="320"/>
              <w:jc w:val="center"/>
              <w:textAlignment w:val="center"/>
              <w:rPr>
                <w:rFonts w:hint="eastAsia" w:ascii="方正仿宋_GBK" w:hAnsi="方正仿宋_GBK" w:eastAsia="方正仿宋_GBK" w:cs="方正仿宋_GBK"/>
                <w:color w:val="000000"/>
                <w:sz w:val="20"/>
                <w:szCs w:val="20"/>
              </w:rPr>
            </w:pPr>
          </w:p>
        </w:tc>
        <w:tc>
          <w:tcPr>
            <w:tcW w:w="1042" w:type="dxa"/>
            <w:vMerge w:val="continue"/>
            <w:noWrap/>
            <w:vAlign w:val="center"/>
          </w:tcPr>
          <w:p w14:paraId="39FD7CCB">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1418" w:type="dxa"/>
            <w:noWrap/>
            <w:vAlign w:val="center"/>
          </w:tcPr>
          <w:p w14:paraId="4CA94346">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执行率</w:t>
            </w:r>
          </w:p>
        </w:tc>
        <w:tc>
          <w:tcPr>
            <w:tcW w:w="975" w:type="dxa"/>
            <w:noWrap/>
            <w:vAlign w:val="center"/>
          </w:tcPr>
          <w:p w14:paraId="1486B1DE">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val="en-US" w:eastAsia="zh-CN"/>
              </w:rPr>
              <w:t>=</w:t>
            </w:r>
          </w:p>
        </w:tc>
        <w:tc>
          <w:tcPr>
            <w:tcW w:w="720" w:type="dxa"/>
            <w:noWrap/>
            <w:vAlign w:val="center"/>
          </w:tcPr>
          <w:p w14:paraId="0E625889">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05" w:type="dxa"/>
            <w:noWrap/>
            <w:vAlign w:val="center"/>
          </w:tcPr>
          <w:p w14:paraId="6DEB2CCD">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722294AE">
            <w:pPr>
              <w:keepNext w:val="0"/>
              <w:keepLines w:val="0"/>
              <w:pageBreakBefore w:val="0"/>
              <w:widowControl w:val="0"/>
              <w:kinsoku/>
              <w:wordWrap/>
              <w:overflowPunct/>
              <w:topLinePunct w:val="0"/>
              <w:autoSpaceDN/>
              <w:bidi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825" w:type="dxa"/>
            <w:noWrap/>
            <w:vAlign w:val="center"/>
          </w:tcPr>
          <w:p w14:paraId="33AEB9BE">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75" w:type="dxa"/>
            <w:noWrap/>
            <w:vAlign w:val="center"/>
          </w:tcPr>
          <w:p w14:paraId="51188278">
            <w:pPr>
              <w:keepNext w:val="0"/>
              <w:keepLines w:val="0"/>
              <w:pageBreakBefore w:val="0"/>
              <w:widowControl w:val="0"/>
              <w:kinsoku/>
              <w:wordWrap/>
              <w:overflowPunct/>
              <w:topLinePunct w:val="0"/>
              <w:autoSpaceDN/>
              <w:bidi w:val="0"/>
              <w:spacing w:line="240" w:lineRule="exact"/>
              <w:ind w:firstLine="200" w:firstLineChars="10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60" w:type="dxa"/>
            <w:noWrap/>
            <w:vAlign w:val="center"/>
          </w:tcPr>
          <w:p w14:paraId="34520445">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p w14:paraId="59D739BA">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p w14:paraId="6A27347E">
            <w:pPr>
              <w:keepNext w:val="0"/>
              <w:keepLines w:val="0"/>
              <w:pageBreakBefore w:val="0"/>
              <w:widowControl w:val="0"/>
              <w:kinsoku/>
              <w:wordWrap/>
              <w:overflowPunct/>
              <w:topLinePunct w:val="0"/>
              <w:autoSpaceDN/>
              <w:bidi w:val="0"/>
              <w:spacing w:line="240" w:lineRule="exact"/>
              <w:ind w:firstLine="320"/>
              <w:jc w:val="center"/>
              <w:rPr>
                <w:rFonts w:hint="eastAsia" w:ascii="方正仿宋_GBK" w:hAnsi="方正仿宋_GBK" w:eastAsia="方正仿宋_GBK" w:cs="方正仿宋_GBK"/>
                <w:color w:val="000000"/>
                <w:sz w:val="20"/>
                <w:szCs w:val="20"/>
              </w:rPr>
            </w:pPr>
          </w:p>
        </w:tc>
        <w:tc>
          <w:tcPr>
            <w:tcW w:w="667" w:type="dxa"/>
            <w:vMerge w:val="continue"/>
            <w:noWrap/>
            <w:vAlign w:val="center"/>
          </w:tcPr>
          <w:p w14:paraId="497A9A44">
            <w:pPr>
              <w:keepNext w:val="0"/>
              <w:keepLines w:val="0"/>
              <w:pageBreakBefore w:val="0"/>
              <w:widowControl w:val="0"/>
              <w:kinsoku/>
              <w:wordWrap/>
              <w:overflowPunct/>
              <w:topLinePunct w:val="0"/>
              <w:autoSpaceDN/>
              <w:bidi w:val="0"/>
              <w:spacing w:line="600" w:lineRule="exact"/>
              <w:ind w:firstLine="440"/>
              <w:jc w:val="center"/>
              <w:rPr>
                <w:rFonts w:hint="default" w:ascii="Times New Roman" w:hAnsi="Times New Roman" w:cs="宋体"/>
                <w:color w:val="000000"/>
                <w:sz w:val="22"/>
              </w:rPr>
            </w:pPr>
          </w:p>
        </w:tc>
      </w:tr>
    </w:tbl>
    <w:p w14:paraId="4288E7D5">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（二）单位重点绩效评价情况</w:t>
      </w:r>
    </w:p>
    <w:p w14:paraId="0D4B376B">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rPr>
          <w:rFonts w:hint="default" w:ascii="Times New Roman" w:hAnsi="Times New Roman" w:eastAsia="楷体" w:cs="楷体"/>
          <w:b/>
          <w:sz w:val="32"/>
          <w:szCs w:val="32"/>
          <w:shd w:val="clear" w:color="auto" w:fill="FFFFFF"/>
        </w:rPr>
      </w:pPr>
      <w:r>
        <w:rPr>
          <w:rFonts w:ascii="Times New Roman" w:hAnsi="Times New Roman" w:eastAsia="方正仿宋_GBK" w:cs="方正仿宋_GBK"/>
          <w:sz w:val="32"/>
          <w:szCs w:val="32"/>
          <w:shd w:val="clear" w:color="auto" w:fill="FFFFFF"/>
        </w:rPr>
        <w:t>我单位对</w:t>
      </w:r>
      <w:r>
        <w:rPr>
          <w:rFonts w:hint="default" w:ascii="Times New Roman" w:hAnsi="Times New Roman" w:eastAsia="方正仿宋_GBK" w:cs="方正仿宋_GBK"/>
          <w:sz w:val="32"/>
          <w:szCs w:val="32"/>
          <w:shd w:val="clear" w:color="auto" w:fill="FFFFFF"/>
        </w:rPr>
        <w:t>2024年学前教育家庭经济困难幼儿资助专项经费</w:t>
      </w:r>
      <w:r>
        <w:rPr>
          <w:rFonts w:ascii="Times New Roman" w:hAnsi="Times New Roman" w:eastAsia="方正仿宋_GBK" w:cs="方正仿宋_GBK"/>
          <w:sz w:val="32"/>
          <w:szCs w:val="32"/>
          <w:shd w:val="clear" w:color="auto" w:fill="FFFFFF"/>
        </w:rPr>
        <w:t>开展了绩效评价，涉及财政拨款项目资金6.6万元，评价得分100分，评价等次为优</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ascii="Times New Roman" w:hAnsi="Times New Roman" w:eastAsia="方正仿宋_GBK" w:cs="方正仿宋_GBK"/>
          <w:sz w:val="32"/>
          <w:szCs w:val="32"/>
          <w:shd w:val="clear" w:color="auto" w:fill="FFFFFF"/>
        </w:rPr>
        <w:t>。</w:t>
      </w:r>
    </w:p>
    <w:p w14:paraId="1999B1A8">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（三）财政绩效评价情况</w:t>
      </w:r>
    </w:p>
    <w:p w14:paraId="3325BF06">
      <w:pPr>
        <w:keepNext w:val="0"/>
        <w:keepLines w:val="0"/>
        <w:pageBreakBefore w:val="0"/>
        <w:numPr>
          <w:ilvl w:val="0"/>
          <w:numId w:val="0"/>
        </w:numPr>
        <w:tabs>
          <w:tab w:val="center" w:pos="4153"/>
          <w:tab w:val="left" w:pos="7275"/>
        </w:tabs>
        <w:kinsoku/>
        <w:overflowPunct/>
        <w:topLinePunct w:val="0"/>
        <w:autoSpaceDN/>
        <w:bidi w:val="0"/>
        <w:spacing w:beforeAutospacing="0" w:afterAutospacing="0" w:line="600" w:lineRule="exact"/>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财政重点绩效评价由区财政局统一公开。</w:t>
      </w:r>
    </w:p>
    <w:p w14:paraId="3761C710">
      <w:pPr>
        <w:keepNext w:val="0"/>
        <w:keepLines w:val="0"/>
        <w:pageBreakBefore w:val="0"/>
        <w:widowControl w:val="0"/>
        <w:kinsoku/>
        <w:wordWrap/>
        <w:overflowPunct/>
        <w:topLinePunct w:val="0"/>
        <w:autoSpaceDN/>
        <w:bidi w:val="0"/>
        <w:spacing w:line="600" w:lineRule="exact"/>
        <w:ind w:firstLine="643"/>
        <w:rPr>
          <w:rStyle w:val="12"/>
          <w:rFonts w:hint="eastAsia" w:ascii="Times New Roman" w:hAnsi="Times New Roman" w:eastAsia="方正黑体_GBK" w:cs="Times New Roman"/>
          <w:b w:val="0"/>
          <w:bCs/>
          <w:sz w:val="32"/>
          <w:szCs w:val="32"/>
          <w:shd w:val="clear" w:color="auto" w:fill="FFFFFF"/>
          <w:lang w:val="en-US" w:eastAsia="zh-CN" w:bidi="ar-SA"/>
        </w:rPr>
      </w:pPr>
      <w:r>
        <w:rPr>
          <w:rStyle w:val="12"/>
          <w:rFonts w:hint="eastAsia" w:ascii="Times New Roman" w:hAnsi="Times New Roman" w:eastAsia="方正黑体_GBK" w:cs="Times New Roman"/>
          <w:b w:val="0"/>
          <w:bCs/>
          <w:sz w:val="32"/>
          <w:szCs w:val="32"/>
          <w:shd w:val="clear" w:color="auto" w:fill="FFFFFF"/>
          <w:lang w:val="en-US" w:eastAsia="zh-CN" w:bidi="ar-SA"/>
        </w:rPr>
        <w:t>六、专业名词解释</w:t>
      </w:r>
    </w:p>
    <w:p w14:paraId="3D1E88EE">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（一）财政拨款收入：</w:t>
      </w:r>
      <w:r>
        <w:rPr>
          <w:rFonts w:hint="eastAsia" w:ascii="方正仿宋_GBK" w:hAnsi="方正仿宋_GBK" w:eastAsia="方正仿宋_GBK" w:cs="方正仿宋_GBK"/>
        </w:rPr>
        <w:t>指本年度从本级财政单位取得的财政拨款，包括一般公共预算财政拨款和政府性基金预算财政拨款。</w:t>
      </w:r>
    </w:p>
    <w:p w14:paraId="5777DD50">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（二）事业收入：</w:t>
      </w:r>
      <w:r>
        <w:rPr>
          <w:rFonts w:hint="eastAsia" w:ascii="方正仿宋_GBK" w:hAnsi="方正仿宋_GBK" w:eastAsia="方正仿宋_GBK" w:cs="方正仿宋_GBK"/>
        </w:rPr>
        <w:t>指事业单位开展专业业务活动及其辅助活动取得的现金流入；事业单位收到的财政专户实际核拨的教育收费等资金在此反映。</w:t>
      </w:r>
    </w:p>
    <w:p w14:paraId="2C723183">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（三）经营收入：</w:t>
      </w:r>
      <w:r>
        <w:rPr>
          <w:rFonts w:hint="eastAsia" w:ascii="方正仿宋_GBK" w:hAnsi="方正仿宋_GBK" w:eastAsia="方正仿宋_GBK" w:cs="方正仿宋_GBK"/>
        </w:rPr>
        <w:t>指事业单位在专业业务活动及其辅助活动之外开展非独立核算经营活动取得的现金流入。</w:t>
      </w:r>
    </w:p>
    <w:p w14:paraId="33E23433">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（四）其他收入：</w:t>
      </w:r>
      <w:r>
        <w:rPr>
          <w:rFonts w:hint="eastAsia" w:ascii="方正仿宋_GBK" w:hAnsi="方正仿宋_GBK" w:eastAsia="方正仿宋_GBK" w:cs="方正仿宋_GBK"/>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07F9588E">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（五）使用非财政拨款结余：</w:t>
      </w:r>
      <w:r>
        <w:rPr>
          <w:rFonts w:hint="eastAsia" w:ascii="方正仿宋_GBK" w:hAnsi="方正仿宋_GBK" w:eastAsia="方正仿宋_GBK" w:cs="方正仿宋_GBK"/>
        </w:rPr>
        <w:t>指单位在当年的“财政拨款收入”、“事业收入”、“经营收入”、“其他收入”等不足以安排当年支出的情况下，使用以前年度积累的非财政拨款结余弥补本年度收支缺口的资金。</w:t>
      </w:r>
    </w:p>
    <w:p w14:paraId="03C6F2C4">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（六）年初结转和结余：</w:t>
      </w:r>
      <w:r>
        <w:rPr>
          <w:rFonts w:hint="eastAsia" w:ascii="方正仿宋_GBK" w:hAnsi="方正仿宋_GBK" w:eastAsia="方正仿宋_GBK" w:cs="方正仿宋_GBK"/>
        </w:rPr>
        <w:t>指单位上年结转本年使用的基本支出结转、项目支出结转和结余、经营结余。</w:t>
      </w:r>
    </w:p>
    <w:p w14:paraId="025BFF01">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（七）结余分配：</w:t>
      </w:r>
      <w:r>
        <w:rPr>
          <w:rFonts w:hint="eastAsia" w:ascii="方正仿宋_GBK" w:hAnsi="方正仿宋_GBK" w:eastAsia="方正仿宋_GBK" w:cs="方正仿宋_GBK"/>
        </w:rPr>
        <w:t>指单位按照国家有关规定，缴纳所得税、提取专用基金、转入非财政拨款结余等当年结余的分配情况。</w:t>
      </w:r>
    </w:p>
    <w:p w14:paraId="1E528CE0">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（八）年末结转和结余：</w:t>
      </w:r>
      <w:r>
        <w:rPr>
          <w:rFonts w:hint="eastAsia" w:ascii="方正仿宋_GBK" w:hAnsi="方正仿宋_GBK" w:eastAsia="方正仿宋_GBK" w:cs="方正仿宋_GBK"/>
        </w:rPr>
        <w:t>指单位结转下年的基本支出结转、项目支出结转和结余、经营结余。</w:t>
      </w:r>
    </w:p>
    <w:p w14:paraId="5FF33A1A">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（九）基本支出：</w:t>
      </w:r>
      <w:r>
        <w:rPr>
          <w:rFonts w:hint="eastAsia" w:ascii="方正仿宋_GBK" w:hAnsi="方正仿宋_GBK" w:eastAsia="方正仿宋_GBK" w:cs="方正仿宋_GBK"/>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08E84A">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（十）项目支出：</w:t>
      </w:r>
      <w:bookmarkStart w:id="56" w:name="OLE_LINK25"/>
      <w:bookmarkStart w:id="57" w:name="OLE_LINK14"/>
      <w:r>
        <w:rPr>
          <w:rFonts w:hint="eastAsia" w:ascii="方正仿宋_GBK" w:hAnsi="方正仿宋_GBK" w:eastAsia="方正仿宋_GBK" w:cs="方正仿宋_GBK"/>
        </w:rPr>
        <w:t>指在基本支出之外为完成特定行政任务和事业发展目标所发生的支</w:t>
      </w:r>
      <w:bookmarkEnd w:id="56"/>
      <w:bookmarkEnd w:id="57"/>
      <w:r>
        <w:rPr>
          <w:rFonts w:hint="eastAsia" w:ascii="方正仿宋_GBK" w:hAnsi="方正仿宋_GBK" w:eastAsia="方正仿宋_GBK" w:cs="方正仿宋_GBK"/>
        </w:rPr>
        <w:t>出。</w:t>
      </w:r>
    </w:p>
    <w:p w14:paraId="1DC4277E">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（十一）经营支出：</w:t>
      </w:r>
      <w:r>
        <w:rPr>
          <w:rFonts w:hint="eastAsia" w:ascii="方正仿宋_GBK" w:hAnsi="方正仿宋_GBK" w:eastAsia="方正仿宋_GBK" w:cs="方正仿宋_GBK"/>
        </w:rPr>
        <w:t>指事业单位在专业业务活动及其辅助活动之外开展非独立核算经营活动发生的支出。</w:t>
      </w:r>
    </w:p>
    <w:p w14:paraId="092BC0A1">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（十二）“三公”经费：</w:t>
      </w:r>
      <w:r>
        <w:rPr>
          <w:rFonts w:hint="eastAsia" w:ascii="方正仿宋_GBK" w:hAnsi="方正仿宋_GBK" w:eastAsia="方正仿宋_GBK" w:cs="方正仿宋_GBK"/>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898846">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（十三）机关运行经费：</w:t>
      </w:r>
      <w:r>
        <w:rPr>
          <w:rFonts w:hint="eastAsia" w:ascii="方正仿宋_GBK" w:hAnsi="方正仿宋_GBK" w:eastAsia="方正仿宋_GBK" w:cs="方正仿宋_GBK"/>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D3DD094">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（十四）工资福利支出（支出经济分类科目类级）：</w:t>
      </w:r>
      <w:r>
        <w:rPr>
          <w:rFonts w:hint="eastAsia" w:ascii="方正仿宋_GBK" w:hAnsi="方正仿宋_GBK" w:eastAsia="方正仿宋_GBK" w:cs="方正仿宋_GBK"/>
        </w:rPr>
        <w:t>反映单位开支的在职职工和编制外长期聘用人员的各类劳动报酬，以及为上述人员缴纳的各项社会保险费等。</w:t>
      </w:r>
    </w:p>
    <w:p w14:paraId="37778E04">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（十五）商品和服务支出（支出经济分类科目类级）：</w:t>
      </w:r>
      <w:r>
        <w:rPr>
          <w:rFonts w:hint="eastAsia" w:ascii="方正仿宋_GBK" w:hAnsi="方正仿宋_GBK" w:eastAsia="方正仿宋_GBK" w:cs="方正仿宋_GBK"/>
        </w:rPr>
        <w:t>反映单位购买商品和服务的支出（不包括用于购置固定资产的支出、战略性和应急储备支出）。</w:t>
      </w:r>
    </w:p>
    <w:p w14:paraId="008FF78A">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（十六）对个人和家庭的补助（支出经济分类科目类级）：</w:t>
      </w:r>
      <w:r>
        <w:rPr>
          <w:rFonts w:hint="eastAsia" w:ascii="方正仿宋_GBK" w:hAnsi="方正仿宋_GBK" w:eastAsia="方正仿宋_GBK" w:cs="方正仿宋_GBK"/>
        </w:rPr>
        <w:t>反映用于对个人和家庭的补助支出。</w:t>
      </w:r>
    </w:p>
    <w:p w14:paraId="2E181292">
      <w:pPr>
        <w:pStyle w:val="14"/>
        <w:keepNext w:val="0"/>
        <w:keepLines w:val="0"/>
        <w:pageBreakBefore w:val="0"/>
        <w:widowControl w:val="0"/>
        <w:kinsoku/>
        <w:wordWrap/>
        <w:overflowPunct/>
        <w:topLinePunct w:val="0"/>
        <w:autoSpaceDN/>
        <w:bidi w:val="0"/>
        <w:ind w:firstLine="643"/>
        <w:rPr>
          <w:rFonts w:hint="eastAsia" w:ascii="方正仿宋_GBK" w:hAnsi="方正仿宋_GBK" w:eastAsia="方正仿宋_GBK" w:cs="方正仿宋_GBK"/>
        </w:rPr>
      </w:pPr>
      <w:r>
        <w:rPr>
          <w:rStyle w:val="12"/>
          <w:rFonts w:hint="eastAsia" w:ascii="方正楷体_GBK" w:hAnsi="方正楷体_GBK" w:eastAsia="方正楷体_GBK" w:cs="方正楷体_GBK"/>
          <w:b w:val="0"/>
          <w:bCs/>
        </w:rPr>
        <w:t>（十七）其他资本性支出（支出经济分类科目类级）：</w:t>
      </w:r>
      <w:r>
        <w:rPr>
          <w:rFonts w:hint="eastAsia" w:ascii="方正仿宋_GBK" w:hAnsi="方正仿宋_GBK" w:eastAsia="方正仿宋_GBK" w:cs="方正仿宋_GBK"/>
        </w:rPr>
        <w:t>反映非各级发展与改革单位集中安排的用于购置固定资产、战略性和应急性储备、土地和无形资产，以及构建基础设施、大型修缮和财政支持企业更新改造所发生的支出。</w:t>
      </w:r>
    </w:p>
    <w:p w14:paraId="6C8D2FAC">
      <w:pPr>
        <w:pStyle w:val="14"/>
        <w:keepNext w:val="0"/>
        <w:keepLines w:val="0"/>
        <w:pageBreakBefore w:val="0"/>
        <w:widowControl w:val="0"/>
        <w:kinsoku/>
        <w:wordWrap/>
        <w:overflowPunct/>
        <w:topLinePunct w:val="0"/>
        <w:autoSpaceDN/>
        <w:bidi w:val="0"/>
        <w:ind w:firstLine="643"/>
        <w:rPr>
          <w:rFonts w:hint="eastAsia" w:ascii="方正黑体_GBK" w:hAnsi="方正黑体_GBK" w:eastAsia="方正黑体_GBK" w:cs="方正黑体_GBK"/>
          <w:b w:val="0"/>
          <w:bCs/>
        </w:rPr>
      </w:pPr>
      <w:r>
        <w:rPr>
          <w:rStyle w:val="12"/>
          <w:rFonts w:hint="eastAsia" w:ascii="方正黑体_GBK" w:hAnsi="方正黑体_GBK" w:eastAsia="方正黑体_GBK" w:cs="方正黑体_GBK"/>
          <w:b w:val="0"/>
          <w:bCs/>
        </w:rPr>
        <w:t>七、决算公开联系方式及信息反馈渠道</w:t>
      </w:r>
    </w:p>
    <w:p w14:paraId="7F6ACD82">
      <w:pPr>
        <w:keepNext w:val="0"/>
        <w:keepLines w:val="0"/>
        <w:pageBreakBefore w:val="0"/>
        <w:widowControl w:val="0"/>
        <w:kinsoku/>
        <w:wordWrap/>
        <w:overflowPunct/>
        <w:topLinePunct w:val="0"/>
        <w:autoSpaceDN/>
        <w:bidi w:val="0"/>
        <w:adjustRightInd w:val="0"/>
        <w:snapToGrid w:val="0"/>
        <w:spacing w:line="600" w:lineRule="exact"/>
        <w:ind w:firstLine="640"/>
        <w:rPr>
          <w:rFonts w:hint="default" w:ascii="Times New Roman" w:hAnsi="Times New Roman" w:eastAsia="方正仿宋_GBK" w:cs="方正仿宋_GBK"/>
          <w:color w:val="FF0000"/>
          <w:sz w:val="32"/>
          <w:szCs w:val="32"/>
          <w:shd w:val="clear" w:color="auto" w:fill="FFFFFF"/>
        </w:rPr>
      </w:pPr>
      <w:bookmarkStart w:id="58" w:name="OLE_LINK80"/>
      <w:bookmarkStart w:id="59" w:name="OLE_LINK79"/>
      <w:r>
        <w:rPr>
          <w:rFonts w:ascii="Times New Roman" w:hAnsi="Times New Roman" w:eastAsia="方正仿宋_GBK"/>
          <w:sz w:val="32"/>
          <w:szCs w:val="32"/>
        </w:rPr>
        <w:t>本单位决算公开信息反馈和联系方式：023-68500655</w:t>
      </w:r>
    </w:p>
    <w:bookmarkEnd w:id="58"/>
    <w:bookmarkEnd w:id="59"/>
    <w:p w14:paraId="3F5AEBBD">
      <w:pPr>
        <w:keepNext w:val="0"/>
        <w:keepLines w:val="0"/>
        <w:pageBreakBefore w:val="0"/>
        <w:widowControl w:val="0"/>
        <w:kinsoku/>
        <w:wordWrap/>
        <w:overflowPunct/>
        <w:topLinePunct w:val="0"/>
        <w:autoSpaceDN/>
        <w:bidi w:val="0"/>
        <w:adjustRightInd w:val="0"/>
        <w:snapToGrid w:val="0"/>
        <w:spacing w:line="600" w:lineRule="exact"/>
        <w:ind w:firstLine="643"/>
        <w:rPr>
          <w:rStyle w:val="12"/>
          <w:rFonts w:hint="default" w:ascii="Times New Roman" w:hAnsi="Times New Roman" w:eastAsia="黑体" w:cs="黑体"/>
          <w:color w:val="FF0000"/>
          <w:sz w:val="32"/>
          <w:szCs w:val="32"/>
          <w:shd w:val="clear" w:color="auto" w:fill="FFFFFF"/>
        </w:rPr>
      </w:pPr>
    </w:p>
    <w:p w14:paraId="1E1280B6">
      <w:pPr>
        <w:keepNext w:val="0"/>
        <w:keepLines w:val="0"/>
        <w:pageBreakBefore w:val="0"/>
        <w:widowControl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46E091CB">
      <w:pPr>
        <w:keepNext w:val="0"/>
        <w:keepLines w:val="0"/>
        <w:pageBreakBefore w:val="0"/>
        <w:widowControl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3046041F">
      <w:pPr>
        <w:keepNext w:val="0"/>
        <w:keepLines w:val="0"/>
        <w:pageBreakBefore w:val="0"/>
        <w:widowControl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0918D7E8">
      <w:pPr>
        <w:keepNext w:val="0"/>
        <w:keepLines w:val="0"/>
        <w:pageBreakBefore w:val="0"/>
        <w:widowControl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191F8D11">
      <w:pPr>
        <w:keepNext w:val="0"/>
        <w:keepLines w:val="0"/>
        <w:pageBreakBefore w:val="0"/>
        <w:widowControl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6A7377FA">
      <w:pPr>
        <w:keepNext w:val="0"/>
        <w:keepLines w:val="0"/>
        <w:pageBreakBefore w:val="0"/>
        <w:widowControl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6ACE9180">
      <w:pPr>
        <w:keepNext w:val="0"/>
        <w:keepLines w:val="0"/>
        <w:pageBreakBefore w:val="0"/>
        <w:widowControl w:val="0"/>
        <w:kinsoku/>
        <w:wordWrap/>
        <w:overflowPunct/>
        <w:topLinePunct w:val="0"/>
        <w:autoSpaceDN/>
        <w:bidi w:val="0"/>
        <w:adjustRightInd w:val="0"/>
        <w:snapToGrid w:val="0"/>
        <w:spacing w:line="600" w:lineRule="exact"/>
        <w:ind w:firstLine="64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xml:space="preserve">      7.政府性基金预算财政拨款收入支出决算表</w:t>
      </w:r>
    </w:p>
    <w:p w14:paraId="11B0D9FB">
      <w:pPr>
        <w:keepNext w:val="0"/>
        <w:keepLines w:val="0"/>
        <w:pageBreakBefore w:val="0"/>
        <w:widowControl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52DD6DB7">
      <w:pPr>
        <w:keepNext w:val="0"/>
        <w:keepLines w:val="0"/>
        <w:pageBreakBefore w:val="0"/>
        <w:widowControl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9.机构运行信息表</w:t>
      </w:r>
    </w:p>
    <w:p w14:paraId="13C6F175">
      <w:pPr>
        <w:pStyle w:val="13"/>
        <w:keepNext w:val="0"/>
        <w:keepLines w:val="0"/>
        <w:pageBreakBefore w:val="0"/>
        <w:widowControl w:val="0"/>
        <w:kinsoku/>
        <w:wordWrap/>
        <w:overflowPunct/>
        <w:topLinePunct w:val="0"/>
        <w:autoSpaceDN/>
        <w:bidi w:val="0"/>
        <w:ind w:firstLine="640"/>
        <w:rPr>
          <w:rStyle w:val="12"/>
          <w:rFonts w:ascii="方正仿宋_GBK" w:hAnsi="方正仿宋_GBK" w:eastAsia="方正仿宋_GBK" w:cs="方正仿宋_GBK"/>
          <w:b/>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072166F8">
      <w:pPr>
        <w:keepNext w:val="0"/>
        <w:keepLines w:val="0"/>
        <w:pageBreakBefore w:val="0"/>
        <w:kinsoku/>
        <w:overflowPunct/>
        <w:topLinePunct w:val="0"/>
        <w:autoSpaceDN/>
        <w:bidi w:val="0"/>
        <w:ind w:firstLine="420"/>
        <w:rPr>
          <w:rFonts w:hint="default" w:cs="宋体"/>
          <w:sz w:val="21"/>
          <w:szCs w:val="21"/>
        </w:rPr>
      </w:pPr>
    </w:p>
    <w:tbl>
      <w:tblPr>
        <w:tblStyle w:val="10"/>
        <w:tblpPr w:leftFromText="180" w:rightFromText="180" w:vertAnchor="text" w:horzAnchor="page" w:tblpX="1058" w:tblpY="22"/>
        <w:tblOverlap w:val="never"/>
        <w:tblW w:w="4862" w:type="pct"/>
        <w:tblInd w:w="0" w:type="dxa"/>
        <w:tblLayout w:type="autofit"/>
        <w:tblCellMar>
          <w:top w:w="0" w:type="dxa"/>
          <w:left w:w="0" w:type="dxa"/>
          <w:bottom w:w="0" w:type="dxa"/>
          <w:right w:w="0" w:type="dxa"/>
        </w:tblCellMar>
      </w:tblPr>
      <w:tblGrid>
        <w:gridCol w:w="4290"/>
        <w:gridCol w:w="3558"/>
        <w:gridCol w:w="4041"/>
        <w:gridCol w:w="3010"/>
      </w:tblGrid>
      <w:tr w14:paraId="3DC33B2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777E61A">
            <w:pPr>
              <w:keepNext w:val="0"/>
              <w:keepLines w:val="0"/>
              <w:pageBreakBefore w:val="0"/>
              <w:kinsoku/>
              <w:overflowPunct/>
              <w:topLinePunct w:val="0"/>
              <w:autoSpaceDN/>
              <w:bidi w:val="0"/>
              <w:spacing w:line="400" w:lineRule="exact"/>
              <w:ind w:firstLine="643"/>
              <w:jc w:val="center"/>
              <w:textAlignment w:val="bottom"/>
              <w:rPr>
                <w:rFonts w:hint="default" w:cs="宋体"/>
                <w:b/>
                <w:color w:val="000000"/>
                <w:sz w:val="32"/>
                <w:szCs w:val="32"/>
              </w:rPr>
            </w:pPr>
            <w:r>
              <w:rPr>
                <w:rFonts w:cs="宋体"/>
                <w:b/>
                <w:color w:val="000000"/>
                <w:sz w:val="32"/>
                <w:szCs w:val="32"/>
              </w:rPr>
              <w:t>收入支出决算总表</w:t>
            </w:r>
          </w:p>
        </w:tc>
      </w:tr>
      <w:tr w14:paraId="17DEDE3B">
        <w:tblPrEx>
          <w:tblCellMar>
            <w:top w:w="0" w:type="dxa"/>
            <w:left w:w="0" w:type="dxa"/>
            <w:bottom w:w="0" w:type="dxa"/>
            <w:right w:w="0" w:type="dxa"/>
          </w:tblCellMar>
        </w:tblPrEx>
        <w:trPr>
          <w:trHeight w:val="232" w:hRule="atLeast"/>
        </w:trPr>
        <w:tc>
          <w:tcPr>
            <w:tcW w:w="1440" w:type="pct"/>
            <w:tcBorders>
              <w:top w:val="nil"/>
              <w:left w:val="nil"/>
              <w:bottom w:val="nil"/>
              <w:right w:val="nil"/>
            </w:tcBorders>
            <w:shd w:val="clear" w:color="auto" w:fill="auto"/>
            <w:noWrap/>
            <w:tcMar>
              <w:top w:w="15" w:type="dxa"/>
              <w:left w:w="15" w:type="dxa"/>
              <w:right w:w="15" w:type="dxa"/>
            </w:tcMar>
            <w:vAlign w:val="bottom"/>
          </w:tcPr>
          <w:p w14:paraId="05C11A7E">
            <w:pPr>
              <w:keepNext w:val="0"/>
              <w:keepLines w:val="0"/>
              <w:pageBreakBefore w:val="0"/>
              <w:kinsoku/>
              <w:overflowPunct/>
              <w:topLinePunct w:val="0"/>
              <w:autoSpaceDN/>
              <w:bidi w:val="0"/>
              <w:spacing w:line="200" w:lineRule="exact"/>
              <w:ind w:firstLine="400"/>
              <w:rPr>
                <w:rFonts w:hint="default" w:ascii="Arial" w:hAnsi="Arial" w:cs="Arial"/>
                <w:color w:val="000000"/>
                <w:sz w:val="20"/>
                <w:szCs w:val="20"/>
              </w:rPr>
            </w:pPr>
          </w:p>
        </w:tc>
        <w:tc>
          <w:tcPr>
            <w:tcW w:w="1193" w:type="pct"/>
            <w:tcBorders>
              <w:top w:val="nil"/>
              <w:left w:val="nil"/>
              <w:bottom w:val="nil"/>
              <w:right w:val="nil"/>
            </w:tcBorders>
            <w:shd w:val="clear" w:color="auto" w:fill="auto"/>
            <w:noWrap/>
            <w:tcMar>
              <w:top w:w="15" w:type="dxa"/>
              <w:left w:w="15" w:type="dxa"/>
              <w:right w:w="15" w:type="dxa"/>
            </w:tcMar>
            <w:vAlign w:val="bottom"/>
          </w:tcPr>
          <w:p w14:paraId="5C2206A6">
            <w:pPr>
              <w:keepNext w:val="0"/>
              <w:keepLines w:val="0"/>
              <w:pageBreakBefore w:val="0"/>
              <w:kinsoku/>
              <w:overflowPunct/>
              <w:topLinePunct w:val="0"/>
              <w:autoSpaceDN/>
              <w:bidi w:val="0"/>
              <w:spacing w:line="200" w:lineRule="exact"/>
              <w:ind w:firstLine="400"/>
              <w:jc w:val="right"/>
              <w:rPr>
                <w:rFonts w:hint="default" w:ascii="Arial" w:hAnsi="Arial" w:cs="Arial"/>
                <w:color w:val="000000"/>
                <w:sz w:val="20"/>
                <w:szCs w:val="20"/>
              </w:rPr>
            </w:pPr>
          </w:p>
        </w:tc>
        <w:tc>
          <w:tcPr>
            <w:tcW w:w="1356" w:type="pct"/>
            <w:tcBorders>
              <w:top w:val="nil"/>
              <w:left w:val="nil"/>
              <w:bottom w:val="nil"/>
              <w:right w:val="nil"/>
            </w:tcBorders>
            <w:shd w:val="clear" w:color="auto" w:fill="auto"/>
            <w:noWrap/>
            <w:tcMar>
              <w:top w:w="15" w:type="dxa"/>
              <w:left w:w="15" w:type="dxa"/>
              <w:right w:w="15" w:type="dxa"/>
            </w:tcMar>
            <w:vAlign w:val="bottom"/>
          </w:tcPr>
          <w:p w14:paraId="2065F4F5">
            <w:pPr>
              <w:keepNext w:val="0"/>
              <w:keepLines w:val="0"/>
              <w:pageBreakBefore w:val="0"/>
              <w:kinsoku/>
              <w:overflowPunct/>
              <w:topLinePunct w:val="0"/>
              <w:autoSpaceDN/>
              <w:bidi w:val="0"/>
              <w:spacing w:line="200" w:lineRule="exact"/>
              <w:ind w:firstLine="400"/>
              <w:rPr>
                <w:rFonts w:hint="default" w:ascii="Arial" w:hAnsi="Arial" w:cs="Arial"/>
                <w:color w:val="000000"/>
                <w:sz w:val="20"/>
                <w:szCs w:val="20"/>
              </w:rPr>
            </w:pPr>
          </w:p>
        </w:tc>
        <w:tc>
          <w:tcPr>
            <w:tcW w:w="1008" w:type="pct"/>
            <w:tcBorders>
              <w:top w:val="nil"/>
              <w:left w:val="nil"/>
              <w:bottom w:val="nil"/>
              <w:right w:val="nil"/>
            </w:tcBorders>
            <w:shd w:val="clear" w:color="auto" w:fill="auto"/>
            <w:noWrap/>
            <w:tcMar>
              <w:top w:w="15" w:type="dxa"/>
              <w:left w:w="15" w:type="dxa"/>
              <w:right w:w="15" w:type="dxa"/>
            </w:tcMar>
            <w:vAlign w:val="bottom"/>
          </w:tcPr>
          <w:p w14:paraId="02732F01">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EEB1AB5">
        <w:tblPrEx>
          <w:tblCellMar>
            <w:top w:w="0" w:type="dxa"/>
            <w:left w:w="0" w:type="dxa"/>
            <w:bottom w:w="0" w:type="dxa"/>
            <w:right w:w="0" w:type="dxa"/>
          </w:tblCellMar>
        </w:tblPrEx>
        <w:trPr>
          <w:trHeight w:val="232" w:hRule="atLeast"/>
        </w:trPr>
        <w:tc>
          <w:tcPr>
            <w:tcW w:w="2634" w:type="pct"/>
            <w:gridSpan w:val="2"/>
            <w:tcBorders>
              <w:top w:val="nil"/>
              <w:left w:val="nil"/>
              <w:bottom w:val="nil"/>
              <w:right w:val="nil"/>
            </w:tcBorders>
            <w:shd w:val="clear" w:color="auto" w:fill="auto"/>
            <w:noWrap/>
            <w:tcMar>
              <w:top w:w="15" w:type="dxa"/>
              <w:left w:w="15" w:type="dxa"/>
              <w:right w:w="15" w:type="dxa"/>
            </w:tcMar>
            <w:vAlign w:val="bottom"/>
          </w:tcPr>
          <w:p w14:paraId="5C003EFF">
            <w:pPr>
              <w:keepNext w:val="0"/>
              <w:keepLines w:val="0"/>
              <w:pageBreakBefore w:val="0"/>
              <w:kinsoku/>
              <w:overflowPunct/>
              <w:topLinePunct w:val="0"/>
              <w:autoSpaceDN/>
              <w:bidi w:val="0"/>
              <w:spacing w:line="280" w:lineRule="exact"/>
              <w:ind w:firstLine="400"/>
              <w:rPr>
                <w:rFonts w:hint="default" w:ascii="Arial" w:hAnsi="Arial" w:cs="Arial"/>
                <w:color w:val="000000"/>
                <w:sz w:val="22"/>
                <w:szCs w:val="22"/>
              </w:rPr>
            </w:pPr>
            <w:r>
              <w:rPr>
                <w:rFonts w:cs="宋体"/>
                <w:sz w:val="20"/>
                <w:szCs w:val="20"/>
              </w:rPr>
              <w:t>单位：</w:t>
            </w:r>
            <w:r>
              <w:rPr>
                <w:sz w:val="20"/>
              </w:rPr>
              <w:t>重庆铁路小学</w:t>
            </w:r>
          </w:p>
        </w:tc>
        <w:tc>
          <w:tcPr>
            <w:tcW w:w="1356" w:type="pct"/>
            <w:tcBorders>
              <w:top w:val="nil"/>
              <w:left w:val="nil"/>
              <w:bottom w:val="nil"/>
              <w:right w:val="nil"/>
            </w:tcBorders>
            <w:shd w:val="clear" w:color="auto" w:fill="auto"/>
            <w:noWrap/>
            <w:tcMar>
              <w:top w:w="15" w:type="dxa"/>
              <w:left w:w="15" w:type="dxa"/>
              <w:right w:w="15" w:type="dxa"/>
            </w:tcMar>
            <w:vAlign w:val="bottom"/>
          </w:tcPr>
          <w:p w14:paraId="107DAB02">
            <w:pPr>
              <w:keepNext w:val="0"/>
              <w:keepLines w:val="0"/>
              <w:pageBreakBefore w:val="0"/>
              <w:kinsoku/>
              <w:overflowPunct/>
              <w:topLinePunct w:val="0"/>
              <w:autoSpaceDN/>
              <w:bidi w:val="0"/>
              <w:spacing w:line="200" w:lineRule="exact"/>
              <w:ind w:firstLine="440"/>
              <w:rPr>
                <w:rFonts w:hint="default" w:ascii="Arial" w:hAnsi="Arial" w:cs="Arial"/>
                <w:color w:val="000000"/>
                <w:sz w:val="22"/>
                <w:szCs w:val="22"/>
              </w:rPr>
            </w:pPr>
          </w:p>
        </w:tc>
        <w:tc>
          <w:tcPr>
            <w:tcW w:w="1008" w:type="pct"/>
            <w:tcBorders>
              <w:top w:val="nil"/>
              <w:left w:val="nil"/>
              <w:bottom w:val="nil"/>
              <w:right w:val="nil"/>
            </w:tcBorders>
            <w:shd w:val="clear" w:color="auto" w:fill="auto"/>
            <w:noWrap/>
            <w:tcMar>
              <w:top w:w="15" w:type="dxa"/>
              <w:left w:w="15" w:type="dxa"/>
              <w:right w:w="15" w:type="dxa"/>
            </w:tcMar>
            <w:vAlign w:val="bottom"/>
          </w:tcPr>
          <w:p w14:paraId="4016348F">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817851">
        <w:tblPrEx>
          <w:tblCellMar>
            <w:top w:w="0" w:type="dxa"/>
            <w:left w:w="0" w:type="dxa"/>
            <w:bottom w:w="0" w:type="dxa"/>
            <w:right w:w="0" w:type="dxa"/>
          </w:tblCellMar>
        </w:tblPrEx>
        <w:trPr>
          <w:trHeight w:val="243" w:hRule="atLeast"/>
        </w:trPr>
        <w:tc>
          <w:tcPr>
            <w:tcW w:w="26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538B">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color w:val="000000"/>
                <w:sz w:val="16"/>
                <w:szCs w:val="16"/>
              </w:rPr>
            </w:pPr>
            <w:r>
              <w:rPr>
                <w:rFonts w:hint="eastAsia" w:ascii="方正仿宋_GBK" w:hAnsi="方正仿宋_GBK" w:eastAsia="方正仿宋_GBK" w:cs="方正仿宋_GBK"/>
                <w:b/>
                <w:color w:val="000000"/>
                <w:sz w:val="16"/>
                <w:szCs w:val="16"/>
              </w:rPr>
              <w:t>收入</w:t>
            </w:r>
          </w:p>
        </w:tc>
        <w:tc>
          <w:tcPr>
            <w:tcW w:w="236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CDC168">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color w:val="000000"/>
                <w:sz w:val="16"/>
                <w:szCs w:val="16"/>
              </w:rPr>
            </w:pPr>
            <w:r>
              <w:rPr>
                <w:rFonts w:hint="eastAsia" w:ascii="方正仿宋_GBK" w:hAnsi="方正仿宋_GBK" w:eastAsia="方正仿宋_GBK" w:cs="方正仿宋_GBK"/>
                <w:b/>
                <w:color w:val="000000"/>
                <w:sz w:val="16"/>
                <w:szCs w:val="16"/>
              </w:rPr>
              <w:t>支出</w:t>
            </w:r>
          </w:p>
        </w:tc>
      </w:tr>
      <w:tr w14:paraId="35EDE87E">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847A">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color w:val="000000"/>
                <w:sz w:val="16"/>
                <w:szCs w:val="16"/>
              </w:rPr>
            </w:pPr>
            <w:r>
              <w:rPr>
                <w:rFonts w:hint="eastAsia" w:ascii="方正仿宋_GBK" w:hAnsi="方正仿宋_GBK" w:eastAsia="方正仿宋_GBK" w:cs="方正仿宋_GBK"/>
                <w:b/>
                <w:color w:val="000000"/>
                <w:sz w:val="16"/>
                <w:szCs w:val="16"/>
              </w:rPr>
              <w:t>项目</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44059">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color w:val="000000"/>
                <w:sz w:val="16"/>
                <w:szCs w:val="16"/>
              </w:rPr>
            </w:pPr>
            <w:r>
              <w:rPr>
                <w:rFonts w:hint="eastAsia" w:ascii="方正仿宋_GBK" w:hAnsi="方正仿宋_GBK" w:eastAsia="方正仿宋_GBK" w:cs="方正仿宋_GBK"/>
                <w:b/>
                <w:color w:val="000000"/>
                <w:sz w:val="16"/>
                <w:szCs w:val="16"/>
              </w:rPr>
              <w:t>决算数</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54BE7">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color w:val="000000"/>
                <w:sz w:val="16"/>
                <w:szCs w:val="16"/>
              </w:rPr>
            </w:pPr>
            <w:r>
              <w:rPr>
                <w:rFonts w:hint="eastAsia" w:ascii="方正仿宋_GBK" w:hAnsi="方正仿宋_GBK" w:eastAsia="方正仿宋_GBK" w:cs="方正仿宋_GBK"/>
                <w:b/>
                <w:color w:val="000000"/>
                <w:sz w:val="16"/>
                <w:szCs w:val="16"/>
              </w:rPr>
              <w:t>功能分类科目</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D840">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color w:val="000000"/>
                <w:sz w:val="16"/>
                <w:szCs w:val="16"/>
              </w:rPr>
            </w:pPr>
            <w:r>
              <w:rPr>
                <w:rFonts w:hint="eastAsia" w:ascii="方正仿宋_GBK" w:hAnsi="方正仿宋_GBK" w:eastAsia="方正仿宋_GBK" w:cs="方正仿宋_GBK"/>
                <w:b/>
                <w:color w:val="000000"/>
                <w:sz w:val="16"/>
                <w:szCs w:val="16"/>
              </w:rPr>
              <w:t>决算数</w:t>
            </w:r>
          </w:p>
        </w:tc>
      </w:tr>
      <w:tr w14:paraId="06AC0459">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EA11">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一、一般公共预算财政拨款收入</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C3BCF">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3,150.71</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F3F6E">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一、一般公共服务支出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13788">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384BD31A">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76B2">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二、政府性基金预算财政拨款收入</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4328">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2.00</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F81D">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二、外交支出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3090">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22F9DE83">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52EA">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三、国有资本经营预算财政拨款收入</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FC1AA">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4463">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三、国防支出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D7B8F">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2A654694">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1EF5">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四、上级补助收入</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285E7">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7D426">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四、公共安全支出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2787E">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02CBEF61">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5637">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五、事业收入</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5232A">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59.92</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0262">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五、教育支出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F5AD1">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2,631.13</w:t>
            </w:r>
          </w:p>
        </w:tc>
      </w:tr>
      <w:tr w14:paraId="6BBE49A4">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FBA2">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六、经营收入</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453D1">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3ADE">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六、科学技术支出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F0422">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075BB31C">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08BE">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七、附属单位上缴收入</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5E15">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E0540">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七、文化旅游体育与传媒支出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C35E0">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08D4D352">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FFC1">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八、其他收入</w:t>
            </w:r>
          </w:p>
        </w:tc>
        <w:tc>
          <w:tcPr>
            <w:tcW w:w="1193" w:type="pct"/>
            <w:tcBorders>
              <w:top w:val="nil"/>
              <w:left w:val="nil"/>
              <w:bottom w:val="nil"/>
              <w:right w:val="single" w:color="000000" w:sz="4" w:space="0"/>
            </w:tcBorders>
            <w:shd w:val="clear" w:color="auto" w:fill="auto"/>
            <w:noWrap/>
            <w:tcMar>
              <w:top w:w="15" w:type="dxa"/>
              <w:left w:w="15" w:type="dxa"/>
              <w:right w:w="15" w:type="dxa"/>
            </w:tcMar>
            <w:vAlign w:val="center"/>
          </w:tcPr>
          <w:p w14:paraId="7C4A6CFF">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46354">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八、社会保障和就业支出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36E8D">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298.13</w:t>
            </w:r>
          </w:p>
        </w:tc>
      </w:tr>
      <w:tr w14:paraId="0DD11EF7">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97D3">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BC6BD8">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2106A">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九、卫生健康支出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C8F44">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126.20</w:t>
            </w:r>
          </w:p>
        </w:tc>
      </w:tr>
      <w:tr w14:paraId="63B112B3">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957D">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7CB93E">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B81C0">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十、节能环保支出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D70E7">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112CCB0D">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537E">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AC2EB">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48969">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十一、城乡社区支出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86B65">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29EFFC63">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5E87">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552B6">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D8B9">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十二、农林水支出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0B6B">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0B484858">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26D2">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43B8">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AC662">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十三、交通运输支出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95D97">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0CFFF709">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0D51">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7C2DA">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B0AB8">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十四、资源勘探工业信息等支出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739C5">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5F84C5F6">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DE26">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B3563">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C1226">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十五、商业服务业等支出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106F6">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342A1716">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49DC">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2814">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77916">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十六、金融支出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CF11A">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40EFED16">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7A03">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9B453">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78D40">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十七、援助其他地区支出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29375">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2B90A5D9">
        <w:tblPrEx>
          <w:tblCellMar>
            <w:top w:w="0" w:type="dxa"/>
            <w:left w:w="0" w:type="dxa"/>
            <w:bottom w:w="0" w:type="dxa"/>
            <w:right w:w="0" w:type="dxa"/>
          </w:tblCellMar>
        </w:tblPrEx>
        <w:trPr>
          <w:trHeight w:val="90"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28F4">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E8D0">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25B0A">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十八、自然资源海洋气象等支出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B628E">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1A083FDD">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3B83">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30DF2">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AD256">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十九、住房保障支出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E36A">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155.17</w:t>
            </w:r>
          </w:p>
        </w:tc>
      </w:tr>
      <w:tr w14:paraId="36DC7FC7">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B968">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3A67E">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71633">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二十、粮油物资储备支出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B87FA">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07B5BCBD">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B5CE">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88BC">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7987">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二十一、国有资本经营预算支出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DF2BB">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35E7AF97">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591A">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2E5D">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0592F">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二十二、灾害防治及应急管理支出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A5124">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47637FFB">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01B5">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4C08">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F8920">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二十三、其他支出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C6FA3">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2.00</w:t>
            </w:r>
          </w:p>
        </w:tc>
      </w:tr>
      <w:tr w14:paraId="7234E885">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89C3">
            <w:pPr>
              <w:keepNext w:val="0"/>
              <w:keepLines w:val="0"/>
              <w:pageBreakBefore w:val="0"/>
              <w:kinsoku/>
              <w:overflowPunct/>
              <w:topLinePunct w:val="0"/>
              <w:autoSpaceDN/>
              <w:bidi w:val="0"/>
              <w:spacing w:line="240" w:lineRule="exact"/>
              <w:ind w:firstLine="402"/>
              <w:jc w:val="center"/>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E5EA">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72750">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二十四、债务还本支出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BF1B8">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51CE8089">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3DDC">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71164">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F589">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二十五、债务付息支出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31D5">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0FACB5AB">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ECEB">
            <w:pPr>
              <w:keepNext w:val="0"/>
              <w:keepLines w:val="0"/>
              <w:pageBreakBefore w:val="0"/>
              <w:kinsoku/>
              <w:overflowPunct/>
              <w:topLinePunct w:val="0"/>
              <w:autoSpaceDN/>
              <w:bidi w:val="0"/>
              <w:spacing w:line="240" w:lineRule="exact"/>
              <w:ind w:firstLine="402"/>
              <w:rPr>
                <w:rFonts w:hint="eastAsia" w:ascii="方正仿宋_GBK" w:hAnsi="方正仿宋_GBK" w:eastAsia="方正仿宋_GBK" w:cs="方正仿宋_GBK"/>
                <w:b/>
                <w:bCs/>
                <w:color w:val="000000"/>
                <w:sz w:val="16"/>
                <w:szCs w:val="16"/>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FBD1">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F51ED">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二十六、抗疫特别国债安排的支出</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6B224">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5341D073">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2980">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本年收入合计</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FF2D">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3,212.63</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01592">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本年支出合计</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7307">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3,212.63</w:t>
            </w:r>
          </w:p>
        </w:tc>
      </w:tr>
      <w:tr w14:paraId="420BC0F2">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9DC0">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使用非财政拨款结余（含专用结余）</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9DA7">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2CD69">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结余分配</w:t>
            </w:r>
          </w:p>
        </w:tc>
        <w:tc>
          <w:tcPr>
            <w:tcW w:w="10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F0266">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043624E9">
        <w:tblPrEx>
          <w:tblCellMar>
            <w:top w:w="0" w:type="dxa"/>
            <w:left w:w="0" w:type="dxa"/>
            <w:bottom w:w="0" w:type="dxa"/>
            <w:right w:w="0" w:type="dxa"/>
          </w:tblCellMar>
        </w:tblPrEx>
        <w:trPr>
          <w:trHeight w:val="24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DF1A">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年初结转和结余</w:t>
            </w: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CC476">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99870">
            <w:pPr>
              <w:keepNext w:val="0"/>
              <w:keepLines w:val="0"/>
              <w:pageBreakBefore w:val="0"/>
              <w:kinsoku/>
              <w:overflowPunct/>
              <w:topLinePunct w:val="0"/>
              <w:autoSpaceDN/>
              <w:bidi w:val="0"/>
              <w:spacing w:line="240" w:lineRule="exact"/>
              <w:ind w:firstLine="402"/>
              <w:textAlignment w:val="center"/>
              <w:rPr>
                <w:rFonts w:hint="eastAsia" w:ascii="方正仿宋_GBK" w:hAnsi="方正仿宋_GBK" w:eastAsia="方正仿宋_GBK" w:cs="方正仿宋_GBK"/>
                <w:b/>
                <w:bCs/>
                <w:color w:val="000000"/>
                <w:sz w:val="16"/>
                <w:szCs w:val="16"/>
              </w:rPr>
            </w:pPr>
            <w:r>
              <w:rPr>
                <w:rFonts w:hint="eastAsia" w:ascii="方正仿宋_GBK" w:hAnsi="方正仿宋_GBK" w:eastAsia="方正仿宋_GBK" w:cs="方正仿宋_GBK"/>
                <w:b/>
                <w:bCs/>
                <w:color w:val="000000"/>
                <w:sz w:val="16"/>
                <w:szCs w:val="16"/>
              </w:rPr>
              <w:t>年末结转和结余</w:t>
            </w:r>
          </w:p>
        </w:tc>
        <w:tc>
          <w:tcPr>
            <w:tcW w:w="100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0A9FC05">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p>
        </w:tc>
      </w:tr>
      <w:tr w14:paraId="73559478">
        <w:tblPrEx>
          <w:tblCellMar>
            <w:top w:w="0" w:type="dxa"/>
            <w:left w:w="0" w:type="dxa"/>
            <w:bottom w:w="0" w:type="dxa"/>
            <w:right w:w="0" w:type="dxa"/>
          </w:tblCellMar>
        </w:tblPrEx>
        <w:trPr>
          <w:trHeight w:val="253" w:hRule="atLeast"/>
        </w:trPr>
        <w:tc>
          <w:tcPr>
            <w:tcW w:w="1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B0FF">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color w:val="000000"/>
                <w:sz w:val="16"/>
                <w:szCs w:val="16"/>
              </w:rPr>
            </w:pPr>
            <w:r>
              <w:rPr>
                <w:rFonts w:hint="eastAsia" w:ascii="方正仿宋_GBK" w:hAnsi="方正仿宋_GBK" w:eastAsia="方正仿宋_GBK" w:cs="方正仿宋_GBK"/>
                <w:b/>
                <w:color w:val="000000"/>
                <w:sz w:val="16"/>
                <w:szCs w:val="16"/>
              </w:rPr>
              <w:t>总计</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02E0">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3,212.63</w:t>
            </w:r>
          </w:p>
        </w:tc>
        <w:tc>
          <w:tcPr>
            <w:tcW w:w="135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12415DC">
            <w:pPr>
              <w:keepNext w:val="0"/>
              <w:keepLines w:val="0"/>
              <w:pageBreakBefore w:val="0"/>
              <w:kinsoku/>
              <w:overflowPunct/>
              <w:topLinePunct w:val="0"/>
              <w:autoSpaceDN/>
              <w:bidi w:val="0"/>
              <w:spacing w:line="240" w:lineRule="exact"/>
              <w:ind w:firstLine="402"/>
              <w:jc w:val="center"/>
              <w:textAlignment w:val="center"/>
              <w:rPr>
                <w:rFonts w:hint="eastAsia" w:ascii="方正仿宋_GBK" w:hAnsi="方正仿宋_GBK" w:eastAsia="方正仿宋_GBK" w:cs="方正仿宋_GBK"/>
                <w:b/>
                <w:color w:val="000000"/>
                <w:sz w:val="16"/>
                <w:szCs w:val="16"/>
              </w:rPr>
            </w:pPr>
            <w:r>
              <w:rPr>
                <w:rFonts w:hint="eastAsia" w:ascii="方正仿宋_GBK" w:hAnsi="方正仿宋_GBK" w:eastAsia="方正仿宋_GBK" w:cs="方正仿宋_GBK"/>
                <w:b/>
                <w:color w:val="000000"/>
                <w:sz w:val="16"/>
                <w:szCs w:val="16"/>
              </w:rPr>
              <w:t>总计</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73B2A">
            <w:pPr>
              <w:keepNext w:val="0"/>
              <w:keepLines w:val="0"/>
              <w:pageBreakBefore w:val="0"/>
              <w:kinsoku/>
              <w:wordWrap w:val="0"/>
              <w:overflowPunct/>
              <w:topLinePunct w:val="0"/>
              <w:autoSpaceDN/>
              <w:bidi w:val="0"/>
              <w:spacing w:line="200" w:lineRule="exact"/>
              <w:ind w:firstLine="400"/>
              <w:jc w:val="right"/>
              <w:textAlignment w:val="center"/>
              <w:rPr>
                <w:rFonts w:hint="eastAsia"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3,212.63</w:t>
            </w:r>
          </w:p>
        </w:tc>
      </w:tr>
    </w:tbl>
    <w:p w14:paraId="371B272C">
      <w:pPr>
        <w:keepNext w:val="0"/>
        <w:keepLines w:val="0"/>
        <w:pageBreakBefore w:val="0"/>
        <w:kinsoku/>
        <w:overflowPunct/>
        <w:topLinePunct w:val="0"/>
        <w:autoSpaceDN/>
        <w:bidi w:val="0"/>
        <w:spacing w:line="240" w:lineRule="exact"/>
        <w:ind w:firstLine="400"/>
        <w:rPr>
          <w:rFonts w:hint="default" w:cs="宋体"/>
          <w:sz w:val="21"/>
          <w:szCs w:val="21"/>
        </w:rPr>
      </w:pPr>
      <w:r>
        <w:rPr>
          <w:rFonts w:hint="eastAsia" w:ascii="方正仿宋_GBK" w:hAnsi="方正仿宋_GBK" w:eastAsia="方正仿宋_GBK" w:cs="方正仿宋_GBK"/>
          <w:sz w:val="16"/>
          <w:szCs w:val="16"/>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969" w:type="pct"/>
        <w:tblInd w:w="0" w:type="dxa"/>
        <w:tblLayout w:type="fixed"/>
        <w:tblCellMar>
          <w:top w:w="0" w:type="dxa"/>
          <w:left w:w="0" w:type="dxa"/>
          <w:bottom w:w="0" w:type="dxa"/>
          <w:right w:w="0" w:type="dxa"/>
        </w:tblCellMar>
      </w:tblPr>
      <w:tblGrid>
        <w:gridCol w:w="1429"/>
        <w:gridCol w:w="3594"/>
        <w:gridCol w:w="1409"/>
        <w:gridCol w:w="1205"/>
        <w:gridCol w:w="995"/>
        <w:gridCol w:w="1436"/>
        <w:gridCol w:w="1460"/>
        <w:gridCol w:w="1293"/>
        <w:gridCol w:w="1349"/>
        <w:gridCol w:w="1058"/>
      </w:tblGrid>
      <w:tr w14:paraId="392869F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7BA8260">
            <w:pPr>
              <w:keepNext w:val="0"/>
              <w:keepLines w:val="0"/>
              <w:pageBreakBefore w:val="0"/>
              <w:kinsoku/>
              <w:overflowPunct/>
              <w:topLinePunct w:val="0"/>
              <w:autoSpaceDN/>
              <w:bidi w:val="0"/>
              <w:ind w:firstLine="643"/>
              <w:jc w:val="center"/>
              <w:textAlignment w:val="bottom"/>
              <w:rPr>
                <w:rFonts w:hint="default" w:cs="宋体"/>
                <w:b/>
                <w:color w:val="000000"/>
                <w:sz w:val="32"/>
                <w:szCs w:val="32"/>
              </w:rPr>
            </w:pPr>
            <w:r>
              <w:rPr>
                <w:rFonts w:cs="宋体"/>
                <w:b/>
                <w:color w:val="000000"/>
                <w:sz w:val="32"/>
                <w:szCs w:val="32"/>
              </w:rPr>
              <w:t>收入决算表</w:t>
            </w:r>
          </w:p>
        </w:tc>
      </w:tr>
      <w:tr w14:paraId="25A4E2AB">
        <w:tblPrEx>
          <w:tblCellMar>
            <w:top w:w="0" w:type="dxa"/>
            <w:left w:w="0" w:type="dxa"/>
            <w:bottom w:w="0" w:type="dxa"/>
            <w:right w:w="0" w:type="dxa"/>
          </w:tblCellMar>
        </w:tblPrEx>
        <w:trPr>
          <w:trHeight w:val="263" w:hRule="atLeast"/>
        </w:trPr>
        <w:tc>
          <w:tcPr>
            <w:tcW w:w="2111" w:type="pct"/>
            <w:gridSpan w:val="3"/>
            <w:vMerge w:val="restart"/>
            <w:tcBorders>
              <w:top w:val="nil"/>
              <w:left w:val="nil"/>
              <w:right w:val="nil"/>
            </w:tcBorders>
            <w:shd w:val="clear" w:color="auto" w:fill="auto"/>
            <w:noWrap/>
            <w:tcMar>
              <w:top w:w="15" w:type="dxa"/>
              <w:left w:w="15" w:type="dxa"/>
              <w:right w:w="15" w:type="dxa"/>
            </w:tcMar>
            <w:vAlign w:val="bottom"/>
          </w:tcPr>
          <w:p w14:paraId="5E767223">
            <w:pPr>
              <w:keepNext w:val="0"/>
              <w:keepLines w:val="0"/>
              <w:pageBreakBefore w:val="0"/>
              <w:kinsoku/>
              <w:overflowPunct/>
              <w:topLinePunct w:val="0"/>
              <w:autoSpaceDN/>
              <w:bidi w:val="0"/>
              <w:spacing w:line="280" w:lineRule="exact"/>
              <w:ind w:firstLine="400"/>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sz w:val="15"/>
                <w:szCs w:val="15"/>
              </w:rPr>
              <w:t>单位：重庆铁路小学</w:t>
            </w:r>
          </w:p>
        </w:tc>
        <w:tc>
          <w:tcPr>
            <w:tcW w:w="395" w:type="pct"/>
            <w:tcBorders>
              <w:top w:val="nil"/>
              <w:left w:val="nil"/>
              <w:bottom w:val="nil"/>
              <w:right w:val="nil"/>
            </w:tcBorders>
            <w:shd w:val="clear" w:color="auto" w:fill="auto"/>
            <w:noWrap/>
            <w:tcMar>
              <w:top w:w="15" w:type="dxa"/>
              <w:left w:w="15" w:type="dxa"/>
              <w:right w:w="15" w:type="dxa"/>
            </w:tcMar>
            <w:vAlign w:val="bottom"/>
          </w:tcPr>
          <w:p w14:paraId="01058C26">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326" w:type="pct"/>
            <w:tcBorders>
              <w:top w:val="nil"/>
              <w:left w:val="nil"/>
              <w:bottom w:val="nil"/>
              <w:right w:val="nil"/>
            </w:tcBorders>
            <w:shd w:val="clear" w:color="auto" w:fill="auto"/>
            <w:noWrap/>
            <w:tcMar>
              <w:top w:w="15" w:type="dxa"/>
              <w:left w:w="15" w:type="dxa"/>
              <w:right w:w="15" w:type="dxa"/>
            </w:tcMar>
            <w:vAlign w:val="bottom"/>
          </w:tcPr>
          <w:p w14:paraId="4CDE42B4">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05B1D660">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479" w:type="pct"/>
            <w:tcBorders>
              <w:top w:val="nil"/>
              <w:left w:val="nil"/>
              <w:bottom w:val="nil"/>
              <w:right w:val="nil"/>
            </w:tcBorders>
            <w:shd w:val="clear" w:color="auto" w:fill="auto"/>
            <w:noWrap/>
            <w:tcMar>
              <w:top w:w="15" w:type="dxa"/>
              <w:left w:w="15" w:type="dxa"/>
              <w:right w:w="15" w:type="dxa"/>
            </w:tcMar>
            <w:vAlign w:val="bottom"/>
          </w:tcPr>
          <w:p w14:paraId="1279DDCB">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683E8212">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442" w:type="pct"/>
            <w:tcBorders>
              <w:top w:val="nil"/>
              <w:left w:val="nil"/>
              <w:bottom w:val="nil"/>
              <w:right w:val="nil"/>
            </w:tcBorders>
            <w:shd w:val="clear" w:color="auto" w:fill="auto"/>
            <w:noWrap/>
            <w:tcMar>
              <w:top w:w="15" w:type="dxa"/>
              <w:left w:w="15" w:type="dxa"/>
              <w:right w:w="15" w:type="dxa"/>
            </w:tcMar>
            <w:vAlign w:val="bottom"/>
          </w:tcPr>
          <w:p w14:paraId="4110D7C3">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3E322AE8">
            <w:pPr>
              <w:keepNext w:val="0"/>
              <w:keepLines w:val="0"/>
              <w:pageBreakBefore w:val="0"/>
              <w:kinsoku/>
              <w:overflowPunct/>
              <w:topLinePunct w:val="0"/>
              <w:autoSpaceDN/>
              <w:bidi w:val="0"/>
              <w:spacing w:line="280" w:lineRule="exact"/>
              <w:jc w:val="both"/>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公开02表</w:t>
            </w:r>
          </w:p>
        </w:tc>
      </w:tr>
      <w:tr w14:paraId="5E192B58">
        <w:tblPrEx>
          <w:tblCellMar>
            <w:top w:w="0" w:type="dxa"/>
            <w:left w:w="0" w:type="dxa"/>
            <w:bottom w:w="0" w:type="dxa"/>
            <w:right w:w="0" w:type="dxa"/>
          </w:tblCellMar>
        </w:tblPrEx>
        <w:trPr>
          <w:trHeight w:val="321" w:hRule="atLeast"/>
        </w:trPr>
        <w:tc>
          <w:tcPr>
            <w:tcW w:w="2111" w:type="pct"/>
            <w:gridSpan w:val="3"/>
            <w:vMerge w:val="continue"/>
            <w:tcBorders>
              <w:left w:val="nil"/>
              <w:bottom w:val="nil"/>
              <w:right w:val="nil"/>
            </w:tcBorders>
            <w:shd w:val="clear" w:color="auto" w:fill="auto"/>
            <w:noWrap/>
            <w:tcMar>
              <w:top w:w="15" w:type="dxa"/>
              <w:left w:w="15" w:type="dxa"/>
              <w:right w:w="15" w:type="dxa"/>
            </w:tcMar>
            <w:vAlign w:val="bottom"/>
          </w:tcPr>
          <w:p w14:paraId="41989289">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395" w:type="pct"/>
            <w:tcBorders>
              <w:top w:val="nil"/>
              <w:left w:val="nil"/>
              <w:bottom w:val="nil"/>
              <w:right w:val="nil"/>
            </w:tcBorders>
            <w:shd w:val="clear" w:color="auto" w:fill="auto"/>
            <w:noWrap/>
            <w:tcMar>
              <w:top w:w="15" w:type="dxa"/>
              <w:left w:w="15" w:type="dxa"/>
              <w:right w:w="15" w:type="dxa"/>
            </w:tcMar>
            <w:vAlign w:val="bottom"/>
          </w:tcPr>
          <w:p w14:paraId="153A7880">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326" w:type="pct"/>
            <w:tcBorders>
              <w:top w:val="nil"/>
              <w:left w:val="nil"/>
              <w:bottom w:val="nil"/>
              <w:right w:val="nil"/>
            </w:tcBorders>
            <w:shd w:val="clear" w:color="auto" w:fill="auto"/>
            <w:noWrap/>
            <w:tcMar>
              <w:top w:w="15" w:type="dxa"/>
              <w:left w:w="15" w:type="dxa"/>
              <w:right w:w="15" w:type="dxa"/>
            </w:tcMar>
            <w:vAlign w:val="bottom"/>
          </w:tcPr>
          <w:p w14:paraId="7F2D7B19">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0ED85B8E">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479" w:type="pct"/>
            <w:tcBorders>
              <w:top w:val="nil"/>
              <w:left w:val="nil"/>
              <w:bottom w:val="nil"/>
              <w:right w:val="nil"/>
            </w:tcBorders>
            <w:shd w:val="clear" w:color="auto" w:fill="auto"/>
            <w:noWrap/>
            <w:tcMar>
              <w:top w:w="15" w:type="dxa"/>
              <w:left w:w="15" w:type="dxa"/>
              <w:right w:w="15" w:type="dxa"/>
            </w:tcMar>
            <w:vAlign w:val="bottom"/>
          </w:tcPr>
          <w:p w14:paraId="1D3D189A">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4BE58065">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442" w:type="pct"/>
            <w:tcBorders>
              <w:top w:val="nil"/>
              <w:left w:val="nil"/>
              <w:bottom w:val="nil"/>
              <w:right w:val="nil"/>
            </w:tcBorders>
            <w:shd w:val="clear" w:color="auto" w:fill="auto"/>
            <w:noWrap/>
            <w:tcMar>
              <w:top w:w="15" w:type="dxa"/>
              <w:left w:w="15" w:type="dxa"/>
              <w:right w:w="15" w:type="dxa"/>
            </w:tcMar>
            <w:vAlign w:val="bottom"/>
          </w:tcPr>
          <w:p w14:paraId="3E7B823A">
            <w:pPr>
              <w:keepNext w:val="0"/>
              <w:keepLines w:val="0"/>
              <w:pageBreakBefore w:val="0"/>
              <w:kinsoku/>
              <w:overflowPunct/>
              <w:topLinePunct w:val="0"/>
              <w:autoSpaceDN/>
              <w:bidi w:val="0"/>
              <w:ind w:firstLine="400"/>
              <w:rPr>
                <w:rFonts w:hint="eastAsia" w:ascii="方正仿宋_GBK" w:hAnsi="方正仿宋_GBK" w:eastAsia="方正仿宋_GBK" w:cs="方正仿宋_GBK"/>
                <w:color w:val="000000"/>
                <w:sz w:val="15"/>
                <w:szCs w:val="15"/>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233FB540">
            <w:pPr>
              <w:keepNext w:val="0"/>
              <w:keepLines w:val="0"/>
              <w:pageBreakBefore w:val="0"/>
              <w:kinsoku/>
              <w:overflowPunct/>
              <w:topLinePunct w:val="0"/>
              <w:autoSpaceDN/>
              <w:bidi w:val="0"/>
              <w:spacing w:line="280" w:lineRule="exact"/>
              <w:jc w:val="both"/>
              <w:textAlignment w:val="bottom"/>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单位：</w:t>
            </w:r>
            <w:r>
              <w:rPr>
                <w:rFonts w:hint="eastAsia" w:asciiTheme="minorEastAsia" w:hAnsiTheme="minorEastAsia" w:eastAsiaTheme="minorEastAsia" w:cstheme="minorEastAsia"/>
                <w:sz w:val="18"/>
                <w:szCs w:val="18"/>
              </w:rPr>
              <w:t>万元</w:t>
            </w:r>
          </w:p>
        </w:tc>
      </w:tr>
      <w:tr w14:paraId="52208F1E">
        <w:tblPrEx>
          <w:tblCellMar>
            <w:top w:w="0" w:type="dxa"/>
            <w:left w:w="0" w:type="dxa"/>
            <w:bottom w:w="0" w:type="dxa"/>
            <w:right w:w="0" w:type="dxa"/>
          </w:tblCellMar>
        </w:tblPrEx>
        <w:trPr>
          <w:trHeight w:val="431" w:hRule="atLeast"/>
        </w:trPr>
        <w:tc>
          <w:tcPr>
            <w:tcW w:w="164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6A0B9AC">
            <w:pPr>
              <w:keepNext w:val="0"/>
              <w:keepLines w:val="0"/>
              <w:pageBreakBefore w:val="0"/>
              <w:kinsoku/>
              <w:overflowPunct/>
              <w:topLinePunct w:val="0"/>
              <w:autoSpaceDN/>
              <w:bidi w:val="0"/>
              <w:ind w:firstLine="402"/>
              <w:jc w:val="center"/>
              <w:textAlignment w:val="bottom"/>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项目</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A1C5">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本年收入合计</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FBCE">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财政拨款收入</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BD44">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上级补助收入</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26B2B7">
            <w:pPr>
              <w:keepNext w:val="0"/>
              <w:keepLines w:val="0"/>
              <w:pageBreakBefore w:val="0"/>
              <w:kinsoku/>
              <w:overflowPunct/>
              <w:topLinePunct w:val="0"/>
              <w:autoSpaceDN/>
              <w:bidi w:val="0"/>
              <w:ind w:firstLine="402"/>
              <w:jc w:val="center"/>
              <w:textAlignment w:val="bottom"/>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事业收入</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30E97">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经营收入</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9737">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附属单位上缴收入</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E317">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其他收入</w:t>
            </w:r>
          </w:p>
        </w:tc>
      </w:tr>
      <w:tr w14:paraId="361C50D1">
        <w:tblPrEx>
          <w:tblCellMar>
            <w:top w:w="0" w:type="dxa"/>
            <w:left w:w="0" w:type="dxa"/>
            <w:bottom w:w="0" w:type="dxa"/>
            <w:right w:w="0" w:type="dxa"/>
          </w:tblCellMar>
        </w:tblPrEx>
        <w:trPr>
          <w:trHeight w:val="334" w:hRule="atLeast"/>
        </w:trPr>
        <w:tc>
          <w:tcPr>
            <w:tcW w:w="46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60B8">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功能分类科目编码</w:t>
            </w:r>
          </w:p>
        </w:tc>
        <w:tc>
          <w:tcPr>
            <w:tcW w:w="118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CCE4A96">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项目（按“项”级功能分类科目）</w:t>
            </w: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2ADE">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6056">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AD57">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3C43C">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小计</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C25A3">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其中：教育收费</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B104">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8EEB">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8424">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r>
      <w:tr w14:paraId="2A73E7F3">
        <w:tblPrEx>
          <w:tblCellMar>
            <w:top w:w="0" w:type="dxa"/>
            <w:left w:w="0" w:type="dxa"/>
            <w:bottom w:w="0" w:type="dxa"/>
            <w:right w:w="0" w:type="dxa"/>
          </w:tblCellMar>
        </w:tblPrEx>
        <w:trPr>
          <w:trHeight w:val="334" w:hRule="atLeast"/>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1F97">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118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A9D081">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0A706">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79EE">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676C1">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6950C">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930D">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1B37">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CE05">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62C6">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r>
      <w:tr w14:paraId="561D24A9">
        <w:tblPrEx>
          <w:tblCellMar>
            <w:top w:w="0" w:type="dxa"/>
            <w:left w:w="0" w:type="dxa"/>
            <w:bottom w:w="0" w:type="dxa"/>
            <w:right w:w="0" w:type="dxa"/>
          </w:tblCellMar>
        </w:tblPrEx>
        <w:trPr>
          <w:trHeight w:val="334" w:hRule="atLeast"/>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1A96">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118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86C702">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5B63">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BFA2">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5515">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FF69">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57DB">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3804">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A18F">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B5F5">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r>
      <w:tr w14:paraId="03F7E543">
        <w:tblPrEx>
          <w:tblCellMar>
            <w:top w:w="0" w:type="dxa"/>
            <w:left w:w="0" w:type="dxa"/>
            <w:bottom w:w="0" w:type="dxa"/>
            <w:right w:w="0" w:type="dxa"/>
          </w:tblCellMar>
        </w:tblPrEx>
        <w:trPr>
          <w:trHeight w:val="312" w:hRule="atLeast"/>
        </w:trPr>
        <w:tc>
          <w:tcPr>
            <w:tcW w:w="46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4B20">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118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92DB66">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AA8D">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BC8B">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C165">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E934">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3B7F">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352E">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E879">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73DBA">
            <w:pPr>
              <w:keepNext w:val="0"/>
              <w:keepLines w:val="0"/>
              <w:pageBreakBefore w:val="0"/>
              <w:kinsoku/>
              <w:overflowPunct/>
              <w:topLinePunct w:val="0"/>
              <w:autoSpaceDN/>
              <w:bidi w:val="0"/>
              <w:ind w:firstLine="402"/>
              <w:jc w:val="center"/>
              <w:rPr>
                <w:rFonts w:hint="eastAsia" w:ascii="方正仿宋_GBK" w:hAnsi="方正仿宋_GBK" w:eastAsia="方正仿宋_GBK" w:cs="方正仿宋_GBK"/>
                <w:b/>
                <w:color w:val="000000"/>
                <w:sz w:val="15"/>
                <w:szCs w:val="15"/>
              </w:rPr>
            </w:pPr>
          </w:p>
        </w:tc>
      </w:tr>
      <w:tr w14:paraId="18300924">
        <w:tblPrEx>
          <w:tblCellMar>
            <w:top w:w="0" w:type="dxa"/>
            <w:left w:w="0" w:type="dxa"/>
            <w:bottom w:w="0" w:type="dxa"/>
            <w:right w:w="0" w:type="dxa"/>
          </w:tblCellMar>
        </w:tblPrEx>
        <w:trPr>
          <w:trHeight w:val="249" w:hRule="exact"/>
        </w:trPr>
        <w:tc>
          <w:tcPr>
            <w:tcW w:w="16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E2E7">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合计</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78E29">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3,212.63</w:t>
            </w:r>
          </w:p>
        </w:tc>
        <w:tc>
          <w:tcPr>
            <w:tcW w:w="3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975C">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3,152.71</w:t>
            </w:r>
          </w:p>
        </w:tc>
        <w:tc>
          <w:tcPr>
            <w:tcW w:w="3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C5D7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0.00</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99AA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59.92</w:t>
            </w:r>
          </w:p>
        </w:tc>
        <w:tc>
          <w:tcPr>
            <w:tcW w:w="4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EFA5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59.92</w:t>
            </w:r>
          </w:p>
        </w:tc>
        <w:tc>
          <w:tcPr>
            <w:tcW w:w="4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7D219">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0.00</w:t>
            </w: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3DCC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0.00</w:t>
            </w:r>
          </w:p>
        </w:tc>
        <w:tc>
          <w:tcPr>
            <w:tcW w:w="3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9940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0.00</w:t>
            </w:r>
          </w:p>
        </w:tc>
      </w:tr>
      <w:tr w14:paraId="6E191237">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5996">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205</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891D">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教育支出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EB2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2,631.13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64A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2,571.21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3B13">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FF6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59.92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C2E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59.92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DF2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D77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FDD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05A99BA2">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B945">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20502</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C7E7B">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普通教育</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1C8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2,631.13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845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2,571.21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FB7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7DC9">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59.92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708B">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59.92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6D4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E12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6CA3">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03C5D5AF">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5756">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2050201</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77501">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学前教育</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7D61">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126.09</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6E02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69.18</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4A4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674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56.92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CE6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56.92</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4DC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085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AFDF">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46C07A91">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529F">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2050202</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57282">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小学教育</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A96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2,505.03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063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2,502.03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93E4">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943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6AD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1BF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6BA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2502">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40F6C086">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F965">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208</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E8709">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社会保障和就业支出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3AF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298.13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CF4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298.13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9D7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29A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F21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0ADB">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527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8AE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0BEB80E2">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BC61">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20805</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BBE10">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行政事业单位养老支出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4A1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269.32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81B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269.32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EF9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6BB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69B3">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D05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85E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F45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2E796E04">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238F">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2080505</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D0D67">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机关事业单位基本养老保险缴费支出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E3D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162.46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642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162.46</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1D1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491">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24C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681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21F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7C0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48A47660">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55E4">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2080506</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B56A">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机关事业单位职业年金缴费支出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7614">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89.86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BD8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89.86</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8D5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D2A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D8A4">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E25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30D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B75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41F78924">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29EC">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2080599</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B35E5">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其他行政事业单位养老支出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995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17.00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525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17.00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8701">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226F">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B37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F6CF">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327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2C8A">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6FA6FC3A">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1034">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20808</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8AD5">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抚恤</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F57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28.81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487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28.81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071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063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738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CC1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BA1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C46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6E516DA0">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3D58">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2080801</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57F9">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死亡抚恤</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C0C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28.81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4E0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28.81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C01C">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5A9E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7B9C">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BE0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E34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B32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623D499F">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9580">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210</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2B71">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卫生健康支出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3CA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126.20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D21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126.20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C80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7DE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D9D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164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2BC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9163">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281A55E8">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3D9D">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21011</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9C9B">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行政事业单位医疗</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C7B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126.20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966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126.20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3FA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50D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6FF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25BC">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7B8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E3C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7FDA8543">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6340">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2101102</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24A0B">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事业单位医疗</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5FE4">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75.38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63C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75.38</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9AB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2F8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68D0">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E48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F221">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ADF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0E9C4F7E">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65CE">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2101199</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98373">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其他行政事业单位医疗支出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B71C">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50.82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68F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50.82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A39F">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E71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955A">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622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594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A99A">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0F017535">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4062">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221</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CBE80">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住房保障支出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189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155.17</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BF8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155.17</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B535">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6715">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464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EDB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F3F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9DF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1997001D">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2462">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22102</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28AEF">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住房改革支出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C9AC">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155.17</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6C9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155.17</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34B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8E4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F0F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1B6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0DB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1FE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4F86F963">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184C">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2210201</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0B8E">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住房公积金</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084C">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143.38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30E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143.38</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4AAA">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248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9DB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481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211A">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A342">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7E07F5D5">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1FB6">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2210203</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F4D4D">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购房补贴</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680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11.79</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95EA">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11.79</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E7A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F3F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4610">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ACE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F2A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0D1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6287B510">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DB5A">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229</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1BF9F">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其他支出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0BE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9DC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38A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21D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D22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F47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892B">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0DD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5E4CA793">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1D5A">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22960</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4C6CF">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彩票公益金安排的支出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C71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B48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3E5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4CC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43B5">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79A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E21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982B">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4B7621A7">
        <w:tblPrEx>
          <w:tblCellMar>
            <w:top w:w="0" w:type="dxa"/>
            <w:left w:w="0" w:type="dxa"/>
            <w:bottom w:w="0" w:type="dxa"/>
            <w:right w:w="0" w:type="dxa"/>
          </w:tblCellMar>
        </w:tblPrEx>
        <w:trPr>
          <w:trHeight w:val="249" w:hRule="exac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9948">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2296004</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621B1">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用于教育事业的彩票公益金支出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688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EC1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21A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8BD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88F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1084">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9F5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FBD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bl>
    <w:p w14:paraId="2F47B2FB">
      <w:pPr>
        <w:keepNext w:val="0"/>
        <w:keepLines w:val="0"/>
        <w:pageBreakBefore w:val="0"/>
        <w:kinsoku/>
        <w:overflowPunct/>
        <w:topLinePunct w:val="0"/>
        <w:autoSpaceDN/>
        <w:bidi w:val="0"/>
        <w:ind w:left="794" w:leftChars="124" w:hanging="496" w:hangingChars="331"/>
        <w:rPr>
          <w:rFonts w:hint="default" w:cs="宋体"/>
          <w:sz w:val="20"/>
          <w:szCs w:val="20"/>
        </w:rPr>
      </w:pPr>
      <w:r>
        <w:rPr>
          <w:rFonts w:hint="eastAsia" w:ascii="方正仿宋_GBK" w:hAnsi="方正仿宋_GBK" w:eastAsia="方正仿宋_GBK" w:cs="方正仿宋_GBK"/>
          <w:sz w:val="15"/>
          <w:szCs w:val="15"/>
        </w:rPr>
        <w:t>备注：1.本表反映单位本年度取得的各项收入情况。</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2.本套报表金额单位转换时可能存在尾数误差。</w:t>
      </w:r>
      <w:r>
        <w:rPr>
          <w:rFonts w:hint="eastAsia" w:ascii="方正仿宋_GBK" w:hAnsi="方正仿宋_GBK" w:eastAsia="方正仿宋_GBK" w:cs="方正仿宋_GBK"/>
          <w:sz w:val="15"/>
          <w:szCs w:val="15"/>
        </w:rPr>
        <w:br w:type="textWrapping"/>
      </w:r>
    </w:p>
    <w:tbl>
      <w:tblPr>
        <w:tblStyle w:val="10"/>
        <w:tblW w:w="4947" w:type="pct"/>
        <w:tblInd w:w="0" w:type="dxa"/>
        <w:tblLayout w:type="fixed"/>
        <w:tblCellMar>
          <w:top w:w="0" w:type="dxa"/>
          <w:left w:w="0" w:type="dxa"/>
          <w:bottom w:w="0" w:type="dxa"/>
          <w:right w:w="0" w:type="dxa"/>
        </w:tblCellMar>
      </w:tblPr>
      <w:tblGrid>
        <w:gridCol w:w="1895"/>
        <w:gridCol w:w="3037"/>
        <w:gridCol w:w="1421"/>
        <w:gridCol w:w="1750"/>
        <w:gridCol w:w="1852"/>
        <w:gridCol w:w="1864"/>
        <w:gridCol w:w="1446"/>
        <w:gridCol w:w="1895"/>
      </w:tblGrid>
      <w:tr w14:paraId="55AAB5E3">
        <w:tblPrEx>
          <w:tblCellMar>
            <w:top w:w="0" w:type="dxa"/>
            <w:left w:w="0" w:type="dxa"/>
            <w:bottom w:w="0" w:type="dxa"/>
            <w:right w:w="0" w:type="dxa"/>
          </w:tblCellMar>
        </w:tblPrEx>
        <w:trPr>
          <w:trHeight w:val="654" w:hRule="atLeast"/>
        </w:trPr>
        <w:tc>
          <w:tcPr>
            <w:tcW w:w="15160" w:type="dxa"/>
            <w:gridSpan w:val="8"/>
            <w:tcBorders>
              <w:top w:val="nil"/>
              <w:left w:val="nil"/>
              <w:bottom w:val="nil"/>
              <w:right w:val="nil"/>
            </w:tcBorders>
            <w:shd w:val="clear" w:color="auto" w:fill="auto"/>
            <w:noWrap/>
            <w:tcMar>
              <w:top w:w="15" w:type="dxa"/>
              <w:left w:w="15" w:type="dxa"/>
              <w:right w:w="15" w:type="dxa"/>
            </w:tcMar>
            <w:vAlign w:val="bottom"/>
          </w:tcPr>
          <w:p w14:paraId="4608D768">
            <w:pPr>
              <w:keepNext w:val="0"/>
              <w:keepLines w:val="0"/>
              <w:pageBreakBefore w:val="0"/>
              <w:kinsoku/>
              <w:overflowPunct/>
              <w:topLinePunct w:val="0"/>
              <w:autoSpaceDN/>
              <w:bidi w:val="0"/>
              <w:ind w:firstLine="643"/>
              <w:jc w:val="center"/>
              <w:textAlignment w:val="bottom"/>
              <w:rPr>
                <w:rFonts w:cs="宋体"/>
                <w:b/>
                <w:color w:val="000000"/>
                <w:sz w:val="32"/>
                <w:szCs w:val="32"/>
              </w:rPr>
            </w:pPr>
          </w:p>
          <w:p w14:paraId="6CAA206C">
            <w:pPr>
              <w:keepNext w:val="0"/>
              <w:keepLines w:val="0"/>
              <w:pageBreakBefore w:val="0"/>
              <w:kinsoku/>
              <w:overflowPunct/>
              <w:topLinePunct w:val="0"/>
              <w:autoSpaceDN/>
              <w:bidi w:val="0"/>
              <w:ind w:firstLine="643"/>
              <w:jc w:val="center"/>
              <w:textAlignment w:val="bottom"/>
              <w:rPr>
                <w:rFonts w:hint="default" w:cs="宋体"/>
                <w:b/>
                <w:color w:val="000000"/>
                <w:sz w:val="32"/>
                <w:szCs w:val="32"/>
              </w:rPr>
            </w:pPr>
            <w:r>
              <w:rPr>
                <w:rFonts w:cs="宋体"/>
                <w:b/>
                <w:color w:val="000000"/>
                <w:sz w:val="32"/>
                <w:szCs w:val="32"/>
              </w:rPr>
              <w:t>支出决算表</w:t>
            </w:r>
          </w:p>
        </w:tc>
      </w:tr>
      <w:tr w14:paraId="393EEB20">
        <w:tblPrEx>
          <w:tblCellMar>
            <w:top w:w="0" w:type="dxa"/>
            <w:left w:w="0" w:type="dxa"/>
            <w:bottom w:w="0" w:type="dxa"/>
            <w:right w:w="0" w:type="dxa"/>
          </w:tblCellMar>
        </w:tblPrEx>
        <w:trPr>
          <w:trHeight w:val="342" w:hRule="atLeast"/>
        </w:trPr>
        <w:tc>
          <w:tcPr>
            <w:tcW w:w="6353" w:type="dxa"/>
            <w:gridSpan w:val="3"/>
            <w:vMerge w:val="restart"/>
            <w:tcBorders>
              <w:top w:val="nil"/>
              <w:left w:val="nil"/>
              <w:right w:val="nil"/>
            </w:tcBorders>
            <w:shd w:val="clear" w:color="auto" w:fill="auto"/>
            <w:noWrap/>
            <w:tcMar>
              <w:top w:w="15" w:type="dxa"/>
              <w:left w:w="15" w:type="dxa"/>
              <w:right w:w="15" w:type="dxa"/>
            </w:tcMar>
            <w:vAlign w:val="bottom"/>
          </w:tcPr>
          <w:p w14:paraId="1110999D">
            <w:pPr>
              <w:keepNext w:val="0"/>
              <w:keepLines w:val="0"/>
              <w:pageBreakBefore w:val="0"/>
              <w:kinsoku/>
              <w:overflowPunct/>
              <w:topLinePunct w:val="0"/>
              <w:autoSpaceDN/>
              <w:bidi w:val="0"/>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重庆铁路小学</w:t>
            </w:r>
          </w:p>
        </w:tc>
        <w:tc>
          <w:tcPr>
            <w:tcW w:w="1750" w:type="dxa"/>
            <w:tcBorders>
              <w:top w:val="nil"/>
              <w:left w:val="nil"/>
              <w:bottom w:val="nil"/>
              <w:right w:val="nil"/>
            </w:tcBorders>
            <w:shd w:val="clear" w:color="auto" w:fill="auto"/>
            <w:noWrap/>
            <w:tcMar>
              <w:top w:w="15" w:type="dxa"/>
              <w:left w:w="15" w:type="dxa"/>
              <w:right w:w="15" w:type="dxa"/>
            </w:tcMar>
            <w:vAlign w:val="bottom"/>
          </w:tcPr>
          <w:p w14:paraId="44E1CED6">
            <w:pPr>
              <w:keepNext w:val="0"/>
              <w:keepLines w:val="0"/>
              <w:pageBreakBefore w:val="0"/>
              <w:kinsoku/>
              <w:overflowPunct/>
              <w:topLinePunct w:val="0"/>
              <w:autoSpaceDN/>
              <w:bidi w:val="0"/>
              <w:ind w:firstLine="400"/>
              <w:rPr>
                <w:rFonts w:hint="default" w:cs="宋体"/>
                <w:color w:val="000000"/>
                <w:sz w:val="20"/>
                <w:szCs w:val="20"/>
              </w:rPr>
            </w:pPr>
          </w:p>
        </w:tc>
        <w:tc>
          <w:tcPr>
            <w:tcW w:w="1852" w:type="dxa"/>
            <w:tcBorders>
              <w:top w:val="nil"/>
              <w:left w:val="nil"/>
              <w:bottom w:val="nil"/>
              <w:right w:val="nil"/>
            </w:tcBorders>
            <w:shd w:val="clear" w:color="auto" w:fill="auto"/>
            <w:noWrap/>
            <w:tcMar>
              <w:top w:w="15" w:type="dxa"/>
              <w:left w:w="15" w:type="dxa"/>
              <w:right w:w="15" w:type="dxa"/>
            </w:tcMar>
            <w:vAlign w:val="bottom"/>
          </w:tcPr>
          <w:p w14:paraId="25C8C76D">
            <w:pPr>
              <w:keepNext w:val="0"/>
              <w:keepLines w:val="0"/>
              <w:pageBreakBefore w:val="0"/>
              <w:kinsoku/>
              <w:overflowPunct/>
              <w:topLinePunct w:val="0"/>
              <w:autoSpaceDN/>
              <w:bidi w:val="0"/>
              <w:ind w:firstLine="400"/>
              <w:rPr>
                <w:rFonts w:hint="default" w:cs="宋体"/>
                <w:color w:val="000000"/>
                <w:sz w:val="20"/>
                <w:szCs w:val="20"/>
              </w:rPr>
            </w:pPr>
          </w:p>
        </w:tc>
        <w:tc>
          <w:tcPr>
            <w:tcW w:w="1864" w:type="dxa"/>
            <w:tcBorders>
              <w:top w:val="nil"/>
              <w:left w:val="nil"/>
              <w:bottom w:val="nil"/>
              <w:right w:val="nil"/>
            </w:tcBorders>
            <w:shd w:val="clear" w:color="auto" w:fill="auto"/>
            <w:noWrap/>
            <w:tcMar>
              <w:top w:w="15" w:type="dxa"/>
              <w:left w:w="15" w:type="dxa"/>
              <w:right w:w="15" w:type="dxa"/>
            </w:tcMar>
            <w:vAlign w:val="bottom"/>
          </w:tcPr>
          <w:p w14:paraId="229778B7">
            <w:pPr>
              <w:keepNext w:val="0"/>
              <w:keepLines w:val="0"/>
              <w:pageBreakBefore w:val="0"/>
              <w:kinsoku/>
              <w:overflowPunct/>
              <w:topLinePunct w:val="0"/>
              <w:autoSpaceDN/>
              <w:bidi w:val="0"/>
              <w:ind w:firstLine="400"/>
              <w:rPr>
                <w:rFonts w:hint="default" w:cs="宋体"/>
                <w:color w:val="000000"/>
                <w:sz w:val="20"/>
                <w:szCs w:val="20"/>
              </w:rPr>
            </w:pPr>
          </w:p>
        </w:tc>
        <w:tc>
          <w:tcPr>
            <w:tcW w:w="1446" w:type="dxa"/>
            <w:tcBorders>
              <w:top w:val="nil"/>
              <w:left w:val="nil"/>
              <w:bottom w:val="nil"/>
              <w:right w:val="nil"/>
            </w:tcBorders>
            <w:shd w:val="clear" w:color="auto" w:fill="auto"/>
            <w:noWrap/>
            <w:tcMar>
              <w:top w:w="15" w:type="dxa"/>
              <w:left w:w="15" w:type="dxa"/>
              <w:right w:w="15" w:type="dxa"/>
            </w:tcMar>
            <w:vAlign w:val="bottom"/>
          </w:tcPr>
          <w:p w14:paraId="27FECF56">
            <w:pPr>
              <w:keepNext w:val="0"/>
              <w:keepLines w:val="0"/>
              <w:pageBreakBefore w:val="0"/>
              <w:kinsoku/>
              <w:overflowPunct/>
              <w:topLinePunct w:val="0"/>
              <w:autoSpaceDN/>
              <w:bidi w:val="0"/>
              <w:ind w:firstLine="400"/>
              <w:rPr>
                <w:rFonts w:hint="default" w:cs="宋体"/>
                <w:color w:val="000000"/>
                <w:sz w:val="20"/>
                <w:szCs w:val="20"/>
              </w:rPr>
            </w:pPr>
          </w:p>
        </w:tc>
        <w:tc>
          <w:tcPr>
            <w:tcW w:w="1895" w:type="dxa"/>
            <w:tcBorders>
              <w:top w:val="nil"/>
              <w:left w:val="nil"/>
              <w:bottom w:val="nil"/>
              <w:right w:val="nil"/>
            </w:tcBorders>
            <w:shd w:val="clear" w:color="auto" w:fill="auto"/>
            <w:noWrap/>
            <w:tcMar>
              <w:top w:w="15" w:type="dxa"/>
              <w:left w:w="15" w:type="dxa"/>
              <w:right w:w="15" w:type="dxa"/>
            </w:tcMar>
            <w:vAlign w:val="bottom"/>
          </w:tcPr>
          <w:p w14:paraId="7564DB53">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DF493CA">
        <w:tblPrEx>
          <w:tblCellMar>
            <w:top w:w="0" w:type="dxa"/>
            <w:left w:w="0" w:type="dxa"/>
            <w:bottom w:w="0" w:type="dxa"/>
            <w:right w:w="0" w:type="dxa"/>
          </w:tblCellMar>
        </w:tblPrEx>
        <w:trPr>
          <w:trHeight w:val="342" w:hRule="atLeast"/>
        </w:trPr>
        <w:tc>
          <w:tcPr>
            <w:tcW w:w="6353" w:type="dxa"/>
            <w:gridSpan w:val="3"/>
            <w:vMerge w:val="continue"/>
            <w:tcBorders>
              <w:left w:val="nil"/>
              <w:bottom w:val="nil"/>
              <w:right w:val="nil"/>
            </w:tcBorders>
            <w:shd w:val="clear" w:color="auto" w:fill="auto"/>
            <w:noWrap/>
            <w:tcMar>
              <w:top w:w="15" w:type="dxa"/>
              <w:left w:w="15" w:type="dxa"/>
              <w:right w:w="15" w:type="dxa"/>
            </w:tcMar>
            <w:vAlign w:val="bottom"/>
          </w:tcPr>
          <w:p w14:paraId="3DCEFAB9">
            <w:pPr>
              <w:keepNext w:val="0"/>
              <w:keepLines w:val="0"/>
              <w:pageBreakBefore w:val="0"/>
              <w:kinsoku/>
              <w:overflowPunct/>
              <w:topLinePunct w:val="0"/>
              <w:autoSpaceDN/>
              <w:bidi w:val="0"/>
              <w:ind w:firstLine="400"/>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14:paraId="48756BB7">
            <w:pPr>
              <w:keepNext w:val="0"/>
              <w:keepLines w:val="0"/>
              <w:pageBreakBefore w:val="0"/>
              <w:kinsoku/>
              <w:overflowPunct/>
              <w:topLinePunct w:val="0"/>
              <w:autoSpaceDN/>
              <w:bidi w:val="0"/>
              <w:ind w:firstLine="400"/>
              <w:rPr>
                <w:rFonts w:hint="default" w:cs="宋体"/>
                <w:color w:val="000000"/>
                <w:sz w:val="20"/>
                <w:szCs w:val="20"/>
              </w:rPr>
            </w:pPr>
          </w:p>
        </w:tc>
        <w:tc>
          <w:tcPr>
            <w:tcW w:w="1852" w:type="dxa"/>
            <w:tcBorders>
              <w:top w:val="nil"/>
              <w:left w:val="nil"/>
              <w:bottom w:val="nil"/>
              <w:right w:val="nil"/>
            </w:tcBorders>
            <w:shd w:val="clear" w:color="auto" w:fill="auto"/>
            <w:noWrap/>
            <w:tcMar>
              <w:top w:w="15" w:type="dxa"/>
              <w:left w:w="15" w:type="dxa"/>
              <w:right w:w="15" w:type="dxa"/>
            </w:tcMar>
            <w:vAlign w:val="bottom"/>
          </w:tcPr>
          <w:p w14:paraId="5BB22385">
            <w:pPr>
              <w:keepNext w:val="0"/>
              <w:keepLines w:val="0"/>
              <w:pageBreakBefore w:val="0"/>
              <w:kinsoku/>
              <w:overflowPunct/>
              <w:topLinePunct w:val="0"/>
              <w:autoSpaceDN/>
              <w:bidi w:val="0"/>
              <w:ind w:firstLine="400"/>
              <w:rPr>
                <w:rFonts w:hint="default" w:cs="宋体"/>
                <w:color w:val="000000"/>
                <w:sz w:val="20"/>
                <w:szCs w:val="20"/>
              </w:rPr>
            </w:pPr>
          </w:p>
        </w:tc>
        <w:tc>
          <w:tcPr>
            <w:tcW w:w="1864" w:type="dxa"/>
            <w:tcBorders>
              <w:top w:val="nil"/>
              <w:left w:val="nil"/>
              <w:bottom w:val="nil"/>
              <w:right w:val="nil"/>
            </w:tcBorders>
            <w:shd w:val="clear" w:color="auto" w:fill="auto"/>
            <w:noWrap/>
            <w:tcMar>
              <w:top w:w="15" w:type="dxa"/>
              <w:left w:w="15" w:type="dxa"/>
              <w:right w:w="15" w:type="dxa"/>
            </w:tcMar>
            <w:vAlign w:val="bottom"/>
          </w:tcPr>
          <w:p w14:paraId="5C098F90">
            <w:pPr>
              <w:keepNext w:val="0"/>
              <w:keepLines w:val="0"/>
              <w:pageBreakBefore w:val="0"/>
              <w:kinsoku/>
              <w:overflowPunct/>
              <w:topLinePunct w:val="0"/>
              <w:autoSpaceDN/>
              <w:bidi w:val="0"/>
              <w:ind w:firstLine="400"/>
              <w:rPr>
                <w:rFonts w:hint="default" w:cs="宋体"/>
                <w:color w:val="000000"/>
                <w:sz w:val="20"/>
                <w:szCs w:val="20"/>
              </w:rPr>
            </w:pPr>
          </w:p>
        </w:tc>
        <w:tc>
          <w:tcPr>
            <w:tcW w:w="1446" w:type="dxa"/>
            <w:tcBorders>
              <w:top w:val="nil"/>
              <w:left w:val="nil"/>
              <w:bottom w:val="nil"/>
              <w:right w:val="nil"/>
            </w:tcBorders>
            <w:shd w:val="clear" w:color="auto" w:fill="auto"/>
            <w:noWrap/>
            <w:tcMar>
              <w:top w:w="15" w:type="dxa"/>
              <w:left w:w="15" w:type="dxa"/>
              <w:right w:w="15" w:type="dxa"/>
            </w:tcMar>
            <w:vAlign w:val="bottom"/>
          </w:tcPr>
          <w:p w14:paraId="75D576E1">
            <w:pPr>
              <w:keepNext w:val="0"/>
              <w:keepLines w:val="0"/>
              <w:pageBreakBefore w:val="0"/>
              <w:kinsoku/>
              <w:overflowPunct/>
              <w:topLinePunct w:val="0"/>
              <w:autoSpaceDN/>
              <w:bidi w:val="0"/>
              <w:ind w:firstLine="400"/>
              <w:rPr>
                <w:rFonts w:hint="default" w:cs="宋体"/>
                <w:color w:val="000000"/>
                <w:sz w:val="20"/>
                <w:szCs w:val="20"/>
              </w:rPr>
            </w:pPr>
          </w:p>
        </w:tc>
        <w:tc>
          <w:tcPr>
            <w:tcW w:w="1895" w:type="dxa"/>
            <w:tcBorders>
              <w:top w:val="nil"/>
              <w:left w:val="nil"/>
              <w:bottom w:val="nil"/>
              <w:right w:val="nil"/>
            </w:tcBorders>
            <w:shd w:val="clear" w:color="auto" w:fill="auto"/>
            <w:noWrap/>
            <w:tcMar>
              <w:top w:w="15" w:type="dxa"/>
              <w:left w:w="15" w:type="dxa"/>
              <w:right w:w="15" w:type="dxa"/>
            </w:tcMar>
            <w:vAlign w:val="bottom"/>
          </w:tcPr>
          <w:p w14:paraId="193E8157">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193F84">
        <w:tblPrEx>
          <w:tblCellMar>
            <w:top w:w="0" w:type="dxa"/>
            <w:left w:w="0" w:type="dxa"/>
            <w:bottom w:w="0" w:type="dxa"/>
            <w:right w:w="0" w:type="dxa"/>
          </w:tblCellMar>
        </w:tblPrEx>
        <w:trPr>
          <w:trHeight w:val="362"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67429">
            <w:pPr>
              <w:keepNext w:val="0"/>
              <w:keepLines w:val="0"/>
              <w:pageBreakBefore w:val="0"/>
              <w:kinsoku/>
              <w:overflowPunct/>
              <w:topLinePunct w:val="0"/>
              <w:autoSpaceDN/>
              <w:bidi w:val="0"/>
              <w:ind w:firstLine="402"/>
              <w:jc w:val="center"/>
              <w:textAlignment w:val="bottom"/>
              <w:rPr>
                <w:rFonts w:hint="default" w:cs="宋体"/>
                <w:b/>
                <w:color w:val="000000"/>
                <w:sz w:val="20"/>
                <w:szCs w:val="20"/>
              </w:rPr>
            </w:pPr>
            <w:r>
              <w:rPr>
                <w:rFonts w:cs="宋体"/>
                <w:b/>
                <w:color w:val="000000"/>
                <w:sz w:val="20"/>
                <w:szCs w:val="20"/>
              </w:rPr>
              <w:t>项目</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498D">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本年支出合计</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550E">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基本支出</w:t>
            </w:r>
          </w:p>
        </w:tc>
        <w:tc>
          <w:tcPr>
            <w:tcW w:w="1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C1B9">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项目支出</w:t>
            </w: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7C33">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上缴上级支出</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D6787">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经营支出</w:t>
            </w:r>
          </w:p>
        </w:tc>
        <w:tc>
          <w:tcPr>
            <w:tcW w:w="18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65F5">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对附属单位补助支出</w:t>
            </w:r>
          </w:p>
        </w:tc>
      </w:tr>
      <w:tr w14:paraId="7C1623C7">
        <w:tblPrEx>
          <w:tblCellMar>
            <w:top w:w="0" w:type="dxa"/>
            <w:left w:w="0" w:type="dxa"/>
            <w:bottom w:w="0" w:type="dxa"/>
            <w:right w:w="0" w:type="dxa"/>
          </w:tblCellMar>
        </w:tblPrEx>
        <w:trPr>
          <w:trHeight w:val="338" w:hRule="atLeast"/>
        </w:trPr>
        <w:tc>
          <w:tcPr>
            <w:tcW w:w="189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B126">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303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E6E4EF">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6E68">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4D7E">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2C015">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9FFF">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9E696">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C004">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1A4CFEF8">
        <w:tblPrEx>
          <w:tblCellMar>
            <w:top w:w="0" w:type="dxa"/>
            <w:left w:w="0" w:type="dxa"/>
            <w:bottom w:w="0" w:type="dxa"/>
            <w:right w:w="0" w:type="dxa"/>
          </w:tblCellMar>
        </w:tblPrEx>
        <w:trPr>
          <w:trHeight w:val="338" w:hRule="atLeast"/>
        </w:trPr>
        <w:tc>
          <w:tcPr>
            <w:tcW w:w="189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90AF">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303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269278">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DA0A">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8050">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25E6">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C22B">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0CEC1">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88181">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5716FA1D">
        <w:tblPrEx>
          <w:tblCellMar>
            <w:top w:w="0" w:type="dxa"/>
            <w:left w:w="0" w:type="dxa"/>
            <w:bottom w:w="0" w:type="dxa"/>
            <w:right w:w="0" w:type="dxa"/>
          </w:tblCellMar>
        </w:tblPrEx>
        <w:trPr>
          <w:trHeight w:val="338" w:hRule="atLeast"/>
        </w:trPr>
        <w:tc>
          <w:tcPr>
            <w:tcW w:w="189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200D">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303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804FCA">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1D3A5">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43EB">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8CA0">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B270">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4423">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B733">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6A85E453">
        <w:tblPrEx>
          <w:tblCellMar>
            <w:top w:w="0" w:type="dxa"/>
            <w:left w:w="0" w:type="dxa"/>
            <w:bottom w:w="0" w:type="dxa"/>
            <w:right w:w="0" w:type="dxa"/>
          </w:tblCellMar>
        </w:tblPrEx>
        <w:trPr>
          <w:trHeight w:val="338" w:hRule="atLeast"/>
        </w:trPr>
        <w:tc>
          <w:tcPr>
            <w:tcW w:w="189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1B87">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303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DAE095">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6AC78">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2021">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7619">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343F9">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6559">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8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E286">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1D7DC7B8">
        <w:tblPrEx>
          <w:tblCellMar>
            <w:top w:w="0" w:type="dxa"/>
            <w:left w:w="0" w:type="dxa"/>
            <w:bottom w:w="0" w:type="dxa"/>
            <w:right w:w="0" w:type="dxa"/>
          </w:tblCellMar>
        </w:tblPrEx>
        <w:trPr>
          <w:trHeight w:val="283" w:hRule="exac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4674">
            <w:pPr>
              <w:keepNext w:val="0"/>
              <w:keepLines w:val="0"/>
              <w:pageBreakBefore w:val="0"/>
              <w:kinsoku/>
              <w:overflowPunct/>
              <w:topLinePunct w:val="0"/>
              <w:autoSpaceDN/>
              <w:bidi w:val="0"/>
              <w:ind w:firstLine="402"/>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合计</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A51C">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3,212.63</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6FC43">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2,597.19</w:t>
            </w:r>
          </w:p>
        </w:tc>
        <w:tc>
          <w:tcPr>
            <w:tcW w:w="1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86F0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615.44</w:t>
            </w: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9485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0.00</w:t>
            </w:r>
          </w:p>
        </w:tc>
        <w:tc>
          <w:tcPr>
            <w:tcW w:w="14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862A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0.00</w:t>
            </w:r>
          </w:p>
        </w:tc>
        <w:tc>
          <w:tcPr>
            <w:tcW w:w="1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CA975">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bCs/>
                <w:color w:val="000000"/>
                <w:sz w:val="15"/>
                <w:szCs w:val="15"/>
              </w:rPr>
              <w:t>0.00</w:t>
            </w:r>
          </w:p>
        </w:tc>
      </w:tr>
      <w:tr w14:paraId="5F87AC3C">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ABFE">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205</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A1A6B">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教育支出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717C">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2,631.13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6A3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2,017.69</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23A9">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613.44</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CAE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0F2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3CF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5B6D2D79">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6CF5">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20502</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BFA2D">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普通教育</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5DE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2,631.13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1A5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2,017.69</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867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613.44</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6D4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575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A6D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5A02C9E4">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55D9">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2050201</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825F9">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学前教育</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878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126.09</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A66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12.84</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646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113.26</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EE8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9254">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8B11">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22E52346">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0AF1">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2050202</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89499">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小学教育</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6B4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2,505.04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576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2,004.86</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4D94">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500.18</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EDB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AC9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394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4F8B8051">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FD09">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208</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1C7C">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社会保障和就业支出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8F3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298.13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5C4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298.13</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392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BA6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D97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47C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2BDEE047">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8F19">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20805</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C8C99">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行政事业单位养老支出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8D3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269.32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5E2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269.32</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2909">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10C5">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088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9D93">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610449B8">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CF66">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2080505</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3A19">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机关事业单位基本养老保险缴费支出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93D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162.46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993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162.46</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95DA">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73C2">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AFB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024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02FE11DC">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FA72">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2080506</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E91D">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机关事业单位职业年金缴费支出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E78F">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89.86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339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89.86</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DFA1">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1C4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7BC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4CC0">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0C0C5FC4">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C98F">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2080599</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46C56">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其他行政事业单位养老支出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F39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17.00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95B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17.00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6D5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A235">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B1E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E56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12CE0B4A">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9B86">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20808</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3BCC">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抚恤</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CBF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28.81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87D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28.81</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228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B1D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722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4093">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601A58A7">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DF17">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2080801</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23A98">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死亡抚恤</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866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28.81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E532">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28.81</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AFD1">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BA0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1F0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F9A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5AF99146">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E877">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210</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E095B">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卫生健康支出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9FB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126.20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A13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126.20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FA5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D8A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8536">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3199">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2C5138F7">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0A57">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21011</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7243">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行政事业单位医疗</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593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126.20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996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126.20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B2F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A02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B962">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D90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76705034">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1799">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2101102</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D2770">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事业单位医疗</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F23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75.38</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065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75.38</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454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3AA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85A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B8E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7A4D4154">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D65F">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2101199</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9E18A">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其他行政事业单位医疗支出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3B9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50.82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864C">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50.82</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D50C">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F31E">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A3D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003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702D88C7">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1D65">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221</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45221">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住房保障支出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9CCB">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155.17</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171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155.17</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F85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34E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1944">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1FC5">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1E463B22">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52DAF">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22102</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61EC">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住房改革支出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824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155.17</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058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155.17</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0D0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9A6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8CCF">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BE09">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75B36855">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555B">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2210201</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23AE8">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住房公积金</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AEA0">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143.38</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E98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143.38</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726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A027">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BDA0">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8B94">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37627CBB">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6E39">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2210203</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8FE5">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购房补贴</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228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11.79</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62D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11.79</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DA9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DDE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9C60">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C918">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r w14:paraId="7FD2BA4D">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D1B2">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229</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4899C">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其他支出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E761">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7FE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B0F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AFDE">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B8D5">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8D6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0D266A9D">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0EE9">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22960</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F30F">
            <w:pPr>
              <w:keepNext w:val="0"/>
              <w:keepLines w:val="0"/>
              <w:pageBreakBefore w:val="0"/>
              <w:kinsoku/>
              <w:overflowPunct/>
              <w:topLinePunct w:val="0"/>
              <w:autoSpaceDN/>
              <w:bidi w:val="0"/>
              <w:ind w:firstLine="402"/>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彩票公益金安排的支出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6E4C">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5060">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2288">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2.00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82F7">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0E9D">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8D2A">
            <w:pPr>
              <w:keepNext w:val="0"/>
              <w:keepLines w:val="0"/>
              <w:pageBreakBefore w:val="0"/>
              <w:kinsoku/>
              <w:wordWrap w:val="0"/>
              <w:overflowPunct/>
              <w:topLinePunct w:val="0"/>
              <w:autoSpaceDN/>
              <w:bidi w:val="0"/>
              <w:ind w:firstLine="402"/>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b/>
                <w:color w:val="000000"/>
                <w:sz w:val="15"/>
                <w:szCs w:val="15"/>
              </w:rPr>
              <w:t>0.00</w:t>
            </w:r>
          </w:p>
        </w:tc>
      </w:tr>
      <w:tr w14:paraId="02303105">
        <w:tblPrEx>
          <w:tblCellMar>
            <w:top w:w="0" w:type="dxa"/>
            <w:left w:w="0" w:type="dxa"/>
            <w:bottom w:w="0" w:type="dxa"/>
            <w:right w:w="0" w:type="dxa"/>
          </w:tblCellMar>
        </w:tblPrEx>
        <w:trPr>
          <w:trHeight w:val="283" w:hRule="exact"/>
        </w:trPr>
        <w:tc>
          <w:tcPr>
            <w:tcW w:w="1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C129">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2296004</w:t>
            </w:r>
          </w:p>
        </w:tc>
        <w:tc>
          <w:tcPr>
            <w:tcW w:w="30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2F73F">
            <w:pPr>
              <w:keepNext w:val="0"/>
              <w:keepLines w:val="0"/>
              <w:pageBreakBefore w:val="0"/>
              <w:kinsoku/>
              <w:overflowPunct/>
              <w:topLinePunct w:val="0"/>
              <w:autoSpaceDN/>
              <w:bidi w:val="0"/>
              <w:ind w:firstLine="4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用于教育事业的彩票公益金支出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EBF3">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AEBB">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13AD">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2.00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A239">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3E66">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92CA">
            <w:pPr>
              <w:keepNext w:val="0"/>
              <w:keepLines w:val="0"/>
              <w:pageBreakBefore w:val="0"/>
              <w:kinsoku/>
              <w:wordWrap w:val="0"/>
              <w:overflowPunct/>
              <w:topLinePunct w:val="0"/>
              <w:autoSpaceDN/>
              <w:bidi w:val="0"/>
              <w:ind w:firstLine="40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0.00</w:t>
            </w:r>
          </w:p>
        </w:tc>
      </w:tr>
    </w:tbl>
    <w:p w14:paraId="7E4E3DCD">
      <w:pPr>
        <w:keepNext w:val="0"/>
        <w:keepLines w:val="0"/>
        <w:pageBreakBefore w:val="0"/>
        <w:kinsoku/>
        <w:overflowPunct/>
        <w:topLinePunct w:val="0"/>
        <w:autoSpaceDN/>
        <w:bidi w:val="0"/>
        <w:ind w:firstLine="420"/>
        <w:rPr>
          <w:rFonts w:hint="default" w:cs="宋体"/>
          <w:sz w:val="21"/>
          <w:szCs w:val="21"/>
        </w:rPr>
      </w:pPr>
      <w:r>
        <w:rPr>
          <w:rFonts w:hint="eastAsia" w:ascii="方正仿宋_GBK" w:hAnsi="方正仿宋_GBK" w:eastAsia="方正仿宋_GBK" w:cs="方正仿宋_GBK"/>
          <w:sz w:val="15"/>
          <w:szCs w:val="15"/>
        </w:rPr>
        <w:t>备注：1.本表反映单位本年度各项支出情况。</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 xml:space="preserve">      2.本套报表金额单位转换时可能存在尾数误差。</w:t>
      </w:r>
      <w:r>
        <w:rPr>
          <w:rFonts w:hint="eastAsia" w:ascii="方正仿宋_GBK" w:hAnsi="方正仿宋_GBK" w:eastAsia="方正仿宋_GBK" w:cs="方正仿宋_GBK"/>
          <w:sz w:val="15"/>
          <w:szCs w:val="15"/>
        </w:rPr>
        <w:br w:type="textWrapping"/>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7F225A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AA5DBE8">
            <w:pPr>
              <w:keepNext w:val="0"/>
              <w:keepLines w:val="0"/>
              <w:pageBreakBefore w:val="0"/>
              <w:kinsoku/>
              <w:overflowPunct/>
              <w:topLinePunct w:val="0"/>
              <w:autoSpaceDN/>
              <w:bidi w:val="0"/>
              <w:spacing w:line="400" w:lineRule="exact"/>
              <w:ind w:firstLine="643"/>
              <w:jc w:val="center"/>
              <w:textAlignment w:val="bottom"/>
              <w:rPr>
                <w:rFonts w:hint="default" w:cs="宋体"/>
                <w:b/>
                <w:color w:val="000000"/>
                <w:sz w:val="32"/>
                <w:szCs w:val="32"/>
              </w:rPr>
            </w:pPr>
            <w:r>
              <w:rPr>
                <w:rFonts w:cs="宋体"/>
                <w:b/>
                <w:color w:val="000000"/>
                <w:sz w:val="32"/>
                <w:szCs w:val="32"/>
              </w:rPr>
              <w:t>财政拨款收入支出决算总表</w:t>
            </w:r>
          </w:p>
        </w:tc>
      </w:tr>
      <w:tr w14:paraId="282570C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F9A5CDE">
            <w:pPr>
              <w:keepNext w:val="0"/>
              <w:keepLines w:val="0"/>
              <w:pageBreakBefore w:val="0"/>
              <w:kinsoku/>
              <w:overflowPunct/>
              <w:topLinePunct w:val="0"/>
              <w:autoSpaceDN/>
              <w:bidi w:val="0"/>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重庆铁路小学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6FE98025">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E600ED">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BE7D1B">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3D25C23">
            <w:pPr>
              <w:keepNext w:val="0"/>
              <w:keepLines w:val="0"/>
              <w:pageBreakBefore w:val="0"/>
              <w:kinsoku/>
              <w:overflowPunct/>
              <w:topLinePunct w:val="0"/>
              <w:autoSpaceDN/>
              <w:bidi w:val="0"/>
              <w:spacing w:line="26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D4DBD4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F642F66">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7B433C">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CF0CD7">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2C8F37">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27F00C8">
            <w:pPr>
              <w:keepNext w:val="0"/>
              <w:keepLines w:val="0"/>
              <w:pageBreakBefore w:val="0"/>
              <w:kinsoku/>
              <w:overflowPunct/>
              <w:topLinePunct w:val="0"/>
              <w:autoSpaceDN/>
              <w:bidi w:val="0"/>
              <w:spacing w:line="26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75E6B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A869">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8687">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支     出</w:t>
            </w:r>
          </w:p>
        </w:tc>
      </w:tr>
      <w:tr w14:paraId="3CAD1CE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2C09">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01ED">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4C4D4">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C9CA">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r>
      <w:tr w14:paraId="58BFAC1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BD0D">
            <w:pPr>
              <w:keepNext w:val="0"/>
              <w:keepLines w:val="0"/>
              <w:pageBreakBefore w:val="0"/>
              <w:kinsoku/>
              <w:overflowPunct/>
              <w:topLinePunct w:val="0"/>
              <w:autoSpaceDN/>
              <w:bidi w:val="0"/>
              <w:spacing w:line="200" w:lineRule="exact"/>
              <w:ind w:firstLine="361"/>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68958">
            <w:pPr>
              <w:keepNext w:val="0"/>
              <w:keepLines w:val="0"/>
              <w:pageBreakBefore w:val="0"/>
              <w:kinsoku/>
              <w:overflowPunct/>
              <w:topLinePunct w:val="0"/>
              <w:autoSpaceDN/>
              <w:bidi w:val="0"/>
              <w:spacing w:line="200" w:lineRule="exact"/>
              <w:ind w:firstLine="361"/>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C4D9">
            <w:pPr>
              <w:keepNext w:val="0"/>
              <w:keepLines w:val="0"/>
              <w:pageBreakBefore w:val="0"/>
              <w:kinsoku/>
              <w:overflowPunct/>
              <w:topLinePunct w:val="0"/>
              <w:autoSpaceDN/>
              <w:bidi w:val="0"/>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5E12">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BCF2">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552AC">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8A9E">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国有资本经营预算财政拨款</w:t>
            </w:r>
          </w:p>
        </w:tc>
      </w:tr>
      <w:tr w14:paraId="4C5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95EB">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2E9D">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3,150.71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1980">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FC8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5CED">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A512">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8D7D">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629522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8986">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D218">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924C">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548F">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E1D1">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F008">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4C55">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327088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4B1A">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CD82">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BC61">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D25E">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470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9A14">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D67F">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438560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D375">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E600F4">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551F">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8737">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139D">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1E37">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F5F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207AC3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724F">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8F3B49">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194A">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0772">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78E7">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239E">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14E1">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5B0C0A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2020">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FD2ADD">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45D0">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1B2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56F2">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3DD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E064">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7E15DE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CD76">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C3209">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5B03">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5078">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BEE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2779">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1F3A">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7BC369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D817">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8B91A">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16F9">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4A77">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825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EAB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418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1F77EA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40C7">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1DE0C">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3E55">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4A21">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8237">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7AF4">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CFF7">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680910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E405">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76B8">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680E">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BA8E">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886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388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7938">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764C2A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9FC1">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8283">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956E">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A5D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970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D00A">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DEFC">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377D48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492F">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76A8">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B1B2">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C904">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76A5">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69C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452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69215F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0EAE">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1064">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8460">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2B9E">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36F2">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C6FF">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D97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7B2B4A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16AD">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BFD0">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8E05">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083F">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15B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6D4A">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9F3A">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3BC988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FABF">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5E69">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A0A3">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536D">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37A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6D8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19D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67398A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955F">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2059">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D113">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781A">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721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6EF9">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EEEC">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1F0BDC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6E9A">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C776">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D893">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7005">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49E1">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235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A774">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5EE304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8EF7">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4E41">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FA1E">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16F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8879">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712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03D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76DC8D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BC91">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EC22">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8594">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6592">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4D9C">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1CA8">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41B5">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12F49F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E731">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E3FF">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7306">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684D">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118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A9A1">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539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6D585A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78FE">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8868">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D958">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DD75">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BF3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DE5F">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A9FF">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66CB4F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8A53">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77AE">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2CD8">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441E">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1115">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38D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13EE">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7D116E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8B67">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B48D">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5FA8">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B97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4FB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D84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E97E">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6F48CF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800C9">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D6FE">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9C0D">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6708">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5C3F">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BB85">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C6F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158878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D2A49">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0A1D">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BAFA">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C464">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F351">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2CBC">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1EF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2136FB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75143">
            <w:pPr>
              <w:keepNext w:val="0"/>
              <w:keepLines w:val="0"/>
              <w:pageBreakBefore w:val="0"/>
              <w:kinsoku/>
              <w:overflowPunct/>
              <w:topLinePunct w:val="0"/>
              <w:autoSpaceDN/>
              <w:bidi w:val="0"/>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3C59">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0755">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4263">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A934">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168C">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A67F">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365453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16ED">
            <w:pPr>
              <w:keepNext w:val="0"/>
              <w:keepLines w:val="0"/>
              <w:pageBreakBefore w:val="0"/>
              <w:kinsoku/>
              <w:overflowPunct/>
              <w:topLinePunct w:val="0"/>
              <w:autoSpaceDN/>
              <w:bidi w:val="0"/>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64F7">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3,152.71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383D">
            <w:pPr>
              <w:keepNext w:val="0"/>
              <w:keepLines w:val="0"/>
              <w:pageBreakBefore w:val="0"/>
              <w:kinsoku/>
              <w:overflowPunct/>
              <w:topLinePunct w:val="0"/>
              <w:autoSpaceDN/>
              <w:bidi w:val="0"/>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5434">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12C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3,150.71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258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64BC">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59D4A0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4D40">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6A8B">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0541">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4F46">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2745">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38B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A1BC">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r w14:paraId="45D88D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D40B">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90F2">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F883C7">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470C3">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6D243">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D4410">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A8C69E">
            <w:pPr>
              <w:keepNext w:val="0"/>
              <w:keepLines w:val="0"/>
              <w:pageBreakBefore w:val="0"/>
              <w:kinsoku/>
              <w:overflowPunct/>
              <w:topLinePunct w:val="0"/>
              <w:autoSpaceDN/>
              <w:bidi w:val="0"/>
              <w:spacing w:line="200" w:lineRule="exact"/>
              <w:ind w:firstLine="360"/>
              <w:rPr>
                <w:rFonts w:hint="default" w:ascii="Times New Roman" w:hAnsi="Times New Roman"/>
                <w:color w:val="000000"/>
                <w:sz w:val="18"/>
                <w:szCs w:val="18"/>
              </w:rPr>
            </w:pPr>
          </w:p>
        </w:tc>
      </w:tr>
      <w:tr w14:paraId="31572E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992C">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F837">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178B">
            <w:pPr>
              <w:keepNext w:val="0"/>
              <w:keepLines w:val="0"/>
              <w:pageBreakBefore w:val="0"/>
              <w:kinsoku/>
              <w:overflowPunct/>
              <w:topLinePunct w:val="0"/>
              <w:autoSpaceDN/>
              <w:bidi w:val="0"/>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06DC">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1E2F">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B915">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2376">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r>
      <w:tr w14:paraId="3A4126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71E9">
            <w:pPr>
              <w:keepNext w:val="0"/>
              <w:keepLines w:val="0"/>
              <w:pageBreakBefore w:val="0"/>
              <w:kinsoku/>
              <w:overflowPunct/>
              <w:topLinePunct w:val="0"/>
              <w:autoSpaceDN/>
              <w:bidi w:val="0"/>
              <w:spacing w:line="200" w:lineRule="exact"/>
              <w:ind w:firstLine="361"/>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E3EA">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73FC">
            <w:pPr>
              <w:keepNext w:val="0"/>
              <w:keepLines w:val="0"/>
              <w:pageBreakBefore w:val="0"/>
              <w:kinsoku/>
              <w:overflowPunct/>
              <w:topLinePunct w:val="0"/>
              <w:autoSpaceDN/>
              <w:bidi w:val="0"/>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3434">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AECB">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7DE9">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1727">
            <w:pPr>
              <w:keepNext w:val="0"/>
              <w:keepLines w:val="0"/>
              <w:pageBreakBefore w:val="0"/>
              <w:kinsoku/>
              <w:overflowPunct/>
              <w:topLinePunct w:val="0"/>
              <w:autoSpaceDN/>
              <w:bidi w:val="0"/>
              <w:spacing w:line="200" w:lineRule="exact"/>
              <w:ind w:firstLine="360"/>
              <w:jc w:val="right"/>
              <w:rPr>
                <w:rFonts w:hint="default" w:ascii="Times New Roman" w:hAnsi="Times New Roman"/>
                <w:color w:val="000000"/>
                <w:sz w:val="18"/>
                <w:szCs w:val="18"/>
              </w:rPr>
            </w:pPr>
          </w:p>
        </w:tc>
      </w:tr>
      <w:tr w14:paraId="528728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8BD0">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A29A">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3,152.71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A11E">
            <w:pPr>
              <w:keepNext w:val="0"/>
              <w:keepLines w:val="0"/>
              <w:pageBreakBefore w:val="0"/>
              <w:kinsoku/>
              <w:overflowPunct/>
              <w:topLinePunct w:val="0"/>
              <w:autoSpaceDN/>
              <w:bidi w:val="0"/>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FE6D">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7630">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3,150.71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DA11">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94B9">
            <w:pPr>
              <w:keepNext w:val="0"/>
              <w:keepLines w:val="0"/>
              <w:pageBreakBefore w:val="0"/>
              <w:kinsoku/>
              <w:wordWrap w:val="0"/>
              <w:overflowPunct/>
              <w:topLinePunct w:val="0"/>
              <w:autoSpaceDN/>
              <w:bidi w:val="0"/>
              <w:spacing w:line="200" w:lineRule="exact"/>
              <w:ind w:firstLine="360"/>
              <w:jc w:val="right"/>
              <w:textAlignment w:val="center"/>
              <w:rPr>
                <w:rFonts w:hint="default" w:ascii="Times New Roman" w:hAnsi="Times New Roman"/>
                <w:color w:val="000000"/>
                <w:sz w:val="18"/>
                <w:szCs w:val="18"/>
              </w:rPr>
            </w:pPr>
          </w:p>
        </w:tc>
      </w:tr>
    </w:tbl>
    <w:p w14:paraId="2635A8D4">
      <w:pPr>
        <w:keepNext w:val="0"/>
        <w:keepLines w:val="0"/>
        <w:pageBreakBefore w:val="0"/>
        <w:kinsoku/>
        <w:overflowPunct/>
        <w:topLinePunct w:val="0"/>
        <w:autoSpaceDN/>
        <w:bidi w:val="0"/>
        <w:spacing w:line="240" w:lineRule="exact"/>
        <w:ind w:firstLine="4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ACA01B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39A8AC1">
            <w:pPr>
              <w:keepNext w:val="0"/>
              <w:keepLines w:val="0"/>
              <w:pageBreakBefore w:val="0"/>
              <w:kinsoku/>
              <w:overflowPunct/>
              <w:topLinePunct w:val="0"/>
              <w:autoSpaceDN/>
              <w:bidi w:val="0"/>
              <w:ind w:firstLine="643"/>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F6BA70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2B120E7">
            <w:pPr>
              <w:keepNext w:val="0"/>
              <w:keepLines w:val="0"/>
              <w:pageBreakBefore w:val="0"/>
              <w:kinsoku/>
              <w:overflowPunct/>
              <w:topLinePunct w:val="0"/>
              <w:autoSpaceDN/>
              <w:bidi w:val="0"/>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重庆铁路小学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047F9B6">
            <w:pPr>
              <w:keepNext w:val="0"/>
              <w:keepLines w:val="0"/>
              <w:pageBreakBefore w:val="0"/>
              <w:kinsoku/>
              <w:overflowPunct/>
              <w:topLinePunct w:val="0"/>
              <w:autoSpaceDN/>
              <w:bidi w:val="0"/>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4439303">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9E3165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FF41961">
            <w:pPr>
              <w:keepNext w:val="0"/>
              <w:keepLines w:val="0"/>
              <w:pageBreakBefore w:val="0"/>
              <w:kinsoku/>
              <w:overflowPunct/>
              <w:topLinePunct w:val="0"/>
              <w:autoSpaceDN/>
              <w:bidi w:val="0"/>
              <w:ind w:firstLine="4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27E63B3">
            <w:pPr>
              <w:keepNext w:val="0"/>
              <w:keepLines w:val="0"/>
              <w:pageBreakBefore w:val="0"/>
              <w:kinsoku/>
              <w:overflowPunct/>
              <w:topLinePunct w:val="0"/>
              <w:autoSpaceDN/>
              <w:bidi w:val="0"/>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5C38C1D">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90B8F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BFCD7">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7F8EAA">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本年支出</w:t>
            </w:r>
          </w:p>
        </w:tc>
      </w:tr>
      <w:tr w14:paraId="4848DB5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D82F">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6780A">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7DFDE">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3FF06">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B4593">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项目支出</w:t>
            </w:r>
          </w:p>
        </w:tc>
      </w:tr>
      <w:tr w14:paraId="160FA75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6DC6">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A0A04">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F010F">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892D7">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5F549">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5D6799E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B84C">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52EB4">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D62DE">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6B052">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7132D">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70CF420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57F0">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F8487">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3,150.71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0FED">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2,597.19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CB9E">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553.52</w:t>
            </w:r>
          </w:p>
        </w:tc>
      </w:tr>
      <w:tr w14:paraId="538B25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6B13">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920A">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772F">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E89E">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2,017.69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4C51F">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553.52</w:t>
            </w:r>
          </w:p>
        </w:tc>
      </w:tr>
      <w:tr w14:paraId="038F6B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B1CB">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27271">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D2DA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EF8E">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2,017.69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EE18B">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553.52</w:t>
            </w:r>
          </w:p>
        </w:tc>
      </w:tr>
      <w:tr w14:paraId="3549A4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B303">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536A2">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DB5B4">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6D7F">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54FF8">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56.34</w:t>
            </w:r>
          </w:p>
        </w:tc>
      </w:tr>
      <w:tr w14:paraId="6E20B0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3FEC">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E1E19">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564FF">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06227">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2,004.85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5201">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497.18</w:t>
            </w:r>
          </w:p>
        </w:tc>
      </w:tr>
      <w:tr w14:paraId="4CF838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CBB2">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957F0">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F57CC">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FD22">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6DAE4">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0FD7A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2BC8">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F8AC0">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9B3A">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D1BE">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269.32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84DCD">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23718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CA0E">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468B4">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1B7A0">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E6718">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162.46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5C1C3">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262E0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9FB7">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70C2B">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9B8C">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E201A">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261E8">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89E29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BC5D">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4171F">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7EA36">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ED50">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EBC9">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FD880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B442">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281B">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95BC">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A25F0">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E3D7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C4C60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540A">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E15D">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B5E8">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04857">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4213F">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6551F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11A5">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A8FB4">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7BF09">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A38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60AB2">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F1979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1E71">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B69B">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452E">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CCA1">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0AF1">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9C84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3972">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CAC6C">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7530">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96FE">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05EF9">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4A142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3DFC">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B36D">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6565C">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BC144">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2303C">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7A06C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1333">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85ABA">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6B30">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CD3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E29A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0C1B9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B850">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4B87E">
            <w:pPr>
              <w:keepNext w:val="0"/>
              <w:keepLines w:val="0"/>
              <w:pageBreakBefore w:val="0"/>
              <w:kinsoku/>
              <w:overflowPunct/>
              <w:topLinePunct w:val="0"/>
              <w:autoSpaceDN/>
              <w:bidi w:val="0"/>
              <w:ind w:firstLine="402"/>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6950A">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05D41">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63811">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9BE19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F8E3">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6E093">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25104">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ACE02">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E0E7A">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A6565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C396">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652E5">
            <w:pPr>
              <w:keepNext w:val="0"/>
              <w:keepLines w:val="0"/>
              <w:pageBreakBefore w:val="0"/>
              <w:kinsoku/>
              <w:overflowPunct/>
              <w:topLinePunct w:val="0"/>
              <w:autoSpaceDN/>
              <w:bidi w:val="0"/>
              <w:ind w:firstLine="400"/>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6E958">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299C2">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15136">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EE554AA">
      <w:pPr>
        <w:keepNext w:val="0"/>
        <w:keepLines w:val="0"/>
        <w:pageBreakBefore w:val="0"/>
        <w:kinsoku/>
        <w:overflowPunct/>
        <w:topLinePunct w:val="0"/>
        <w:autoSpaceDN/>
        <w:bidi w:val="0"/>
        <w:ind w:firstLine="4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14:paraId="6EEDE801">
      <w:pPr>
        <w:keepNext w:val="0"/>
        <w:keepLines w:val="0"/>
        <w:pageBreakBefore w:val="0"/>
        <w:kinsoku/>
        <w:overflowPunct/>
        <w:topLinePunct w:val="0"/>
        <w:autoSpaceDN/>
        <w:bidi w:val="0"/>
        <w:ind w:firstLine="630" w:firstLineChars="300"/>
        <w:rPr>
          <w:rFonts w:hint="default" w:cs="宋体"/>
          <w:sz w:val="21"/>
          <w:szCs w:val="21"/>
        </w:rPr>
      </w:pPr>
      <w:r>
        <w:rPr>
          <w:rFonts w:cs="宋体"/>
          <w:sz w:val="21"/>
          <w:szCs w:val="21"/>
        </w:rPr>
        <w:br w:type="page"/>
      </w:r>
    </w:p>
    <w:tbl>
      <w:tblPr>
        <w:tblStyle w:val="10"/>
        <w:tblW w:w="4939" w:type="pct"/>
        <w:tblInd w:w="0" w:type="dxa"/>
        <w:tblLayout w:type="fixed"/>
        <w:tblCellMar>
          <w:top w:w="0" w:type="dxa"/>
          <w:left w:w="0" w:type="dxa"/>
          <w:bottom w:w="0" w:type="dxa"/>
          <w:right w:w="0" w:type="dxa"/>
        </w:tblCellMar>
      </w:tblPr>
      <w:tblGrid>
        <w:gridCol w:w="864"/>
        <w:gridCol w:w="2748"/>
        <w:gridCol w:w="1540"/>
        <w:gridCol w:w="872"/>
        <w:gridCol w:w="2032"/>
        <w:gridCol w:w="1417"/>
        <w:gridCol w:w="872"/>
        <w:gridCol w:w="3462"/>
        <w:gridCol w:w="1330"/>
      </w:tblGrid>
      <w:tr w14:paraId="35281EE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7EA5E15">
            <w:pPr>
              <w:keepNext w:val="0"/>
              <w:keepLines w:val="0"/>
              <w:pageBreakBefore w:val="0"/>
              <w:kinsoku/>
              <w:overflowPunct/>
              <w:topLinePunct w:val="0"/>
              <w:autoSpaceDN/>
              <w:bidi w:val="0"/>
              <w:spacing w:line="440" w:lineRule="exact"/>
              <w:ind w:firstLine="643"/>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366235F">
        <w:tblPrEx>
          <w:tblCellMar>
            <w:top w:w="0" w:type="dxa"/>
            <w:left w:w="0" w:type="dxa"/>
            <w:bottom w:w="0" w:type="dxa"/>
            <w:right w:w="0" w:type="dxa"/>
          </w:tblCellMar>
        </w:tblPrEx>
        <w:trPr>
          <w:trHeight w:val="334" w:hRule="atLeast"/>
        </w:trPr>
        <w:tc>
          <w:tcPr>
            <w:tcW w:w="2661" w:type="pct"/>
            <w:gridSpan w:val="5"/>
            <w:vMerge w:val="restart"/>
            <w:tcBorders>
              <w:top w:val="nil"/>
              <w:left w:val="nil"/>
              <w:right w:val="nil"/>
            </w:tcBorders>
            <w:shd w:val="clear" w:color="auto" w:fill="auto"/>
            <w:noWrap/>
            <w:tcMar>
              <w:top w:w="15" w:type="dxa"/>
              <w:left w:w="15" w:type="dxa"/>
              <w:right w:w="15" w:type="dxa"/>
            </w:tcMar>
            <w:vAlign w:val="bottom"/>
          </w:tcPr>
          <w:p w14:paraId="5F3549A5">
            <w:pPr>
              <w:keepNext w:val="0"/>
              <w:keepLines w:val="0"/>
              <w:pageBreakBefore w:val="0"/>
              <w:kinsoku/>
              <w:overflowPunct/>
              <w:topLinePunct w:val="0"/>
              <w:autoSpaceDN/>
              <w:bidi w:val="0"/>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重庆铁路小学</w:t>
            </w:r>
          </w:p>
        </w:tc>
        <w:tc>
          <w:tcPr>
            <w:tcW w:w="468" w:type="pct"/>
            <w:tcBorders>
              <w:top w:val="nil"/>
              <w:left w:val="nil"/>
              <w:bottom w:val="nil"/>
              <w:right w:val="nil"/>
            </w:tcBorders>
            <w:shd w:val="clear" w:color="auto" w:fill="auto"/>
            <w:noWrap/>
            <w:tcMar>
              <w:top w:w="15" w:type="dxa"/>
              <w:left w:w="15" w:type="dxa"/>
              <w:right w:w="15" w:type="dxa"/>
            </w:tcMar>
            <w:vAlign w:val="bottom"/>
          </w:tcPr>
          <w:p w14:paraId="1A5729B8">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288" w:type="pct"/>
            <w:tcBorders>
              <w:top w:val="nil"/>
              <w:left w:val="nil"/>
              <w:bottom w:val="nil"/>
              <w:right w:val="nil"/>
            </w:tcBorders>
            <w:shd w:val="clear" w:color="auto" w:fill="auto"/>
            <w:noWrap/>
            <w:tcMar>
              <w:top w:w="15" w:type="dxa"/>
              <w:left w:w="15" w:type="dxa"/>
              <w:right w:w="15" w:type="dxa"/>
            </w:tcMar>
            <w:vAlign w:val="bottom"/>
          </w:tcPr>
          <w:p w14:paraId="1CE8251A">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1143" w:type="pct"/>
            <w:tcBorders>
              <w:top w:val="nil"/>
              <w:left w:val="nil"/>
              <w:bottom w:val="nil"/>
              <w:right w:val="nil"/>
            </w:tcBorders>
            <w:shd w:val="clear" w:color="auto" w:fill="auto"/>
            <w:noWrap/>
            <w:tcMar>
              <w:top w:w="15" w:type="dxa"/>
              <w:left w:w="15" w:type="dxa"/>
              <w:right w:w="15" w:type="dxa"/>
            </w:tcMar>
            <w:vAlign w:val="bottom"/>
          </w:tcPr>
          <w:p w14:paraId="10E42533">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1B73C556">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0F6E042">
        <w:tblPrEx>
          <w:tblCellMar>
            <w:top w:w="0" w:type="dxa"/>
            <w:left w:w="0" w:type="dxa"/>
            <w:bottom w:w="0" w:type="dxa"/>
            <w:right w:w="0" w:type="dxa"/>
          </w:tblCellMar>
        </w:tblPrEx>
        <w:trPr>
          <w:trHeight w:val="296" w:hRule="atLeast"/>
        </w:trPr>
        <w:tc>
          <w:tcPr>
            <w:tcW w:w="2661" w:type="pct"/>
            <w:gridSpan w:val="5"/>
            <w:vMerge w:val="continue"/>
            <w:tcBorders>
              <w:left w:val="nil"/>
              <w:bottom w:val="nil"/>
              <w:right w:val="nil"/>
            </w:tcBorders>
            <w:shd w:val="clear" w:color="auto" w:fill="auto"/>
            <w:noWrap/>
            <w:tcMar>
              <w:top w:w="15" w:type="dxa"/>
              <w:left w:w="15" w:type="dxa"/>
              <w:right w:w="15" w:type="dxa"/>
            </w:tcMar>
            <w:vAlign w:val="bottom"/>
          </w:tcPr>
          <w:p w14:paraId="4067D704">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AB096AF">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288" w:type="pct"/>
            <w:tcBorders>
              <w:top w:val="nil"/>
              <w:left w:val="nil"/>
              <w:bottom w:val="nil"/>
              <w:right w:val="nil"/>
            </w:tcBorders>
            <w:shd w:val="clear" w:color="auto" w:fill="auto"/>
            <w:noWrap/>
            <w:tcMar>
              <w:top w:w="15" w:type="dxa"/>
              <w:left w:w="15" w:type="dxa"/>
              <w:right w:w="15" w:type="dxa"/>
            </w:tcMar>
            <w:vAlign w:val="bottom"/>
          </w:tcPr>
          <w:p w14:paraId="13919670">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1143" w:type="pct"/>
            <w:tcBorders>
              <w:top w:val="nil"/>
              <w:left w:val="nil"/>
              <w:bottom w:val="nil"/>
              <w:right w:val="nil"/>
            </w:tcBorders>
            <w:shd w:val="clear" w:color="auto" w:fill="auto"/>
            <w:noWrap/>
            <w:tcMar>
              <w:top w:w="15" w:type="dxa"/>
              <w:left w:w="15" w:type="dxa"/>
              <w:right w:w="15" w:type="dxa"/>
            </w:tcMar>
            <w:vAlign w:val="bottom"/>
          </w:tcPr>
          <w:p w14:paraId="5344F884">
            <w:pPr>
              <w:keepNext w:val="0"/>
              <w:keepLines w:val="0"/>
              <w:pageBreakBefore w:val="0"/>
              <w:kinsoku/>
              <w:overflowPunct/>
              <w:topLinePunct w:val="0"/>
              <w:autoSpaceDN/>
              <w:bidi w:val="0"/>
              <w:spacing w:line="200" w:lineRule="exact"/>
              <w:ind w:firstLine="360"/>
              <w:rPr>
                <w:rFonts w:hint="default" w:cs="宋体"/>
                <w:color w:val="000000"/>
                <w:sz w:val="18"/>
                <w:szCs w:val="18"/>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17FEB1C7">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B0A5F3">
        <w:tblPrEx>
          <w:tblCellMar>
            <w:top w:w="0" w:type="dxa"/>
            <w:left w:w="0" w:type="dxa"/>
            <w:bottom w:w="0" w:type="dxa"/>
            <w:right w:w="0" w:type="dxa"/>
          </w:tblCellMar>
        </w:tblPrEx>
        <w:trPr>
          <w:trHeight w:val="90" w:hRule="atLeast"/>
        </w:trPr>
        <w:tc>
          <w:tcPr>
            <w:tcW w:w="17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09F6">
            <w:pPr>
              <w:keepNext w:val="0"/>
              <w:keepLines w:val="0"/>
              <w:pageBreakBefore w:val="0"/>
              <w:kinsoku/>
              <w:overflowPunct/>
              <w:topLinePunct w:val="0"/>
              <w:autoSpaceDN/>
              <w:bidi w:val="0"/>
              <w:spacing w:line="192" w:lineRule="exact"/>
              <w:ind w:firstLine="361"/>
              <w:jc w:val="center"/>
              <w:textAlignment w:val="center"/>
              <w:rPr>
                <w:rFonts w:hint="default" w:cs="宋体"/>
                <w:b/>
                <w:color w:val="000000"/>
                <w:sz w:val="18"/>
                <w:szCs w:val="18"/>
              </w:rPr>
            </w:pPr>
            <w:r>
              <w:rPr>
                <w:rFonts w:cs="宋体"/>
                <w:b/>
                <w:color w:val="000000"/>
                <w:sz w:val="18"/>
                <w:szCs w:val="18"/>
              </w:rPr>
              <w:t>人员经费</w:t>
            </w:r>
          </w:p>
        </w:tc>
        <w:tc>
          <w:tcPr>
            <w:tcW w:w="3298"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B8EEDF">
            <w:pPr>
              <w:keepNext w:val="0"/>
              <w:keepLines w:val="0"/>
              <w:pageBreakBefore w:val="0"/>
              <w:kinsoku/>
              <w:overflowPunct/>
              <w:topLinePunct w:val="0"/>
              <w:autoSpaceDN/>
              <w:bidi w:val="0"/>
              <w:spacing w:line="192" w:lineRule="exact"/>
              <w:ind w:firstLine="361"/>
              <w:jc w:val="center"/>
              <w:textAlignment w:val="center"/>
              <w:rPr>
                <w:rFonts w:hint="default" w:cs="宋体"/>
                <w:b/>
                <w:color w:val="000000"/>
                <w:sz w:val="18"/>
                <w:szCs w:val="18"/>
              </w:rPr>
            </w:pPr>
            <w:r>
              <w:rPr>
                <w:rFonts w:cs="宋体"/>
                <w:b/>
                <w:color w:val="000000"/>
                <w:sz w:val="18"/>
                <w:szCs w:val="18"/>
              </w:rPr>
              <w:t>公用经费</w:t>
            </w:r>
          </w:p>
        </w:tc>
      </w:tr>
      <w:tr w14:paraId="1897B2E9">
        <w:tblPrEx>
          <w:tblCellMar>
            <w:top w:w="0" w:type="dxa"/>
            <w:left w:w="0" w:type="dxa"/>
            <w:bottom w:w="0" w:type="dxa"/>
            <w:right w:w="0" w:type="dxa"/>
          </w:tblCellMar>
        </w:tblPrEx>
        <w:trPr>
          <w:trHeight w:val="312" w:hRule="atLeast"/>
        </w:trPr>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12F3">
            <w:pPr>
              <w:keepNext w:val="0"/>
              <w:keepLines w:val="0"/>
              <w:pageBreakBefore w:val="0"/>
              <w:kinsoku/>
              <w:overflowPunct/>
              <w:topLinePunct w:val="0"/>
              <w:autoSpaceDN/>
              <w:bidi w:val="0"/>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0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2CC8B">
            <w:pPr>
              <w:keepNext w:val="0"/>
              <w:keepLines w:val="0"/>
              <w:pageBreakBefore w:val="0"/>
              <w:kinsoku/>
              <w:overflowPunct/>
              <w:topLinePunct w:val="0"/>
              <w:autoSpaceDN/>
              <w:bidi w:val="0"/>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DC948">
            <w:pPr>
              <w:keepNext w:val="0"/>
              <w:keepLines w:val="0"/>
              <w:pageBreakBefore w:val="0"/>
              <w:kinsoku/>
              <w:overflowPunct/>
              <w:topLinePunct w:val="0"/>
              <w:autoSpaceDN/>
              <w:bidi w:val="0"/>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D8B9">
            <w:pPr>
              <w:keepNext w:val="0"/>
              <w:keepLines w:val="0"/>
              <w:pageBreakBefore w:val="0"/>
              <w:kinsoku/>
              <w:overflowPunct/>
              <w:topLinePunct w:val="0"/>
              <w:autoSpaceDN/>
              <w:bidi w:val="0"/>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6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A1DEE">
            <w:pPr>
              <w:keepNext w:val="0"/>
              <w:keepLines w:val="0"/>
              <w:pageBreakBefore w:val="0"/>
              <w:kinsoku/>
              <w:overflowPunct/>
              <w:topLinePunct w:val="0"/>
              <w:autoSpaceDN/>
              <w:bidi w:val="0"/>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AFC85">
            <w:pPr>
              <w:keepNext w:val="0"/>
              <w:keepLines w:val="0"/>
              <w:pageBreakBefore w:val="0"/>
              <w:kinsoku/>
              <w:overflowPunct/>
              <w:topLinePunct w:val="0"/>
              <w:autoSpaceDN/>
              <w:bidi w:val="0"/>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319D">
            <w:pPr>
              <w:keepNext w:val="0"/>
              <w:keepLines w:val="0"/>
              <w:pageBreakBefore w:val="0"/>
              <w:kinsoku/>
              <w:overflowPunct/>
              <w:topLinePunct w:val="0"/>
              <w:autoSpaceDN/>
              <w:bidi w:val="0"/>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114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A2FD2">
            <w:pPr>
              <w:keepNext w:val="0"/>
              <w:keepLines w:val="0"/>
              <w:pageBreakBefore w:val="0"/>
              <w:kinsoku/>
              <w:overflowPunct/>
              <w:topLinePunct w:val="0"/>
              <w:autoSpaceDN/>
              <w:bidi w:val="0"/>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978AF">
            <w:pPr>
              <w:keepNext w:val="0"/>
              <w:keepLines w:val="0"/>
              <w:pageBreakBefore w:val="0"/>
              <w:kinsoku/>
              <w:overflowPunct/>
              <w:topLinePunct w:val="0"/>
              <w:autoSpaceDN/>
              <w:bidi w:val="0"/>
              <w:spacing w:line="192" w:lineRule="exact"/>
              <w:ind w:firstLine="361"/>
              <w:jc w:val="both"/>
              <w:textAlignment w:val="center"/>
              <w:rPr>
                <w:rFonts w:hint="default" w:cs="宋体"/>
                <w:b/>
                <w:color w:val="000000"/>
                <w:sz w:val="18"/>
                <w:szCs w:val="18"/>
              </w:rPr>
            </w:pPr>
            <w:r>
              <w:rPr>
                <w:rFonts w:cs="宋体"/>
                <w:b/>
                <w:color w:val="000000"/>
                <w:sz w:val="18"/>
                <w:szCs w:val="18"/>
              </w:rPr>
              <w:t>金额</w:t>
            </w:r>
          </w:p>
        </w:tc>
      </w:tr>
      <w:tr w14:paraId="478CFBED">
        <w:tblPrEx>
          <w:tblCellMar>
            <w:top w:w="0" w:type="dxa"/>
            <w:left w:w="0" w:type="dxa"/>
            <w:bottom w:w="0" w:type="dxa"/>
            <w:right w:w="0" w:type="dxa"/>
          </w:tblCellMar>
        </w:tblPrEx>
        <w:trPr>
          <w:trHeight w:val="312" w:hRule="atLeast"/>
        </w:trPr>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4640">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c>
          <w:tcPr>
            <w:tcW w:w="90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EC22B">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c>
          <w:tcPr>
            <w:tcW w:w="50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BB8F2">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c>
          <w:tcPr>
            <w:tcW w:w="28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30722">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c>
          <w:tcPr>
            <w:tcW w:w="6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5A0C8">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c>
          <w:tcPr>
            <w:tcW w:w="4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5F50A">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c>
          <w:tcPr>
            <w:tcW w:w="28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7F6A">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c>
          <w:tcPr>
            <w:tcW w:w="114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2C5DF">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c>
          <w:tcPr>
            <w:tcW w:w="4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DD6F9">
            <w:pPr>
              <w:keepNext w:val="0"/>
              <w:keepLines w:val="0"/>
              <w:pageBreakBefore w:val="0"/>
              <w:kinsoku/>
              <w:overflowPunct/>
              <w:topLinePunct w:val="0"/>
              <w:autoSpaceDN/>
              <w:bidi w:val="0"/>
              <w:spacing w:line="192" w:lineRule="exact"/>
              <w:ind w:firstLine="361"/>
              <w:jc w:val="center"/>
              <w:rPr>
                <w:rFonts w:hint="default" w:cs="宋体"/>
                <w:b/>
                <w:color w:val="000000"/>
                <w:sz w:val="18"/>
                <w:szCs w:val="18"/>
              </w:rPr>
            </w:pPr>
          </w:p>
        </w:tc>
      </w:tr>
      <w:tr w14:paraId="559BCD9E">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9B67">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301</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6BE7">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工资福利支出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3A36">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1,741.30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F36C">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302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4CDA">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商品和服务支出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202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289.86</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A97E">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310</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2B41">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资本性支出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2658">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8.84</w:t>
            </w:r>
          </w:p>
        </w:tc>
      </w:tr>
      <w:tr w14:paraId="3D4AB1A4">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0375">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30101</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904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基本工资</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8F1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186.19</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5D82">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385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办公费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369A">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19.49</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A49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31001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E4E2">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房屋建筑物购建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9C80">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75F50BB8">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C3E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30102</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7C1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津贴补贴</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7214">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27.72</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215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CEC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印刷费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9F6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57AF">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31002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895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办公设备购置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0A3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8.84</w:t>
            </w:r>
          </w:p>
        </w:tc>
      </w:tr>
      <w:tr w14:paraId="30936FE5">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9B6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30103</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F7D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奖金</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C8A1">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9F2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30203</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879F">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咨询费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A56A">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DEB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31003</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4BE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专用设备购置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B27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5285EE1B">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6BA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30106</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8A4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伙食补助费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11F1">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301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4DD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手续费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7A5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F13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31005</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7DE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基础设施建设</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DAFD">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72E58950">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659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30107</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0FC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绩效工资</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13B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768.01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40A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3931">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水费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C87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0.94</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875F">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31006</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1CB5">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大型修缮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136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1138FCA3">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C5C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30108</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967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机关事业单位基本养老保险缴费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78F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238.46</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941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30206</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D8D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电费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0580">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5.23</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E55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31007</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9BA8">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信息网络及软件购置更新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7B8F">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5EDA400A">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AAF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30109</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B6F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职业年金缴费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4D5D">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127.83</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AE65">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28B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邮电费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CE0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17.55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71F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31008</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6DB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物资储备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1278">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41DE85CF">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98A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30110</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4305">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职工基本医疗保险缴费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01BD">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75.38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914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B7B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取暖费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0700">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803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31009</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8E9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土地补偿</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6EC7">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6538A475">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34E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30111</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98E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公务员医疗补助缴费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899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58F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30209</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3BD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物业管理费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C32F">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2.61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A34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31010</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1C3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安置补助</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C39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4A0C2F8D">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165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30112</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C86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其他社会保障缴费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8F47">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12.14</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91E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30211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0F2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差旅费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1D6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0.73</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82AF">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31011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48F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地上附着物和青苗补偿</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14CF">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474F37F7">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12B5">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30113</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8578">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住房公积金</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0CA8">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285.81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6E7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30212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62A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因公出国（境）费用</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EE04">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F162">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31012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25F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拆迁补偿</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C3F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34938BB8">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CDC8">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30114</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3D55">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医疗费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D140">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19.76</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694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30213</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0B6C1">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维修（护）费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09A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5.88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B84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31013</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BA75">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公务用车购置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F0D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65ED7E28">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ED1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30199</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07C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其他工资福利支出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A834">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81DF">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30214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1D9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租赁费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A13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0.72</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7F4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31019</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594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其他交通工具购置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B3A4">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5D8B116D">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ADBB">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303</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B9AD">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对个人和家庭的补助</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D40C">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557.19</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C50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30215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49F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会议费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CAA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F91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31021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45A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文物和陈列品购置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6218">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5CFB4055">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733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30301</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DF0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离休费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8F9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C76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30216</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964F">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培训费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3C41">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10.45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3E2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31022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AB3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无形资产购置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6067">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75777F8A">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F2D1">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30302</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120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退休费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1857">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A93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30217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1E5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公务接待费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BF2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640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31099</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30F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其他资本性支出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63A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6A10E7F2">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BFB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30303</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204F">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退职（役）费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3317">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E2A1">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30218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1C3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专用材料费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7E9C">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F559">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312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2688">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对企业补助</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0906">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67F82F03">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14A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30304</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B138">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抚恤金</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AE07">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28.81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FF9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30224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DEF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被装购置费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59CD">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0BA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31201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F20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资本金注入</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4FF4">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485D5E98">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6B18">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30305</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4BD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生活补助</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367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484.30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B97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30225</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BBF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专用燃料费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7D67">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9D8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31203</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237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政府投资基金股权投资</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A90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65F443AA">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C542">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30306</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5F3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救济费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FD46">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520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30226</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AA18">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劳务费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FC2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119.71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A502">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31204</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EC7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费用补贴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11B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26923725">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B4B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30307</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8FC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医疗费补助</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4B3F">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44.08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63F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30227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B76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委托业务费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948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7B2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31205</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9988">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利息补贴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E02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1A6FC0E0">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422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30308</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EFD1">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助学金</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055C">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6B92">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30228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8F0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工会经费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5129">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46.65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816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31206</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9798">
            <w:pPr>
              <w:keepNext w:val="0"/>
              <w:keepLines w:val="0"/>
              <w:pageBreakBefore w:val="0"/>
              <w:kinsoku/>
              <w:overflowPunct/>
              <w:topLinePunct w:val="0"/>
              <w:autoSpaceDN/>
              <w:bidi w:val="0"/>
              <w:spacing w:line="192" w:lineRule="exact"/>
              <w:ind w:firstLine="150" w:firstLineChars="10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其他资本性补助</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79E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670C7851">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08D2">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30309</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4A03">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奖励金</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3A3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3E9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30229</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913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福利费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64D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29.45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69B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31299</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A63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其他对企业补助</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54CF">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7E20A965">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A3A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30310</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0A8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个人农业生产补贴</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5E46">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6CD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30231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0E1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公务用车运行维护费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431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D969">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399</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831D">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其他支出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ADA8">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308B9619">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7DB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30311</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4DE9">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代缴社会保险费</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D696">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046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30239</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709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其他交通费用</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C2F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B99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39907</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DE5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国家赔偿费用支出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26F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27861859">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FCE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30399</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BA4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其他对个人和家庭的补助</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4030">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37CD">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30240</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561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税金及附加费用</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870C">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CE4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39908</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110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对民间非营利组织和群众性自治组织补贴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D27F">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224C8AC5">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C960">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46CF">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1B525D">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612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30299</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C9F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其他商品和服务支出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CB32">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30.45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F51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39909</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2D9F">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经常性赠与</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F92F">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20FF2037">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636F">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782F">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A7B6B">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7144">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307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1CC9">
            <w:pPr>
              <w:keepNext w:val="0"/>
              <w:keepLines w:val="0"/>
              <w:pageBreakBefore w:val="0"/>
              <w:kinsoku/>
              <w:overflowPunct/>
              <w:topLinePunct w:val="0"/>
              <w:autoSpaceDN/>
              <w:bidi w:val="0"/>
              <w:spacing w:line="192" w:lineRule="exact"/>
              <w:ind w:firstLine="361"/>
              <w:textAlignment w:val="center"/>
              <w:rPr>
                <w:rFonts w:hint="eastAsia" w:ascii="方正仿宋_GBK" w:hAnsi="方正仿宋_GBK" w:eastAsia="方正仿宋_GBK" w:cs="方正仿宋_GBK"/>
                <w:b/>
                <w:bCs/>
                <w:color w:val="000000"/>
                <w:sz w:val="15"/>
                <w:szCs w:val="15"/>
              </w:rPr>
            </w:pPr>
            <w:r>
              <w:rPr>
                <w:rFonts w:hint="eastAsia" w:ascii="方正仿宋_GBK" w:hAnsi="方正仿宋_GBK" w:eastAsia="方正仿宋_GBK" w:cs="方正仿宋_GBK"/>
                <w:b/>
                <w:bCs/>
                <w:color w:val="000000"/>
                <w:sz w:val="15"/>
                <w:szCs w:val="15"/>
              </w:rPr>
              <w:t>债务利息及费用支出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381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9C5B">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39910</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3782">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资本性赠与</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5803">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4AED9E3F">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AF80">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B351">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1C00F9">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FC1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30701</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E714">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国内债务付息</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A815">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01DA">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39999</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D8F7">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其他支出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7497">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r>
      <w:tr w14:paraId="1363D1EE">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A51D">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1549">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B883DD">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6FC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30702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065C">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国外债务付息</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BDB4">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8AC3">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5C17">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C4EE">
            <w:pPr>
              <w:keepNext w:val="0"/>
              <w:keepLines w:val="0"/>
              <w:pageBreakBefore w:val="0"/>
              <w:kinsoku/>
              <w:overflowPunct/>
              <w:topLinePunct w:val="0"/>
              <w:autoSpaceDN/>
              <w:bidi w:val="0"/>
              <w:spacing w:line="192" w:lineRule="exact"/>
              <w:ind w:firstLine="360"/>
              <w:jc w:val="right"/>
              <w:rPr>
                <w:rFonts w:hint="eastAsia" w:ascii="方正仿宋_GBK" w:hAnsi="方正仿宋_GBK" w:eastAsia="方正仿宋_GBK" w:cs="方正仿宋_GBK"/>
                <w:color w:val="000000"/>
                <w:sz w:val="15"/>
                <w:szCs w:val="15"/>
              </w:rPr>
            </w:pPr>
          </w:p>
        </w:tc>
      </w:tr>
      <w:tr w14:paraId="7CF69737">
        <w:tblPrEx>
          <w:tblCellMar>
            <w:top w:w="0" w:type="dxa"/>
            <w:left w:w="0" w:type="dxa"/>
            <w:bottom w:w="0" w:type="dxa"/>
            <w:right w:w="0" w:type="dxa"/>
          </w:tblCellMar>
        </w:tblPrEx>
        <w:trPr>
          <w:trHeight w:val="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477D">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70D0">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C8C56">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C8F6">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30703</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70BE">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国内债务发行费用</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E7A9">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38E8">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CF28">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182F">
            <w:pPr>
              <w:keepNext w:val="0"/>
              <w:keepLines w:val="0"/>
              <w:pageBreakBefore w:val="0"/>
              <w:kinsoku/>
              <w:overflowPunct/>
              <w:topLinePunct w:val="0"/>
              <w:autoSpaceDN/>
              <w:bidi w:val="0"/>
              <w:spacing w:line="192" w:lineRule="exact"/>
              <w:ind w:firstLine="360"/>
              <w:jc w:val="right"/>
              <w:rPr>
                <w:rFonts w:hint="eastAsia" w:ascii="方正仿宋_GBK" w:hAnsi="方正仿宋_GBK" w:eastAsia="方正仿宋_GBK" w:cs="方正仿宋_GBK"/>
                <w:color w:val="000000"/>
                <w:sz w:val="15"/>
                <w:szCs w:val="15"/>
              </w:rPr>
            </w:pPr>
          </w:p>
        </w:tc>
      </w:tr>
      <w:tr w14:paraId="29538420">
        <w:tblPrEx>
          <w:tblCellMar>
            <w:top w:w="0" w:type="dxa"/>
            <w:left w:w="0" w:type="dxa"/>
            <w:bottom w:w="0" w:type="dxa"/>
            <w:right w:w="0" w:type="dxa"/>
          </w:tblCellMar>
        </w:tblPrEx>
        <w:trPr>
          <w:trHeight w:val="15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1883">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130F">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10C80">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73A0">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30704</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94E5">
            <w:pPr>
              <w:keepNext w:val="0"/>
              <w:keepLines w:val="0"/>
              <w:pageBreakBefore w:val="0"/>
              <w:kinsoku/>
              <w:overflowPunct/>
              <w:topLinePunct w:val="0"/>
              <w:autoSpaceDN/>
              <w:bidi w:val="0"/>
              <w:spacing w:line="192" w:lineRule="exact"/>
              <w:ind w:firstLine="360"/>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 xml:space="preserve">  国外债务发行费用</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F1E1">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12A9">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DA00">
            <w:pPr>
              <w:keepNext w:val="0"/>
              <w:keepLines w:val="0"/>
              <w:pageBreakBefore w:val="0"/>
              <w:kinsoku/>
              <w:overflowPunct/>
              <w:topLinePunct w:val="0"/>
              <w:autoSpaceDN/>
              <w:bidi w:val="0"/>
              <w:spacing w:line="192" w:lineRule="exact"/>
              <w:ind w:firstLine="360"/>
              <w:rPr>
                <w:rFonts w:hint="eastAsia" w:ascii="方正仿宋_GBK" w:hAnsi="方正仿宋_GBK" w:eastAsia="方正仿宋_GBK" w:cs="方正仿宋_GBK"/>
                <w:color w:val="000000"/>
                <w:sz w:val="15"/>
                <w:szCs w:val="15"/>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0E8A">
            <w:pPr>
              <w:keepNext w:val="0"/>
              <w:keepLines w:val="0"/>
              <w:pageBreakBefore w:val="0"/>
              <w:kinsoku/>
              <w:overflowPunct/>
              <w:topLinePunct w:val="0"/>
              <w:autoSpaceDN/>
              <w:bidi w:val="0"/>
              <w:spacing w:line="192" w:lineRule="exact"/>
              <w:ind w:firstLine="360"/>
              <w:jc w:val="right"/>
              <w:rPr>
                <w:rFonts w:hint="eastAsia" w:ascii="方正仿宋_GBK" w:hAnsi="方正仿宋_GBK" w:eastAsia="方正仿宋_GBK" w:cs="方正仿宋_GBK"/>
                <w:color w:val="000000"/>
                <w:sz w:val="15"/>
                <w:szCs w:val="15"/>
              </w:rPr>
            </w:pPr>
          </w:p>
        </w:tc>
      </w:tr>
      <w:tr w14:paraId="0E35E5CE">
        <w:tblPrEx>
          <w:tblCellMar>
            <w:top w:w="0" w:type="dxa"/>
            <w:left w:w="0" w:type="dxa"/>
            <w:bottom w:w="0" w:type="dxa"/>
            <w:right w:w="0" w:type="dxa"/>
          </w:tblCellMar>
        </w:tblPrEx>
        <w:trPr>
          <w:trHeight w:val="310" w:hRule="atLeast"/>
        </w:trPr>
        <w:tc>
          <w:tcPr>
            <w:tcW w:w="1193"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77C0">
            <w:pPr>
              <w:keepNext w:val="0"/>
              <w:keepLines w:val="0"/>
              <w:pageBreakBefore w:val="0"/>
              <w:kinsoku/>
              <w:overflowPunct/>
              <w:topLinePunct w:val="0"/>
              <w:autoSpaceDN/>
              <w:bidi w:val="0"/>
              <w:spacing w:line="192" w:lineRule="exact"/>
              <w:ind w:firstLine="361"/>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人员经费合计</w:t>
            </w:r>
          </w:p>
        </w:tc>
        <w:tc>
          <w:tcPr>
            <w:tcW w:w="5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FEB61A">
            <w:pPr>
              <w:keepNext w:val="0"/>
              <w:keepLines w:val="0"/>
              <w:pageBreakBefore w:val="0"/>
              <w:kinsoku/>
              <w:overflowPunct/>
              <w:topLinePunct w:val="0"/>
              <w:autoSpaceDN/>
              <w:bidi w:val="0"/>
              <w:spacing w:line="192" w:lineRule="exact"/>
              <w:ind w:firstLine="360"/>
              <w:jc w:val="right"/>
              <w:textAlignment w:val="bottom"/>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2,298.49</w:t>
            </w:r>
          </w:p>
        </w:tc>
        <w:tc>
          <w:tcPr>
            <w:tcW w:w="285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CC382">
            <w:pPr>
              <w:keepNext w:val="0"/>
              <w:keepLines w:val="0"/>
              <w:pageBreakBefore w:val="0"/>
              <w:kinsoku/>
              <w:overflowPunct/>
              <w:topLinePunct w:val="0"/>
              <w:autoSpaceDN/>
              <w:bidi w:val="0"/>
              <w:spacing w:line="192" w:lineRule="exact"/>
              <w:ind w:firstLine="361"/>
              <w:jc w:val="center"/>
              <w:textAlignment w:val="center"/>
              <w:rPr>
                <w:rFonts w:hint="eastAsia"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sz w:val="15"/>
                <w:szCs w:val="15"/>
              </w:rPr>
              <w:t>公用经费合计</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537AE">
            <w:pPr>
              <w:keepNext w:val="0"/>
              <w:keepLines w:val="0"/>
              <w:pageBreakBefore w:val="0"/>
              <w:kinsoku/>
              <w:overflowPunct/>
              <w:topLinePunct w:val="0"/>
              <w:autoSpaceDN/>
              <w:bidi w:val="0"/>
              <w:spacing w:line="192" w:lineRule="exact"/>
              <w:ind w:firstLine="360"/>
              <w:jc w:val="right"/>
              <w:textAlignment w:val="center"/>
              <w:rPr>
                <w:rFonts w:hint="eastAsia" w:ascii="方正仿宋_GBK" w:hAnsi="方正仿宋_GBK" w:eastAsia="方正仿宋_GBK" w:cs="方正仿宋_GBK"/>
                <w:color w:val="000000"/>
                <w:sz w:val="15"/>
                <w:szCs w:val="15"/>
              </w:rPr>
            </w:pPr>
            <w:r>
              <w:rPr>
                <w:rFonts w:hint="eastAsia" w:ascii="方正仿宋_GBK" w:hAnsi="方正仿宋_GBK" w:eastAsia="方正仿宋_GBK" w:cs="方正仿宋_GBK"/>
                <w:color w:val="000000"/>
                <w:sz w:val="15"/>
                <w:szCs w:val="15"/>
              </w:rPr>
              <w:t>298.70</w:t>
            </w:r>
          </w:p>
        </w:tc>
      </w:tr>
    </w:tbl>
    <w:p w14:paraId="44BDD046">
      <w:pPr>
        <w:keepNext w:val="0"/>
        <w:keepLines w:val="0"/>
        <w:pageBreakBefore w:val="0"/>
        <w:kinsoku/>
        <w:overflowPunct/>
        <w:topLinePunct w:val="0"/>
        <w:autoSpaceDN/>
        <w:bidi w:val="0"/>
        <w:spacing w:line="280" w:lineRule="exact"/>
        <w:ind w:firstLine="4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DBF577E">
      <w:pPr>
        <w:keepNext w:val="0"/>
        <w:keepLines w:val="0"/>
        <w:pageBreakBefore w:val="0"/>
        <w:kinsoku/>
        <w:overflowPunct/>
        <w:topLinePunct w:val="0"/>
        <w:autoSpaceDN/>
        <w:bidi w:val="0"/>
        <w:spacing w:line="280" w:lineRule="exact"/>
        <w:rPr>
          <w:rFonts w:hint="default" w:cs="宋体"/>
          <w:sz w:val="20"/>
          <w:szCs w:val="20"/>
        </w:rPr>
      </w:pPr>
    </w:p>
    <w:tbl>
      <w:tblPr>
        <w:tblStyle w:val="10"/>
        <w:tblW w:w="4943"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665"/>
      </w:tblGrid>
      <w:tr w14:paraId="364A85C6">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0EBEF5C">
            <w:pPr>
              <w:keepNext w:val="0"/>
              <w:keepLines w:val="0"/>
              <w:pageBreakBefore w:val="0"/>
              <w:kinsoku/>
              <w:overflowPunct/>
              <w:topLinePunct w:val="0"/>
              <w:autoSpaceDN/>
              <w:bidi w:val="0"/>
              <w:ind w:firstLine="643"/>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6BA40DB">
        <w:tblPrEx>
          <w:tblCellMar>
            <w:top w:w="0" w:type="dxa"/>
            <w:left w:w="0" w:type="dxa"/>
            <w:bottom w:w="0" w:type="dxa"/>
            <w:right w:w="0" w:type="dxa"/>
          </w:tblCellMar>
        </w:tblPrEx>
        <w:trPr>
          <w:trHeight w:val="329" w:hRule="atLeast"/>
        </w:trPr>
        <w:tc>
          <w:tcPr>
            <w:tcW w:w="2183" w:type="pct"/>
            <w:gridSpan w:val="3"/>
            <w:vMerge w:val="restart"/>
            <w:tcBorders>
              <w:top w:val="nil"/>
              <w:left w:val="nil"/>
              <w:right w:val="nil"/>
            </w:tcBorders>
            <w:shd w:val="clear" w:color="auto" w:fill="auto"/>
            <w:noWrap/>
            <w:tcMar>
              <w:top w:w="15" w:type="dxa"/>
              <w:left w:w="15" w:type="dxa"/>
              <w:right w:w="15" w:type="dxa"/>
            </w:tcMar>
            <w:vAlign w:val="bottom"/>
          </w:tcPr>
          <w:p w14:paraId="63FABF3D">
            <w:pPr>
              <w:keepNext w:val="0"/>
              <w:keepLines w:val="0"/>
              <w:pageBreakBefore w:val="0"/>
              <w:kinsoku/>
              <w:overflowPunct/>
              <w:topLinePunct w:val="0"/>
              <w:autoSpaceDN/>
              <w:bidi w:val="0"/>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重庆铁路小学</w:t>
            </w:r>
          </w:p>
        </w:tc>
        <w:tc>
          <w:tcPr>
            <w:tcW w:w="561" w:type="pct"/>
            <w:tcBorders>
              <w:top w:val="nil"/>
              <w:left w:val="nil"/>
              <w:bottom w:val="nil"/>
              <w:right w:val="nil"/>
            </w:tcBorders>
            <w:shd w:val="clear" w:color="auto" w:fill="auto"/>
            <w:noWrap/>
            <w:tcMar>
              <w:top w:w="15" w:type="dxa"/>
              <w:left w:w="15" w:type="dxa"/>
              <w:right w:w="15" w:type="dxa"/>
            </w:tcMar>
            <w:vAlign w:val="bottom"/>
          </w:tcPr>
          <w:p w14:paraId="25877DD9">
            <w:pPr>
              <w:keepNext w:val="0"/>
              <w:keepLines w:val="0"/>
              <w:pageBreakBefore w:val="0"/>
              <w:kinsoku/>
              <w:overflowPunct/>
              <w:topLinePunct w:val="0"/>
              <w:autoSpaceDN/>
              <w:bidi w:val="0"/>
              <w:ind w:firstLine="400"/>
              <w:rPr>
                <w:rFonts w:hint="default" w:cs="宋体"/>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59F3BCE1">
            <w:pPr>
              <w:keepNext w:val="0"/>
              <w:keepLines w:val="0"/>
              <w:pageBreakBefore w:val="0"/>
              <w:kinsoku/>
              <w:overflowPunct/>
              <w:topLinePunct w:val="0"/>
              <w:autoSpaceDN/>
              <w:bidi w:val="0"/>
              <w:ind w:firstLine="400"/>
              <w:rPr>
                <w:rFonts w:hint="default" w:cs="宋体"/>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76A1F5C7">
            <w:pPr>
              <w:keepNext w:val="0"/>
              <w:keepLines w:val="0"/>
              <w:pageBreakBefore w:val="0"/>
              <w:kinsoku/>
              <w:overflowPunct/>
              <w:topLinePunct w:val="0"/>
              <w:autoSpaceDN/>
              <w:bidi w:val="0"/>
              <w:ind w:firstLine="400"/>
              <w:rPr>
                <w:rFonts w:hint="default" w:cs="宋体"/>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3E5EBEAA">
            <w:pPr>
              <w:keepNext w:val="0"/>
              <w:keepLines w:val="0"/>
              <w:pageBreakBefore w:val="0"/>
              <w:kinsoku/>
              <w:overflowPunct/>
              <w:topLinePunct w:val="0"/>
              <w:autoSpaceDN/>
              <w:bidi w:val="0"/>
              <w:ind w:firstLine="400"/>
              <w:rPr>
                <w:rFonts w:hint="default" w:cs="宋体"/>
                <w:color w:val="000000"/>
                <w:sz w:val="20"/>
                <w:szCs w:val="20"/>
              </w:rPr>
            </w:pPr>
          </w:p>
        </w:tc>
        <w:tc>
          <w:tcPr>
            <w:tcW w:w="549" w:type="pct"/>
            <w:tcBorders>
              <w:top w:val="nil"/>
              <w:left w:val="nil"/>
              <w:bottom w:val="nil"/>
              <w:right w:val="nil"/>
            </w:tcBorders>
            <w:shd w:val="clear" w:color="auto" w:fill="auto"/>
            <w:noWrap/>
            <w:tcMar>
              <w:top w:w="15" w:type="dxa"/>
              <w:left w:w="15" w:type="dxa"/>
              <w:right w:w="15" w:type="dxa"/>
            </w:tcMar>
            <w:vAlign w:val="bottom"/>
          </w:tcPr>
          <w:p w14:paraId="53C564D6">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460DB53">
        <w:tblPrEx>
          <w:tblCellMar>
            <w:top w:w="0" w:type="dxa"/>
            <w:left w:w="0" w:type="dxa"/>
            <w:bottom w:w="0" w:type="dxa"/>
            <w:right w:w="0" w:type="dxa"/>
          </w:tblCellMar>
        </w:tblPrEx>
        <w:trPr>
          <w:trHeight w:val="329" w:hRule="atLeast"/>
        </w:trPr>
        <w:tc>
          <w:tcPr>
            <w:tcW w:w="2183" w:type="pct"/>
            <w:gridSpan w:val="3"/>
            <w:vMerge w:val="continue"/>
            <w:tcBorders>
              <w:left w:val="nil"/>
              <w:bottom w:val="nil"/>
              <w:right w:val="nil"/>
            </w:tcBorders>
            <w:shd w:val="clear" w:color="auto" w:fill="auto"/>
            <w:noWrap/>
            <w:tcMar>
              <w:top w:w="15" w:type="dxa"/>
              <w:left w:w="15" w:type="dxa"/>
              <w:right w:w="15" w:type="dxa"/>
            </w:tcMar>
            <w:vAlign w:val="bottom"/>
          </w:tcPr>
          <w:p w14:paraId="4256E69A">
            <w:pPr>
              <w:keepNext w:val="0"/>
              <w:keepLines w:val="0"/>
              <w:pageBreakBefore w:val="0"/>
              <w:kinsoku/>
              <w:overflowPunct/>
              <w:topLinePunct w:val="0"/>
              <w:autoSpaceDN/>
              <w:bidi w:val="0"/>
              <w:ind w:firstLine="400"/>
              <w:rPr>
                <w:rFonts w:hint="default" w:cs="宋体"/>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1AD98202">
            <w:pPr>
              <w:keepNext w:val="0"/>
              <w:keepLines w:val="0"/>
              <w:pageBreakBefore w:val="0"/>
              <w:kinsoku/>
              <w:overflowPunct/>
              <w:topLinePunct w:val="0"/>
              <w:autoSpaceDN/>
              <w:bidi w:val="0"/>
              <w:ind w:firstLine="400"/>
              <w:rPr>
                <w:rFonts w:hint="default" w:cs="宋体"/>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255D34F6">
            <w:pPr>
              <w:keepNext w:val="0"/>
              <w:keepLines w:val="0"/>
              <w:pageBreakBefore w:val="0"/>
              <w:kinsoku/>
              <w:overflowPunct/>
              <w:topLinePunct w:val="0"/>
              <w:autoSpaceDN/>
              <w:bidi w:val="0"/>
              <w:ind w:firstLine="400"/>
              <w:rPr>
                <w:rFonts w:hint="default" w:cs="宋体"/>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03C5779F">
            <w:pPr>
              <w:keepNext w:val="0"/>
              <w:keepLines w:val="0"/>
              <w:pageBreakBefore w:val="0"/>
              <w:kinsoku/>
              <w:overflowPunct/>
              <w:topLinePunct w:val="0"/>
              <w:autoSpaceDN/>
              <w:bidi w:val="0"/>
              <w:ind w:firstLine="400"/>
              <w:rPr>
                <w:rFonts w:hint="default" w:cs="宋体"/>
                <w:color w:val="000000"/>
                <w:sz w:val="20"/>
                <w:szCs w:val="20"/>
              </w:rPr>
            </w:pPr>
          </w:p>
        </w:tc>
        <w:tc>
          <w:tcPr>
            <w:tcW w:w="582" w:type="pct"/>
            <w:tcBorders>
              <w:top w:val="nil"/>
              <w:left w:val="nil"/>
              <w:bottom w:val="nil"/>
              <w:right w:val="nil"/>
            </w:tcBorders>
            <w:shd w:val="clear" w:color="auto" w:fill="auto"/>
            <w:noWrap/>
            <w:tcMar>
              <w:top w:w="15" w:type="dxa"/>
              <w:left w:w="15" w:type="dxa"/>
              <w:right w:w="15" w:type="dxa"/>
            </w:tcMar>
            <w:vAlign w:val="bottom"/>
          </w:tcPr>
          <w:p w14:paraId="498AAF5B">
            <w:pPr>
              <w:keepNext w:val="0"/>
              <w:keepLines w:val="0"/>
              <w:pageBreakBefore w:val="0"/>
              <w:kinsoku/>
              <w:overflowPunct/>
              <w:topLinePunct w:val="0"/>
              <w:autoSpaceDN/>
              <w:bidi w:val="0"/>
              <w:ind w:firstLine="400"/>
              <w:rPr>
                <w:rFonts w:hint="default" w:cs="宋体"/>
                <w:color w:val="000000"/>
                <w:sz w:val="20"/>
                <w:szCs w:val="20"/>
              </w:rPr>
            </w:pPr>
          </w:p>
        </w:tc>
        <w:tc>
          <w:tcPr>
            <w:tcW w:w="549" w:type="pct"/>
            <w:tcBorders>
              <w:top w:val="nil"/>
              <w:left w:val="nil"/>
              <w:bottom w:val="nil"/>
              <w:right w:val="nil"/>
            </w:tcBorders>
            <w:shd w:val="clear" w:color="auto" w:fill="auto"/>
            <w:noWrap/>
            <w:tcMar>
              <w:top w:w="15" w:type="dxa"/>
              <w:left w:w="15" w:type="dxa"/>
              <w:right w:w="15" w:type="dxa"/>
            </w:tcMar>
            <w:vAlign w:val="bottom"/>
          </w:tcPr>
          <w:p w14:paraId="6876106C">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F52FBC">
        <w:tblPrEx>
          <w:tblCellMar>
            <w:top w:w="0" w:type="dxa"/>
            <w:left w:w="0" w:type="dxa"/>
            <w:bottom w:w="0" w:type="dxa"/>
            <w:right w:w="0" w:type="dxa"/>
          </w:tblCellMar>
        </w:tblPrEx>
        <w:trPr>
          <w:trHeight w:val="339" w:hRule="atLeast"/>
        </w:trPr>
        <w:tc>
          <w:tcPr>
            <w:tcW w:w="16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BBB1">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w:t>
            </w:r>
          </w:p>
        </w:tc>
        <w:tc>
          <w:tcPr>
            <w:tcW w:w="561"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8F6C84">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年初结转和结余</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2B70F">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本年收入</w:t>
            </w:r>
          </w:p>
        </w:tc>
        <w:tc>
          <w:tcPr>
            <w:tcW w:w="170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756947">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本年支出</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B6CA">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年末结转和结余</w:t>
            </w:r>
          </w:p>
        </w:tc>
      </w:tr>
      <w:tr w14:paraId="2724B5D4">
        <w:tblPrEx>
          <w:tblCellMar>
            <w:top w:w="0" w:type="dxa"/>
            <w:left w:w="0" w:type="dxa"/>
            <w:bottom w:w="0" w:type="dxa"/>
            <w:right w:w="0" w:type="dxa"/>
          </w:tblCellMar>
        </w:tblPrEx>
        <w:trPr>
          <w:trHeight w:val="335"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51CA8">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3F50">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6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1E9137">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5CAD1">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2739D">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合计</w:t>
            </w:r>
          </w:p>
        </w:tc>
        <w:tc>
          <w:tcPr>
            <w:tcW w:w="56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A3702">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基本支出</w:t>
            </w:r>
          </w:p>
        </w:tc>
        <w:tc>
          <w:tcPr>
            <w:tcW w:w="5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D3401">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项目支出</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0A989">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7A2EDB31">
        <w:tblPrEx>
          <w:tblCellMar>
            <w:top w:w="0" w:type="dxa"/>
            <w:left w:w="0" w:type="dxa"/>
            <w:bottom w:w="0" w:type="dxa"/>
            <w:right w:w="0" w:type="dxa"/>
          </w:tblCellMar>
        </w:tblPrEx>
        <w:trPr>
          <w:trHeight w:val="335"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5451">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F7A25">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4DCBA9">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AF3BA">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4FE89">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5B10C">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60D0D">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F7095">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7DD3D641">
        <w:tblPrEx>
          <w:tblCellMar>
            <w:top w:w="0" w:type="dxa"/>
            <w:left w:w="0" w:type="dxa"/>
            <w:bottom w:w="0" w:type="dxa"/>
            <w:right w:w="0" w:type="dxa"/>
          </w:tblCellMar>
        </w:tblPrEx>
        <w:trPr>
          <w:trHeight w:val="645"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E98C">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9EB6">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E499E2">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7747">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CA228">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59752">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B06E0">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369EF">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3E3876A5">
        <w:tblPrEx>
          <w:tblCellMar>
            <w:top w:w="0" w:type="dxa"/>
            <w:left w:w="0" w:type="dxa"/>
            <w:bottom w:w="0" w:type="dxa"/>
            <w:right w:w="0" w:type="dxa"/>
          </w:tblCellMar>
        </w:tblPrEx>
        <w:trPr>
          <w:trHeight w:val="339" w:hRule="atLeast"/>
        </w:trPr>
        <w:tc>
          <w:tcPr>
            <w:tcW w:w="1621"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F80B0">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合计</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AA31">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5F3DD">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94BDC">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02A63">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6EE5C">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3037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D9D1387">
        <w:tblPrEx>
          <w:tblCellMar>
            <w:top w:w="0" w:type="dxa"/>
            <w:left w:w="0" w:type="dxa"/>
            <w:bottom w:w="0" w:type="dxa"/>
            <w:right w:w="0" w:type="dxa"/>
          </w:tblCellMar>
        </w:tblPrEx>
        <w:trPr>
          <w:trHeight w:val="349" w:hRule="atLeast"/>
        </w:trPr>
        <w:tc>
          <w:tcPr>
            <w:tcW w:w="4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7B4D">
            <w:pPr>
              <w:keepNext w:val="0"/>
              <w:keepLines w:val="0"/>
              <w:pageBreakBefore w:val="0"/>
              <w:kinsoku/>
              <w:overflowPunct/>
              <w:topLinePunct w:val="0"/>
              <w:autoSpaceDN/>
              <w:bidi w:val="0"/>
              <w:ind w:firstLine="402"/>
              <w:jc w:val="both"/>
              <w:textAlignment w:val="center"/>
              <w:rPr>
                <w:rFonts w:hint="default" w:cs="宋体"/>
                <w:color w:val="000000"/>
                <w:sz w:val="20"/>
                <w:szCs w:val="20"/>
              </w:rPr>
            </w:pPr>
            <w:r>
              <w:rPr>
                <w:rFonts w:cs="宋体"/>
                <w:b/>
                <w:color w:val="000000"/>
                <w:sz w:val="20"/>
                <w:szCs w:val="20"/>
              </w:rPr>
              <w:t>229</w:t>
            </w:r>
          </w:p>
        </w:tc>
        <w:tc>
          <w:tcPr>
            <w:tcW w:w="11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E6E8">
            <w:pPr>
              <w:keepNext w:val="0"/>
              <w:keepLines w:val="0"/>
              <w:pageBreakBefore w:val="0"/>
              <w:kinsoku/>
              <w:overflowPunct/>
              <w:topLinePunct w:val="0"/>
              <w:autoSpaceDN/>
              <w:bidi w:val="0"/>
              <w:ind w:firstLine="402"/>
              <w:jc w:val="both"/>
              <w:textAlignment w:val="center"/>
              <w:rPr>
                <w:rFonts w:hint="default" w:cs="宋体"/>
                <w:color w:val="000000"/>
                <w:sz w:val="20"/>
                <w:szCs w:val="20"/>
              </w:rPr>
            </w:pPr>
            <w:r>
              <w:rPr>
                <w:rFonts w:cs="宋体"/>
                <w:b/>
                <w:color w:val="000000"/>
                <w:sz w:val="20"/>
                <w:szCs w:val="20"/>
              </w:rPr>
              <w:t>其他支出</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1130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37E42">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82D8">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5C47">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FF86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9040C">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56C3123">
        <w:tblPrEx>
          <w:tblCellMar>
            <w:top w:w="0" w:type="dxa"/>
            <w:left w:w="0" w:type="dxa"/>
            <w:bottom w:w="0" w:type="dxa"/>
            <w:right w:w="0" w:type="dxa"/>
          </w:tblCellMar>
        </w:tblPrEx>
        <w:trPr>
          <w:trHeight w:val="349" w:hRule="atLeast"/>
        </w:trPr>
        <w:tc>
          <w:tcPr>
            <w:tcW w:w="4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13B5">
            <w:pPr>
              <w:keepNext w:val="0"/>
              <w:keepLines w:val="0"/>
              <w:pageBreakBefore w:val="0"/>
              <w:kinsoku/>
              <w:overflowPunct/>
              <w:topLinePunct w:val="0"/>
              <w:autoSpaceDN/>
              <w:bidi w:val="0"/>
              <w:ind w:firstLine="402"/>
              <w:jc w:val="both"/>
              <w:textAlignment w:val="center"/>
              <w:rPr>
                <w:rFonts w:hint="default" w:cs="宋体"/>
                <w:color w:val="000000"/>
                <w:sz w:val="20"/>
                <w:szCs w:val="20"/>
              </w:rPr>
            </w:pPr>
            <w:r>
              <w:rPr>
                <w:rFonts w:cs="宋体"/>
                <w:b/>
                <w:color w:val="000000"/>
                <w:sz w:val="20"/>
                <w:szCs w:val="20"/>
              </w:rPr>
              <w:t>22960</w:t>
            </w:r>
          </w:p>
        </w:tc>
        <w:tc>
          <w:tcPr>
            <w:tcW w:w="11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7F5A7">
            <w:pPr>
              <w:keepNext w:val="0"/>
              <w:keepLines w:val="0"/>
              <w:pageBreakBefore w:val="0"/>
              <w:kinsoku/>
              <w:overflowPunct/>
              <w:topLinePunct w:val="0"/>
              <w:autoSpaceDN/>
              <w:bidi w:val="0"/>
              <w:ind w:firstLine="402"/>
              <w:jc w:val="both"/>
              <w:textAlignment w:val="center"/>
              <w:rPr>
                <w:rFonts w:hint="default" w:cs="宋体"/>
                <w:color w:val="000000"/>
                <w:sz w:val="20"/>
                <w:szCs w:val="20"/>
              </w:rPr>
            </w:pPr>
            <w:r>
              <w:rPr>
                <w:rFonts w:cs="宋体"/>
                <w:b/>
                <w:color w:val="000000"/>
                <w:sz w:val="20"/>
                <w:szCs w:val="20"/>
              </w:rPr>
              <w:t>彩票公益金安排的支出</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7B48D">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577F">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678B">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C397A">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5F26F">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26291">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716E24A">
        <w:tblPrEx>
          <w:tblCellMar>
            <w:top w:w="0" w:type="dxa"/>
            <w:left w:w="0" w:type="dxa"/>
            <w:bottom w:w="0" w:type="dxa"/>
            <w:right w:w="0" w:type="dxa"/>
          </w:tblCellMar>
        </w:tblPrEx>
        <w:trPr>
          <w:trHeight w:val="349" w:hRule="atLeast"/>
        </w:trPr>
        <w:tc>
          <w:tcPr>
            <w:tcW w:w="4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EB1A">
            <w:pPr>
              <w:keepNext w:val="0"/>
              <w:keepLines w:val="0"/>
              <w:pageBreakBefore w:val="0"/>
              <w:kinsoku/>
              <w:overflowPunct/>
              <w:topLinePunct w:val="0"/>
              <w:autoSpaceDN/>
              <w:bidi w:val="0"/>
              <w:ind w:firstLine="400"/>
              <w:jc w:val="both"/>
              <w:textAlignment w:val="center"/>
              <w:rPr>
                <w:rFonts w:hint="default" w:cs="宋体"/>
                <w:color w:val="000000"/>
                <w:sz w:val="20"/>
                <w:szCs w:val="20"/>
              </w:rPr>
            </w:pPr>
            <w:r>
              <w:rPr>
                <w:rFonts w:cs="宋体"/>
                <w:color w:val="000000"/>
                <w:sz w:val="20"/>
                <w:szCs w:val="20"/>
              </w:rPr>
              <w:t>2296004</w:t>
            </w:r>
          </w:p>
        </w:tc>
        <w:tc>
          <w:tcPr>
            <w:tcW w:w="11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900B1">
            <w:pPr>
              <w:keepNext w:val="0"/>
              <w:keepLines w:val="0"/>
              <w:pageBreakBefore w:val="0"/>
              <w:kinsoku/>
              <w:overflowPunct/>
              <w:topLinePunct w:val="0"/>
              <w:autoSpaceDN/>
              <w:bidi w:val="0"/>
              <w:ind w:firstLine="400"/>
              <w:jc w:val="both"/>
              <w:textAlignment w:val="center"/>
              <w:rPr>
                <w:rFonts w:hint="default" w:cs="宋体"/>
                <w:color w:val="000000"/>
                <w:sz w:val="20"/>
                <w:szCs w:val="20"/>
              </w:rPr>
            </w:pPr>
            <w:r>
              <w:rPr>
                <w:rFonts w:cs="宋体"/>
                <w:color w:val="000000"/>
                <w:sz w:val="20"/>
                <w:szCs w:val="20"/>
              </w:rPr>
              <w:t>用于教育事业的彩票公益金支出</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C3B46">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AD661">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1B15">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D849">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3279">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93082">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03F3FC7D">
      <w:pPr>
        <w:keepNext w:val="0"/>
        <w:keepLines w:val="0"/>
        <w:pageBreakBefore w:val="0"/>
        <w:kinsoku/>
        <w:overflowPunct/>
        <w:topLinePunct w:val="0"/>
        <w:autoSpaceDN/>
        <w:bidi w:val="0"/>
        <w:ind w:firstLine="400"/>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22A0573">
      <w:pPr>
        <w:keepNext w:val="0"/>
        <w:keepLines w:val="0"/>
        <w:pageBreakBefore w:val="0"/>
        <w:kinsoku/>
        <w:overflowPunct/>
        <w:topLinePunct w:val="0"/>
        <w:autoSpaceDN/>
        <w:bidi w:val="0"/>
        <w:ind w:firstLine="420"/>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22972B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1FF5E6">
            <w:pPr>
              <w:keepNext w:val="0"/>
              <w:keepLines w:val="0"/>
              <w:pageBreakBefore w:val="0"/>
              <w:kinsoku/>
              <w:overflowPunct/>
              <w:topLinePunct w:val="0"/>
              <w:autoSpaceDN/>
              <w:bidi w:val="0"/>
              <w:ind w:firstLine="643"/>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421CE3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B21A6A0">
            <w:pPr>
              <w:keepNext w:val="0"/>
              <w:keepLines w:val="0"/>
              <w:pageBreakBefore w:val="0"/>
              <w:kinsoku/>
              <w:overflowPunct/>
              <w:topLinePunct w:val="0"/>
              <w:autoSpaceDN/>
              <w:bidi w:val="0"/>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重庆铁路小学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502160D">
            <w:pPr>
              <w:keepNext w:val="0"/>
              <w:keepLines w:val="0"/>
              <w:pageBreakBefore w:val="0"/>
              <w:kinsoku/>
              <w:overflowPunct/>
              <w:topLinePunct w:val="0"/>
              <w:autoSpaceDN/>
              <w:bidi w:val="0"/>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C14C6F6">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2A9513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FF00D55">
            <w:pPr>
              <w:keepNext w:val="0"/>
              <w:keepLines w:val="0"/>
              <w:pageBreakBefore w:val="0"/>
              <w:kinsoku/>
              <w:overflowPunct/>
              <w:topLinePunct w:val="0"/>
              <w:autoSpaceDN/>
              <w:bidi w:val="0"/>
              <w:ind w:firstLine="4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73C666D">
            <w:pPr>
              <w:keepNext w:val="0"/>
              <w:keepLines w:val="0"/>
              <w:pageBreakBefore w:val="0"/>
              <w:kinsoku/>
              <w:overflowPunct/>
              <w:topLinePunct w:val="0"/>
              <w:autoSpaceDN/>
              <w:bidi w:val="0"/>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3321055">
            <w:pPr>
              <w:keepNext w:val="0"/>
              <w:keepLines w:val="0"/>
              <w:pageBreakBefore w:val="0"/>
              <w:kinsoku/>
              <w:overflowPunct/>
              <w:topLinePunct w:val="0"/>
              <w:autoSpaceDN/>
              <w:bidi w:val="0"/>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488B4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9D77A3">
            <w:pPr>
              <w:keepNext w:val="0"/>
              <w:keepLines w:val="0"/>
              <w:pageBreakBefore w:val="0"/>
              <w:kinsoku/>
              <w:overflowPunct/>
              <w:topLinePunct w:val="0"/>
              <w:autoSpaceDN/>
              <w:bidi w:val="0"/>
              <w:ind w:firstLine="402"/>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36BBA">
            <w:pPr>
              <w:keepNext w:val="0"/>
              <w:keepLines w:val="0"/>
              <w:pageBreakBefore w:val="0"/>
              <w:kinsoku/>
              <w:overflowPunct/>
              <w:topLinePunct w:val="0"/>
              <w:autoSpaceDN/>
              <w:bidi w:val="0"/>
              <w:ind w:firstLine="402"/>
              <w:jc w:val="center"/>
              <w:textAlignment w:val="bottom"/>
              <w:rPr>
                <w:rFonts w:hint="default" w:cs="宋体"/>
                <w:b/>
                <w:color w:val="000000"/>
                <w:sz w:val="20"/>
                <w:szCs w:val="20"/>
              </w:rPr>
            </w:pPr>
            <w:r>
              <w:rPr>
                <w:rFonts w:cs="宋体"/>
                <w:b/>
                <w:color w:val="000000"/>
                <w:sz w:val="20"/>
                <w:szCs w:val="20"/>
              </w:rPr>
              <w:t>本年支出</w:t>
            </w:r>
          </w:p>
        </w:tc>
      </w:tr>
      <w:tr w14:paraId="2A63495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4BC72">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E5972">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6A2B">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7C1EC">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74D76">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项目支出</w:t>
            </w:r>
          </w:p>
        </w:tc>
      </w:tr>
      <w:tr w14:paraId="76199A2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2FAE">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C02B5">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CFD8">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24F22">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2B800">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6D2B942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BFFA5">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B3462">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6C77">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EFB67">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F8705">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7D93296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2F28">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DDCFC">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8603">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91275">
            <w:pPr>
              <w:keepNext w:val="0"/>
              <w:keepLines w:val="0"/>
              <w:pageBreakBefore w:val="0"/>
              <w:kinsoku/>
              <w:overflowPunct/>
              <w:topLinePunct w:val="0"/>
              <w:autoSpaceDN/>
              <w:bidi w:val="0"/>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5E586">
            <w:pPr>
              <w:keepNext w:val="0"/>
              <w:keepLines w:val="0"/>
              <w:pageBreakBefore w:val="0"/>
              <w:kinsoku/>
              <w:overflowPunct/>
              <w:topLinePunct w:val="0"/>
              <w:autoSpaceDN/>
              <w:bidi w:val="0"/>
              <w:ind w:firstLine="402"/>
              <w:jc w:val="center"/>
              <w:rPr>
                <w:rFonts w:hint="default" w:cs="宋体"/>
                <w:b/>
                <w:color w:val="000000"/>
                <w:sz w:val="20"/>
                <w:szCs w:val="20"/>
              </w:rPr>
            </w:pPr>
          </w:p>
        </w:tc>
      </w:tr>
      <w:tr w14:paraId="366EEF3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71EC">
            <w:pPr>
              <w:keepNext w:val="0"/>
              <w:keepLines w:val="0"/>
              <w:pageBreakBefore w:val="0"/>
              <w:kinsoku/>
              <w:overflowPunct/>
              <w:topLinePunct w:val="0"/>
              <w:autoSpaceDN/>
              <w:bidi w:val="0"/>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7170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ADBB5">
            <w:pPr>
              <w:keepNext w:val="0"/>
              <w:keepLines w:val="0"/>
              <w:pageBreakBefore w:val="0"/>
              <w:kinsoku/>
              <w:overflowPunct/>
              <w:topLinePunct w:val="0"/>
              <w:autoSpaceDN/>
              <w:bidi w:val="0"/>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B6DC5">
            <w:pPr>
              <w:keepNext w:val="0"/>
              <w:keepLines w:val="0"/>
              <w:pageBreakBefore w:val="0"/>
              <w:kinsoku/>
              <w:wordWrap w:val="0"/>
              <w:overflowPunct/>
              <w:topLinePunct w:val="0"/>
              <w:autoSpaceDN/>
              <w:bidi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18D776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EF5C">
            <w:pPr>
              <w:keepNext w:val="0"/>
              <w:keepLines w:val="0"/>
              <w:pageBreakBefore w:val="0"/>
              <w:kinsoku/>
              <w:overflowPunct/>
              <w:topLinePunct w:val="0"/>
              <w:autoSpaceDN/>
              <w:bidi w:val="0"/>
              <w:ind w:firstLine="4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D7DFA">
            <w:pPr>
              <w:keepNext w:val="0"/>
              <w:keepLines w:val="0"/>
              <w:pageBreakBefore w:val="0"/>
              <w:kinsoku/>
              <w:overflowPunct/>
              <w:topLinePunct w:val="0"/>
              <w:autoSpaceDN/>
              <w:bidi w:val="0"/>
              <w:ind w:firstLine="4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6CCB2">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7939">
            <w:pPr>
              <w:keepNext w:val="0"/>
              <w:keepLines w:val="0"/>
              <w:pageBreakBefore w:val="0"/>
              <w:kinsoku/>
              <w:overflowPunct/>
              <w:topLinePunct w:val="0"/>
              <w:autoSpaceDN/>
              <w:bidi w:val="0"/>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227CB">
            <w:pPr>
              <w:keepNext w:val="0"/>
              <w:keepLines w:val="0"/>
              <w:pageBreakBefore w:val="0"/>
              <w:kinsoku/>
              <w:wordWrap w:val="0"/>
              <w:overflowPunct/>
              <w:topLinePunct w:val="0"/>
              <w:autoSpaceDN/>
              <w:bidi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5B2A9065">
      <w:pPr>
        <w:keepNext w:val="0"/>
        <w:keepLines w:val="0"/>
        <w:pageBreakBefore w:val="0"/>
        <w:kinsoku/>
        <w:overflowPunct/>
        <w:topLinePunct w:val="0"/>
        <w:autoSpaceDN/>
        <w:bidi w:val="0"/>
        <w:ind w:firstLine="4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AF254C7">
      <w:pPr>
        <w:keepNext w:val="0"/>
        <w:keepLines w:val="0"/>
        <w:pageBreakBefore w:val="0"/>
        <w:kinsoku/>
        <w:overflowPunct/>
        <w:topLinePunct w:val="0"/>
        <w:autoSpaceDN/>
        <w:bidi w:val="0"/>
        <w:ind w:firstLine="420"/>
        <w:rPr>
          <w:rFonts w:hint="default" w:cs="宋体"/>
          <w:sz w:val="21"/>
          <w:szCs w:val="21"/>
        </w:rPr>
      </w:pPr>
      <w:r>
        <w:rPr>
          <w:rFonts w:hint="default" w:cs="宋体"/>
          <w:sz w:val="21"/>
          <w:szCs w:val="21"/>
        </w:rPr>
        <w:br w:type="page"/>
      </w:r>
    </w:p>
    <w:tbl>
      <w:tblPr>
        <w:tblStyle w:val="10"/>
        <w:tblW w:w="4902" w:type="pct"/>
        <w:tblInd w:w="0" w:type="dxa"/>
        <w:tblLayout w:type="fixed"/>
        <w:tblCellMar>
          <w:top w:w="0" w:type="dxa"/>
          <w:left w:w="170" w:type="dxa"/>
          <w:bottom w:w="0" w:type="dxa"/>
          <w:right w:w="170" w:type="dxa"/>
        </w:tblCellMar>
      </w:tblPr>
      <w:tblGrid>
        <w:gridCol w:w="3176"/>
        <w:gridCol w:w="2416"/>
        <w:gridCol w:w="2374"/>
        <w:gridCol w:w="3671"/>
        <w:gridCol w:w="3386"/>
      </w:tblGrid>
      <w:tr w14:paraId="744C8BA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DAB00DB">
            <w:pPr>
              <w:keepNext w:val="0"/>
              <w:keepLines w:val="0"/>
              <w:pageBreakBefore w:val="0"/>
              <w:kinsoku/>
              <w:overflowPunct/>
              <w:topLinePunct w:val="0"/>
              <w:autoSpaceDN/>
              <w:bidi w:val="0"/>
              <w:spacing w:line="400" w:lineRule="exact"/>
              <w:ind w:firstLine="643"/>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600E663">
        <w:tblPrEx>
          <w:tblCellMar>
            <w:top w:w="0" w:type="dxa"/>
            <w:left w:w="170" w:type="dxa"/>
            <w:bottom w:w="0" w:type="dxa"/>
            <w:right w:w="170" w:type="dxa"/>
          </w:tblCellMar>
        </w:tblPrEx>
        <w:trPr>
          <w:trHeight w:val="244" w:hRule="atLeast"/>
        </w:trPr>
        <w:tc>
          <w:tcPr>
            <w:tcW w:w="1057" w:type="pct"/>
            <w:shd w:val="clear" w:color="auto" w:fill="auto"/>
            <w:noWrap/>
            <w:tcMar>
              <w:top w:w="15" w:type="dxa"/>
              <w:left w:w="15" w:type="dxa"/>
              <w:right w:w="15" w:type="dxa"/>
            </w:tcMar>
            <w:vAlign w:val="bottom"/>
          </w:tcPr>
          <w:p w14:paraId="37957090">
            <w:pPr>
              <w:keepNext w:val="0"/>
              <w:keepLines w:val="0"/>
              <w:pageBreakBefore w:val="0"/>
              <w:kinsoku/>
              <w:overflowPunct/>
              <w:topLinePunct w:val="0"/>
              <w:autoSpaceDN/>
              <w:bidi w:val="0"/>
              <w:spacing w:line="280" w:lineRule="exact"/>
              <w:ind w:firstLine="400"/>
              <w:rPr>
                <w:rFonts w:hint="default" w:cs="宋体"/>
                <w:color w:val="000000"/>
                <w:kern w:val="2"/>
                <w:sz w:val="20"/>
                <w:szCs w:val="20"/>
              </w:rPr>
            </w:pPr>
          </w:p>
        </w:tc>
        <w:tc>
          <w:tcPr>
            <w:tcW w:w="804" w:type="pct"/>
            <w:shd w:val="clear" w:color="auto" w:fill="auto"/>
            <w:noWrap/>
            <w:tcMar>
              <w:top w:w="15" w:type="dxa"/>
              <w:left w:w="15" w:type="dxa"/>
              <w:right w:w="15" w:type="dxa"/>
            </w:tcMar>
            <w:vAlign w:val="bottom"/>
          </w:tcPr>
          <w:p w14:paraId="7B0C0C77">
            <w:pPr>
              <w:keepNext w:val="0"/>
              <w:keepLines w:val="0"/>
              <w:pageBreakBefore w:val="0"/>
              <w:kinsoku/>
              <w:overflowPunct/>
              <w:topLinePunct w:val="0"/>
              <w:autoSpaceDN/>
              <w:bidi w:val="0"/>
              <w:spacing w:line="280" w:lineRule="exact"/>
              <w:ind w:firstLine="400"/>
              <w:jc w:val="center"/>
              <w:rPr>
                <w:rFonts w:hint="default" w:cs="宋体"/>
                <w:color w:val="000000"/>
                <w:kern w:val="2"/>
                <w:sz w:val="20"/>
                <w:szCs w:val="20"/>
              </w:rPr>
            </w:pPr>
          </w:p>
        </w:tc>
        <w:tc>
          <w:tcPr>
            <w:tcW w:w="790" w:type="pct"/>
            <w:shd w:val="clear" w:color="auto" w:fill="auto"/>
            <w:noWrap/>
            <w:tcMar>
              <w:top w:w="15" w:type="dxa"/>
              <w:left w:w="15" w:type="dxa"/>
              <w:right w:w="15" w:type="dxa"/>
            </w:tcMar>
            <w:vAlign w:val="bottom"/>
          </w:tcPr>
          <w:p w14:paraId="18472E5D">
            <w:pPr>
              <w:keepNext w:val="0"/>
              <w:keepLines w:val="0"/>
              <w:pageBreakBefore w:val="0"/>
              <w:kinsoku/>
              <w:overflowPunct/>
              <w:topLinePunct w:val="0"/>
              <w:autoSpaceDN/>
              <w:bidi w:val="0"/>
              <w:spacing w:line="280" w:lineRule="exact"/>
              <w:ind w:firstLine="400"/>
              <w:jc w:val="right"/>
              <w:rPr>
                <w:rFonts w:hint="default" w:cs="宋体"/>
                <w:color w:val="000000"/>
                <w:kern w:val="2"/>
                <w:sz w:val="20"/>
                <w:szCs w:val="20"/>
              </w:rPr>
            </w:pPr>
          </w:p>
        </w:tc>
        <w:tc>
          <w:tcPr>
            <w:tcW w:w="1221" w:type="pct"/>
            <w:shd w:val="clear" w:color="auto" w:fill="auto"/>
            <w:noWrap/>
            <w:tcMar>
              <w:top w:w="15" w:type="dxa"/>
              <w:left w:w="15" w:type="dxa"/>
              <w:right w:w="15" w:type="dxa"/>
            </w:tcMar>
            <w:vAlign w:val="bottom"/>
          </w:tcPr>
          <w:p w14:paraId="7DCA6672">
            <w:pPr>
              <w:keepNext w:val="0"/>
              <w:keepLines w:val="0"/>
              <w:pageBreakBefore w:val="0"/>
              <w:kinsoku/>
              <w:overflowPunct/>
              <w:topLinePunct w:val="0"/>
              <w:autoSpaceDN/>
              <w:bidi w:val="0"/>
              <w:spacing w:line="280" w:lineRule="exact"/>
              <w:ind w:firstLine="400"/>
              <w:rPr>
                <w:rFonts w:hint="default" w:cs="宋体"/>
                <w:color w:val="000000"/>
                <w:kern w:val="2"/>
                <w:sz w:val="20"/>
                <w:szCs w:val="20"/>
              </w:rPr>
            </w:pPr>
          </w:p>
        </w:tc>
        <w:tc>
          <w:tcPr>
            <w:tcW w:w="1126" w:type="pct"/>
            <w:shd w:val="clear" w:color="auto" w:fill="auto"/>
            <w:noWrap/>
            <w:tcMar>
              <w:top w:w="15" w:type="dxa"/>
              <w:left w:w="15" w:type="dxa"/>
              <w:right w:w="15" w:type="dxa"/>
            </w:tcMar>
            <w:vAlign w:val="bottom"/>
          </w:tcPr>
          <w:p w14:paraId="58C91A40">
            <w:pPr>
              <w:keepNext w:val="0"/>
              <w:keepLines w:val="0"/>
              <w:pageBreakBefore w:val="0"/>
              <w:kinsoku/>
              <w:overflowPunct/>
              <w:topLinePunct w:val="0"/>
              <w:autoSpaceDN/>
              <w:bidi w:val="0"/>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528952F">
        <w:tblPrEx>
          <w:tblCellMar>
            <w:top w:w="0" w:type="dxa"/>
            <w:left w:w="170" w:type="dxa"/>
            <w:bottom w:w="0" w:type="dxa"/>
            <w:right w:w="170" w:type="dxa"/>
          </w:tblCellMar>
        </w:tblPrEx>
        <w:trPr>
          <w:trHeight w:val="244" w:hRule="atLeast"/>
        </w:trPr>
        <w:tc>
          <w:tcPr>
            <w:tcW w:w="1861"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B933556">
            <w:pPr>
              <w:keepNext w:val="0"/>
              <w:keepLines w:val="0"/>
              <w:pageBreakBefore w:val="0"/>
              <w:kinsoku/>
              <w:overflowPunct/>
              <w:topLinePunct w:val="0"/>
              <w:autoSpaceDN/>
              <w:bidi w:val="0"/>
              <w:spacing w:line="280" w:lineRule="exact"/>
              <w:ind w:firstLine="4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重庆铁路小学</w:t>
            </w:r>
          </w:p>
        </w:tc>
        <w:tc>
          <w:tcPr>
            <w:tcW w:w="790" w:type="pct"/>
            <w:tcBorders>
              <w:top w:val="nil"/>
              <w:left w:val="nil"/>
              <w:bottom w:val="single" w:color="auto" w:sz="4" w:space="0"/>
              <w:right w:val="nil"/>
            </w:tcBorders>
            <w:shd w:val="clear" w:color="auto" w:fill="auto"/>
            <w:noWrap/>
            <w:tcMar>
              <w:top w:w="15" w:type="dxa"/>
              <w:left w:w="15" w:type="dxa"/>
              <w:right w:w="15" w:type="dxa"/>
            </w:tcMar>
            <w:vAlign w:val="bottom"/>
          </w:tcPr>
          <w:p w14:paraId="3972081F">
            <w:pPr>
              <w:keepNext w:val="0"/>
              <w:keepLines w:val="0"/>
              <w:pageBreakBefore w:val="0"/>
              <w:kinsoku/>
              <w:overflowPunct/>
              <w:topLinePunct w:val="0"/>
              <w:autoSpaceDN/>
              <w:bidi w:val="0"/>
              <w:spacing w:line="280" w:lineRule="exact"/>
              <w:ind w:firstLine="400"/>
              <w:jc w:val="right"/>
              <w:rPr>
                <w:rFonts w:hint="default" w:cs="宋体"/>
                <w:color w:val="000000"/>
                <w:kern w:val="2"/>
                <w:sz w:val="20"/>
                <w:szCs w:val="20"/>
              </w:rPr>
            </w:pPr>
          </w:p>
        </w:tc>
        <w:tc>
          <w:tcPr>
            <w:tcW w:w="1221" w:type="pct"/>
            <w:tcBorders>
              <w:top w:val="nil"/>
              <w:left w:val="nil"/>
              <w:bottom w:val="single" w:color="auto" w:sz="4" w:space="0"/>
              <w:right w:val="nil"/>
            </w:tcBorders>
            <w:shd w:val="clear" w:color="auto" w:fill="auto"/>
            <w:noWrap/>
            <w:tcMar>
              <w:top w:w="15" w:type="dxa"/>
              <w:left w:w="15" w:type="dxa"/>
              <w:right w:w="15" w:type="dxa"/>
            </w:tcMar>
            <w:vAlign w:val="bottom"/>
          </w:tcPr>
          <w:p w14:paraId="66AE6BF8">
            <w:pPr>
              <w:keepNext w:val="0"/>
              <w:keepLines w:val="0"/>
              <w:pageBreakBefore w:val="0"/>
              <w:kinsoku/>
              <w:overflowPunct/>
              <w:topLinePunct w:val="0"/>
              <w:autoSpaceDN/>
              <w:bidi w:val="0"/>
              <w:spacing w:line="280" w:lineRule="exact"/>
              <w:ind w:firstLine="400"/>
              <w:rPr>
                <w:rFonts w:hint="default" w:cs="宋体"/>
                <w:color w:val="000000"/>
                <w:kern w:val="2"/>
                <w:sz w:val="20"/>
                <w:szCs w:val="20"/>
              </w:rPr>
            </w:pPr>
          </w:p>
        </w:tc>
        <w:tc>
          <w:tcPr>
            <w:tcW w:w="1126" w:type="pct"/>
            <w:tcBorders>
              <w:top w:val="nil"/>
              <w:left w:val="nil"/>
              <w:bottom w:val="single" w:color="auto" w:sz="4" w:space="0"/>
              <w:right w:val="nil"/>
            </w:tcBorders>
            <w:shd w:val="clear" w:color="auto" w:fill="auto"/>
            <w:noWrap/>
            <w:tcMar>
              <w:top w:w="15" w:type="dxa"/>
              <w:left w:w="15" w:type="dxa"/>
              <w:right w:w="15" w:type="dxa"/>
            </w:tcMar>
            <w:vAlign w:val="bottom"/>
          </w:tcPr>
          <w:p w14:paraId="4C70F9B6">
            <w:pPr>
              <w:keepNext w:val="0"/>
              <w:keepLines w:val="0"/>
              <w:pageBreakBefore w:val="0"/>
              <w:kinsoku/>
              <w:overflowPunct/>
              <w:topLinePunct w:val="0"/>
              <w:autoSpaceDN/>
              <w:bidi w:val="0"/>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657E4B5">
        <w:tblPrEx>
          <w:tblCellMar>
            <w:top w:w="0" w:type="dxa"/>
            <w:left w:w="170" w:type="dxa"/>
            <w:bottom w:w="0" w:type="dxa"/>
            <w:right w:w="170" w:type="dxa"/>
          </w:tblCellMar>
        </w:tblPrEx>
        <w:trPr>
          <w:trHeight w:val="28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FEC4A">
            <w:pPr>
              <w:keepNext w:val="0"/>
              <w:keepLines w:val="0"/>
              <w:pageBreakBefore w:val="0"/>
              <w:kinsoku/>
              <w:overflowPunct/>
              <w:topLinePunct w:val="0"/>
              <w:autoSpaceDN/>
              <w:bidi w:val="0"/>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89FE9">
            <w:pPr>
              <w:keepNext w:val="0"/>
              <w:keepLines w:val="0"/>
              <w:pageBreakBefore w:val="0"/>
              <w:kinsoku/>
              <w:overflowPunct/>
              <w:topLinePunct w:val="0"/>
              <w:autoSpaceDN/>
              <w:bidi w:val="0"/>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预算数</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B7CFF">
            <w:pPr>
              <w:keepNext w:val="0"/>
              <w:keepLines w:val="0"/>
              <w:pageBreakBefore w:val="0"/>
              <w:kinsoku/>
              <w:overflowPunct/>
              <w:topLinePunct w:val="0"/>
              <w:autoSpaceDN/>
              <w:bidi w:val="0"/>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703D2">
            <w:pPr>
              <w:keepNext w:val="0"/>
              <w:keepLines w:val="0"/>
              <w:pageBreakBefore w:val="0"/>
              <w:kinsoku/>
              <w:overflowPunct/>
              <w:topLinePunct w:val="0"/>
              <w:autoSpaceDN/>
              <w:bidi w:val="0"/>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A908A">
            <w:pPr>
              <w:keepNext w:val="0"/>
              <w:keepLines w:val="0"/>
              <w:pageBreakBefore w:val="0"/>
              <w:kinsoku/>
              <w:overflowPunct/>
              <w:topLinePunct w:val="0"/>
              <w:autoSpaceDN/>
              <w:bidi w:val="0"/>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r>
      <w:tr w14:paraId="560609D2">
        <w:tblPrEx>
          <w:tblCellMar>
            <w:top w:w="0" w:type="dxa"/>
            <w:left w:w="170" w:type="dxa"/>
            <w:bottom w:w="0" w:type="dxa"/>
            <w:right w:w="170" w:type="dxa"/>
          </w:tblCellMar>
        </w:tblPrEx>
        <w:trPr>
          <w:trHeight w:val="28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DE726">
            <w:pPr>
              <w:keepNext w:val="0"/>
              <w:keepLines w:val="0"/>
              <w:pageBreakBefore w:val="0"/>
              <w:kinsoku/>
              <w:overflowPunct/>
              <w:topLinePunct w:val="0"/>
              <w:autoSpaceDN/>
              <w:bidi w:val="0"/>
              <w:spacing w:line="280" w:lineRule="exact"/>
              <w:ind w:firstLine="321"/>
              <w:textAlignment w:val="center"/>
              <w:rPr>
                <w:rFonts w:hint="default" w:cs="宋体"/>
                <w:b/>
                <w:color w:val="000000"/>
                <w:kern w:val="2"/>
                <w:sz w:val="16"/>
                <w:szCs w:val="16"/>
              </w:rPr>
            </w:pPr>
            <w:r>
              <w:rPr>
                <w:rFonts w:cs="宋体"/>
                <w:b/>
                <w:color w:val="000000"/>
                <w:kern w:val="2"/>
                <w:sz w:val="16"/>
                <w:szCs w:val="16"/>
              </w:rPr>
              <w:t>一、“三公”经费支出</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945CB">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73DF0">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FD4B7">
            <w:pPr>
              <w:keepNext w:val="0"/>
              <w:keepLines w:val="0"/>
              <w:pageBreakBefore w:val="0"/>
              <w:kinsoku/>
              <w:overflowPunct/>
              <w:topLinePunct w:val="0"/>
              <w:autoSpaceDN/>
              <w:bidi w:val="0"/>
              <w:spacing w:line="280" w:lineRule="exact"/>
              <w:ind w:firstLine="321"/>
              <w:textAlignment w:val="center"/>
              <w:rPr>
                <w:rFonts w:hint="default" w:cs="宋体"/>
                <w:b/>
                <w:color w:val="000000"/>
                <w:kern w:val="2"/>
                <w:sz w:val="16"/>
                <w:szCs w:val="16"/>
              </w:rPr>
            </w:pPr>
            <w:r>
              <w:rPr>
                <w:rFonts w:cs="宋体"/>
                <w:b/>
                <w:color w:val="000000"/>
                <w:kern w:val="2"/>
                <w:sz w:val="16"/>
                <w:szCs w:val="16"/>
              </w:rPr>
              <w:t>五、机关运行经费</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0309E">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3614FA96">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390C2">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549A7">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76A15">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D5602">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97548">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6E8CFDB9">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E2581">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1BDFA">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1D9D1">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DF108">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48C09">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3FE2ACC1">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E94D9">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11F60">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D77D8">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B8EBC">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六、资产信息</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F801E">
            <w:pPr>
              <w:keepNext w:val="0"/>
              <w:keepLines w:val="0"/>
              <w:pageBreakBefore w:val="0"/>
              <w:kinsoku/>
              <w:overflowPunct/>
              <w:topLinePunct w:val="0"/>
              <w:autoSpaceDN/>
              <w:bidi w:val="0"/>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D48C871">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A483E">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27474">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A386B">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33625">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10D1AE">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7015E91B">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E74CA">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325C6">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D0634">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3DAAC">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8D3E6">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5588BD1E">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CA6C0">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5C3A0">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ED3F4">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5F0D0">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425BF">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41293ADF">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C1298">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2443C">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084BD">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149C9">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87910">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5A1E295F">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4519B">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B83EC">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0BBB2">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D4FAB">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D608D9">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5CDE32A6">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618B9">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F4AAD">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07DAF">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243D9">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181D3">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24C4B9BB">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9F095">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F5BA5">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BA8C6">
            <w:pPr>
              <w:keepNext w:val="0"/>
              <w:keepLines w:val="0"/>
              <w:pageBreakBefore w:val="0"/>
              <w:kinsoku/>
              <w:overflowPunct/>
              <w:topLinePunct w:val="0"/>
              <w:autoSpaceDN/>
              <w:bidi w:val="0"/>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699FC">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E1B29">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7E3B765D">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5F980">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170AE">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C7A22">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649AA">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4B407">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15889752">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8B782">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4DB74">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3DA30">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656C0">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AF292">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3B5B1643">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1D4D2">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E4054">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6874C">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12B9A">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2873E">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355FC4A9">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1DFC8">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2D486">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BFDC7D">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A9002">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38C72">
            <w:pPr>
              <w:keepNext w:val="0"/>
              <w:keepLines w:val="0"/>
              <w:pageBreakBefore w:val="0"/>
              <w:kinsoku/>
              <w:overflowPunct/>
              <w:topLinePunct w:val="0"/>
              <w:autoSpaceDN/>
              <w:bidi w:val="0"/>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F5A400">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859AB">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4B987">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E6A07">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65D4C">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5DC69">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w:t>
            </w:r>
          </w:p>
        </w:tc>
      </w:tr>
      <w:tr w14:paraId="24B1F3A2">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17782">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27217">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FE193">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DC31B">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2C2A5">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w:t>
            </w:r>
          </w:p>
        </w:tc>
      </w:tr>
      <w:tr w14:paraId="184D54C4">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C5076">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7AB10">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A69BD">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76B47">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B40B0">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54ADD060">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998D9">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9BF23">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65052">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432E2">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70BA74">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p>
        </w:tc>
      </w:tr>
      <w:tr w14:paraId="13DEE6EB">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FE3B8">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FD274">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95FFE">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4616D">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A62D9">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2.47</w:t>
            </w:r>
          </w:p>
        </w:tc>
      </w:tr>
      <w:tr w14:paraId="15CB2C84">
        <w:tblPrEx>
          <w:tblCellMar>
            <w:top w:w="0" w:type="dxa"/>
            <w:left w:w="170" w:type="dxa"/>
            <w:bottom w:w="0" w:type="dxa"/>
            <w:right w:w="170" w:type="dxa"/>
          </w:tblCellMar>
        </w:tblPrEx>
        <w:trPr>
          <w:trHeight w:val="292"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D6ECE">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0BFD5">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C36E7">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324AA">
            <w:pPr>
              <w:keepNext w:val="0"/>
              <w:keepLines w:val="0"/>
              <w:pageBreakBefore w:val="0"/>
              <w:kinsoku/>
              <w:overflowPunct/>
              <w:topLinePunct w:val="0"/>
              <w:autoSpaceDN/>
              <w:bidi w:val="0"/>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28B6A">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w:t>
            </w:r>
          </w:p>
        </w:tc>
      </w:tr>
      <w:tr w14:paraId="7C14855A">
        <w:tblPrEx>
          <w:tblCellMar>
            <w:top w:w="0" w:type="dxa"/>
            <w:left w:w="170" w:type="dxa"/>
            <w:bottom w:w="0" w:type="dxa"/>
            <w:right w:w="170" w:type="dxa"/>
          </w:tblCellMar>
        </w:tblPrEx>
        <w:trPr>
          <w:trHeight w:val="286"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7709D">
            <w:pPr>
              <w:keepNext w:val="0"/>
              <w:keepLines w:val="0"/>
              <w:pageBreakBefore w:val="0"/>
              <w:kinsoku/>
              <w:overflowPunct/>
              <w:topLinePunct w:val="0"/>
              <w:autoSpaceDN/>
              <w:bidi w:val="0"/>
              <w:spacing w:line="280" w:lineRule="exact"/>
              <w:ind w:firstLine="321"/>
              <w:textAlignment w:val="center"/>
              <w:rPr>
                <w:rFonts w:hint="default" w:cs="宋体"/>
                <w:b/>
                <w:color w:val="000000"/>
                <w:kern w:val="2"/>
                <w:sz w:val="16"/>
                <w:szCs w:val="16"/>
              </w:rPr>
            </w:pPr>
            <w:r>
              <w:rPr>
                <w:rFonts w:cs="宋体"/>
                <w:b/>
                <w:color w:val="000000"/>
                <w:kern w:val="2"/>
                <w:sz w:val="16"/>
                <w:szCs w:val="16"/>
              </w:rPr>
              <w:t>二、会议费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7F467">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7E432">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9FE4B">
            <w:pPr>
              <w:keepNext w:val="0"/>
              <w:keepLines w:val="0"/>
              <w:pageBreakBefore w:val="0"/>
              <w:kinsoku/>
              <w:overflowPunct/>
              <w:topLinePunct w:val="0"/>
              <w:autoSpaceDN/>
              <w:bidi w:val="0"/>
              <w:spacing w:line="280" w:lineRule="exact"/>
              <w:ind w:firstLine="320"/>
              <w:rPr>
                <w:rFonts w:hint="default" w:cs="宋体"/>
                <w:color w:val="000000"/>
                <w:kern w:val="2"/>
                <w:sz w:val="16"/>
                <w:szCs w:val="16"/>
              </w:rPr>
            </w:pP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D82ED">
            <w:pPr>
              <w:keepNext w:val="0"/>
              <w:keepLines w:val="0"/>
              <w:pageBreakBefore w:val="0"/>
              <w:kinsoku/>
              <w:overflowPunct/>
              <w:topLinePunct w:val="0"/>
              <w:autoSpaceDN/>
              <w:bidi w:val="0"/>
              <w:spacing w:line="280" w:lineRule="exact"/>
              <w:ind w:firstLine="320"/>
              <w:jc w:val="right"/>
              <w:rPr>
                <w:rFonts w:hint="default" w:cs="宋体"/>
                <w:color w:val="000000"/>
                <w:kern w:val="2"/>
                <w:sz w:val="16"/>
                <w:szCs w:val="16"/>
              </w:rPr>
            </w:pPr>
          </w:p>
        </w:tc>
      </w:tr>
      <w:tr w14:paraId="0620671F">
        <w:tblPrEx>
          <w:tblCellMar>
            <w:top w:w="0" w:type="dxa"/>
            <w:left w:w="170" w:type="dxa"/>
            <w:bottom w:w="0" w:type="dxa"/>
            <w:right w:w="170" w:type="dxa"/>
          </w:tblCellMar>
        </w:tblPrEx>
        <w:trPr>
          <w:trHeight w:val="389"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CC3EF">
            <w:pPr>
              <w:keepNext w:val="0"/>
              <w:keepLines w:val="0"/>
              <w:pageBreakBefore w:val="0"/>
              <w:kinsoku/>
              <w:overflowPunct/>
              <w:topLinePunct w:val="0"/>
              <w:autoSpaceDN/>
              <w:bidi w:val="0"/>
              <w:spacing w:line="280" w:lineRule="exact"/>
              <w:ind w:firstLine="321"/>
              <w:textAlignment w:val="center"/>
              <w:rPr>
                <w:rFonts w:hint="default" w:cs="宋体"/>
                <w:b/>
                <w:color w:val="000000"/>
                <w:kern w:val="2"/>
                <w:sz w:val="16"/>
                <w:szCs w:val="16"/>
              </w:rPr>
            </w:pPr>
            <w:r>
              <w:rPr>
                <w:rFonts w:cs="宋体"/>
                <w:b/>
                <w:color w:val="000000"/>
                <w:kern w:val="2"/>
                <w:sz w:val="16"/>
                <w:szCs w:val="16"/>
              </w:rPr>
              <w:t>三、培训费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57394">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FC0BF">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20.50</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219E8">
            <w:pPr>
              <w:keepNext w:val="0"/>
              <w:keepLines w:val="0"/>
              <w:pageBreakBefore w:val="0"/>
              <w:kinsoku/>
              <w:overflowPunct/>
              <w:topLinePunct w:val="0"/>
              <w:autoSpaceDN/>
              <w:bidi w:val="0"/>
              <w:spacing w:line="280" w:lineRule="exact"/>
              <w:ind w:firstLine="320"/>
              <w:rPr>
                <w:rFonts w:hint="default" w:cs="宋体"/>
                <w:color w:val="000000"/>
                <w:kern w:val="2"/>
                <w:sz w:val="16"/>
                <w:szCs w:val="16"/>
              </w:rPr>
            </w:pP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8ADCC">
            <w:pPr>
              <w:keepNext w:val="0"/>
              <w:keepLines w:val="0"/>
              <w:pageBreakBefore w:val="0"/>
              <w:kinsoku/>
              <w:overflowPunct/>
              <w:topLinePunct w:val="0"/>
              <w:autoSpaceDN/>
              <w:bidi w:val="0"/>
              <w:spacing w:line="280" w:lineRule="exact"/>
              <w:ind w:firstLine="320"/>
              <w:jc w:val="right"/>
              <w:rPr>
                <w:rFonts w:hint="default" w:cs="宋体"/>
                <w:color w:val="000000"/>
                <w:kern w:val="2"/>
                <w:sz w:val="16"/>
                <w:szCs w:val="16"/>
              </w:rPr>
            </w:pPr>
          </w:p>
        </w:tc>
      </w:tr>
      <w:tr w14:paraId="789ABD50">
        <w:tblPrEx>
          <w:tblCellMar>
            <w:top w:w="0" w:type="dxa"/>
            <w:left w:w="170" w:type="dxa"/>
            <w:bottom w:w="0" w:type="dxa"/>
            <w:right w:w="170" w:type="dxa"/>
          </w:tblCellMar>
        </w:tblPrEx>
        <w:trPr>
          <w:trHeight w:val="389" w:hRule="atLeast"/>
        </w:trPr>
        <w:tc>
          <w:tcPr>
            <w:tcW w:w="10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0B50E">
            <w:pPr>
              <w:keepNext w:val="0"/>
              <w:keepLines w:val="0"/>
              <w:pageBreakBefore w:val="0"/>
              <w:kinsoku/>
              <w:overflowPunct/>
              <w:topLinePunct w:val="0"/>
              <w:autoSpaceDN/>
              <w:bidi w:val="0"/>
              <w:spacing w:line="280" w:lineRule="exact"/>
              <w:ind w:firstLine="321"/>
              <w:textAlignment w:val="center"/>
              <w:rPr>
                <w:rFonts w:hint="default" w:cs="宋体"/>
                <w:b/>
                <w:bCs/>
                <w:color w:val="000000"/>
                <w:sz w:val="16"/>
                <w:szCs w:val="16"/>
              </w:rPr>
            </w:pPr>
            <w:r>
              <w:rPr>
                <w:rFonts w:cs="宋体"/>
                <w:b/>
                <w:bCs/>
                <w:color w:val="000000"/>
                <w:sz w:val="16"/>
                <w:szCs w:val="16"/>
              </w:rPr>
              <w:t>四、差旅费</w:t>
            </w:r>
          </w:p>
        </w:tc>
        <w:tc>
          <w:tcPr>
            <w:tcW w:w="8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E94AF">
            <w:pPr>
              <w:keepNext w:val="0"/>
              <w:keepLines w:val="0"/>
              <w:pageBreakBefore w:val="0"/>
              <w:kinsoku/>
              <w:overflowPunct/>
              <w:topLinePunct w:val="0"/>
              <w:autoSpaceDN/>
              <w:bidi w:val="0"/>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AB2B3">
            <w:pPr>
              <w:keepNext w:val="0"/>
              <w:keepLines w:val="0"/>
              <w:pageBreakBefore w:val="0"/>
              <w:kinsoku/>
              <w:overflowPunct/>
              <w:topLinePunct w:val="0"/>
              <w:autoSpaceDN/>
              <w:bidi w:val="0"/>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6.50</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64E8C">
            <w:pPr>
              <w:keepNext w:val="0"/>
              <w:keepLines w:val="0"/>
              <w:pageBreakBefore w:val="0"/>
              <w:kinsoku/>
              <w:overflowPunct/>
              <w:topLinePunct w:val="0"/>
              <w:autoSpaceDN/>
              <w:bidi w:val="0"/>
              <w:spacing w:line="280" w:lineRule="exact"/>
              <w:ind w:firstLine="320"/>
              <w:rPr>
                <w:rFonts w:hint="default" w:cs="宋体"/>
                <w:color w:val="000000"/>
                <w:sz w:val="16"/>
                <w:szCs w:val="16"/>
              </w:rPr>
            </w:pPr>
          </w:p>
        </w:tc>
        <w:tc>
          <w:tcPr>
            <w:tcW w:w="1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042AD">
            <w:pPr>
              <w:keepNext w:val="0"/>
              <w:keepLines w:val="0"/>
              <w:pageBreakBefore w:val="0"/>
              <w:kinsoku/>
              <w:overflowPunct/>
              <w:topLinePunct w:val="0"/>
              <w:autoSpaceDN/>
              <w:bidi w:val="0"/>
              <w:spacing w:line="280" w:lineRule="exact"/>
              <w:ind w:firstLine="320"/>
              <w:jc w:val="right"/>
              <w:rPr>
                <w:rFonts w:hint="default" w:cs="宋体"/>
                <w:color w:val="000000"/>
                <w:sz w:val="16"/>
                <w:szCs w:val="16"/>
              </w:rPr>
            </w:pPr>
          </w:p>
        </w:tc>
      </w:tr>
    </w:tbl>
    <w:p w14:paraId="40D76E1D">
      <w:pPr>
        <w:keepNext w:val="0"/>
        <w:keepLines w:val="0"/>
        <w:pageBreakBefore w:val="0"/>
        <w:kinsoku/>
        <w:overflowPunct/>
        <w:topLinePunct w:val="0"/>
        <w:autoSpaceDN/>
        <w:bidi w:val="0"/>
        <w:ind w:firstLine="36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6FB0">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1C7C9DA6">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AFh51H7AQAAAQQAAA4AAAAAAAAAAQAgAAAAIQEAAGRycy9lMm9Eb2MueG1s&#10;UEsFBgAAAAAGAAYAWQEAAI4FAAAAAA==&#10;">
              <v:fill on="f" focussize="0,0"/>
              <v:stroke on="f"/>
              <v:imagedata o:title=""/>
              <o:lock v:ext="edit" aspectratio="f"/>
              <v:textbox inset="0mm,0mm,0mm,0mm" style="mso-fit-shape-to-text:t;">
                <w:txbxContent>
                  <w:p w14:paraId="1C7C9DA6">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A624">
    <w:pPr>
      <w:pStyle w:val="5"/>
      <w:ind w:firstLine="360"/>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343535" cy="147955"/>
              <wp:effectExtent l="0" t="0" r="0" b="0"/>
              <wp:wrapNone/>
              <wp:docPr id="2"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1B14255C">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1.65pt;width:27.05pt;mso-position-horizontal:center;mso-position-horizontal-relative:margin;mso-wrap-style:none;z-index:251661312;mso-width-relative:page;mso-height-relative:page;" filled="f" stroked="f" coordsize="21600,21600" o:allowoverlap="f"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tupU9IAAAADAQAADwAAAAAAAAABACAAAAAiAAAAZHJzL2Rvd25yZXYueG1s&#10;UEsBAhQAFAAAAAgAh07iQEk0+Kn+AQAABAQAAA4AAAAAAAAAAQAgAAAAIQEAAGRycy9lMm9Eb2Mu&#10;eG1sUEsFBgAAAAAGAAYAWQEAAJEFAAAAAA==&#10;">
              <v:fill on="f" focussize="0,0"/>
              <v:stroke on="f"/>
              <v:imagedata o:title=""/>
              <o:lock v:ext="edit" aspectratio="f"/>
              <v:textbox inset="0mm,0mm,0mm,0mm" style="mso-fit-shape-to-text:t;">
                <w:txbxContent>
                  <w:p w14:paraId="1B14255C">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6EE9E9D9">
                          <w:pPr>
                            <w:pStyle w:val="5"/>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1029"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JfoUNYAAAAJAQAADwAAAAAAAAABACAAAAAiAAAAZHJzL2Rvd25yZXYu&#10;eG1sUEsBAhQAFAAAAAgAh07iQC5qbur9AQAABAQAAA4AAAAAAAAAAQAgAAAAJQEAAGRycy9lMm9E&#10;b2MueG1sUEsFBgAAAAAGAAYAWQEAAJQFAAAAAA==&#10;">
              <v:fill on="f" focussize="0,0"/>
              <v:stroke on="f"/>
              <v:imagedata o:title=""/>
              <o:lock v:ext="edit" aspectratio="f"/>
              <v:textbox inset="0mm,0mm,0mm,0mm">
                <w:txbxContent>
                  <w:p w14:paraId="6EE9E9D9">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D2936">
    <w:pPr>
      <w:pStyle w:val="6"/>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376ED"/>
    <w:rsid w:val="00062676"/>
    <w:rsid w:val="000935E7"/>
    <w:rsid w:val="0009680B"/>
    <w:rsid w:val="000D7BCC"/>
    <w:rsid w:val="000E3B0B"/>
    <w:rsid w:val="000F3EB1"/>
    <w:rsid w:val="00125247"/>
    <w:rsid w:val="00126441"/>
    <w:rsid w:val="00150EA9"/>
    <w:rsid w:val="00171CCD"/>
    <w:rsid w:val="00194AA6"/>
    <w:rsid w:val="001D26DF"/>
    <w:rsid w:val="001E7774"/>
    <w:rsid w:val="001F07CA"/>
    <w:rsid w:val="00295514"/>
    <w:rsid w:val="002A07B3"/>
    <w:rsid w:val="002A3623"/>
    <w:rsid w:val="003168B8"/>
    <w:rsid w:val="0033024F"/>
    <w:rsid w:val="00336732"/>
    <w:rsid w:val="00336B32"/>
    <w:rsid w:val="00351D4D"/>
    <w:rsid w:val="003F7089"/>
    <w:rsid w:val="004355C8"/>
    <w:rsid w:val="00480D2E"/>
    <w:rsid w:val="00495A94"/>
    <w:rsid w:val="004C6184"/>
    <w:rsid w:val="004D611F"/>
    <w:rsid w:val="00525D6F"/>
    <w:rsid w:val="00550ABE"/>
    <w:rsid w:val="005A5BD6"/>
    <w:rsid w:val="00606ADD"/>
    <w:rsid w:val="006214A2"/>
    <w:rsid w:val="00671336"/>
    <w:rsid w:val="0068456A"/>
    <w:rsid w:val="006A014C"/>
    <w:rsid w:val="006B558C"/>
    <w:rsid w:val="006C614E"/>
    <w:rsid w:val="00734858"/>
    <w:rsid w:val="00743540"/>
    <w:rsid w:val="007A061E"/>
    <w:rsid w:val="007A7FF9"/>
    <w:rsid w:val="007B2114"/>
    <w:rsid w:val="007B419D"/>
    <w:rsid w:val="007C6F77"/>
    <w:rsid w:val="007D0BBC"/>
    <w:rsid w:val="00843F92"/>
    <w:rsid w:val="00865D65"/>
    <w:rsid w:val="00986F0E"/>
    <w:rsid w:val="009B67B8"/>
    <w:rsid w:val="009F406A"/>
    <w:rsid w:val="00A57194"/>
    <w:rsid w:val="00A83303"/>
    <w:rsid w:val="00A9413E"/>
    <w:rsid w:val="00AD42FA"/>
    <w:rsid w:val="00AD7336"/>
    <w:rsid w:val="00B03CCD"/>
    <w:rsid w:val="00B858D5"/>
    <w:rsid w:val="00BA398E"/>
    <w:rsid w:val="00BC0861"/>
    <w:rsid w:val="00BE187C"/>
    <w:rsid w:val="00BE38E0"/>
    <w:rsid w:val="00C3630A"/>
    <w:rsid w:val="00C658AA"/>
    <w:rsid w:val="00C70EE9"/>
    <w:rsid w:val="00C752A8"/>
    <w:rsid w:val="00CF22BB"/>
    <w:rsid w:val="00CF6FEF"/>
    <w:rsid w:val="00D51C59"/>
    <w:rsid w:val="00D67E90"/>
    <w:rsid w:val="00D70281"/>
    <w:rsid w:val="00D730A4"/>
    <w:rsid w:val="00D756CE"/>
    <w:rsid w:val="00D838CE"/>
    <w:rsid w:val="00DB08DE"/>
    <w:rsid w:val="00DB584A"/>
    <w:rsid w:val="00DF48D4"/>
    <w:rsid w:val="00E01358"/>
    <w:rsid w:val="00E02901"/>
    <w:rsid w:val="00E421CF"/>
    <w:rsid w:val="00E46E62"/>
    <w:rsid w:val="00ED57C3"/>
    <w:rsid w:val="00EE5A06"/>
    <w:rsid w:val="00EF4036"/>
    <w:rsid w:val="00F07CC4"/>
    <w:rsid w:val="00F16EE4"/>
    <w:rsid w:val="00F16F79"/>
    <w:rsid w:val="00F2778B"/>
    <w:rsid w:val="00F40A66"/>
    <w:rsid w:val="00F56CDE"/>
    <w:rsid w:val="00F8059B"/>
    <w:rsid w:val="00F84C59"/>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2440D"/>
    <w:rsid w:val="08051BCA"/>
    <w:rsid w:val="080A21BB"/>
    <w:rsid w:val="084958AA"/>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8562E9"/>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0C5D71"/>
    <w:rsid w:val="32285F6F"/>
    <w:rsid w:val="32413352"/>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425B21"/>
    <w:rsid w:val="5EFA176D"/>
    <w:rsid w:val="5F0247F9"/>
    <w:rsid w:val="5F215E95"/>
    <w:rsid w:val="5F2D4A41"/>
    <w:rsid w:val="5F89701F"/>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382184"/>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A4A6F"/>
    <w:rsid w:val="687E45FE"/>
    <w:rsid w:val="692172FD"/>
    <w:rsid w:val="6A3829EE"/>
    <w:rsid w:val="6A924CB7"/>
    <w:rsid w:val="6AE0292E"/>
    <w:rsid w:val="6B474EF5"/>
    <w:rsid w:val="6BC27679"/>
    <w:rsid w:val="6BC54EFE"/>
    <w:rsid w:val="6C0737CC"/>
    <w:rsid w:val="6C560CAE"/>
    <w:rsid w:val="6CD15296"/>
    <w:rsid w:val="6D903FF5"/>
    <w:rsid w:val="6DA955B8"/>
    <w:rsid w:val="6DE346AB"/>
    <w:rsid w:val="6E8704CF"/>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BE4640"/>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7"/>
    <w:qFormat/>
    <w:uiPriority w:val="0"/>
    <w:rPr>
      <w:sz w:val="18"/>
      <w:szCs w:val="18"/>
    </w:r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hd w:val="clear" w:color="auto" w:fill="FFFFFF"/>
      <w:spacing w:line="600" w:lineRule="exact"/>
      <w:ind w:firstLine="640" w:firstLineChars="200"/>
      <w:jc w:val="both"/>
    </w:pPr>
    <w:rPr>
      <w:rFonts w:hint="default" w:ascii="方正仿宋_GBK" w:hAnsi="黑体" w:eastAsia="方正仿宋_GBK" w:cs="黑体"/>
      <w:sz w:val="32"/>
      <w:szCs w:val="32"/>
      <w:shd w:val="clear" w:color="auto" w:fill="FFFFFF"/>
    </w:rPr>
  </w:style>
  <w:style w:type="character" w:styleId="12">
    <w:name w:val="Strong"/>
    <w:autoRedefine/>
    <w:qFormat/>
    <w:uiPriority w:val="0"/>
    <w:rPr>
      <w:b/>
    </w:rPr>
  </w:style>
  <w:style w:type="paragraph" w:customStyle="1" w:styleId="13">
    <w:name w:val="列出段落1"/>
    <w:basedOn w:val="1"/>
    <w:autoRedefine/>
    <w:qFormat/>
    <w:uiPriority w:val="99"/>
    <w:pPr>
      <w:autoSpaceDE w:val="0"/>
      <w:spacing w:line="600" w:lineRule="exact"/>
      <w:ind w:firstLine="643" w:firstLineChars="200"/>
    </w:pPr>
    <w:rPr>
      <w:rFonts w:hint="default" w:ascii="方正楷体_GBK" w:hAnsi="楷体" w:eastAsia="方正楷体_GBK" w:cs="楷体"/>
      <w:b/>
      <w:bCs/>
      <w:sz w:val="32"/>
      <w:szCs w:val="32"/>
      <w:shd w:val="clear" w:color="auto" w:fill="FFFFFF"/>
    </w:rPr>
  </w:style>
  <w:style w:type="paragraph" w:customStyle="1" w:styleId="14">
    <w:name w:val="普通(网站) Char"/>
    <w:autoRedefine/>
    <w:qFormat/>
    <w:uiPriority w:val="0"/>
    <w:pPr>
      <w:spacing w:line="600" w:lineRule="exact"/>
      <w:ind w:firstLine="640" w:firstLineChars="200"/>
    </w:pPr>
    <w:rPr>
      <w:rFonts w:ascii="方正楷体_GBK" w:hAnsi="黑体" w:eastAsia="方正楷体_GBK" w:cs="黑体"/>
      <w:sz w:val="32"/>
      <w:szCs w:val="32"/>
      <w:shd w:val="clear" w:color="auto" w:fill="FFFFFF"/>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8BF4E-EB27-454D-AA7C-D032C236C7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5854</Words>
  <Characters>7228</Characters>
  <Lines>102</Lines>
  <Paragraphs>28</Paragraphs>
  <TotalTime>0</TotalTime>
  <ScaleCrop>false</ScaleCrop>
  <LinksUpToDate>false</LinksUpToDate>
  <CharactersWithSpaces>7255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2025-10-22T03:12:00Z</dcterms:created>
  <dc:creator>Administrator</dc:creator>
  <cp:lastModifiedBy>田瑶</cp:lastModifiedBy>
  <cp:lastPrinted>2025-10-22T01:44:00Z</cp:lastPrinted>
  <dcterms:modified xsi:type="dcterms:W3CDTF">2025-10-28T03:41:40Z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