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37897">
      <w:pPr>
        <w:widowControl w:val="0"/>
        <w:spacing w:line="600" w:lineRule="exact"/>
        <w:jc w:val="center"/>
        <w:rPr>
          <w:rFonts w:hint="eastAsia" w:ascii="Times New Roman" w:hAnsi="Times New Roman" w:eastAsia="方正小标宋_GBK"/>
          <w:kern w:val="2"/>
          <w:sz w:val="44"/>
          <w:szCs w:val="54"/>
          <w:lang w:val="en-US" w:eastAsia="zh-CN"/>
        </w:rPr>
      </w:pPr>
      <w:r>
        <w:rPr>
          <w:rFonts w:hint="eastAsia" w:ascii="Times New Roman" w:hAnsi="Times New Roman" w:eastAsia="方正小标宋_GBK"/>
          <w:kern w:val="2"/>
          <w:sz w:val="44"/>
          <w:szCs w:val="54"/>
        </w:rPr>
        <w:t>重庆市九龙坡区</w:t>
      </w:r>
      <w:r>
        <w:rPr>
          <w:rFonts w:hint="eastAsia" w:ascii="Times New Roman" w:hAnsi="Times New Roman" w:eastAsia="方正小标宋_GBK"/>
          <w:kern w:val="2"/>
          <w:sz w:val="44"/>
          <w:szCs w:val="54"/>
          <w:lang w:val="en-US" w:eastAsia="zh-CN"/>
        </w:rPr>
        <w:t>成人教育发展中心</w:t>
      </w:r>
    </w:p>
    <w:p w14:paraId="187F4D23">
      <w:pPr>
        <w:widowControl w:val="0"/>
        <w:spacing w:line="600" w:lineRule="exact"/>
        <w:jc w:val="center"/>
        <w:rPr>
          <w:rFonts w:hint="default" w:ascii="Times New Roman" w:hAnsi="Times New Roman" w:eastAsia="方正小标宋_GBK"/>
          <w:kern w:val="2"/>
          <w:sz w:val="20"/>
          <w:szCs w:val="20"/>
        </w:rPr>
      </w:pPr>
      <w:r>
        <w:rPr>
          <w:rFonts w:hint="eastAsia" w:ascii="Times New Roman" w:hAnsi="Times New Roman" w:eastAsia="方正小标宋_GBK"/>
          <w:kern w:val="2"/>
          <w:sz w:val="44"/>
          <w:szCs w:val="54"/>
        </w:rPr>
        <w:t>2024年度单位决算情况说明</w:t>
      </w:r>
    </w:p>
    <w:p w14:paraId="5E7CCE82">
      <w:pPr>
        <w:widowControl w:val="0"/>
        <w:spacing w:line="600" w:lineRule="exact"/>
        <w:ind w:firstLine="640" w:firstLineChars="200"/>
        <w:jc w:val="both"/>
        <w:rPr>
          <w:rFonts w:hint="eastAsia" w:ascii="Times New Roman" w:hAnsi="Times New Roman" w:eastAsia="方正黑体_GBK" w:cs="宋体"/>
          <w:bCs/>
          <w:kern w:val="0"/>
          <w:sz w:val="32"/>
          <w:szCs w:val="20"/>
        </w:rPr>
      </w:pPr>
    </w:p>
    <w:p w14:paraId="043E49BC">
      <w:pPr>
        <w:widowControl w:val="0"/>
        <w:spacing w:line="600" w:lineRule="exact"/>
        <w:ind w:firstLine="640" w:firstLineChars="200"/>
        <w:jc w:val="both"/>
        <w:rPr>
          <w:rFonts w:hint="default" w:ascii="Times New Roman" w:hAnsi="Times New Roman" w:eastAsia="方正黑体_GBK" w:cs="宋体"/>
          <w:b/>
          <w:kern w:val="0"/>
          <w:sz w:val="32"/>
          <w:szCs w:val="32"/>
        </w:rPr>
      </w:pPr>
      <w:r>
        <w:rPr>
          <w:rFonts w:hint="eastAsia" w:ascii="Times New Roman" w:hAnsi="Times New Roman" w:eastAsia="方正黑体_GBK" w:cs="宋体"/>
          <w:bCs/>
          <w:kern w:val="0"/>
          <w:sz w:val="32"/>
          <w:szCs w:val="20"/>
        </w:rPr>
        <w:t>一、</w:t>
      </w:r>
      <w:r>
        <w:rPr>
          <w:rFonts w:hint="eastAsia" w:ascii="Times New Roman" w:hAnsi="Times New Roman" w:eastAsia="方正黑体_GBK" w:cs="宋体"/>
          <w:bCs/>
          <w:kern w:val="0"/>
          <w:sz w:val="32"/>
          <w:szCs w:val="20"/>
          <w:lang w:val="en-US" w:eastAsia="zh-CN"/>
        </w:rPr>
        <w:t>单位</w:t>
      </w:r>
      <w:r>
        <w:rPr>
          <w:rFonts w:hint="eastAsia" w:ascii="Times New Roman" w:hAnsi="Times New Roman" w:eastAsia="方正黑体_GBK" w:cs="宋体"/>
          <w:bCs/>
          <w:kern w:val="0"/>
          <w:sz w:val="32"/>
          <w:szCs w:val="20"/>
        </w:rPr>
        <w:t>基本情况</w:t>
      </w:r>
    </w:p>
    <w:p w14:paraId="59A338F3">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楷体_GBK" w:cs="Times New Roman"/>
          <w:bCs/>
          <w:kern w:val="0"/>
          <w:sz w:val="32"/>
          <w:szCs w:val="32"/>
          <w:lang w:bidi="ar"/>
        </w:rPr>
      </w:pPr>
      <w:r>
        <w:rPr>
          <w:rFonts w:hint="default" w:ascii="Times New Roman" w:hAnsi="Times New Roman" w:eastAsia="方正楷体_GBK" w:cs="Times New Roman"/>
          <w:bCs/>
          <w:kern w:val="0"/>
          <w:sz w:val="32"/>
          <w:szCs w:val="32"/>
          <w:lang w:bidi="ar"/>
        </w:rPr>
        <w:t>（一）职能职责</w:t>
      </w:r>
    </w:p>
    <w:p w14:paraId="511DF46B">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b w:val="0"/>
          <w:bCs w:val="0"/>
          <w:i w:val="0"/>
          <w:iCs w:val="0"/>
          <w:caps w:val="0"/>
          <w:color w:val="171A1D"/>
          <w:spacing w:val="0"/>
          <w:kern w:val="0"/>
          <w:sz w:val="32"/>
          <w:szCs w:val="32"/>
          <w:shd w:val="clear" w:fill="FFFFFF"/>
        </w:rPr>
      </w:pPr>
      <w:r>
        <w:rPr>
          <w:rFonts w:hint="default" w:ascii="Times New Roman" w:hAnsi="Times New Roman" w:eastAsia="方正仿宋_GBK" w:cs="Times New Roman"/>
          <w:b/>
          <w:bCs/>
          <w:i w:val="0"/>
          <w:iCs w:val="0"/>
          <w:caps w:val="0"/>
          <w:color w:val="171A1D"/>
          <w:spacing w:val="0"/>
          <w:kern w:val="0"/>
          <w:sz w:val="32"/>
          <w:szCs w:val="32"/>
          <w:shd w:val="clear" w:fill="FFFFFF"/>
        </w:rPr>
        <w:t>1.开展人才培养。</w:t>
      </w:r>
      <w:r>
        <w:rPr>
          <w:rFonts w:hint="default" w:ascii="Times New Roman" w:hAnsi="Times New Roman" w:eastAsia="方正仿宋_GBK" w:cs="Times New Roman"/>
          <w:b w:val="0"/>
          <w:bCs w:val="0"/>
          <w:i w:val="0"/>
          <w:iCs w:val="0"/>
          <w:caps w:val="0"/>
          <w:color w:val="171A1D"/>
          <w:spacing w:val="0"/>
          <w:kern w:val="0"/>
          <w:sz w:val="32"/>
          <w:szCs w:val="32"/>
          <w:shd w:val="clear" w:fill="FFFFFF"/>
        </w:rPr>
        <w:t>主要包括开展成人电大专科、本科和合作高校成人专科、本科学历教育、教学、学籍管理及学生就业创业服务指导等工作。面向社会开展各种形式、承接政府下达的非学历教育培训工作。</w:t>
      </w:r>
    </w:p>
    <w:p w14:paraId="0E195738">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i w:val="0"/>
          <w:iCs w:val="0"/>
          <w:caps w:val="0"/>
          <w:color w:val="171A1D"/>
          <w:spacing w:val="0"/>
          <w:kern w:val="0"/>
          <w:sz w:val="32"/>
          <w:szCs w:val="32"/>
          <w:shd w:val="clear" w:fill="FFFFFF"/>
        </w:rPr>
      </w:pPr>
      <w:r>
        <w:rPr>
          <w:rFonts w:hint="default" w:ascii="Times New Roman" w:hAnsi="Times New Roman" w:eastAsia="方正仿宋_GBK" w:cs="Times New Roman"/>
          <w:b/>
          <w:bCs/>
          <w:i w:val="0"/>
          <w:iCs w:val="0"/>
          <w:caps w:val="0"/>
          <w:color w:val="171A1D"/>
          <w:spacing w:val="0"/>
          <w:kern w:val="0"/>
          <w:sz w:val="32"/>
          <w:szCs w:val="32"/>
          <w:shd w:val="clear" w:fill="FFFFFF"/>
        </w:rPr>
        <w:t>2.开展教改研究。</w:t>
      </w:r>
      <w:r>
        <w:rPr>
          <w:rFonts w:hint="default" w:ascii="Times New Roman" w:hAnsi="Times New Roman" w:eastAsia="方正仿宋_GBK" w:cs="Times New Roman"/>
          <w:i w:val="0"/>
          <w:iCs w:val="0"/>
          <w:caps w:val="0"/>
          <w:color w:val="171A1D"/>
          <w:spacing w:val="0"/>
          <w:kern w:val="0"/>
          <w:sz w:val="32"/>
          <w:szCs w:val="32"/>
          <w:shd w:val="clear" w:fill="FFFFFF"/>
        </w:rPr>
        <w:t>主要包括开展教学应用、教学平台建设、教学资源建设、项目研究等工作。</w:t>
      </w:r>
    </w:p>
    <w:p w14:paraId="46F66E60">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i w:val="0"/>
          <w:iCs w:val="0"/>
          <w:caps w:val="0"/>
          <w:color w:val="171A1D"/>
          <w:spacing w:val="0"/>
          <w:kern w:val="0"/>
          <w:sz w:val="32"/>
          <w:szCs w:val="32"/>
          <w:shd w:val="clear" w:fill="FFFFFF"/>
        </w:rPr>
      </w:pPr>
      <w:r>
        <w:rPr>
          <w:rFonts w:hint="default" w:ascii="Times New Roman" w:hAnsi="Times New Roman" w:eastAsia="方正仿宋_GBK" w:cs="Times New Roman"/>
          <w:b/>
          <w:bCs/>
          <w:i w:val="0"/>
          <w:iCs w:val="0"/>
          <w:caps w:val="0"/>
          <w:color w:val="171A1D"/>
          <w:spacing w:val="0"/>
          <w:kern w:val="0"/>
          <w:sz w:val="32"/>
          <w:szCs w:val="32"/>
          <w:shd w:val="clear" w:fill="FFFFFF"/>
        </w:rPr>
        <w:t>3.开展社会服务。</w:t>
      </w:r>
      <w:r>
        <w:rPr>
          <w:rFonts w:hint="default" w:ascii="Times New Roman" w:hAnsi="Times New Roman" w:eastAsia="方正仿宋_GBK" w:cs="Times New Roman"/>
          <w:i w:val="0"/>
          <w:iCs w:val="0"/>
          <w:caps w:val="0"/>
          <w:color w:val="171A1D"/>
          <w:spacing w:val="0"/>
          <w:kern w:val="0"/>
          <w:sz w:val="32"/>
          <w:szCs w:val="32"/>
          <w:shd w:val="clear" w:fill="FFFFFF"/>
        </w:rPr>
        <w:t>主要包括开展校企合作培训等工作。</w:t>
      </w:r>
    </w:p>
    <w:p w14:paraId="47809512">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i w:val="0"/>
          <w:iCs w:val="0"/>
          <w:caps w:val="0"/>
          <w:color w:val="171A1D"/>
          <w:spacing w:val="0"/>
          <w:kern w:val="0"/>
          <w:sz w:val="32"/>
          <w:szCs w:val="32"/>
          <w:shd w:val="clear" w:fill="FFFFFF"/>
        </w:rPr>
        <w:t>4.开展社区教育工作。</w:t>
      </w:r>
      <w:r>
        <w:rPr>
          <w:rFonts w:hint="default" w:ascii="Times New Roman" w:hAnsi="Times New Roman" w:eastAsia="方正仿宋_GBK" w:cs="Times New Roman"/>
          <w:i w:val="0"/>
          <w:iCs w:val="0"/>
          <w:caps w:val="0"/>
          <w:color w:val="171A1D"/>
          <w:spacing w:val="0"/>
          <w:kern w:val="0"/>
          <w:sz w:val="32"/>
          <w:szCs w:val="32"/>
          <w:shd w:val="clear" w:fill="FFFFFF"/>
        </w:rPr>
        <w:t>主要包括组织管理和指导协调全区社区教育工作；开展社区成人学历教育与非学历教育以及终身教育活动；开展老年教育工作；开展社区教育师资培训和社区文化建设活动；进行社区教育理论研究。</w:t>
      </w:r>
    </w:p>
    <w:p w14:paraId="13C393FD">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楷体_GBK" w:cs="Times New Roman"/>
          <w:bCs/>
          <w:kern w:val="0"/>
          <w:sz w:val="32"/>
          <w:szCs w:val="32"/>
          <w:lang w:bidi="ar"/>
        </w:rPr>
      </w:pPr>
      <w:r>
        <w:rPr>
          <w:rFonts w:hint="default" w:ascii="Times New Roman" w:hAnsi="Times New Roman" w:eastAsia="方正楷体_GBK" w:cs="Times New Roman"/>
          <w:bCs/>
          <w:kern w:val="0"/>
          <w:sz w:val="32"/>
          <w:szCs w:val="32"/>
          <w:lang w:bidi="ar"/>
        </w:rPr>
        <w:t>（二）机构设置</w:t>
      </w:r>
    </w:p>
    <w:p w14:paraId="15CADC02">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rightChars="0" w:firstLine="640" w:firstLineChars="200"/>
        <w:jc w:val="both"/>
        <w:textAlignment w:val="auto"/>
        <w:rPr>
          <w:rStyle w:val="17"/>
          <w:rFonts w:hint="default" w:ascii="Times New Roman" w:hAnsi="Times New Roman" w:eastAsia="方正仿宋_GBK" w:cs="Times New Roman"/>
          <w:b w:val="0"/>
          <w:bCs w:val="0"/>
          <w:kern w:val="0"/>
          <w:sz w:val="32"/>
          <w:szCs w:val="32"/>
          <w:shd w:val="clear" w:fill="FFFFFF"/>
          <w:lang w:val="en-US" w:eastAsia="zh-CN" w:bidi="ar"/>
        </w:rPr>
      </w:pPr>
      <w:r>
        <w:rPr>
          <w:rStyle w:val="17"/>
          <w:rFonts w:hint="default" w:ascii="Times New Roman" w:hAnsi="Times New Roman" w:eastAsia="方正仿宋_GBK" w:cs="Times New Roman"/>
          <w:b w:val="0"/>
          <w:bCs w:val="0"/>
          <w:kern w:val="0"/>
          <w:sz w:val="32"/>
          <w:szCs w:val="32"/>
          <w:shd w:val="clear" w:fill="FFFFFF"/>
          <w:lang w:val="en-US" w:eastAsia="zh-CN" w:bidi="ar"/>
        </w:rPr>
        <w:t>九龙坡区成人教育发展中心是区教委直属事业单位，编制人数34人，202</w:t>
      </w:r>
      <w:r>
        <w:rPr>
          <w:rStyle w:val="17"/>
          <w:rFonts w:hint="eastAsia" w:ascii="Times New Roman" w:hAnsi="Times New Roman" w:eastAsia="方正仿宋_GBK" w:cs="Times New Roman"/>
          <w:b w:val="0"/>
          <w:bCs w:val="0"/>
          <w:kern w:val="0"/>
          <w:sz w:val="32"/>
          <w:szCs w:val="32"/>
          <w:shd w:val="clear" w:fill="FFFFFF"/>
          <w:lang w:val="en-US" w:eastAsia="zh-CN" w:bidi="ar"/>
        </w:rPr>
        <w:t>4</w:t>
      </w:r>
      <w:r>
        <w:rPr>
          <w:rStyle w:val="17"/>
          <w:rFonts w:hint="default" w:ascii="Times New Roman" w:hAnsi="Times New Roman" w:eastAsia="方正仿宋_GBK" w:cs="Times New Roman"/>
          <w:b w:val="0"/>
          <w:bCs w:val="0"/>
          <w:kern w:val="0"/>
          <w:sz w:val="32"/>
          <w:szCs w:val="32"/>
          <w:shd w:val="clear" w:fill="FFFFFF"/>
          <w:lang w:val="en-US" w:eastAsia="zh-CN" w:bidi="ar"/>
        </w:rPr>
        <w:t>年底实有人数33人。内设五大中心，分别为：学校发展中心、质量科研中心、学历教育中心、终身教育中心、信息服务中心五个职能部门。</w:t>
      </w:r>
    </w:p>
    <w:p w14:paraId="43E8AD32">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黑体_GBK" w:cs="宋体"/>
          <w:bCs/>
          <w:kern w:val="0"/>
          <w:sz w:val="32"/>
          <w:szCs w:val="20"/>
        </w:rPr>
        <w:t>二、</w:t>
      </w:r>
      <w:r>
        <w:rPr>
          <w:rFonts w:hint="eastAsia" w:ascii="Times New Roman" w:hAnsi="Times New Roman" w:eastAsia="方正黑体_GBK" w:cs="宋体"/>
          <w:bCs/>
          <w:kern w:val="0"/>
          <w:sz w:val="32"/>
          <w:szCs w:val="20"/>
          <w:lang w:eastAsia="zh-CN"/>
        </w:rPr>
        <w:t>单位</w:t>
      </w:r>
      <w:r>
        <w:rPr>
          <w:rFonts w:hint="eastAsia" w:ascii="Times New Roman" w:hAnsi="Times New Roman" w:eastAsia="方正黑体_GBK" w:cs="宋体"/>
          <w:bCs/>
          <w:kern w:val="0"/>
          <w:sz w:val="32"/>
          <w:szCs w:val="20"/>
        </w:rPr>
        <w:t>决算</w:t>
      </w:r>
      <w:r>
        <w:rPr>
          <w:rFonts w:hint="eastAsia" w:ascii="Times New Roman" w:hAnsi="Times New Roman" w:eastAsia="方正黑体_GBK" w:cs="宋体"/>
          <w:bCs/>
          <w:kern w:val="0"/>
          <w:sz w:val="32"/>
          <w:szCs w:val="20"/>
          <w:lang w:eastAsia="zh-CN"/>
        </w:rPr>
        <w:t>收支</w:t>
      </w:r>
      <w:r>
        <w:rPr>
          <w:rFonts w:hint="eastAsia" w:ascii="Times New Roman" w:hAnsi="Times New Roman" w:eastAsia="方正黑体_GBK" w:cs="宋体"/>
          <w:bCs/>
          <w:kern w:val="0"/>
          <w:sz w:val="32"/>
          <w:szCs w:val="20"/>
        </w:rPr>
        <w:t>情况说明</w:t>
      </w:r>
    </w:p>
    <w:p w14:paraId="2BD93ACE">
      <w:pPr>
        <w:widowControl w:val="0"/>
        <w:spacing w:line="600" w:lineRule="exact"/>
        <w:ind w:firstLine="640" w:firstLineChars="200"/>
        <w:jc w:val="both"/>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（一）收入支出决算总体情况说明</w:t>
      </w:r>
    </w:p>
    <w:p w14:paraId="2651914C">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i w:val="0"/>
          <w:iCs w:val="0"/>
          <w:caps w:val="0"/>
          <w:color w:val="171A1D"/>
          <w:spacing w:val="0"/>
          <w:kern w:val="0"/>
          <w:sz w:val="32"/>
          <w:szCs w:val="32"/>
          <w:shd w:val="clear" w:fill="FFFFFF"/>
          <w:lang w:val="en-US" w:eastAsia="zh-CN" w:bidi="ar"/>
        </w:rPr>
        <w:t>1.总体情况。</w:t>
      </w:r>
      <w:r>
        <w:rPr>
          <w:rFonts w:hint="default" w:ascii="Times New Roman" w:hAnsi="Times New Roman" w:eastAsia="方正仿宋_GBK" w:cs="Times New Roman"/>
          <w:kern w:val="0"/>
          <w:sz w:val="32"/>
          <w:szCs w:val="32"/>
          <w:shd w:val="clear" w:fill="FFFFFF"/>
          <w:lang w:val="en-US" w:eastAsia="zh-CN" w:bidi="ar"/>
        </w:rPr>
        <w:t>202</w:t>
      </w:r>
      <w:r>
        <w:rPr>
          <w:rFonts w:hint="eastAsia" w:ascii="Times New Roman" w:hAnsi="Times New Roman" w:eastAsia="方正仿宋_GBK" w:cs="Times New Roman"/>
          <w:kern w:val="0"/>
          <w:sz w:val="32"/>
          <w:szCs w:val="32"/>
          <w:shd w:val="clear" w:fill="FFFFFF"/>
          <w:lang w:val="en-US" w:eastAsia="zh-CN" w:bidi="ar"/>
        </w:rPr>
        <w:t>4</w:t>
      </w:r>
      <w:r>
        <w:rPr>
          <w:rFonts w:hint="default" w:ascii="Times New Roman" w:hAnsi="Times New Roman" w:eastAsia="方正仿宋_GBK" w:cs="Times New Roman"/>
          <w:kern w:val="0"/>
          <w:sz w:val="32"/>
          <w:szCs w:val="32"/>
          <w:shd w:val="clear" w:fill="FFFFFF"/>
          <w:lang w:val="en-US" w:eastAsia="zh-CN" w:bidi="ar"/>
        </w:rPr>
        <w:t>年度收入总计2045.77万元，支出总计2045.77万元。收支较上年决算数增加</w:t>
      </w:r>
      <w:r>
        <w:rPr>
          <w:rFonts w:hint="eastAsia" w:ascii="Times New Roman" w:hAnsi="Times New Roman" w:eastAsia="方正仿宋_GBK" w:cs="Times New Roman"/>
          <w:kern w:val="0"/>
          <w:sz w:val="32"/>
          <w:szCs w:val="32"/>
          <w:shd w:val="clear" w:fill="FFFFFF"/>
          <w:lang w:val="en-US" w:eastAsia="zh-CN" w:bidi="ar"/>
        </w:rPr>
        <w:t>69.44</w:t>
      </w:r>
      <w:r>
        <w:rPr>
          <w:rFonts w:hint="default" w:ascii="Times New Roman" w:hAnsi="Times New Roman" w:eastAsia="方正仿宋_GBK" w:cs="Times New Roman"/>
          <w:kern w:val="0"/>
          <w:sz w:val="32"/>
          <w:szCs w:val="32"/>
          <w:shd w:val="clear" w:fill="FFFFFF"/>
          <w:lang w:val="en-US" w:eastAsia="zh-CN" w:bidi="ar"/>
        </w:rPr>
        <w:t>万元，增长</w:t>
      </w:r>
      <w:r>
        <w:rPr>
          <w:rFonts w:hint="eastAsia" w:ascii="Times New Roman" w:hAnsi="Times New Roman" w:eastAsia="方正仿宋_GBK" w:cs="Times New Roman"/>
          <w:kern w:val="0"/>
          <w:sz w:val="32"/>
          <w:szCs w:val="32"/>
          <w:shd w:val="clear" w:fill="FFFFFF"/>
          <w:lang w:val="en-US" w:eastAsia="zh-CN" w:bidi="ar"/>
        </w:rPr>
        <w:t>3.51</w:t>
      </w:r>
      <w:r>
        <w:rPr>
          <w:rFonts w:hint="default" w:ascii="Times New Roman" w:hAnsi="Times New Roman" w:eastAsia="方正仿宋_GBK" w:cs="Times New Roman"/>
          <w:kern w:val="0"/>
          <w:sz w:val="32"/>
          <w:szCs w:val="32"/>
          <w:shd w:val="clear" w:fill="FFFFFF"/>
          <w:lang w:val="en-US" w:eastAsia="zh-CN" w:bidi="ar"/>
        </w:rPr>
        <w:t>%，</w:t>
      </w:r>
      <w:r>
        <w:rPr>
          <w:rFonts w:hint="default" w:ascii="Times New Roman" w:hAnsi="Times New Roman" w:eastAsia="方正仿宋_GBK" w:cs="Times New Roman"/>
          <w:kern w:val="0"/>
          <w:sz w:val="32"/>
          <w:szCs w:val="32"/>
          <w:shd w:val="clear" w:fill="FFFFFF"/>
        </w:rPr>
        <w:t>主要原因是</w:t>
      </w:r>
      <w:r>
        <w:rPr>
          <w:rFonts w:hint="eastAsia" w:ascii="仿宋_GB2312" w:hAnsi="仿宋" w:eastAsia="仿宋_GB2312"/>
          <w:sz w:val="32"/>
          <w:szCs w:val="32"/>
        </w:rPr>
        <w:t>人员经费增加，补缴社保及职业年金、死亡抚恤金等</w:t>
      </w:r>
      <w:r>
        <w:rPr>
          <w:rFonts w:hint="default" w:ascii="Times New Roman" w:hAnsi="Times New Roman" w:eastAsia="方正仿宋_GBK" w:cs="Times New Roman"/>
          <w:kern w:val="0"/>
          <w:sz w:val="32"/>
          <w:szCs w:val="32"/>
          <w:shd w:val="clear" w:fill="FFFFFF"/>
        </w:rPr>
        <w:t>。</w:t>
      </w:r>
    </w:p>
    <w:p w14:paraId="5293E1B9">
      <w:pPr>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i w:val="0"/>
          <w:iCs w:val="0"/>
          <w:caps w:val="0"/>
          <w:color w:val="171A1D"/>
          <w:spacing w:val="0"/>
          <w:kern w:val="0"/>
          <w:sz w:val="32"/>
          <w:szCs w:val="32"/>
          <w:shd w:val="clear" w:fill="FFFFFF"/>
          <w:lang w:val="en-US" w:eastAsia="zh-CN" w:bidi="ar"/>
        </w:rPr>
        <w:t>2.收入情况。</w:t>
      </w:r>
      <w:r>
        <w:rPr>
          <w:rFonts w:hint="default" w:ascii="Times New Roman" w:hAnsi="Times New Roman" w:eastAsia="方正仿宋_GBK" w:cs="Times New Roman"/>
          <w:kern w:val="0"/>
          <w:sz w:val="32"/>
          <w:szCs w:val="32"/>
          <w:shd w:val="clear" w:fill="FFFFFF"/>
          <w:lang w:val="en-US" w:eastAsia="zh-CN" w:bidi="ar"/>
        </w:rPr>
        <w:t>202</w:t>
      </w:r>
      <w:r>
        <w:rPr>
          <w:rFonts w:hint="eastAsia" w:ascii="Times New Roman" w:hAnsi="Times New Roman" w:eastAsia="方正仿宋_GBK" w:cs="Times New Roman"/>
          <w:kern w:val="0"/>
          <w:sz w:val="32"/>
          <w:szCs w:val="32"/>
          <w:shd w:val="clear" w:fill="FFFFFF"/>
          <w:lang w:val="en-US" w:eastAsia="zh-CN" w:bidi="ar"/>
        </w:rPr>
        <w:t>4</w:t>
      </w:r>
      <w:r>
        <w:rPr>
          <w:rFonts w:hint="default" w:ascii="Times New Roman" w:hAnsi="Times New Roman" w:eastAsia="方正仿宋_GBK" w:cs="Times New Roman"/>
          <w:kern w:val="0"/>
          <w:sz w:val="32"/>
          <w:szCs w:val="32"/>
          <w:shd w:val="clear" w:fill="FFFFFF"/>
          <w:lang w:val="en-US" w:eastAsia="zh-CN" w:bidi="ar"/>
        </w:rPr>
        <w:t>年度收入总计2045.77万元，支出总计2045.77万元。</w:t>
      </w:r>
      <w:r>
        <w:rPr>
          <w:rFonts w:hint="eastAsia" w:ascii="Times New Roman" w:hAnsi="Times New Roman" w:eastAsia="方正仿宋_GBK" w:cs="Times New Roman"/>
          <w:kern w:val="0"/>
          <w:sz w:val="32"/>
          <w:szCs w:val="32"/>
          <w:shd w:val="clear" w:fill="FFFFFF"/>
          <w:lang w:val="en-US" w:eastAsia="zh-CN" w:bidi="ar"/>
        </w:rPr>
        <w:t>收入</w:t>
      </w:r>
      <w:r>
        <w:rPr>
          <w:rFonts w:hint="default" w:ascii="Times New Roman" w:hAnsi="Times New Roman" w:eastAsia="方正仿宋_GBK" w:cs="Times New Roman"/>
          <w:kern w:val="0"/>
          <w:sz w:val="32"/>
          <w:szCs w:val="32"/>
          <w:shd w:val="clear" w:fill="FFFFFF"/>
          <w:lang w:val="en-US" w:eastAsia="zh-CN" w:bidi="ar"/>
        </w:rPr>
        <w:t>较上年决算数增加</w:t>
      </w:r>
      <w:r>
        <w:rPr>
          <w:rFonts w:hint="eastAsia" w:ascii="Times New Roman" w:hAnsi="Times New Roman" w:eastAsia="方正仿宋_GBK" w:cs="Times New Roman"/>
          <w:kern w:val="0"/>
          <w:sz w:val="32"/>
          <w:szCs w:val="32"/>
          <w:shd w:val="clear" w:fill="FFFFFF"/>
          <w:lang w:val="en-US" w:eastAsia="zh-CN" w:bidi="ar"/>
        </w:rPr>
        <w:t>6</w:t>
      </w:r>
      <w:r>
        <w:rPr>
          <w:rFonts w:hint="default" w:ascii="Times New Roman" w:hAnsi="Times New Roman" w:eastAsia="方正仿宋_GBK" w:cs="Times New Roman"/>
          <w:kern w:val="0"/>
          <w:sz w:val="32"/>
          <w:szCs w:val="32"/>
          <w:shd w:val="clear" w:fill="FFFFFF"/>
          <w:lang w:val="en-US" w:eastAsia="zh-CN" w:bidi="ar"/>
        </w:rPr>
        <w:t>9.44万元，增长</w:t>
      </w:r>
      <w:r>
        <w:rPr>
          <w:rFonts w:hint="eastAsia" w:ascii="Times New Roman" w:hAnsi="Times New Roman" w:eastAsia="方正仿宋_GBK" w:cs="Times New Roman"/>
          <w:kern w:val="0"/>
          <w:sz w:val="32"/>
          <w:szCs w:val="32"/>
          <w:shd w:val="clear" w:fill="FFFFFF"/>
          <w:lang w:val="en-US" w:eastAsia="zh-CN" w:bidi="ar"/>
        </w:rPr>
        <w:t>3.51</w:t>
      </w:r>
      <w:r>
        <w:rPr>
          <w:rFonts w:hint="default" w:ascii="Times New Roman" w:hAnsi="Times New Roman" w:eastAsia="方正仿宋_GBK" w:cs="Times New Roman"/>
          <w:kern w:val="0"/>
          <w:sz w:val="32"/>
          <w:szCs w:val="32"/>
          <w:shd w:val="clear" w:fill="FFFFFF"/>
          <w:lang w:val="en-US" w:eastAsia="zh-CN" w:bidi="ar"/>
        </w:rPr>
        <w:t>%，</w:t>
      </w:r>
      <w:r>
        <w:rPr>
          <w:rFonts w:hint="default" w:ascii="Times New Roman" w:hAnsi="Times New Roman" w:eastAsia="方正仿宋_GBK" w:cs="Times New Roman"/>
          <w:kern w:val="0"/>
          <w:sz w:val="32"/>
          <w:szCs w:val="32"/>
          <w:shd w:val="clear" w:fill="FFFFFF"/>
          <w:lang w:val="en-US" w:eastAsia="zh-CN" w:bidi="ar-SA"/>
        </w:rPr>
        <w:t>主要原因是</w:t>
      </w:r>
      <w:r>
        <w:rPr>
          <w:rFonts w:hint="eastAsia" w:ascii="仿宋_GB2312" w:hAnsi="仿宋" w:eastAsia="仿宋_GB2312" w:cs="宋体"/>
          <w:kern w:val="0"/>
          <w:sz w:val="32"/>
          <w:szCs w:val="32"/>
          <w:lang w:val="en-US" w:eastAsia="zh-CN" w:bidi="ar-SA"/>
        </w:rPr>
        <w:t>人员经费增加，补缴社保及职业年金、死亡抚恤金等</w:t>
      </w:r>
      <w:r>
        <w:rPr>
          <w:rFonts w:hint="default" w:ascii="Times New Roman" w:hAnsi="Times New Roman" w:eastAsia="方正仿宋_GBK" w:cs="Times New Roman"/>
          <w:kern w:val="0"/>
          <w:sz w:val="32"/>
          <w:szCs w:val="32"/>
          <w:shd w:val="clear" w:fill="FFFFFF"/>
          <w:lang w:val="en-US" w:eastAsia="zh-CN" w:bidi="ar-SA"/>
        </w:rPr>
        <w:t>。</w:t>
      </w:r>
      <w:r>
        <w:rPr>
          <w:rFonts w:hint="default" w:ascii="Times New Roman" w:hAnsi="Times New Roman" w:eastAsia="方正仿宋_GBK" w:cs="Times New Roman"/>
          <w:kern w:val="0"/>
          <w:sz w:val="32"/>
          <w:szCs w:val="32"/>
          <w:shd w:val="clear" w:fill="FFFFFF"/>
          <w:lang w:val="en-US" w:eastAsia="zh-CN" w:bidi="ar"/>
        </w:rPr>
        <w:t>其中：财政拨款收入1235.67万元，占60.4%；事业收入810.1万元，占</w:t>
      </w:r>
      <w:r>
        <w:rPr>
          <w:rFonts w:hint="eastAsia" w:ascii="Times New Roman" w:hAnsi="Times New Roman" w:eastAsia="方正仿宋_GBK" w:cs="Times New Roman"/>
          <w:kern w:val="0"/>
          <w:sz w:val="32"/>
          <w:szCs w:val="32"/>
          <w:shd w:val="clear" w:fill="FFFFFF"/>
          <w:lang w:val="en-US" w:eastAsia="zh-CN" w:bidi="ar"/>
        </w:rPr>
        <w:t>39.6</w:t>
      </w:r>
      <w:r>
        <w:rPr>
          <w:rFonts w:hint="default" w:ascii="Times New Roman" w:hAnsi="Times New Roman" w:eastAsia="方正仿宋_GBK" w:cs="Times New Roman"/>
          <w:kern w:val="0"/>
          <w:sz w:val="32"/>
          <w:szCs w:val="32"/>
          <w:shd w:val="clear" w:fill="FFFFFF"/>
          <w:lang w:val="en-US" w:eastAsia="zh-CN" w:bidi="ar"/>
        </w:rPr>
        <w:t>%。</w:t>
      </w:r>
    </w:p>
    <w:p w14:paraId="5F5B32C4">
      <w:pPr>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2"/>
          <w:sz w:val="32"/>
          <w:szCs w:val="32"/>
          <w:shd w:val="clear" w:color="auto" w:fill="FFFFFF"/>
          <w:lang w:val="en-US" w:eastAsia="zh-CN" w:bidi="ar-SA"/>
        </w:rPr>
        <w:t>3.支出情况。</w:t>
      </w:r>
      <w:r>
        <w:rPr>
          <w:rFonts w:hint="default" w:ascii="Times New Roman" w:hAnsi="Times New Roman" w:eastAsia="方正仿宋_GBK" w:cs="Times New Roman"/>
          <w:kern w:val="0"/>
          <w:sz w:val="32"/>
          <w:szCs w:val="32"/>
          <w:shd w:val="clear" w:color="auto" w:fill="FFFFFF"/>
          <w:lang w:val="en-US" w:eastAsia="zh-CN" w:bidi="ar-SA"/>
        </w:rPr>
        <w:t>202</w:t>
      </w:r>
      <w:r>
        <w:rPr>
          <w:rFonts w:hint="eastAsia" w:ascii="Times New Roman" w:hAnsi="Times New Roman" w:eastAsia="方正仿宋_GBK" w:cs="Times New Roman"/>
          <w:kern w:val="0"/>
          <w:sz w:val="32"/>
          <w:szCs w:val="32"/>
          <w:shd w:val="clear" w:color="auto" w:fill="FFFFFF"/>
          <w:lang w:val="en-US" w:eastAsia="zh-CN" w:bidi="ar-SA"/>
        </w:rPr>
        <w:t>4</w:t>
      </w:r>
      <w:r>
        <w:rPr>
          <w:rFonts w:hint="default" w:ascii="Times New Roman" w:hAnsi="Times New Roman" w:eastAsia="方正仿宋_GBK" w:cs="Times New Roman"/>
          <w:kern w:val="0"/>
          <w:sz w:val="32"/>
          <w:szCs w:val="32"/>
          <w:shd w:val="clear" w:color="auto" w:fill="FFFFFF"/>
          <w:lang w:val="en-US" w:eastAsia="zh-CN" w:bidi="ar-SA"/>
        </w:rPr>
        <w:t>年度支出合计</w:t>
      </w:r>
      <w:r>
        <w:rPr>
          <w:rFonts w:hint="default" w:ascii="Times New Roman" w:hAnsi="Times New Roman" w:eastAsia="方正仿宋_GBK" w:cs="Times New Roman"/>
          <w:kern w:val="0"/>
          <w:sz w:val="32"/>
          <w:szCs w:val="32"/>
          <w:shd w:val="clear" w:fill="FFFFFF"/>
          <w:lang w:val="en-US" w:eastAsia="zh-CN" w:bidi="ar"/>
        </w:rPr>
        <w:t>2045.77</w:t>
      </w:r>
      <w:r>
        <w:rPr>
          <w:rFonts w:hint="default" w:ascii="Times New Roman" w:hAnsi="Times New Roman" w:eastAsia="方正仿宋_GBK" w:cs="Times New Roman"/>
          <w:kern w:val="0"/>
          <w:sz w:val="32"/>
          <w:szCs w:val="32"/>
          <w:shd w:val="clear" w:color="auto" w:fill="FFFFFF"/>
          <w:lang w:val="en-US" w:eastAsia="zh-CN" w:bidi="ar-SA"/>
        </w:rPr>
        <w:t>万元，较上年决算数增加69.44万元，增长</w:t>
      </w:r>
      <w:r>
        <w:rPr>
          <w:rFonts w:hint="eastAsia" w:ascii="Times New Roman" w:hAnsi="Times New Roman" w:eastAsia="方正仿宋_GBK" w:cs="Times New Roman"/>
          <w:kern w:val="0"/>
          <w:sz w:val="32"/>
          <w:szCs w:val="32"/>
          <w:shd w:val="clear" w:fill="FFFFFF"/>
          <w:lang w:val="en-US" w:eastAsia="zh-CN" w:bidi="ar"/>
        </w:rPr>
        <w:t>3.51</w:t>
      </w:r>
      <w:r>
        <w:rPr>
          <w:rFonts w:hint="default" w:ascii="Times New Roman" w:hAnsi="Times New Roman" w:eastAsia="方正仿宋_GBK" w:cs="Times New Roman"/>
          <w:kern w:val="0"/>
          <w:sz w:val="32"/>
          <w:szCs w:val="32"/>
          <w:shd w:val="clear" w:fill="FFFFFF"/>
          <w:lang w:val="en-US" w:eastAsia="zh-CN" w:bidi="ar"/>
        </w:rPr>
        <w:t>%</w:t>
      </w:r>
      <w:r>
        <w:rPr>
          <w:rFonts w:hint="default"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lang w:val="en-US" w:eastAsia="zh-CN" w:bidi="ar-SA"/>
        </w:rPr>
        <w:t>主要原因是</w:t>
      </w:r>
      <w:r>
        <w:rPr>
          <w:rFonts w:hint="eastAsia" w:ascii="仿宋_GB2312" w:hAnsi="仿宋" w:eastAsia="仿宋_GB2312" w:cs="宋体"/>
          <w:kern w:val="0"/>
          <w:sz w:val="32"/>
          <w:szCs w:val="32"/>
          <w:lang w:val="en-US" w:eastAsia="zh-CN" w:bidi="ar-SA"/>
        </w:rPr>
        <w:t>人员经费增加，补缴社保及职业年金、死亡抚恤金等</w:t>
      </w:r>
      <w:r>
        <w:rPr>
          <w:rFonts w:hint="default" w:ascii="Times New Roman" w:hAnsi="Times New Roman" w:eastAsia="方正仿宋_GBK" w:cs="Times New Roman"/>
          <w:kern w:val="0"/>
          <w:sz w:val="32"/>
          <w:szCs w:val="32"/>
          <w:shd w:val="clear"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其中：基本支出</w:t>
      </w:r>
      <w:r>
        <w:rPr>
          <w:rFonts w:hint="default" w:ascii="Times New Roman" w:hAnsi="Times New Roman" w:eastAsia="方正仿宋_GBK" w:cs="Times New Roman"/>
          <w:kern w:val="0"/>
          <w:sz w:val="32"/>
          <w:szCs w:val="32"/>
          <w:lang w:val="en-US" w:eastAsia="zh-CN" w:bidi="ar-SA"/>
        </w:rPr>
        <w:t>1123.17</w:t>
      </w:r>
      <w:r>
        <w:rPr>
          <w:rFonts w:hint="default" w:ascii="Times New Roman" w:hAnsi="Times New Roman" w:eastAsia="方正仿宋_GBK" w:cs="Times New Roman"/>
          <w:kern w:val="0"/>
          <w:sz w:val="32"/>
          <w:szCs w:val="32"/>
          <w:shd w:val="clear" w:color="auto" w:fill="FFFFFF"/>
          <w:lang w:val="en-US" w:eastAsia="zh-CN" w:bidi="ar-SA"/>
        </w:rPr>
        <w:t>万元，占</w:t>
      </w:r>
      <w:r>
        <w:rPr>
          <w:rFonts w:hint="eastAsia" w:ascii="Times New Roman" w:hAnsi="Times New Roman" w:eastAsia="方正仿宋_GBK" w:cs="Times New Roman"/>
          <w:kern w:val="0"/>
          <w:sz w:val="32"/>
          <w:szCs w:val="32"/>
          <w:shd w:val="clear" w:color="auto" w:fill="FFFFFF"/>
          <w:lang w:val="en-US" w:eastAsia="zh-CN" w:bidi="ar-SA"/>
        </w:rPr>
        <w:t>54.9</w:t>
      </w:r>
      <w:r>
        <w:rPr>
          <w:rFonts w:hint="default" w:ascii="Times New Roman" w:hAnsi="Times New Roman" w:eastAsia="方正仿宋_GBK" w:cs="Times New Roman"/>
          <w:kern w:val="0"/>
          <w:sz w:val="32"/>
          <w:szCs w:val="32"/>
          <w:shd w:val="clear" w:color="auto" w:fill="FFFFFF"/>
          <w:lang w:val="en-US" w:eastAsia="zh-CN" w:bidi="ar-SA"/>
        </w:rPr>
        <w:t>%；</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 xml:space="preserve">其中：人员支出990.01万元，占48.39%，公用支出133.16万元，占6.51%）；项目支出922.6万元，占支出总额的 45.1%。  </w:t>
      </w:r>
    </w:p>
    <w:p w14:paraId="054B4A90">
      <w:pPr>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b/>
          <w:bCs/>
          <w:kern w:val="2"/>
          <w:sz w:val="32"/>
          <w:szCs w:val="32"/>
          <w:shd w:val="clear" w:color="auto" w:fill="FFFFFF"/>
          <w:lang w:val="en-US" w:eastAsia="zh-CN" w:bidi="ar-SA"/>
        </w:rPr>
        <w:t>4.结转结余情况。</w:t>
      </w:r>
      <w:r>
        <w:rPr>
          <w:rFonts w:hint="default" w:ascii="Times New Roman" w:hAnsi="Times New Roman" w:eastAsia="方正仿宋_GBK" w:cs="Times New Roman"/>
          <w:kern w:val="0"/>
          <w:sz w:val="32"/>
          <w:szCs w:val="32"/>
          <w:shd w:val="clear" w:color="auto" w:fill="FFFFFF"/>
          <w:lang w:val="en-US" w:eastAsia="zh-CN" w:bidi="ar-SA"/>
        </w:rPr>
        <w:t>202</w:t>
      </w:r>
      <w:r>
        <w:rPr>
          <w:rFonts w:hint="eastAsia" w:ascii="Times New Roman" w:hAnsi="Times New Roman" w:eastAsia="方正仿宋_GBK" w:cs="Times New Roman"/>
          <w:kern w:val="0"/>
          <w:sz w:val="32"/>
          <w:szCs w:val="32"/>
          <w:shd w:val="clear" w:color="auto" w:fill="FFFFFF"/>
          <w:lang w:val="en-US" w:eastAsia="zh-CN" w:bidi="ar-SA"/>
        </w:rPr>
        <w:t>4</w:t>
      </w:r>
      <w:r>
        <w:rPr>
          <w:rFonts w:hint="default" w:ascii="Times New Roman" w:hAnsi="Times New Roman" w:eastAsia="方正仿宋_GBK" w:cs="Times New Roman"/>
          <w:kern w:val="0"/>
          <w:sz w:val="32"/>
          <w:szCs w:val="32"/>
          <w:shd w:val="clear" w:color="auto" w:fill="FFFFFF"/>
          <w:lang w:val="en-US" w:eastAsia="zh-CN" w:bidi="ar-SA"/>
        </w:rPr>
        <w:t>年度年末结转和结余</w:t>
      </w:r>
      <w:r>
        <w:rPr>
          <w:rFonts w:hint="default" w:ascii="Times New Roman" w:hAnsi="Times New Roman" w:eastAsia="方正仿宋_GBK" w:cs="Times New Roman"/>
          <w:kern w:val="0"/>
          <w:sz w:val="32"/>
          <w:szCs w:val="32"/>
          <w:lang w:val="en-US" w:eastAsia="zh-CN" w:bidi="ar-SA"/>
        </w:rPr>
        <w:t>0.00</w:t>
      </w:r>
      <w:r>
        <w:rPr>
          <w:rFonts w:hint="default" w:ascii="Times New Roman" w:hAnsi="Times New Roman" w:eastAsia="方正仿宋_GBK" w:cs="Times New Roman"/>
          <w:kern w:val="0"/>
          <w:sz w:val="32"/>
          <w:szCs w:val="32"/>
          <w:shd w:val="clear" w:color="auto" w:fill="FFFFFF"/>
          <w:lang w:val="en-US" w:eastAsia="zh-CN" w:bidi="ar-SA"/>
        </w:rPr>
        <w:t>万元，较上年决算数无增减</w:t>
      </w:r>
      <w:r>
        <w:rPr>
          <w:rFonts w:hint="default" w:ascii="Times New Roman" w:hAnsi="Times New Roman" w:eastAsia="方正仿宋_GBK" w:cs="Times New Roman"/>
          <w:kern w:val="0"/>
          <w:sz w:val="32"/>
          <w:szCs w:val="32"/>
          <w:shd w:val="clear" w:fill="FFFFFF"/>
          <w:lang w:val="en-US" w:eastAsia="zh-CN" w:bidi="ar-SA"/>
        </w:rPr>
        <w:t>。</w:t>
      </w:r>
    </w:p>
    <w:p w14:paraId="132B1648">
      <w:pPr>
        <w:widowControl w:val="0"/>
        <w:spacing w:line="600" w:lineRule="exact"/>
        <w:ind w:firstLine="640" w:firstLineChars="200"/>
        <w:jc w:val="both"/>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（二）财政拨款收入支出决算总体情况说明</w:t>
      </w:r>
    </w:p>
    <w:p w14:paraId="4E8164C5">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2024年度财政拨款收、支总计1235.67万元。与202</w:t>
      </w:r>
      <w:r>
        <w:rPr>
          <w:rFonts w:hint="eastAsia" w:ascii="Times New Roman" w:hAnsi="Times New Roman" w:eastAsia="方正仿宋_GBK" w:cs="宋体"/>
          <w:kern w:val="0"/>
          <w:sz w:val="32"/>
          <w:szCs w:val="32"/>
          <w:lang w:val="en-US" w:eastAsia="zh-CN"/>
        </w:rPr>
        <w:t>3</w:t>
      </w:r>
      <w:r>
        <w:rPr>
          <w:rFonts w:hint="eastAsia" w:ascii="Times New Roman" w:hAnsi="Times New Roman" w:eastAsia="方正仿宋_GBK" w:cs="宋体"/>
          <w:kern w:val="0"/>
          <w:sz w:val="32"/>
          <w:szCs w:val="32"/>
        </w:rPr>
        <w:t>年相比，财政拨款收、支总计各增加107.84万元，增长9.56%。主要原因是增加了补缴社保及职业年金、死亡抚恤金等。</w:t>
      </w:r>
    </w:p>
    <w:p w14:paraId="15D74FC5">
      <w:pPr>
        <w:widowControl w:val="0"/>
        <w:spacing w:line="600" w:lineRule="exact"/>
        <w:ind w:firstLine="640" w:firstLineChars="200"/>
        <w:jc w:val="both"/>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（三）一般公共预算财政拨款支出决算情况说明</w:t>
      </w:r>
    </w:p>
    <w:p w14:paraId="7C5614CC">
      <w:pPr>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kern w:val="0"/>
          <w:sz w:val="32"/>
          <w:szCs w:val="32"/>
          <w:shd w:val="clear" w:fill="FFFFFF"/>
          <w:lang w:val="en-US" w:eastAsia="zh-CN" w:bidi="ar"/>
        </w:rPr>
      </w:pPr>
      <w:r>
        <w:rPr>
          <w:rStyle w:val="18"/>
          <w:rFonts w:hint="default" w:ascii="Times New Roman" w:hAnsi="Times New Roman" w:eastAsia="方正仿宋_GBK" w:cs="Times New Roman"/>
          <w:kern w:val="0"/>
          <w:sz w:val="32"/>
          <w:szCs w:val="32"/>
          <w:shd w:val="clear" w:fill="FFFFFF"/>
          <w:lang w:val="en-US" w:eastAsia="zh-CN" w:bidi="ar"/>
        </w:rPr>
        <w:t>1.收入情况。</w:t>
      </w:r>
      <w:r>
        <w:rPr>
          <w:rFonts w:hint="default" w:ascii="Times New Roman" w:hAnsi="Times New Roman" w:eastAsia="方正仿宋_GBK" w:cs="Times New Roman"/>
          <w:kern w:val="0"/>
          <w:sz w:val="32"/>
          <w:szCs w:val="32"/>
          <w:shd w:val="clear" w:fill="FFFFFF"/>
          <w:lang w:val="en-US" w:eastAsia="zh-CN" w:bidi="ar"/>
        </w:rPr>
        <w:t>202</w:t>
      </w:r>
      <w:r>
        <w:rPr>
          <w:rFonts w:hint="eastAsia" w:ascii="Times New Roman" w:hAnsi="Times New Roman" w:eastAsia="方正仿宋_GBK" w:cs="Times New Roman"/>
          <w:kern w:val="0"/>
          <w:sz w:val="32"/>
          <w:szCs w:val="32"/>
          <w:shd w:val="clear" w:fill="FFFFFF"/>
          <w:lang w:val="en-US" w:eastAsia="zh-CN" w:bidi="ar"/>
        </w:rPr>
        <w:t>4</w:t>
      </w:r>
      <w:r>
        <w:rPr>
          <w:rFonts w:hint="default" w:ascii="Times New Roman" w:hAnsi="Times New Roman" w:eastAsia="方正仿宋_GBK" w:cs="Times New Roman"/>
          <w:kern w:val="0"/>
          <w:sz w:val="32"/>
          <w:szCs w:val="32"/>
          <w:shd w:val="clear" w:fill="FFFFFF"/>
          <w:lang w:val="en-US" w:eastAsia="zh-CN" w:bidi="ar"/>
        </w:rPr>
        <w:t>年度一般公共预算财政拨款收入1235.67万元，较上年决算数增加107.84万元，增长9.56%。主要原因是</w:t>
      </w:r>
      <w:r>
        <w:rPr>
          <w:rFonts w:hint="default" w:ascii="Times New Roman" w:hAnsi="Times New Roman" w:eastAsia="方正仿宋_GBK" w:cs="Times New Roman"/>
          <w:kern w:val="0"/>
          <w:sz w:val="32"/>
          <w:szCs w:val="32"/>
          <w:lang w:val="en-US" w:eastAsia="zh-CN" w:bidi="ar-SA"/>
        </w:rPr>
        <w:t>增加了补缴社保及职业年金、死亡抚恤金等。</w:t>
      </w:r>
      <w:r>
        <w:rPr>
          <w:rFonts w:hint="default" w:ascii="Times New Roman" w:hAnsi="Times New Roman" w:eastAsia="方正仿宋_GBK" w:cs="Times New Roman"/>
          <w:kern w:val="0"/>
          <w:sz w:val="32"/>
          <w:szCs w:val="32"/>
          <w:shd w:val="clear" w:fill="FFFFFF"/>
          <w:lang w:val="en-US" w:eastAsia="zh-CN" w:bidi="ar"/>
        </w:rPr>
        <w:t>较年初预算数</w:t>
      </w:r>
      <w:r>
        <w:rPr>
          <w:rFonts w:hint="eastAsia" w:ascii="Times New Roman" w:hAnsi="Times New Roman" w:eastAsia="方正仿宋_GBK" w:cs="Times New Roman"/>
          <w:kern w:val="0"/>
          <w:sz w:val="32"/>
          <w:szCs w:val="32"/>
          <w:shd w:val="clear" w:fill="FFFFFF"/>
          <w:lang w:val="en-US" w:eastAsia="zh-CN" w:bidi="ar"/>
        </w:rPr>
        <w:t>增加</w:t>
      </w:r>
      <w:r>
        <w:rPr>
          <w:rFonts w:hint="eastAsia" w:ascii="Times New Roman" w:hAnsi="Times New Roman" w:eastAsia="方正仿宋_GBK" w:cs="Times New Roman"/>
          <w:color w:val="auto"/>
          <w:kern w:val="0"/>
          <w:sz w:val="32"/>
          <w:szCs w:val="32"/>
          <w:shd w:val="clear" w:fill="FFFFFF"/>
          <w:lang w:val="en-US" w:eastAsia="zh-CN" w:bidi="ar"/>
        </w:rPr>
        <w:t>203.76</w:t>
      </w:r>
      <w:r>
        <w:rPr>
          <w:rFonts w:hint="default" w:ascii="Times New Roman" w:hAnsi="Times New Roman" w:eastAsia="方正仿宋_GBK" w:cs="Times New Roman"/>
          <w:color w:val="auto"/>
          <w:kern w:val="0"/>
          <w:sz w:val="32"/>
          <w:szCs w:val="32"/>
          <w:shd w:val="clear" w:fill="FFFFFF"/>
          <w:lang w:val="en-US" w:eastAsia="zh-CN" w:bidi="ar"/>
        </w:rPr>
        <w:t>万元，</w:t>
      </w:r>
      <w:r>
        <w:rPr>
          <w:rFonts w:hint="eastAsia" w:ascii="Times New Roman" w:hAnsi="Times New Roman" w:eastAsia="方正仿宋_GBK" w:cs="Times New Roman"/>
          <w:color w:val="auto"/>
          <w:kern w:val="0"/>
          <w:sz w:val="32"/>
          <w:szCs w:val="32"/>
          <w:shd w:val="clear" w:fill="FFFFFF"/>
          <w:lang w:val="en-US" w:eastAsia="zh-CN" w:bidi="ar"/>
        </w:rPr>
        <w:t>增长19.74</w:t>
      </w:r>
      <w:r>
        <w:rPr>
          <w:rFonts w:hint="default" w:ascii="Times New Roman" w:hAnsi="Times New Roman" w:eastAsia="方正仿宋_GBK" w:cs="Times New Roman"/>
          <w:color w:val="auto"/>
          <w:kern w:val="0"/>
          <w:sz w:val="32"/>
          <w:szCs w:val="32"/>
          <w:shd w:val="clear" w:fill="FFFFFF"/>
          <w:lang w:val="en-US" w:eastAsia="zh-CN" w:bidi="ar"/>
        </w:rPr>
        <w:t>%。</w:t>
      </w:r>
      <w:r>
        <w:rPr>
          <w:rFonts w:hint="default" w:ascii="Times New Roman" w:hAnsi="Times New Roman" w:eastAsia="方正仿宋_GBK" w:cs="Times New Roman"/>
          <w:kern w:val="0"/>
          <w:sz w:val="32"/>
          <w:szCs w:val="32"/>
          <w:shd w:val="clear" w:fill="FFFFFF"/>
          <w:lang w:val="en-US" w:eastAsia="zh-CN" w:bidi="ar"/>
        </w:rPr>
        <w:t>主要原因是增加了补缴社保及职业年金、死亡抚恤金等。</w:t>
      </w:r>
    </w:p>
    <w:p w14:paraId="5345B943">
      <w:pPr>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b/>
          <w:bCs/>
          <w:kern w:val="2"/>
          <w:sz w:val="32"/>
          <w:szCs w:val="32"/>
          <w:shd w:val="clear" w:color="auto" w:fill="FFFFFF"/>
          <w:lang w:val="en-US" w:eastAsia="zh-CN" w:bidi="ar-SA"/>
        </w:rPr>
        <w:t>2.支出情况。</w:t>
      </w:r>
      <w:r>
        <w:rPr>
          <w:rFonts w:hint="default" w:ascii="Times New Roman" w:hAnsi="Times New Roman" w:eastAsia="方正仿宋_GBK" w:cs="Times New Roman"/>
          <w:kern w:val="0"/>
          <w:sz w:val="32"/>
          <w:szCs w:val="32"/>
          <w:shd w:val="clear" w:color="auto" w:fill="FFFFFF"/>
          <w:lang w:val="en-US" w:eastAsia="zh-CN" w:bidi="ar-SA"/>
        </w:rPr>
        <w:t>202</w:t>
      </w:r>
      <w:r>
        <w:rPr>
          <w:rFonts w:hint="eastAsia" w:ascii="Times New Roman" w:hAnsi="Times New Roman" w:eastAsia="方正仿宋_GBK" w:cs="Times New Roman"/>
          <w:kern w:val="0"/>
          <w:sz w:val="32"/>
          <w:szCs w:val="32"/>
          <w:shd w:val="clear" w:color="auto" w:fill="FFFFFF"/>
          <w:lang w:val="en-US" w:eastAsia="zh-CN" w:bidi="ar-SA"/>
        </w:rPr>
        <w:t>4</w:t>
      </w:r>
      <w:r>
        <w:rPr>
          <w:rFonts w:hint="default" w:ascii="Times New Roman" w:hAnsi="Times New Roman" w:eastAsia="方正仿宋_GBK" w:cs="Times New Roman"/>
          <w:kern w:val="0"/>
          <w:sz w:val="32"/>
          <w:szCs w:val="32"/>
          <w:shd w:val="clear" w:color="auto" w:fill="FFFFFF"/>
          <w:lang w:val="en-US" w:eastAsia="zh-CN" w:bidi="ar-SA"/>
        </w:rPr>
        <w:t>年度一般公共预算财政拨款支出</w:t>
      </w:r>
      <w:r>
        <w:rPr>
          <w:rFonts w:hint="default" w:ascii="Times New Roman" w:hAnsi="Times New Roman" w:eastAsia="方正仿宋_GBK" w:cs="Times New Roman"/>
          <w:kern w:val="0"/>
          <w:sz w:val="32"/>
          <w:szCs w:val="32"/>
          <w:lang w:val="en-US" w:eastAsia="zh-CN" w:bidi="ar-SA"/>
        </w:rPr>
        <w:t>1235.67</w:t>
      </w:r>
      <w:r>
        <w:rPr>
          <w:rFonts w:hint="default" w:ascii="Times New Roman" w:hAnsi="Times New Roman" w:eastAsia="方正仿宋_GBK" w:cs="Times New Roman"/>
          <w:kern w:val="0"/>
          <w:sz w:val="32"/>
          <w:szCs w:val="32"/>
          <w:shd w:val="clear" w:color="auto" w:fill="FFFFFF"/>
          <w:lang w:val="en-US" w:eastAsia="zh-CN" w:bidi="ar-SA"/>
        </w:rPr>
        <w:t>万元，较上年决算数增加107.84万元，增长9.56%。主要原因是增加了补缴社保及职业年金、死亡抚恤金等。较年初预算数增加203.76万元，增长19.74%。主要原因是增加了补缴社保及职业年金、死亡抚恤金等。</w:t>
      </w:r>
    </w:p>
    <w:p w14:paraId="45DD0882">
      <w:pPr>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kern w:val="2"/>
          <w:sz w:val="32"/>
          <w:szCs w:val="32"/>
          <w:shd w:val="clear" w:color="auto" w:fill="FFFFFF"/>
          <w:lang w:val="en-US" w:eastAsia="zh-CN" w:bidi="ar-SA"/>
        </w:rPr>
        <w:t>3.结转结余情况。</w:t>
      </w:r>
      <w:r>
        <w:rPr>
          <w:rFonts w:hint="default" w:ascii="Times New Roman" w:hAnsi="Times New Roman" w:eastAsia="方正仿宋_GBK" w:cs="Times New Roman"/>
          <w:kern w:val="0"/>
          <w:sz w:val="32"/>
          <w:szCs w:val="32"/>
          <w:shd w:val="clear" w:color="auto" w:fill="FFFFFF"/>
          <w:lang w:val="en-US" w:eastAsia="zh-CN" w:bidi="ar-SA"/>
        </w:rPr>
        <w:t>202</w:t>
      </w:r>
      <w:r>
        <w:rPr>
          <w:rFonts w:hint="eastAsia" w:ascii="Times New Roman" w:hAnsi="Times New Roman" w:eastAsia="方正仿宋_GBK" w:cs="Times New Roman"/>
          <w:kern w:val="0"/>
          <w:sz w:val="32"/>
          <w:szCs w:val="32"/>
          <w:shd w:val="clear" w:color="auto" w:fill="FFFFFF"/>
          <w:lang w:val="en-US" w:eastAsia="zh-CN" w:bidi="ar-SA"/>
        </w:rPr>
        <w:t>4</w:t>
      </w:r>
      <w:r>
        <w:rPr>
          <w:rFonts w:hint="default" w:ascii="Times New Roman" w:hAnsi="Times New Roman" w:eastAsia="方正仿宋_GBK" w:cs="Times New Roman"/>
          <w:kern w:val="0"/>
          <w:sz w:val="32"/>
          <w:szCs w:val="32"/>
          <w:shd w:val="clear" w:color="auto" w:fill="FFFFFF"/>
          <w:lang w:val="en-US" w:eastAsia="zh-CN" w:bidi="ar-SA"/>
        </w:rPr>
        <w:t>年度年末一般公共预算财政拨款结转和结余</w:t>
      </w:r>
      <w:r>
        <w:rPr>
          <w:rFonts w:hint="default" w:ascii="Times New Roman" w:hAnsi="Times New Roman" w:eastAsia="方正仿宋_GBK" w:cs="Times New Roman"/>
          <w:kern w:val="0"/>
          <w:sz w:val="32"/>
          <w:szCs w:val="32"/>
          <w:lang w:val="en-US" w:eastAsia="zh-CN" w:bidi="ar-SA"/>
        </w:rPr>
        <w:t>0.00</w:t>
      </w:r>
      <w:r>
        <w:rPr>
          <w:rFonts w:hint="default" w:ascii="Times New Roman" w:hAnsi="Times New Roman" w:eastAsia="方正仿宋_GBK" w:cs="Times New Roman"/>
          <w:kern w:val="0"/>
          <w:sz w:val="32"/>
          <w:szCs w:val="32"/>
          <w:shd w:val="clear" w:color="auto" w:fill="FFFFFF"/>
          <w:lang w:val="en-US" w:eastAsia="zh-CN" w:bidi="ar-SA"/>
        </w:rPr>
        <w:t>万元，较上年决算数无增减</w:t>
      </w:r>
      <w:r>
        <w:rPr>
          <w:rFonts w:hint="default" w:ascii="Times New Roman" w:hAnsi="Times New Roman" w:eastAsia="方正仿宋_GBK" w:cs="Times New Roman"/>
          <w:color w:val="auto"/>
          <w:kern w:val="0"/>
          <w:sz w:val="32"/>
          <w:szCs w:val="32"/>
          <w:shd w:val="clear" w:color="auto" w:fill="FFFFFF"/>
          <w:lang w:val="en-US" w:eastAsia="zh-CN" w:bidi="ar-SA"/>
        </w:rPr>
        <w:t>。</w:t>
      </w:r>
    </w:p>
    <w:p w14:paraId="592034E4">
      <w:pPr>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2"/>
          <w:sz w:val="32"/>
          <w:szCs w:val="32"/>
          <w:shd w:val="clear" w:color="auto" w:fill="FFFFFF"/>
          <w:lang w:val="en-US" w:eastAsia="zh-CN" w:bidi="ar-SA"/>
        </w:rPr>
        <w:t>4.比较情况。</w:t>
      </w:r>
      <w:r>
        <w:rPr>
          <w:rFonts w:hint="default" w:ascii="Times New Roman" w:hAnsi="Times New Roman" w:eastAsia="方正仿宋_GBK" w:cs="Times New Roman"/>
          <w:kern w:val="0"/>
          <w:sz w:val="32"/>
          <w:szCs w:val="32"/>
          <w:shd w:val="clear" w:color="auto" w:fill="FFFFFF"/>
          <w:lang w:val="en-US" w:eastAsia="zh-CN" w:bidi="ar-SA"/>
        </w:rPr>
        <w:t>本单位202</w:t>
      </w:r>
      <w:r>
        <w:rPr>
          <w:rFonts w:hint="eastAsia" w:ascii="Times New Roman" w:hAnsi="Times New Roman" w:eastAsia="方正仿宋_GBK" w:cs="Times New Roman"/>
          <w:kern w:val="0"/>
          <w:sz w:val="32"/>
          <w:szCs w:val="32"/>
          <w:shd w:val="clear" w:color="auto" w:fill="FFFFFF"/>
          <w:lang w:val="en-US" w:eastAsia="zh-CN" w:bidi="ar-SA"/>
        </w:rPr>
        <w:t>4</w:t>
      </w:r>
      <w:r>
        <w:rPr>
          <w:rFonts w:hint="default" w:ascii="Times New Roman" w:hAnsi="Times New Roman" w:eastAsia="方正仿宋_GBK" w:cs="Times New Roman"/>
          <w:kern w:val="0"/>
          <w:sz w:val="32"/>
          <w:szCs w:val="32"/>
          <w:shd w:val="clear" w:color="auto" w:fill="FFFFFF"/>
          <w:lang w:val="en-US" w:eastAsia="zh-CN" w:bidi="ar-SA"/>
        </w:rPr>
        <w:t>年度一般公共预算财政拨款支出主要用于以下几个方面：</w:t>
      </w:r>
    </w:p>
    <w:p w14:paraId="22F6D274">
      <w:pPr>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（1）教育支出</w:t>
      </w:r>
      <w:r>
        <w:rPr>
          <w:rFonts w:hint="default" w:ascii="Times New Roman" w:hAnsi="Times New Roman" w:eastAsia="方正仿宋_GBK" w:cs="Times New Roman"/>
          <w:kern w:val="0"/>
          <w:sz w:val="32"/>
          <w:szCs w:val="32"/>
          <w:lang w:val="en-US" w:eastAsia="zh-CN" w:bidi="ar-SA"/>
        </w:rPr>
        <w:t>1744.98</w:t>
      </w:r>
      <w:r>
        <w:rPr>
          <w:rFonts w:hint="default" w:ascii="Times New Roman" w:hAnsi="Times New Roman" w:eastAsia="方正仿宋_GBK" w:cs="Times New Roman"/>
          <w:kern w:val="0"/>
          <w:sz w:val="32"/>
          <w:szCs w:val="32"/>
          <w:shd w:val="clear" w:color="auto" w:fill="FFFFFF"/>
          <w:lang w:val="en-US" w:eastAsia="zh-CN" w:bidi="ar-SA"/>
        </w:rPr>
        <w:t>万元，占</w:t>
      </w:r>
      <w:r>
        <w:rPr>
          <w:rFonts w:hint="eastAsia" w:ascii="Times New Roman" w:hAnsi="Times New Roman" w:eastAsia="方正仿宋_GBK" w:cs="Times New Roman"/>
          <w:kern w:val="0"/>
          <w:sz w:val="32"/>
          <w:szCs w:val="32"/>
          <w:shd w:val="clear" w:color="auto" w:fill="FFFFFF"/>
          <w:lang w:val="en-US" w:eastAsia="zh-CN" w:bidi="ar-SA"/>
        </w:rPr>
        <w:t>85.3</w:t>
      </w:r>
      <w:r>
        <w:rPr>
          <w:rFonts w:hint="default" w:ascii="Times New Roman" w:hAnsi="Times New Roman" w:eastAsia="方正仿宋_GBK" w:cs="Times New Roman"/>
          <w:kern w:val="0"/>
          <w:sz w:val="32"/>
          <w:szCs w:val="32"/>
          <w:shd w:val="clear" w:color="auto" w:fill="FFFFFF"/>
          <w:lang w:val="en-US" w:eastAsia="zh-CN" w:bidi="ar-SA"/>
        </w:rPr>
        <w:t>%，较年初预算数</w:t>
      </w:r>
      <w:r>
        <w:rPr>
          <w:rFonts w:hint="eastAsia" w:ascii="Times New Roman" w:hAnsi="Times New Roman" w:eastAsia="方正仿宋_GBK" w:cs="Times New Roman"/>
          <w:kern w:val="0"/>
          <w:sz w:val="32"/>
          <w:szCs w:val="32"/>
          <w:shd w:val="clear" w:color="auto" w:fill="FFFFFF"/>
          <w:lang w:val="en-US" w:eastAsia="zh-CN" w:bidi="ar-SA"/>
        </w:rPr>
        <w:t>增加266.23</w:t>
      </w:r>
      <w:r>
        <w:rPr>
          <w:rFonts w:hint="default" w:ascii="Times New Roman" w:hAnsi="Times New Roman" w:eastAsia="方正仿宋_GBK" w:cs="Times New Roman"/>
          <w:kern w:val="0"/>
          <w:sz w:val="32"/>
          <w:szCs w:val="32"/>
          <w:shd w:val="clear" w:color="auto" w:fill="FFFFFF"/>
          <w:lang w:val="en-US" w:eastAsia="zh-CN" w:bidi="ar-SA"/>
        </w:rPr>
        <w:t>万元，</w:t>
      </w:r>
      <w:r>
        <w:rPr>
          <w:rFonts w:hint="eastAsia" w:ascii="Times New Roman" w:hAnsi="Times New Roman" w:eastAsia="方正仿宋_GBK" w:cs="Times New Roman"/>
          <w:kern w:val="0"/>
          <w:sz w:val="32"/>
          <w:szCs w:val="32"/>
          <w:shd w:val="clear" w:color="auto" w:fill="FFFFFF"/>
          <w:lang w:val="en-US" w:eastAsia="zh-CN" w:bidi="ar-SA"/>
        </w:rPr>
        <w:t>增长</w:t>
      </w:r>
      <w:r>
        <w:rPr>
          <w:rFonts w:hint="default" w:ascii="Times New Roman" w:hAnsi="Times New Roman" w:eastAsia="方正仿宋_GBK" w:cs="Times New Roman"/>
          <w:kern w:val="0"/>
          <w:sz w:val="32"/>
          <w:szCs w:val="32"/>
          <w:shd w:val="clear" w:color="auto" w:fill="FFFFFF"/>
          <w:lang w:val="en-US" w:eastAsia="zh-CN" w:bidi="ar-SA"/>
        </w:rPr>
        <w:t>1</w:t>
      </w:r>
      <w:r>
        <w:rPr>
          <w:rFonts w:hint="eastAsia" w:ascii="Times New Roman" w:hAnsi="Times New Roman" w:eastAsia="方正仿宋_GBK" w:cs="Times New Roman"/>
          <w:kern w:val="0"/>
          <w:sz w:val="32"/>
          <w:szCs w:val="32"/>
          <w:shd w:val="clear" w:color="auto" w:fill="FFFFFF"/>
          <w:lang w:val="en-US" w:eastAsia="zh-CN" w:bidi="ar-SA"/>
        </w:rPr>
        <w:t>8</w:t>
      </w:r>
      <w:r>
        <w:rPr>
          <w:rFonts w:hint="default" w:ascii="Times New Roman" w:hAnsi="Times New Roman" w:eastAsia="方正仿宋_GBK" w:cs="Times New Roman"/>
          <w:kern w:val="0"/>
          <w:sz w:val="32"/>
          <w:szCs w:val="32"/>
          <w:shd w:val="clear" w:color="auto" w:fill="FFFFFF"/>
          <w:lang w:val="en-US" w:eastAsia="zh-CN" w:bidi="ar-SA"/>
        </w:rPr>
        <w:t>%，主要原因是增加了补缴社保及职业年金、死亡抚恤金等。</w:t>
      </w:r>
    </w:p>
    <w:p w14:paraId="071F995F">
      <w:pPr>
        <w:pStyle w:val="19"/>
        <w:keepNext w:val="0"/>
        <w:keepLines w:val="0"/>
        <w:pageBreakBefore w:val="0"/>
        <w:widowControl/>
        <w:suppressLineNumbers w:val="0"/>
        <w:shd w:val="clear" w:fill="FFFFFF"/>
        <w:kinsoku/>
        <w:wordWrap/>
        <w:overflowPunct/>
        <w:topLinePunct w:val="0"/>
        <w:autoSpaceDE w:val="0"/>
        <w:autoSpaceDN/>
        <w:bidi w:val="0"/>
        <w:snapToGrid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187.46</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15.17</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val="en-US" w:eastAsia="zh-CN"/>
        </w:rPr>
        <w:t>减少17.95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减少8.7</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kern w:val="0"/>
          <w:sz w:val="32"/>
          <w:szCs w:val="32"/>
          <w:shd w:val="clear" w:fill="FFFFFF"/>
          <w:lang w:val="en-US" w:eastAsia="zh-CN"/>
        </w:rPr>
        <w:t>政策性调整</w:t>
      </w:r>
      <w:bookmarkStart w:id="0" w:name="_GoBack"/>
      <w:bookmarkEnd w:id="0"/>
      <w:r>
        <w:rPr>
          <w:rFonts w:hint="eastAsia" w:ascii="Times New Roman" w:hAnsi="Times New Roman" w:eastAsia="方正仿宋_GBK" w:cs="Times New Roman"/>
          <w:kern w:val="0"/>
          <w:sz w:val="32"/>
          <w:szCs w:val="32"/>
          <w:shd w:val="clear" w:fill="FFFFFF"/>
          <w:lang w:eastAsia="zh-CN"/>
        </w:rPr>
        <w:t>。</w:t>
      </w:r>
    </w:p>
    <w:p w14:paraId="6F339434">
      <w:pPr>
        <w:pStyle w:val="19"/>
        <w:keepNext w:val="0"/>
        <w:keepLines w:val="0"/>
        <w:pageBreakBefore w:val="0"/>
        <w:widowControl/>
        <w:suppressLineNumbers w:val="0"/>
        <w:shd w:val="clear" w:fill="FFFFFF"/>
        <w:kinsoku/>
        <w:wordWrap/>
        <w:overflowPunct/>
        <w:topLinePunct w:val="0"/>
        <w:autoSpaceDE w:val="0"/>
        <w:autoSpaceDN/>
        <w:bidi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47.54</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3.85</w:t>
      </w:r>
      <w:r>
        <w:rPr>
          <w:rFonts w:hint="default" w:ascii="Times New Roman" w:hAnsi="Times New Roman" w:eastAsia="方正仿宋_GBK" w:cs="Times New Roman"/>
          <w:sz w:val="32"/>
          <w:szCs w:val="32"/>
          <w:shd w:val="clear" w:color="auto" w:fill="FFFFFF"/>
        </w:rPr>
        <w:t>%，较年初预算数增</w:t>
      </w:r>
      <w:r>
        <w:rPr>
          <w:rFonts w:hint="eastAsia" w:ascii="Times New Roman" w:hAnsi="Times New Roman" w:eastAsia="方正仿宋_GBK" w:cs="Times New Roman"/>
          <w:sz w:val="32"/>
          <w:szCs w:val="32"/>
          <w:shd w:val="clear" w:color="auto" w:fill="FFFFFF"/>
          <w:lang w:val="en-US" w:eastAsia="zh-CN"/>
        </w:rPr>
        <w:t>加0.076万元，增长0.16%，主要原因是补缴社保</w:t>
      </w:r>
      <w:r>
        <w:rPr>
          <w:rFonts w:hint="default" w:ascii="Times New Roman" w:hAnsi="Times New Roman" w:eastAsia="方正仿宋_GBK" w:cs="Times New Roman"/>
          <w:kern w:val="0"/>
          <w:sz w:val="32"/>
          <w:szCs w:val="32"/>
          <w:shd w:val="clear" w:fill="FFFFFF"/>
        </w:rPr>
        <w:t>。</w:t>
      </w:r>
    </w:p>
    <w:p w14:paraId="276F4A81">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rightChars="0" w:firstLine="640" w:firstLineChars="200"/>
        <w:jc w:val="both"/>
        <w:textAlignment w:val="auto"/>
        <w:rPr>
          <w:rStyle w:val="18"/>
          <w:rFonts w:hint="default" w:ascii="Times New Roman" w:hAnsi="Times New Roman" w:eastAsia="方正楷体_GBK" w:cs="Times New Roman"/>
          <w:b w:val="0"/>
          <w:bCs w:val="0"/>
          <w:kern w:val="0"/>
          <w:sz w:val="32"/>
          <w:szCs w:val="32"/>
          <w:shd w:val="clear" w:fill="FFFFFF"/>
          <w:lang w:bidi="ar"/>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住房保障支出65.79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shd w:val="clear" w:color="auto" w:fill="FFFFFF"/>
        </w:rPr>
        <w:t>%，较年初预算数增加0.</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1万元，增长</w:t>
      </w:r>
      <w:r>
        <w:rPr>
          <w:rFonts w:hint="eastAsia" w:ascii="Times New Roman" w:hAnsi="Times New Roman" w:eastAsia="方正仿宋_GBK" w:cs="Times New Roman"/>
          <w:sz w:val="32"/>
          <w:szCs w:val="32"/>
          <w:shd w:val="clear" w:color="auto" w:fill="FFFFFF"/>
          <w:lang w:val="en-US" w:eastAsia="zh-CN"/>
        </w:rPr>
        <w:t>0.78</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kern w:val="0"/>
          <w:sz w:val="32"/>
          <w:szCs w:val="32"/>
          <w:shd w:val="clear" w:fill="FFFFFF"/>
        </w:rPr>
        <w:t>人员变动及缴费基数调整。</w:t>
      </w:r>
      <w:r>
        <w:rPr>
          <w:rFonts w:hint="eastAsia" w:ascii="Times New Roman" w:hAnsi="Times New Roman" w:cs="Times New Roman"/>
          <w:kern w:val="0"/>
          <w:sz w:val="32"/>
          <w:szCs w:val="32"/>
          <w:shd w:val="clear" w:fill="FFFFFF"/>
          <w:lang w:val="en-US" w:eastAsia="zh-CN"/>
        </w:rPr>
        <w:t xml:space="preserve">       </w:t>
      </w:r>
    </w:p>
    <w:p w14:paraId="7EA7DCC0">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rightChars="0" w:firstLine="640" w:firstLineChars="200"/>
        <w:jc w:val="both"/>
        <w:textAlignment w:val="auto"/>
        <w:rPr>
          <w:rStyle w:val="18"/>
          <w:rFonts w:hint="default" w:ascii="Times New Roman" w:hAnsi="Times New Roman" w:eastAsia="方正楷体_GBK" w:cs="Times New Roman"/>
          <w:b w:val="0"/>
          <w:bCs w:val="0"/>
          <w:kern w:val="0"/>
          <w:sz w:val="32"/>
          <w:szCs w:val="32"/>
          <w:shd w:val="clear" w:fill="FFFFFF"/>
          <w:lang w:bidi="ar"/>
        </w:rPr>
      </w:pPr>
      <w:r>
        <w:rPr>
          <w:rStyle w:val="18"/>
          <w:rFonts w:hint="default" w:ascii="Times New Roman" w:hAnsi="Times New Roman" w:eastAsia="方正楷体_GBK" w:cs="Times New Roman"/>
          <w:b w:val="0"/>
          <w:bCs w:val="0"/>
          <w:kern w:val="0"/>
          <w:sz w:val="32"/>
          <w:szCs w:val="32"/>
          <w:shd w:val="clear" w:fill="FFFFFF"/>
          <w:lang w:bidi="ar"/>
        </w:rPr>
        <w:t>（四）一般公共预算财政拨款基本支出决算情况说明</w:t>
      </w:r>
    </w:p>
    <w:p w14:paraId="5260B81C">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rightChars="0" w:firstLine="640" w:firstLineChars="200"/>
        <w:jc w:val="both"/>
        <w:textAlignment w:val="auto"/>
        <w:rPr>
          <w:rFonts w:cs="宋体"/>
          <w:kern w:val="0"/>
          <w:szCs w:val="32"/>
        </w:rPr>
      </w:pPr>
      <w:r>
        <w:rPr>
          <w:rFonts w:hint="default" w:ascii="Times New Roman" w:hAnsi="Times New Roman" w:eastAsia="方正仿宋_GBK" w:cs="Times New Roman"/>
          <w:kern w:val="0"/>
          <w:sz w:val="32"/>
          <w:szCs w:val="32"/>
          <w:shd w:val="clear" w:fill="FFFFFF"/>
          <w:lang w:val="en-US" w:eastAsia="zh-CN" w:bidi="ar"/>
        </w:rPr>
        <w:t>202</w:t>
      </w:r>
      <w:r>
        <w:rPr>
          <w:rFonts w:hint="eastAsia" w:ascii="Times New Roman" w:hAnsi="Times New Roman" w:eastAsia="方正仿宋_GBK" w:cs="Times New Roman"/>
          <w:kern w:val="0"/>
          <w:sz w:val="32"/>
          <w:szCs w:val="32"/>
          <w:shd w:val="clear" w:fill="FFFFFF"/>
          <w:lang w:val="en-US" w:eastAsia="zh-CN" w:bidi="ar"/>
        </w:rPr>
        <w:t>4</w:t>
      </w:r>
      <w:r>
        <w:rPr>
          <w:rFonts w:hint="default" w:ascii="Times New Roman" w:hAnsi="Times New Roman" w:eastAsia="方正仿宋_GBK" w:cs="Times New Roman"/>
          <w:kern w:val="0"/>
          <w:sz w:val="32"/>
          <w:szCs w:val="32"/>
          <w:shd w:val="clear" w:fill="FFFFFF"/>
          <w:lang w:val="en-US" w:eastAsia="zh-CN" w:bidi="ar"/>
        </w:rPr>
        <w:t>年度一般公共财政拨款基本支出1123.17万元。其中：人员经费990.01万元，较上年决算数</w:t>
      </w:r>
      <w:r>
        <w:rPr>
          <w:rFonts w:hint="eastAsia" w:ascii="Times New Roman" w:hAnsi="Times New Roman" w:eastAsia="方正仿宋_GBK" w:cs="Times New Roman"/>
          <w:kern w:val="0"/>
          <w:sz w:val="32"/>
          <w:szCs w:val="32"/>
          <w:shd w:val="clear" w:fill="FFFFFF"/>
          <w:lang w:val="en-US" w:eastAsia="zh-CN" w:bidi="ar"/>
        </w:rPr>
        <w:t>增加151.52</w:t>
      </w:r>
      <w:r>
        <w:rPr>
          <w:rFonts w:hint="default" w:ascii="Times New Roman" w:hAnsi="Times New Roman" w:eastAsia="方正仿宋_GBK" w:cs="Times New Roman"/>
          <w:kern w:val="0"/>
          <w:sz w:val="32"/>
          <w:szCs w:val="32"/>
          <w:shd w:val="clear" w:fill="FFFFFF"/>
          <w:lang w:val="en-US" w:eastAsia="zh-CN" w:bidi="ar"/>
        </w:rPr>
        <w:t>万元，</w:t>
      </w:r>
      <w:r>
        <w:rPr>
          <w:rFonts w:hint="eastAsia" w:ascii="Times New Roman" w:hAnsi="Times New Roman" w:eastAsia="方正仿宋_GBK" w:cs="Times New Roman"/>
          <w:kern w:val="0"/>
          <w:sz w:val="32"/>
          <w:szCs w:val="32"/>
          <w:shd w:val="clear" w:fill="FFFFFF"/>
          <w:lang w:val="en-US" w:eastAsia="zh-CN" w:bidi="ar"/>
        </w:rPr>
        <w:t>增长18.07</w:t>
      </w:r>
      <w:r>
        <w:rPr>
          <w:rFonts w:hint="default" w:ascii="Times New Roman" w:hAnsi="Times New Roman" w:eastAsia="方正仿宋_GBK" w:cs="Times New Roman"/>
          <w:kern w:val="0"/>
          <w:sz w:val="32"/>
          <w:szCs w:val="32"/>
          <w:shd w:val="clear" w:fill="FFFFFF"/>
          <w:lang w:val="en-US" w:eastAsia="zh-CN" w:bidi="ar"/>
        </w:rPr>
        <w:t>%，主要原因是补缴社保及公积金。</w:t>
      </w:r>
      <w:r>
        <w:rPr>
          <w:rFonts w:hint="default" w:ascii="Times New Roman" w:hAnsi="Times New Roman" w:eastAsia="方正仿宋_GBK" w:cs="Times New Roman"/>
          <w:kern w:val="0"/>
          <w:sz w:val="32"/>
          <w:szCs w:val="32"/>
          <w:shd w:val="clear" w:fill="FFFFFF"/>
        </w:rPr>
        <w:t>人员经费用途主要包括基本工资、津贴补贴、绩效工资、社会保障缴费、其他工资福利支出、抚恤金、住房公积金及其他对个人和家庭的补助。</w:t>
      </w:r>
      <w:r>
        <w:rPr>
          <w:rFonts w:hint="default" w:ascii="Times New Roman" w:hAnsi="Times New Roman" w:eastAsia="方正仿宋_GBK" w:cs="Times New Roman"/>
          <w:kern w:val="0"/>
          <w:sz w:val="32"/>
          <w:szCs w:val="32"/>
          <w:shd w:val="clear" w:fill="FFFFFF"/>
          <w:lang w:val="en-US" w:eastAsia="zh-CN" w:bidi="ar"/>
        </w:rPr>
        <w:t>公用经费133.16万元，较上年决算数</w:t>
      </w:r>
      <w:r>
        <w:rPr>
          <w:rFonts w:hint="eastAsia" w:ascii="Times New Roman" w:hAnsi="Times New Roman" w:eastAsia="方正仿宋_GBK" w:cs="Times New Roman"/>
          <w:kern w:val="0"/>
          <w:sz w:val="32"/>
          <w:szCs w:val="32"/>
          <w:shd w:val="clear" w:fill="FFFFFF"/>
          <w:lang w:val="en-US" w:eastAsia="zh-CN" w:bidi="ar"/>
        </w:rPr>
        <w:t>减少</w:t>
      </w:r>
      <w:r>
        <w:rPr>
          <w:rFonts w:hint="default" w:ascii="Times New Roman" w:hAnsi="Times New Roman" w:eastAsia="方正仿宋_GBK" w:cs="Times New Roman"/>
          <w:kern w:val="0"/>
          <w:sz w:val="32"/>
          <w:szCs w:val="32"/>
          <w:shd w:val="clear" w:fill="FFFFFF"/>
          <w:lang w:val="en-US" w:eastAsia="zh-CN" w:bidi="ar"/>
        </w:rPr>
        <w:t>3.</w:t>
      </w:r>
      <w:r>
        <w:rPr>
          <w:rFonts w:hint="eastAsia" w:ascii="Times New Roman" w:hAnsi="Times New Roman" w:eastAsia="方正仿宋_GBK" w:cs="Times New Roman"/>
          <w:kern w:val="0"/>
          <w:sz w:val="32"/>
          <w:szCs w:val="32"/>
          <w:shd w:val="clear" w:fill="FFFFFF"/>
          <w:lang w:val="en-US" w:eastAsia="zh-CN" w:bidi="ar"/>
        </w:rPr>
        <w:t>58</w:t>
      </w:r>
      <w:r>
        <w:rPr>
          <w:rFonts w:hint="default" w:ascii="Times New Roman" w:hAnsi="Times New Roman" w:eastAsia="方正仿宋_GBK" w:cs="Times New Roman"/>
          <w:kern w:val="0"/>
          <w:sz w:val="32"/>
          <w:szCs w:val="32"/>
          <w:shd w:val="clear" w:fill="FFFFFF"/>
          <w:lang w:val="en-US" w:eastAsia="zh-CN" w:bidi="ar"/>
        </w:rPr>
        <w:t>万元，</w:t>
      </w:r>
      <w:r>
        <w:rPr>
          <w:rFonts w:hint="eastAsia" w:ascii="Times New Roman" w:hAnsi="Times New Roman" w:eastAsia="方正仿宋_GBK" w:cs="Times New Roman"/>
          <w:kern w:val="0"/>
          <w:sz w:val="32"/>
          <w:szCs w:val="32"/>
          <w:shd w:val="clear" w:fill="FFFFFF"/>
          <w:lang w:val="en-US" w:eastAsia="zh-CN" w:bidi="ar"/>
        </w:rPr>
        <w:t>减少</w:t>
      </w:r>
      <w:r>
        <w:rPr>
          <w:rFonts w:hint="default" w:ascii="Times New Roman" w:hAnsi="Times New Roman" w:eastAsia="方正仿宋_GBK" w:cs="Times New Roman"/>
          <w:kern w:val="0"/>
          <w:sz w:val="32"/>
          <w:szCs w:val="32"/>
          <w:shd w:val="clear" w:fill="FFFFFF"/>
          <w:lang w:val="en-US" w:eastAsia="zh-CN" w:bidi="ar"/>
        </w:rPr>
        <w:t>2.</w:t>
      </w:r>
      <w:r>
        <w:rPr>
          <w:rFonts w:hint="eastAsia" w:ascii="Times New Roman" w:hAnsi="Times New Roman" w:eastAsia="方正仿宋_GBK" w:cs="Times New Roman"/>
          <w:kern w:val="0"/>
          <w:sz w:val="32"/>
          <w:szCs w:val="32"/>
          <w:shd w:val="clear" w:fill="FFFFFF"/>
          <w:lang w:val="en-US" w:eastAsia="zh-CN" w:bidi="ar"/>
        </w:rPr>
        <w:t>6</w:t>
      </w:r>
      <w:r>
        <w:rPr>
          <w:rFonts w:hint="default" w:ascii="Times New Roman" w:hAnsi="Times New Roman" w:eastAsia="方正仿宋_GBK" w:cs="Times New Roman"/>
          <w:kern w:val="0"/>
          <w:sz w:val="32"/>
          <w:szCs w:val="32"/>
          <w:shd w:val="clear" w:fill="FFFFFF"/>
          <w:lang w:val="en-US" w:eastAsia="zh-CN" w:bidi="ar"/>
        </w:rPr>
        <w:t>2%，主要原因是</w:t>
      </w:r>
      <w:r>
        <w:rPr>
          <w:rFonts w:hint="eastAsia" w:ascii="Times New Roman" w:hAnsi="Times New Roman" w:eastAsia="方正仿宋_GBK" w:cs="Times New Roman"/>
          <w:kern w:val="0"/>
          <w:sz w:val="32"/>
          <w:szCs w:val="32"/>
          <w:shd w:val="clear" w:fill="FFFFFF"/>
          <w:lang w:val="en-US" w:eastAsia="zh-CN" w:bidi="ar"/>
        </w:rPr>
        <w:t>设备购置减少</w:t>
      </w:r>
      <w:r>
        <w:rPr>
          <w:rFonts w:hint="default" w:ascii="Times New Roman" w:hAnsi="Times New Roman" w:eastAsia="方正仿宋_GBK" w:cs="Times New Roman"/>
          <w:kern w:val="0"/>
          <w:sz w:val="32"/>
          <w:szCs w:val="32"/>
          <w:shd w:val="clear" w:fill="FFFFFF"/>
        </w:rPr>
        <w:t>。公用经费用途主要包括办公费、印刷费、咨询费、水费、电费、邮电费、物业管理费、差旅费、维修维护费、租赁费、会议费、培训费、公务接待费、劳务费、委托业务费、工会经费、福利费、公务用车运行维护费、其他商品和服务支出及办公设备购置费。</w:t>
      </w:r>
    </w:p>
    <w:p w14:paraId="48FEF698">
      <w:pPr>
        <w:widowControl w:val="0"/>
        <w:spacing w:line="600" w:lineRule="exact"/>
        <w:ind w:firstLine="640" w:firstLineChars="200"/>
        <w:jc w:val="both"/>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（五）政府性基金预算收支决算情况说明</w:t>
      </w:r>
    </w:p>
    <w:p w14:paraId="21B096C0">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本单位202</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年度无政府性基金预算财政拨款。</w:t>
      </w:r>
    </w:p>
    <w:p w14:paraId="1340A72B">
      <w:pPr>
        <w:widowControl w:val="0"/>
        <w:spacing w:line="600" w:lineRule="exact"/>
        <w:ind w:firstLine="640" w:firstLineChars="200"/>
        <w:jc w:val="both"/>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（六）国有资本经营预算财政拨款支出决算情况说明</w:t>
      </w:r>
    </w:p>
    <w:p w14:paraId="06E8BF3B">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本单位202</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年度无国有资本经营预算财政拨款。</w:t>
      </w:r>
    </w:p>
    <w:p w14:paraId="297CC568">
      <w:pPr>
        <w:widowControl w:val="0"/>
        <w:spacing w:line="600" w:lineRule="exact"/>
        <w:ind w:firstLine="640" w:firstLineChars="200"/>
        <w:jc w:val="both"/>
        <w:rPr>
          <w:rFonts w:hint="default" w:ascii="Times New Roman" w:hAnsi="Times New Roman" w:eastAsia="方正黑体_GBK" w:cs="宋体"/>
          <w:b/>
          <w:kern w:val="0"/>
          <w:sz w:val="32"/>
          <w:szCs w:val="32"/>
        </w:rPr>
      </w:pPr>
      <w:r>
        <w:rPr>
          <w:rFonts w:hint="eastAsia" w:ascii="Times New Roman" w:hAnsi="Times New Roman" w:eastAsia="方正黑体_GBK" w:cs="宋体"/>
          <w:bCs/>
          <w:kern w:val="0"/>
          <w:sz w:val="32"/>
          <w:szCs w:val="20"/>
        </w:rPr>
        <w:t>三、“三公”经费情况说明</w:t>
      </w:r>
    </w:p>
    <w:p w14:paraId="3EC8410B">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rightChars="0" w:firstLine="640" w:firstLineChars="200"/>
        <w:jc w:val="both"/>
        <w:textAlignment w:val="auto"/>
        <w:rPr>
          <w:rStyle w:val="18"/>
          <w:rFonts w:hint="eastAsia" w:ascii="方正楷体_GBK" w:hAnsi="方正楷体_GBK" w:eastAsia="方正楷体_GBK" w:cs="方正楷体_GBK"/>
          <w:b w:val="0"/>
          <w:bCs w:val="0"/>
          <w:kern w:val="0"/>
          <w:sz w:val="32"/>
          <w:szCs w:val="32"/>
          <w:shd w:val="clear" w:fill="FFFFFF"/>
          <w:lang w:bidi="ar"/>
        </w:rPr>
      </w:pPr>
      <w:r>
        <w:rPr>
          <w:rStyle w:val="18"/>
          <w:rFonts w:hint="eastAsia" w:ascii="方正楷体_GBK" w:hAnsi="方正楷体_GBK" w:eastAsia="方正楷体_GBK" w:cs="方正楷体_GBK"/>
          <w:b w:val="0"/>
          <w:bCs w:val="0"/>
          <w:kern w:val="0"/>
          <w:sz w:val="32"/>
          <w:szCs w:val="32"/>
          <w:shd w:val="clear" w:fill="FFFFFF"/>
          <w:lang w:bidi="ar"/>
        </w:rPr>
        <w:t>（一）“三公”经费支出总体情况说明</w:t>
      </w:r>
    </w:p>
    <w:p w14:paraId="72EA7C09">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4</w:t>
      </w:r>
      <w:r>
        <w:rPr>
          <w:rFonts w:hint="eastAsia" w:ascii="方正仿宋_GBK" w:hAnsi="方正仿宋_GBK" w:eastAsia="方正仿宋_GBK" w:cs="方正仿宋_GBK"/>
          <w:kern w:val="0"/>
          <w:sz w:val="32"/>
          <w:szCs w:val="32"/>
          <w:shd w:val="clear" w:fill="FFFFFF"/>
        </w:rPr>
        <w:t>年度“三公”经费支出共计</w:t>
      </w:r>
      <w:r>
        <w:rPr>
          <w:rFonts w:hint="eastAsia"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万元，较年初预算数增加</w:t>
      </w:r>
      <w:r>
        <w:rPr>
          <w:rFonts w:hint="eastAsia"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val="en-US" w:eastAsia="zh-CN"/>
        </w:rPr>
        <w:t>无</w:t>
      </w:r>
      <w:r>
        <w:rPr>
          <w:rFonts w:hint="eastAsia" w:ascii="方正仿宋_GBK" w:hAnsi="方正仿宋_GBK" w:eastAsia="方正仿宋_GBK" w:cs="方正仿宋_GBK"/>
          <w:kern w:val="0"/>
          <w:sz w:val="32"/>
          <w:szCs w:val="32"/>
          <w:shd w:val="clear" w:fill="FFFFFF"/>
        </w:rPr>
        <w:t>增长，主要原因是本单位</w:t>
      </w:r>
      <w:r>
        <w:rPr>
          <w:rFonts w:hint="eastAsia"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4</w:t>
      </w:r>
      <w:r>
        <w:rPr>
          <w:rFonts w:hint="eastAsia" w:ascii="方正仿宋_GBK" w:hAnsi="方正仿宋_GBK" w:eastAsia="方正仿宋_GBK" w:cs="方正仿宋_GBK"/>
          <w:kern w:val="0"/>
          <w:sz w:val="32"/>
          <w:szCs w:val="32"/>
          <w:shd w:val="clear" w:fill="FFFFFF"/>
        </w:rPr>
        <w:t>年度未发生</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三公</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支出。较上年支出数增加</w:t>
      </w:r>
      <w:r>
        <w:rPr>
          <w:rFonts w:hint="eastAsia" w:ascii="Times New Roman" w:hAnsi="Times New Roman" w:eastAsia="方正仿宋_GBK" w:cs="Times New Roman"/>
          <w:kern w:val="0"/>
          <w:sz w:val="32"/>
          <w:szCs w:val="32"/>
          <w:shd w:val="clear" w:fill="FFFFFF"/>
        </w:rPr>
        <w:t>0.00</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val="en-US" w:eastAsia="zh-CN"/>
        </w:rPr>
        <w:t>无</w:t>
      </w:r>
      <w:r>
        <w:rPr>
          <w:rFonts w:hint="eastAsia" w:ascii="方正仿宋_GBK" w:hAnsi="方正仿宋_GBK" w:eastAsia="方正仿宋_GBK" w:cs="方正仿宋_GBK"/>
          <w:kern w:val="0"/>
          <w:sz w:val="32"/>
          <w:szCs w:val="32"/>
          <w:shd w:val="clear" w:fill="FFFFFF"/>
        </w:rPr>
        <w:t>增长，主要原因是本单位</w:t>
      </w:r>
      <w:r>
        <w:rPr>
          <w:rFonts w:hint="eastAsia"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4</w:t>
      </w:r>
      <w:r>
        <w:rPr>
          <w:rFonts w:hint="eastAsia" w:ascii="方正仿宋_GBK" w:hAnsi="方正仿宋_GBK" w:eastAsia="方正仿宋_GBK" w:cs="方正仿宋_GBK"/>
          <w:kern w:val="0"/>
          <w:sz w:val="32"/>
          <w:szCs w:val="32"/>
          <w:shd w:val="clear" w:fill="FFFFFF"/>
        </w:rPr>
        <w:t>年度未发生</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三公</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支出。</w:t>
      </w:r>
    </w:p>
    <w:p w14:paraId="4F3D4A32">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rightChars="0" w:firstLine="640" w:firstLineChars="200"/>
        <w:jc w:val="both"/>
        <w:textAlignment w:val="auto"/>
        <w:rPr>
          <w:rStyle w:val="18"/>
          <w:rFonts w:hint="eastAsia" w:ascii="方正楷体_GBK" w:hAnsi="方正楷体_GBK" w:eastAsia="方正楷体_GBK" w:cs="方正楷体_GBK"/>
          <w:b w:val="0"/>
          <w:bCs w:val="0"/>
          <w:kern w:val="0"/>
          <w:sz w:val="32"/>
          <w:szCs w:val="32"/>
          <w:shd w:val="clear" w:fill="FFFFFF"/>
          <w:lang w:bidi="ar"/>
        </w:rPr>
      </w:pPr>
      <w:r>
        <w:rPr>
          <w:rStyle w:val="18"/>
          <w:rFonts w:hint="eastAsia" w:ascii="方正楷体_GBK" w:hAnsi="方正楷体_GBK" w:eastAsia="方正楷体_GBK" w:cs="方正楷体_GBK"/>
          <w:b w:val="0"/>
          <w:bCs w:val="0"/>
          <w:kern w:val="0"/>
          <w:sz w:val="32"/>
          <w:szCs w:val="32"/>
          <w:shd w:val="clear" w:fill="FFFFFF"/>
          <w:lang w:bidi="ar"/>
        </w:rPr>
        <w:t>（二）“三公”经费分项支出情况</w:t>
      </w:r>
    </w:p>
    <w:p w14:paraId="3C215FCD">
      <w:pPr>
        <w:pStyle w:val="14"/>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方正仿宋_GBK" w:cs="Times New Roman"/>
          <w:kern w:val="0"/>
          <w:sz w:val="32"/>
          <w:szCs w:val="32"/>
          <w:shd w:val="clear" w:fill="FFFFFF"/>
        </w:rPr>
      </w:pPr>
      <w:r>
        <w:rPr>
          <w:rFonts w:hint="eastAsia"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4</w:t>
      </w:r>
      <w:r>
        <w:rPr>
          <w:rFonts w:hint="eastAsia" w:ascii="Times New Roman" w:hAnsi="Times New Roman" w:eastAsia="方正仿宋_GBK" w:cs="Times New Roman"/>
          <w:kern w:val="0"/>
          <w:sz w:val="32"/>
          <w:szCs w:val="32"/>
          <w:shd w:val="clear" w:fill="FFFFFF"/>
        </w:rPr>
        <w:t>年度本单位因公出国（境）费用0.00万元，费用支出较年初预算数增加0.00万元，</w:t>
      </w:r>
      <w:r>
        <w:rPr>
          <w:rFonts w:hint="eastAsia" w:ascii="Times New Roman" w:hAnsi="Times New Roman" w:eastAsia="方正仿宋_GBK" w:cs="Times New Roman"/>
          <w:kern w:val="0"/>
          <w:sz w:val="32"/>
          <w:szCs w:val="32"/>
          <w:shd w:val="clear" w:fill="FFFFFF"/>
          <w:lang w:val="en-US" w:eastAsia="zh-CN"/>
        </w:rPr>
        <w:t>无</w:t>
      </w:r>
      <w:r>
        <w:rPr>
          <w:rFonts w:hint="eastAsia" w:ascii="Times New Roman" w:hAnsi="Times New Roman" w:eastAsia="方正仿宋_GBK" w:cs="Times New Roman"/>
          <w:kern w:val="0"/>
          <w:sz w:val="32"/>
          <w:szCs w:val="32"/>
          <w:shd w:val="clear" w:fill="FFFFFF"/>
        </w:rPr>
        <w:t>增长，主要原因是本单位202</w:t>
      </w:r>
      <w:r>
        <w:rPr>
          <w:rFonts w:hint="eastAsia" w:ascii="Times New Roman" w:hAnsi="Times New Roman" w:eastAsia="方正仿宋_GBK" w:cs="Times New Roman"/>
          <w:kern w:val="0"/>
          <w:sz w:val="32"/>
          <w:szCs w:val="32"/>
          <w:shd w:val="clear" w:fill="FFFFFF"/>
          <w:lang w:val="en-US" w:eastAsia="zh-CN"/>
        </w:rPr>
        <w:t>4</w:t>
      </w:r>
      <w:r>
        <w:rPr>
          <w:rFonts w:hint="eastAsia" w:ascii="Times New Roman" w:hAnsi="Times New Roman" w:eastAsia="方正仿宋_GBK" w:cs="Times New Roman"/>
          <w:kern w:val="0"/>
          <w:sz w:val="32"/>
          <w:szCs w:val="32"/>
          <w:shd w:val="clear" w:fill="FFFFFF"/>
        </w:rPr>
        <w:t>年度未发生因公出国（境）支出。较上年支出数增加0.00万元，</w:t>
      </w:r>
      <w:r>
        <w:rPr>
          <w:rFonts w:hint="eastAsia" w:ascii="Times New Roman" w:hAnsi="Times New Roman" w:eastAsia="方正仿宋_GBK" w:cs="Times New Roman"/>
          <w:kern w:val="0"/>
          <w:sz w:val="32"/>
          <w:szCs w:val="32"/>
          <w:shd w:val="clear" w:fill="FFFFFF"/>
          <w:lang w:val="en-US" w:eastAsia="zh-CN"/>
        </w:rPr>
        <w:t>无</w:t>
      </w:r>
      <w:r>
        <w:rPr>
          <w:rFonts w:hint="eastAsia" w:ascii="Times New Roman" w:hAnsi="Times New Roman" w:eastAsia="方正仿宋_GBK" w:cs="Times New Roman"/>
          <w:kern w:val="0"/>
          <w:sz w:val="32"/>
          <w:szCs w:val="32"/>
          <w:shd w:val="clear" w:fill="FFFFFF"/>
        </w:rPr>
        <w:t>增长，主要原因是本单位202</w:t>
      </w:r>
      <w:r>
        <w:rPr>
          <w:rFonts w:hint="eastAsia" w:ascii="Times New Roman" w:hAnsi="Times New Roman" w:eastAsia="方正仿宋_GBK" w:cs="Times New Roman"/>
          <w:kern w:val="0"/>
          <w:sz w:val="32"/>
          <w:szCs w:val="32"/>
          <w:shd w:val="clear" w:fill="FFFFFF"/>
          <w:lang w:val="en-US" w:eastAsia="zh-CN"/>
        </w:rPr>
        <w:t>4</w:t>
      </w:r>
      <w:r>
        <w:rPr>
          <w:rFonts w:hint="eastAsia" w:ascii="Times New Roman" w:hAnsi="Times New Roman" w:eastAsia="方正仿宋_GBK" w:cs="Times New Roman"/>
          <w:kern w:val="0"/>
          <w:sz w:val="32"/>
          <w:szCs w:val="32"/>
          <w:shd w:val="clear" w:fill="FFFFFF"/>
        </w:rPr>
        <w:t>年度未发生因公出国（境）支出，与上年决算数持平。</w:t>
      </w:r>
    </w:p>
    <w:p w14:paraId="73099DB3">
      <w:pPr>
        <w:pStyle w:val="14"/>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方正仿宋_GBK" w:cs="Times New Roman"/>
          <w:kern w:val="0"/>
          <w:sz w:val="32"/>
          <w:szCs w:val="32"/>
          <w:shd w:val="clear" w:fill="FFFFFF"/>
        </w:rPr>
      </w:pPr>
      <w:r>
        <w:rPr>
          <w:rFonts w:hint="eastAsia" w:ascii="Times New Roman" w:hAnsi="Times New Roman" w:eastAsia="方正仿宋_GBK" w:cs="Times New Roman"/>
          <w:kern w:val="0"/>
          <w:sz w:val="32"/>
          <w:szCs w:val="32"/>
          <w:shd w:val="clear" w:fill="FFFFFF"/>
        </w:rPr>
        <w:t>公务车运行维护费0.00万元，费用支出较年初预算数增加0.00万元，</w:t>
      </w:r>
      <w:r>
        <w:rPr>
          <w:rFonts w:hint="eastAsia" w:ascii="Times New Roman" w:hAnsi="Times New Roman" w:eastAsia="方正仿宋_GBK" w:cs="Times New Roman"/>
          <w:kern w:val="0"/>
          <w:sz w:val="32"/>
          <w:szCs w:val="32"/>
          <w:shd w:val="clear" w:fill="FFFFFF"/>
          <w:lang w:val="en-US" w:eastAsia="zh-CN"/>
        </w:rPr>
        <w:t>无</w:t>
      </w:r>
      <w:r>
        <w:rPr>
          <w:rFonts w:hint="eastAsia" w:ascii="Times New Roman" w:hAnsi="Times New Roman" w:eastAsia="方正仿宋_GBK" w:cs="Times New Roman"/>
          <w:kern w:val="0"/>
          <w:sz w:val="32"/>
          <w:szCs w:val="32"/>
          <w:shd w:val="clear" w:fill="FFFFFF"/>
        </w:rPr>
        <w:t>增长，主要原因是本单位202</w:t>
      </w:r>
      <w:r>
        <w:rPr>
          <w:rFonts w:hint="eastAsia" w:ascii="Times New Roman" w:hAnsi="Times New Roman" w:eastAsia="方正仿宋_GBK" w:cs="Times New Roman"/>
          <w:kern w:val="0"/>
          <w:sz w:val="32"/>
          <w:szCs w:val="32"/>
          <w:shd w:val="clear" w:fill="FFFFFF"/>
          <w:lang w:val="en-US" w:eastAsia="zh-CN"/>
        </w:rPr>
        <w:t>4</w:t>
      </w:r>
      <w:r>
        <w:rPr>
          <w:rFonts w:hint="eastAsia" w:ascii="Times New Roman" w:hAnsi="Times New Roman" w:eastAsia="方正仿宋_GBK" w:cs="Times New Roman"/>
          <w:kern w:val="0"/>
          <w:sz w:val="32"/>
          <w:szCs w:val="32"/>
          <w:shd w:val="clear" w:fill="FFFFFF"/>
        </w:rPr>
        <w:t>年度未发生公务车运行维护费，与上年决算数持平。</w:t>
      </w:r>
    </w:p>
    <w:p w14:paraId="4A00C70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sz w:val="32"/>
          <w:szCs w:val="32"/>
          <w:shd w:val="clear" w:color="auto" w:fill="FFFFFF"/>
        </w:rPr>
        <w:t>公务车购置费0.00万元，费用支出较年初预算数无增减，较上年支出数</w:t>
      </w:r>
      <w:r>
        <w:rPr>
          <w:rFonts w:hint="eastAsia" w:ascii="Times New Roman" w:hAnsi="Times New Roman" w:eastAsia="方正仿宋_GBK" w:cs="Times New Roman"/>
          <w:sz w:val="32"/>
          <w:szCs w:val="32"/>
          <w:shd w:val="clear" w:color="auto" w:fill="FFFFFF"/>
          <w:lang w:val="en-US" w:eastAsia="zh-CN"/>
        </w:rPr>
        <w:t>无增减</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本单位2024年度未购买公务车</w:t>
      </w:r>
      <w:r>
        <w:rPr>
          <w:rFonts w:hint="default" w:ascii="Times New Roman" w:hAnsi="Times New Roman" w:eastAsia="方正仿宋_GBK" w:cs="Times New Roman"/>
          <w:sz w:val="32"/>
          <w:szCs w:val="32"/>
          <w:shd w:val="clear" w:color="auto" w:fill="FFFFFF"/>
        </w:rPr>
        <w:t>。</w:t>
      </w:r>
    </w:p>
    <w:p w14:paraId="6058CD85">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eastAsia" w:ascii="Times New Roman" w:hAnsi="Times New Roman" w:eastAsia="方正仿宋_GBK" w:cs="Times New Roman"/>
          <w:kern w:val="0"/>
          <w:sz w:val="32"/>
          <w:szCs w:val="32"/>
          <w:shd w:val="clear" w:fill="FFFFFF"/>
          <w:lang w:val="en-US" w:eastAsia="zh-CN"/>
        </w:rPr>
        <w:t>公务接待费0.00万元，费用支出较年初预算数增加0.00万元，无增长；较上年支出数增加0.00万元，无增长，主要原因是本单位2024年度未发生公务接待支出。</w:t>
      </w:r>
    </w:p>
    <w:p w14:paraId="2DD8FC94">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right="0" w:rightChars="0" w:firstLine="640" w:firstLineChars="200"/>
        <w:jc w:val="both"/>
        <w:textAlignment w:val="auto"/>
        <w:rPr>
          <w:rStyle w:val="18"/>
          <w:rFonts w:hint="eastAsia" w:ascii="方正楷体_GBK" w:hAnsi="方正楷体_GBK" w:eastAsia="方正楷体_GBK" w:cs="方正楷体_GBK"/>
          <w:b w:val="0"/>
          <w:bCs w:val="0"/>
          <w:kern w:val="0"/>
          <w:sz w:val="32"/>
          <w:szCs w:val="32"/>
          <w:shd w:val="clear" w:fill="FFFFFF"/>
          <w:lang w:bidi="ar"/>
        </w:rPr>
      </w:pPr>
      <w:r>
        <w:rPr>
          <w:rStyle w:val="18"/>
          <w:rFonts w:hint="eastAsia" w:ascii="方正楷体_GBK" w:hAnsi="方正楷体_GBK" w:eastAsia="方正楷体_GBK" w:cs="方正楷体_GBK"/>
          <w:b w:val="0"/>
          <w:bCs w:val="0"/>
          <w:kern w:val="0"/>
          <w:sz w:val="32"/>
          <w:szCs w:val="32"/>
          <w:shd w:val="clear" w:fill="FFFFFF"/>
          <w:lang w:bidi="ar"/>
        </w:rPr>
        <w:t>（三）“三公”经费实物量情况</w:t>
      </w:r>
    </w:p>
    <w:p w14:paraId="388CBDFF">
      <w:pPr>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kern w:val="0"/>
          <w:sz w:val="32"/>
          <w:szCs w:val="32"/>
          <w:lang w:val="en-US" w:eastAsia="zh-CN" w:bidi="ar-SA"/>
        </w:rPr>
      </w:pPr>
      <w:r>
        <w:rPr>
          <w:rFonts w:hint="default" w:ascii="Times New Roman" w:hAnsi="Times New Roman" w:eastAsia="方正仿宋_GBK" w:cs="Times New Roman"/>
          <w:kern w:val="0"/>
          <w:sz w:val="32"/>
          <w:szCs w:val="32"/>
          <w:shd w:val="clear" w:fill="FFFFFF"/>
          <w:lang w:val="en-US" w:eastAsia="zh-CN" w:bidi="ar-SA"/>
        </w:rPr>
        <w:t>202</w:t>
      </w:r>
      <w:r>
        <w:rPr>
          <w:rFonts w:hint="eastAsia" w:ascii="Times New Roman" w:hAnsi="Times New Roman" w:eastAsia="方正仿宋_GBK" w:cs="Times New Roman"/>
          <w:kern w:val="0"/>
          <w:sz w:val="32"/>
          <w:szCs w:val="32"/>
          <w:shd w:val="clear" w:fill="FFFFFF"/>
          <w:lang w:val="en-US" w:eastAsia="zh-CN" w:bidi="ar-SA"/>
        </w:rPr>
        <w:t>4</w:t>
      </w:r>
      <w:r>
        <w:rPr>
          <w:rFonts w:hint="default" w:ascii="Times New Roman" w:hAnsi="Times New Roman" w:eastAsia="方正仿宋_GBK" w:cs="Times New Roman"/>
          <w:kern w:val="0"/>
          <w:sz w:val="32"/>
          <w:szCs w:val="32"/>
          <w:shd w:val="clear" w:fill="FFFFFF"/>
          <w:lang w:val="en-US" w:eastAsia="zh-CN" w:bidi="ar-SA"/>
        </w:rPr>
        <w:t>年</w:t>
      </w:r>
      <w:r>
        <w:rPr>
          <w:rFonts w:ascii="方正仿宋_GBK" w:hAnsi="方正仿宋_GBK" w:eastAsia="方正仿宋_GBK" w:cs="方正仿宋_GBK"/>
          <w:kern w:val="0"/>
          <w:sz w:val="32"/>
          <w:szCs w:val="32"/>
          <w:shd w:val="clear" w:color="auto" w:fill="FFFFFF"/>
          <w:lang w:val="en-US" w:eastAsia="zh-CN" w:bidi="ar-SA"/>
        </w:rPr>
        <w:t>度本单位因公出国（境）共计</w:t>
      </w:r>
      <w:r>
        <w:rPr>
          <w:rFonts w:hint="default" w:ascii="Times New Roman" w:hAnsi="Times New Roman" w:eastAsia="方正仿宋_GBK" w:cs="Times New Roman"/>
          <w:kern w:val="0"/>
          <w:sz w:val="32"/>
          <w:szCs w:val="32"/>
          <w:shd w:val="clear" w:fill="FFFFFF"/>
          <w:lang w:val="en-US" w:eastAsia="zh-CN" w:bidi="ar-SA"/>
        </w:rPr>
        <w:t>0个</w:t>
      </w:r>
      <w:r>
        <w:rPr>
          <w:rFonts w:ascii="方正仿宋_GBK" w:hAnsi="方正仿宋_GBK" w:eastAsia="方正仿宋_GBK" w:cs="方正仿宋_GBK"/>
          <w:kern w:val="0"/>
          <w:sz w:val="32"/>
          <w:szCs w:val="32"/>
          <w:shd w:val="clear" w:color="auto" w:fill="FFFFFF"/>
          <w:lang w:val="en-US" w:eastAsia="zh-CN" w:bidi="ar-SA"/>
        </w:rPr>
        <w:t>团组，</w:t>
      </w:r>
      <w:r>
        <w:rPr>
          <w:rFonts w:hint="default" w:ascii="Times New Roman" w:hAnsi="Times New Roman" w:eastAsia="方正仿宋_GBK" w:cs="Times New Roman"/>
          <w:kern w:val="0"/>
          <w:sz w:val="32"/>
          <w:szCs w:val="32"/>
          <w:shd w:val="clear" w:fill="FFFFFF"/>
          <w:lang w:val="en-US" w:eastAsia="zh-CN" w:bidi="ar-SA"/>
        </w:rPr>
        <w:t>0人</w:t>
      </w:r>
      <w:r>
        <w:rPr>
          <w:rFonts w:ascii="方正仿宋_GBK" w:hAnsi="方正仿宋_GBK" w:eastAsia="方正仿宋_GBK" w:cs="方正仿宋_GBK"/>
          <w:kern w:val="0"/>
          <w:sz w:val="32"/>
          <w:szCs w:val="32"/>
          <w:shd w:val="clear" w:color="auto" w:fill="FFFFFF"/>
          <w:lang w:val="en-US" w:eastAsia="zh-CN" w:bidi="ar-SA"/>
        </w:rPr>
        <w:t>；公务用车购</w:t>
      </w:r>
      <w:r>
        <w:rPr>
          <w:rFonts w:hint="default" w:ascii="Times New Roman" w:hAnsi="Times New Roman" w:eastAsia="方正仿宋_GBK" w:cs="Times New Roman"/>
          <w:kern w:val="0"/>
          <w:sz w:val="32"/>
          <w:szCs w:val="32"/>
          <w:shd w:val="clear" w:fill="FFFFFF"/>
          <w:lang w:val="en-US" w:eastAsia="zh-CN" w:bidi="ar-SA"/>
        </w:rPr>
        <w:t>置0辆，公务车保有量为0辆；国内公务接待0批次0人</w:t>
      </w:r>
      <w:r>
        <w:rPr>
          <w:rFonts w:ascii="方正仿宋_GBK" w:hAnsi="方正仿宋_GBK" w:eastAsia="方正仿宋_GBK" w:cs="方正仿宋_GBK"/>
          <w:kern w:val="0"/>
          <w:sz w:val="32"/>
          <w:szCs w:val="32"/>
          <w:shd w:val="clear" w:color="auto" w:fill="FFFFFF"/>
          <w:lang w:val="en-US" w:eastAsia="zh-CN" w:bidi="ar-SA"/>
        </w:rPr>
        <w:t>，其中：国内外事</w:t>
      </w:r>
      <w:r>
        <w:rPr>
          <w:rFonts w:hint="default" w:ascii="Times New Roman" w:hAnsi="Times New Roman" w:eastAsia="方正仿宋_GBK" w:cs="Times New Roman"/>
          <w:kern w:val="0"/>
          <w:sz w:val="32"/>
          <w:szCs w:val="32"/>
          <w:shd w:val="clear" w:fill="FFFFFF"/>
          <w:lang w:val="en-US" w:eastAsia="zh-CN" w:bidi="ar-SA"/>
        </w:rPr>
        <w:t>接待0批次，0人；国（境）外公务接待0批次</w:t>
      </w:r>
      <w:r>
        <w:rPr>
          <w:rFonts w:ascii="方正仿宋_GBK" w:hAnsi="方正仿宋_GBK" w:eastAsia="方正仿宋_GBK" w:cs="方正仿宋_GBK"/>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fill="FFFFFF"/>
          <w:lang w:val="en-US" w:eastAsia="zh-CN" w:bidi="ar-SA"/>
        </w:rPr>
        <w:t>0人。202</w:t>
      </w:r>
      <w:r>
        <w:rPr>
          <w:rFonts w:hint="eastAsia" w:ascii="Times New Roman" w:hAnsi="Times New Roman" w:eastAsia="方正仿宋_GBK" w:cs="Times New Roman"/>
          <w:kern w:val="0"/>
          <w:sz w:val="32"/>
          <w:szCs w:val="32"/>
          <w:shd w:val="clear" w:fill="FFFFFF"/>
          <w:lang w:val="en-US" w:eastAsia="zh-CN" w:bidi="ar-SA"/>
        </w:rPr>
        <w:t>4</w:t>
      </w:r>
      <w:r>
        <w:rPr>
          <w:rFonts w:hint="default" w:ascii="Times New Roman" w:hAnsi="Times New Roman" w:eastAsia="方正仿宋_GBK" w:cs="Times New Roman"/>
          <w:kern w:val="0"/>
          <w:sz w:val="32"/>
          <w:szCs w:val="32"/>
          <w:shd w:val="clear" w:fill="FFFFFF"/>
          <w:lang w:val="en-US" w:eastAsia="zh-CN" w:bidi="ar-SA"/>
        </w:rPr>
        <w:t>年本单位人均接待费0元，车均购置费0万元，车均维护费0万</w:t>
      </w:r>
      <w:r>
        <w:rPr>
          <w:rFonts w:ascii="方正仿宋_GBK" w:hAnsi="方正仿宋_GBK" w:eastAsia="方正仿宋_GBK" w:cs="方正仿宋_GBK"/>
          <w:kern w:val="0"/>
          <w:sz w:val="32"/>
          <w:szCs w:val="32"/>
          <w:shd w:val="clear" w:color="auto" w:fill="FFFFFF"/>
          <w:lang w:val="en-US" w:eastAsia="zh-CN" w:bidi="ar-SA"/>
        </w:rPr>
        <w:t>元。</w:t>
      </w:r>
    </w:p>
    <w:p w14:paraId="2A331059">
      <w:pPr>
        <w:widowControl w:val="0"/>
        <w:spacing w:line="600" w:lineRule="exact"/>
        <w:ind w:firstLine="640" w:firstLineChars="200"/>
        <w:jc w:val="both"/>
        <w:rPr>
          <w:rFonts w:hint="default" w:ascii="Times New Roman" w:hAnsi="Times New Roman" w:eastAsia="方正黑体_GBK" w:cs="宋体"/>
          <w:b/>
          <w:kern w:val="0"/>
          <w:sz w:val="32"/>
          <w:szCs w:val="32"/>
        </w:rPr>
      </w:pPr>
      <w:r>
        <w:rPr>
          <w:rFonts w:hint="eastAsia" w:ascii="Times New Roman" w:hAnsi="Times New Roman" w:eastAsia="方正黑体_GBK" w:cs="宋体"/>
          <w:bCs/>
          <w:kern w:val="0"/>
          <w:sz w:val="32"/>
          <w:szCs w:val="20"/>
        </w:rPr>
        <w:t>四、其他需要说明的事项</w:t>
      </w:r>
    </w:p>
    <w:p w14:paraId="55DB46A7">
      <w:pPr>
        <w:keepNext w:val="0"/>
        <w:keepLines w:val="0"/>
        <w:pageBreakBefore w:val="0"/>
        <w:widowControl/>
        <w:kinsoku/>
        <w:wordWrap/>
        <w:overflowPunct/>
        <w:topLinePunct w:val="0"/>
        <w:autoSpaceDE w:val="0"/>
        <w:autoSpaceDN/>
        <w:bidi w:val="0"/>
        <w:adjustRightInd/>
        <w:snapToGrid w:val="0"/>
        <w:spacing w:beforeAutospacing="0" w:afterAutospacing="0" w:line="600" w:lineRule="exact"/>
        <w:ind w:firstLine="640" w:firstLineChars="200"/>
        <w:jc w:val="both"/>
        <w:textAlignment w:val="auto"/>
        <w:rPr>
          <w:rStyle w:val="18"/>
          <w:rFonts w:hint="eastAsia" w:ascii="方正楷体_GBK" w:hAnsi="方正楷体_GBK" w:eastAsia="方正楷体_GBK" w:cs="方正楷体_GBK"/>
          <w:b w:val="0"/>
          <w:bCs w:val="0"/>
          <w:kern w:val="0"/>
          <w:sz w:val="32"/>
          <w:szCs w:val="32"/>
          <w:shd w:val="clear" w:fill="FFFFFF"/>
          <w:lang w:val="en-US" w:eastAsia="zh-CN" w:bidi="ar"/>
        </w:rPr>
      </w:pPr>
      <w:r>
        <w:rPr>
          <w:rStyle w:val="18"/>
          <w:rFonts w:hint="eastAsia" w:ascii="方正楷体_GBK" w:hAnsi="方正楷体_GBK" w:eastAsia="方正楷体_GBK" w:cs="方正楷体_GBK"/>
          <w:b w:val="0"/>
          <w:bCs w:val="0"/>
          <w:kern w:val="0"/>
          <w:sz w:val="32"/>
          <w:szCs w:val="32"/>
          <w:shd w:val="clear" w:fill="FFFFFF"/>
          <w:lang w:val="en-US" w:eastAsia="zh-CN" w:bidi="ar"/>
        </w:rPr>
        <w:t>（一）财政拨款会议费和培训费情况说明</w:t>
      </w:r>
    </w:p>
    <w:p w14:paraId="09844CF8">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cs="Times New Roman"/>
          <w:kern w:val="0"/>
          <w:sz w:val="32"/>
          <w:szCs w:val="32"/>
          <w:shd w:val="clear" w:fill="FFFFFF"/>
        </w:rPr>
        <w:t>0.00万元</w:t>
      </w:r>
      <w:r>
        <w:rPr>
          <w:rFonts w:ascii="方正仿宋_GBK" w:hAnsi="方正仿宋_GBK" w:eastAsia="方正仿宋_GBK" w:cs="方正仿宋_GBK"/>
          <w:sz w:val="32"/>
          <w:szCs w:val="32"/>
          <w:shd w:val="clear" w:color="auto" w:fill="FFFFFF"/>
        </w:rPr>
        <w:t>，较上年决算数无增减，主要原因是</w:t>
      </w:r>
      <w:r>
        <w:rPr>
          <w:rFonts w:hint="eastAsia" w:ascii="Times New Roman" w:hAnsi="Times New Roman" w:eastAsia="方正仿宋_GBK" w:cs="Times New Roman"/>
          <w:kern w:val="0"/>
          <w:sz w:val="32"/>
          <w:szCs w:val="32"/>
          <w:shd w:val="clear" w:fill="FFFFFF"/>
        </w:rPr>
        <w:t>本单位202</w:t>
      </w:r>
      <w:r>
        <w:rPr>
          <w:rFonts w:hint="eastAsia" w:ascii="Times New Roman" w:hAnsi="Times New Roman" w:eastAsia="方正仿宋_GBK" w:cs="Times New Roman"/>
          <w:kern w:val="0"/>
          <w:sz w:val="32"/>
          <w:szCs w:val="32"/>
          <w:shd w:val="clear" w:fill="FFFFFF"/>
          <w:lang w:val="en-US" w:eastAsia="zh-CN"/>
        </w:rPr>
        <w:t>4</w:t>
      </w:r>
      <w:r>
        <w:rPr>
          <w:rFonts w:hint="eastAsia" w:ascii="Times New Roman" w:hAnsi="Times New Roman" w:eastAsia="方正仿宋_GBK" w:cs="Times New Roman"/>
          <w:kern w:val="0"/>
          <w:sz w:val="32"/>
          <w:szCs w:val="32"/>
          <w:shd w:val="clear" w:fill="FFFFFF"/>
        </w:rPr>
        <w:t>年度未发生会议支出。</w:t>
      </w:r>
      <w:r>
        <w:rPr>
          <w:rFonts w:hint="default" w:ascii="Times New Roman" w:hAnsi="Times New Roman" w:eastAsia="方正仿宋_GBK" w:cs="Times New Roman"/>
          <w:kern w:val="0"/>
          <w:sz w:val="32"/>
          <w:szCs w:val="32"/>
          <w:shd w:val="clear" w:fill="FFFFFF"/>
        </w:rPr>
        <w:t>本年度培训费支出4.84万元，较上年决算数</w:t>
      </w:r>
      <w:r>
        <w:rPr>
          <w:rFonts w:hint="eastAsia" w:ascii="Times New Roman" w:hAnsi="Times New Roman" w:eastAsia="方正仿宋_GBK" w:cs="Times New Roman"/>
          <w:kern w:val="0"/>
          <w:sz w:val="32"/>
          <w:szCs w:val="32"/>
          <w:shd w:val="clear" w:fill="FFFFFF"/>
          <w:lang w:val="en-US" w:eastAsia="zh-CN"/>
        </w:rPr>
        <w:t>减少10.02</w:t>
      </w:r>
      <w:r>
        <w:rPr>
          <w:rFonts w:hint="default" w:ascii="Times New Roman" w:hAnsi="Times New Roman" w:eastAsia="方正仿宋_GBK" w:cs="Times New Roman"/>
          <w:kern w:val="0"/>
          <w:sz w:val="32"/>
          <w:szCs w:val="32"/>
          <w:shd w:val="clear" w:fill="FFFFFF"/>
        </w:rPr>
        <w:t>万元，</w:t>
      </w:r>
      <w:r>
        <w:rPr>
          <w:rFonts w:hint="eastAsia" w:ascii="Times New Roman" w:hAnsi="Times New Roman" w:eastAsia="方正仿宋_GBK" w:cs="Times New Roman"/>
          <w:kern w:val="0"/>
          <w:sz w:val="32"/>
          <w:szCs w:val="32"/>
          <w:shd w:val="clear" w:fill="FFFFFF"/>
          <w:lang w:val="en-US" w:eastAsia="zh-CN"/>
        </w:rPr>
        <w:t>减少67.43</w:t>
      </w:r>
      <w:r>
        <w:rPr>
          <w:rFonts w:hint="default" w:ascii="Times New Roman" w:hAnsi="Times New Roman" w:eastAsia="方正仿宋_GBK" w:cs="Times New Roman"/>
          <w:kern w:val="0"/>
          <w:sz w:val="32"/>
          <w:szCs w:val="32"/>
          <w:shd w:val="clear" w:fill="FFFFFF"/>
        </w:rPr>
        <w:t>%，主</w:t>
      </w:r>
      <w:r>
        <w:rPr>
          <w:rFonts w:ascii="方正仿宋_GBK" w:hAnsi="方正仿宋_GBK" w:eastAsia="方正仿宋_GBK" w:cs="方正仿宋_GBK"/>
          <w:sz w:val="32"/>
          <w:szCs w:val="32"/>
          <w:shd w:val="clear" w:color="auto" w:fill="FFFFFF"/>
        </w:rPr>
        <w:t>要原因是</w:t>
      </w:r>
      <w:r>
        <w:rPr>
          <w:rFonts w:hint="eastAsia" w:ascii="方正仿宋_GBK" w:hAnsi="方正仿宋_GBK" w:eastAsia="方正仿宋_GBK" w:cs="方正仿宋_GBK"/>
          <w:kern w:val="0"/>
          <w:sz w:val="32"/>
          <w:szCs w:val="32"/>
          <w:shd w:val="clear" w:fill="FFFFFF"/>
        </w:rPr>
        <w:t>本单位</w:t>
      </w:r>
      <w:r>
        <w:rPr>
          <w:rFonts w:hint="default" w:ascii="Times New Roman" w:hAnsi="Times New Roman" w:eastAsia="方正仿宋_GBK" w:cs="Times New Roman"/>
          <w:kern w:val="0"/>
          <w:sz w:val="32"/>
          <w:szCs w:val="32"/>
          <w:shd w:val="clear" w:fill="FFFFFF"/>
        </w:rPr>
        <w:t>2024</w:t>
      </w:r>
      <w:r>
        <w:rPr>
          <w:rFonts w:hint="eastAsia" w:ascii="方正仿宋_GBK" w:hAnsi="方正仿宋_GBK" w:eastAsia="方正仿宋_GBK" w:cs="方正仿宋_GBK"/>
          <w:kern w:val="0"/>
          <w:sz w:val="32"/>
          <w:szCs w:val="32"/>
          <w:shd w:val="clear" w:fill="FFFFFF"/>
        </w:rPr>
        <w:t>年度教师外出培训减少，同时本年度下调了差旅费标准。</w:t>
      </w:r>
    </w:p>
    <w:p w14:paraId="2B2AF0A3">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rightChars="0" w:firstLine="640" w:firstLineChars="200"/>
        <w:jc w:val="both"/>
        <w:textAlignment w:val="auto"/>
        <w:rPr>
          <w:rStyle w:val="18"/>
          <w:rFonts w:hint="eastAsia" w:ascii="方正楷体_GBK" w:hAnsi="方正楷体_GBK" w:eastAsia="方正楷体_GBK" w:cs="方正楷体_GBK"/>
          <w:b w:val="0"/>
          <w:bCs w:val="0"/>
          <w:kern w:val="0"/>
          <w:sz w:val="32"/>
          <w:szCs w:val="32"/>
          <w:shd w:val="clear" w:fill="FFFFFF"/>
          <w:lang w:bidi="ar"/>
        </w:rPr>
      </w:pPr>
      <w:r>
        <w:rPr>
          <w:rStyle w:val="18"/>
          <w:rFonts w:hint="eastAsia" w:ascii="方正楷体_GBK" w:hAnsi="方正楷体_GBK" w:eastAsia="方正楷体_GBK" w:cs="方正楷体_GBK"/>
          <w:b w:val="0"/>
          <w:bCs w:val="0"/>
          <w:kern w:val="0"/>
          <w:sz w:val="32"/>
          <w:szCs w:val="32"/>
          <w:shd w:val="clear" w:fill="FFFFFF"/>
          <w:lang w:bidi="ar"/>
        </w:rPr>
        <w:t>（二）机关运行经费情况说明</w:t>
      </w:r>
    </w:p>
    <w:p w14:paraId="47BACECB">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按照决算列报口径，本单位不在机关运行经费统计范围之内。</w:t>
      </w:r>
    </w:p>
    <w:p w14:paraId="7E8A3A43">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rightChars="0" w:firstLine="640" w:firstLineChars="200"/>
        <w:jc w:val="both"/>
        <w:textAlignment w:val="auto"/>
        <w:rPr>
          <w:rStyle w:val="18"/>
          <w:rFonts w:hint="eastAsia" w:ascii="方正楷体_GBK" w:hAnsi="方正楷体_GBK" w:eastAsia="方正楷体_GBK" w:cs="方正楷体_GBK"/>
          <w:b w:val="0"/>
          <w:bCs w:val="0"/>
          <w:kern w:val="0"/>
          <w:sz w:val="32"/>
          <w:szCs w:val="32"/>
          <w:shd w:val="clear" w:fill="FFFFFF"/>
          <w:lang w:bidi="ar"/>
        </w:rPr>
      </w:pPr>
      <w:r>
        <w:rPr>
          <w:rStyle w:val="18"/>
          <w:rFonts w:hint="eastAsia" w:ascii="方正楷体_GBK" w:hAnsi="方正楷体_GBK" w:eastAsia="方正楷体_GBK" w:cs="方正楷体_GBK"/>
          <w:b w:val="0"/>
          <w:bCs w:val="0"/>
          <w:kern w:val="0"/>
          <w:sz w:val="32"/>
          <w:szCs w:val="32"/>
          <w:shd w:val="clear" w:fill="FFFFFF"/>
          <w:lang w:bidi="ar"/>
        </w:rPr>
        <w:t>（三）国有资产占用情况说明</w:t>
      </w:r>
    </w:p>
    <w:p w14:paraId="66FCB2FD">
      <w:pPr>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kern w:val="0"/>
          <w:sz w:val="32"/>
          <w:szCs w:val="32"/>
          <w:lang w:val="en-US" w:eastAsia="zh-CN" w:bidi="ar-SA"/>
        </w:rPr>
      </w:pPr>
      <w:r>
        <w:rPr>
          <w:rFonts w:ascii="方正仿宋_GBK" w:hAnsi="方正仿宋_GBK" w:eastAsia="方正仿宋_GBK" w:cs="方正仿宋_GBK"/>
          <w:kern w:val="0"/>
          <w:sz w:val="32"/>
          <w:szCs w:val="32"/>
          <w:shd w:val="clear" w:color="auto" w:fill="FFFFFF"/>
          <w:lang w:val="en-US" w:eastAsia="zh-CN" w:bidi="ar-SA"/>
        </w:rPr>
        <w:t>截</w:t>
      </w:r>
      <w:r>
        <w:rPr>
          <w:rFonts w:hint="default" w:ascii="Times New Roman" w:hAnsi="Times New Roman" w:eastAsia="方正仿宋_GBK" w:cs="Times New Roman"/>
          <w:kern w:val="0"/>
          <w:sz w:val="32"/>
          <w:szCs w:val="32"/>
          <w:shd w:val="clear" w:fill="FFFFFF"/>
          <w:lang w:val="en-US" w:eastAsia="zh-CN" w:bidi="ar-SA"/>
        </w:rPr>
        <w:t>至202</w:t>
      </w:r>
      <w:r>
        <w:rPr>
          <w:rFonts w:hint="eastAsia" w:ascii="Times New Roman" w:hAnsi="Times New Roman" w:eastAsia="方正仿宋_GBK" w:cs="Times New Roman"/>
          <w:kern w:val="0"/>
          <w:sz w:val="32"/>
          <w:szCs w:val="32"/>
          <w:shd w:val="clear" w:fill="FFFFFF"/>
          <w:lang w:val="en-US" w:eastAsia="zh-CN" w:bidi="ar-SA"/>
        </w:rPr>
        <w:t>4</w:t>
      </w:r>
      <w:r>
        <w:rPr>
          <w:rFonts w:hint="default" w:ascii="Times New Roman" w:hAnsi="Times New Roman" w:eastAsia="方正仿宋_GBK" w:cs="Times New Roman"/>
          <w:kern w:val="0"/>
          <w:sz w:val="32"/>
          <w:szCs w:val="32"/>
          <w:shd w:val="clear" w:fill="FFFFFF"/>
          <w:lang w:val="en-US" w:eastAsia="zh-CN" w:bidi="ar-SA"/>
        </w:rPr>
        <w:t>年12月31日，本单位共有车辆0辆，其中，副部（省）级及以上领导用车0辆、主要负责人用车0辆、机要通信用车0辆、应急保障用车0辆、执法执勤用车0辆，特种专业技术用车0辆，离退休干部用车0辆。单价100万元（含）以上专用设备0台（</w:t>
      </w:r>
      <w:r>
        <w:rPr>
          <w:rFonts w:ascii="方正仿宋_GBK" w:hAnsi="方正仿宋_GBK" w:eastAsia="方正仿宋_GBK" w:cs="方正仿宋_GBK"/>
          <w:kern w:val="0"/>
          <w:sz w:val="32"/>
          <w:szCs w:val="32"/>
          <w:shd w:val="clear" w:color="auto" w:fill="FFFFFF"/>
          <w:lang w:val="en-US" w:eastAsia="zh-CN" w:bidi="ar-SA"/>
        </w:rPr>
        <w:t>套）。</w:t>
      </w:r>
    </w:p>
    <w:p w14:paraId="5A6B8B57">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rightChars="0" w:firstLine="640" w:firstLineChars="200"/>
        <w:jc w:val="both"/>
        <w:textAlignment w:val="auto"/>
        <w:rPr>
          <w:rStyle w:val="18"/>
          <w:rFonts w:hint="eastAsia" w:ascii="方正楷体_GBK" w:hAnsi="方正楷体_GBK" w:eastAsia="方正楷体_GBK" w:cs="方正楷体_GBK"/>
          <w:b w:val="0"/>
          <w:bCs w:val="0"/>
          <w:kern w:val="0"/>
          <w:sz w:val="32"/>
          <w:szCs w:val="32"/>
          <w:shd w:val="clear" w:fill="FFFFFF"/>
          <w:lang w:bidi="ar"/>
        </w:rPr>
      </w:pPr>
      <w:r>
        <w:rPr>
          <w:rStyle w:val="18"/>
          <w:rFonts w:hint="eastAsia" w:ascii="方正楷体_GBK" w:hAnsi="方正楷体_GBK" w:eastAsia="方正楷体_GBK" w:cs="方正楷体_GBK"/>
          <w:b w:val="0"/>
          <w:bCs w:val="0"/>
          <w:kern w:val="0"/>
          <w:sz w:val="32"/>
          <w:szCs w:val="32"/>
          <w:shd w:val="clear" w:fill="FFFFFF"/>
          <w:lang w:bidi="ar"/>
        </w:rPr>
        <w:t>（四）政府采购支出情况说明</w:t>
      </w:r>
    </w:p>
    <w:p w14:paraId="19A04496">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rPr>
        <w:t>年度本单位政府采购支出总额</w:t>
      </w:r>
      <w:r>
        <w:rPr>
          <w:rFonts w:hint="eastAsia" w:ascii="Times New Roman" w:hAnsi="Times New Roman" w:eastAsia="方正仿宋_GBK" w:cs="Times New Roman"/>
          <w:kern w:val="0"/>
          <w:sz w:val="32"/>
          <w:szCs w:val="32"/>
          <w:shd w:val="clear" w:fill="FFFFFF"/>
          <w:lang w:val="en-US" w:eastAsia="zh-CN"/>
        </w:rPr>
        <w:t>0.86</w:t>
      </w:r>
      <w:r>
        <w:rPr>
          <w:rFonts w:hint="default" w:ascii="Times New Roman" w:hAnsi="Times New Roman" w:eastAsia="方正仿宋_GBK" w:cs="Times New Roman"/>
          <w:kern w:val="0"/>
          <w:sz w:val="32"/>
          <w:szCs w:val="32"/>
          <w:shd w:val="clear" w:fill="FFFFFF"/>
        </w:rPr>
        <w:t>万元，其中：政府采购货物支出</w:t>
      </w:r>
      <w:r>
        <w:rPr>
          <w:rFonts w:hint="eastAsia" w:ascii="Times New Roman" w:hAnsi="Times New Roman" w:eastAsia="方正仿宋_GBK" w:cs="Times New Roman"/>
          <w:kern w:val="0"/>
          <w:sz w:val="32"/>
          <w:szCs w:val="32"/>
          <w:shd w:val="clear" w:fill="FFFFFF"/>
          <w:lang w:val="en-US" w:eastAsia="zh-CN"/>
        </w:rPr>
        <w:t>0.86</w:t>
      </w:r>
      <w:r>
        <w:rPr>
          <w:rFonts w:hint="default" w:ascii="Times New Roman" w:hAnsi="Times New Roman" w:eastAsia="方正仿宋_GBK" w:cs="Times New Roman"/>
          <w:kern w:val="0"/>
          <w:sz w:val="32"/>
          <w:szCs w:val="32"/>
          <w:shd w:val="clear" w:fill="FFFFFF"/>
        </w:rPr>
        <w:t>万元、政府采购工程支出0.00万元、政府采购服务支出0.00万元。授予中小企业合同金额</w:t>
      </w:r>
      <w:r>
        <w:rPr>
          <w:rFonts w:hint="eastAsia" w:ascii="Times New Roman" w:hAnsi="Times New Roman" w:eastAsia="方正仿宋_GBK" w:cs="Times New Roman"/>
          <w:kern w:val="0"/>
          <w:sz w:val="32"/>
          <w:szCs w:val="32"/>
          <w:shd w:val="clear" w:fill="FFFFFF"/>
          <w:lang w:val="en-US" w:eastAsia="zh-CN"/>
        </w:rPr>
        <w:t>0.86</w:t>
      </w:r>
      <w:r>
        <w:rPr>
          <w:rFonts w:hint="default" w:ascii="Times New Roman" w:hAnsi="Times New Roman" w:eastAsia="方正仿宋_GBK" w:cs="Times New Roman"/>
          <w:kern w:val="0"/>
          <w:sz w:val="32"/>
          <w:szCs w:val="32"/>
          <w:shd w:val="clear" w:fill="FFFFFF"/>
        </w:rPr>
        <w:t>万</w:t>
      </w:r>
      <w:r>
        <w:rPr>
          <w:rFonts w:ascii="方正仿宋_GBK" w:hAnsi="方正仿宋_GBK" w:eastAsia="方正仿宋_GBK" w:cs="方正仿宋_GBK"/>
          <w:sz w:val="32"/>
          <w:szCs w:val="32"/>
          <w:shd w:val="clear" w:color="auto" w:fill="FFFFFF"/>
        </w:rPr>
        <w:t>元，占政府采购支出总额</w:t>
      </w:r>
      <w:r>
        <w:rPr>
          <w:rFonts w:hint="default" w:ascii="Times New Roman" w:hAnsi="Times New Roman" w:eastAsia="方正仿宋_GBK" w:cs="Times New Roman"/>
          <w:kern w:val="0"/>
          <w:sz w:val="32"/>
          <w:szCs w:val="32"/>
          <w:shd w:val="clear" w:fill="FFFFFF"/>
        </w:rPr>
        <w:t>的100.00%，其中：授予小微企业合同金额</w:t>
      </w:r>
      <w:r>
        <w:rPr>
          <w:rFonts w:hint="eastAsia" w:ascii="Times New Roman" w:hAnsi="Times New Roman" w:eastAsia="方正仿宋_GBK" w:cs="Times New Roman"/>
          <w:kern w:val="0"/>
          <w:sz w:val="32"/>
          <w:szCs w:val="32"/>
          <w:shd w:val="clear" w:fill="FFFFFF"/>
          <w:lang w:val="en-US" w:eastAsia="zh-CN"/>
        </w:rPr>
        <w:t>0.86</w:t>
      </w:r>
      <w:r>
        <w:rPr>
          <w:rFonts w:hint="default" w:ascii="Times New Roman" w:hAnsi="Times New Roman" w:eastAsia="方正仿宋_GBK" w:cs="Times New Roman"/>
          <w:kern w:val="0"/>
          <w:sz w:val="32"/>
          <w:szCs w:val="32"/>
          <w:shd w:val="clear" w:fill="FFFFFF"/>
        </w:rPr>
        <w:t>万元，占政府采购支出总额的100.00%。主要用</w:t>
      </w:r>
      <w:r>
        <w:rPr>
          <w:rFonts w:ascii="方正仿宋_GBK" w:hAnsi="方正仿宋_GBK" w:eastAsia="方正仿宋_GBK" w:cs="方正仿宋_GBK"/>
          <w:sz w:val="32"/>
          <w:szCs w:val="32"/>
          <w:shd w:val="clear" w:color="auto" w:fill="FFFFFF"/>
        </w:rPr>
        <w:t>于</w:t>
      </w:r>
      <w:r>
        <w:rPr>
          <w:rFonts w:hint="eastAsia" w:ascii="方正仿宋_GBK" w:hAnsi="方正仿宋_GBK" w:eastAsia="方正仿宋_GBK" w:cs="方正仿宋_GBK"/>
          <w:kern w:val="0"/>
          <w:sz w:val="32"/>
          <w:szCs w:val="32"/>
          <w:shd w:val="clear" w:fill="FFFFFF"/>
        </w:rPr>
        <w:t>采购</w:t>
      </w:r>
      <w:r>
        <w:rPr>
          <w:rFonts w:hint="eastAsia" w:ascii="方正仿宋_GBK" w:hAnsi="方正仿宋_GBK" w:eastAsia="方正仿宋_GBK" w:cs="方正仿宋_GBK"/>
          <w:kern w:val="0"/>
          <w:sz w:val="32"/>
          <w:szCs w:val="32"/>
          <w:shd w:val="clear" w:fill="FFFFFF"/>
          <w:lang w:val="en-US" w:eastAsia="zh-CN"/>
        </w:rPr>
        <w:t>复印纸。</w:t>
      </w:r>
    </w:p>
    <w:p w14:paraId="2E8E28B5">
      <w:pPr>
        <w:widowControl w:val="0"/>
        <w:spacing w:line="600" w:lineRule="exact"/>
        <w:ind w:firstLine="640" w:firstLineChars="200"/>
        <w:jc w:val="both"/>
        <w:rPr>
          <w:rFonts w:hint="default" w:ascii="Times New Roman" w:hAnsi="Times New Roman" w:eastAsia="方正黑体_GBK" w:cs="宋体"/>
          <w:b/>
          <w:kern w:val="0"/>
          <w:sz w:val="32"/>
          <w:szCs w:val="32"/>
        </w:rPr>
      </w:pPr>
      <w:r>
        <w:rPr>
          <w:rFonts w:hint="eastAsia" w:ascii="Times New Roman" w:hAnsi="Times New Roman" w:eastAsia="方正黑体_GBK" w:cs="宋体"/>
          <w:bCs/>
          <w:kern w:val="0"/>
          <w:sz w:val="32"/>
          <w:szCs w:val="20"/>
        </w:rPr>
        <w:t>五、预算绩效管理情况说明</w:t>
      </w:r>
    </w:p>
    <w:p w14:paraId="11C86564">
      <w:pPr>
        <w:widowControl w:val="0"/>
        <w:tabs>
          <w:tab w:val="center" w:pos="4153"/>
          <w:tab w:val="left" w:pos="7275"/>
        </w:tabs>
        <w:spacing w:line="600" w:lineRule="exact"/>
        <w:ind w:firstLine="640" w:firstLineChars="200"/>
        <w:jc w:val="both"/>
        <w:rPr>
          <w:rFonts w:hint="eastAsia" w:ascii="方正楷体_GBK" w:hAnsi="Times New Roman" w:eastAsia="方正楷体_GBK" w:cs="宋体"/>
          <w:kern w:val="0"/>
          <w:sz w:val="32"/>
          <w:szCs w:val="32"/>
        </w:rPr>
      </w:pPr>
      <w:r>
        <w:rPr>
          <w:rFonts w:hint="eastAsia" w:ascii="方正楷体_GBK" w:hAnsi="Times New Roman" w:eastAsia="方正楷体_GBK" w:cs="宋体"/>
          <w:kern w:val="0"/>
          <w:sz w:val="32"/>
          <w:szCs w:val="32"/>
        </w:rPr>
        <w:t>（一）单位自评情况</w:t>
      </w:r>
    </w:p>
    <w:p w14:paraId="63AF3AB4">
      <w:pPr>
        <w:widowControl w:val="0"/>
        <w:tabs>
          <w:tab w:val="center" w:pos="4153"/>
          <w:tab w:val="left" w:pos="7275"/>
        </w:tabs>
        <w:spacing w:line="600" w:lineRule="exact"/>
        <w:ind w:firstLine="640" w:firstLineChars="200"/>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根据预算绩效管理要求，我单位对</w:t>
      </w:r>
      <w:r>
        <w:rPr>
          <w:rFonts w:hint="eastAsia" w:ascii="Times New Roman" w:hAnsi="Times New Roman" w:eastAsia="方正仿宋_GBK" w:cs="宋体"/>
          <w:kern w:val="0"/>
          <w:sz w:val="32"/>
          <w:szCs w:val="32"/>
          <w:lang w:val="en-US" w:eastAsia="zh-CN"/>
        </w:rPr>
        <w:t>6</w:t>
      </w:r>
      <w:r>
        <w:rPr>
          <w:rFonts w:hint="eastAsia" w:ascii="Times New Roman" w:hAnsi="Times New Roman" w:eastAsia="方正仿宋_GBK" w:cs="宋体"/>
          <w:kern w:val="0"/>
          <w:sz w:val="32"/>
          <w:szCs w:val="32"/>
        </w:rPr>
        <w:t>个项目开展了绩效自评，涉及财政拨款项目支出</w:t>
      </w:r>
      <w:r>
        <w:rPr>
          <w:rFonts w:hint="eastAsia" w:ascii="Times New Roman" w:hAnsi="Times New Roman" w:eastAsia="方正仿宋_GBK" w:cs="宋体"/>
          <w:kern w:val="0"/>
          <w:sz w:val="32"/>
          <w:szCs w:val="32"/>
          <w:lang w:val="en-US" w:eastAsia="zh-CN"/>
        </w:rPr>
        <w:t>112.5</w:t>
      </w:r>
      <w:r>
        <w:rPr>
          <w:rFonts w:hint="eastAsia" w:ascii="Times New Roman" w:hAnsi="Times New Roman" w:eastAsia="方正仿宋_GBK" w:cs="宋体"/>
          <w:kern w:val="0"/>
          <w:sz w:val="32"/>
          <w:szCs w:val="32"/>
        </w:rPr>
        <w:t>万元。</w:t>
      </w:r>
    </w:p>
    <w:p w14:paraId="30371732">
      <w:pPr>
        <w:adjustRightInd w:val="0"/>
        <w:snapToGrid w:val="0"/>
        <w:spacing w:line="600" w:lineRule="exact"/>
        <w:jc w:val="center"/>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lang w:bidi="ar"/>
        </w:rPr>
        <w:t>重庆市九龙坡区</w:t>
      </w:r>
      <w:r>
        <w:rPr>
          <w:rFonts w:hint="eastAsia" w:ascii="方正黑体_GBK" w:hAnsi="方正黑体_GBK" w:eastAsia="方正黑体_GBK" w:cs="方正黑体_GBK"/>
          <w:kern w:val="0"/>
          <w:sz w:val="28"/>
          <w:szCs w:val="28"/>
          <w:lang w:val="en-US" w:eastAsia="zh-CN" w:bidi="ar"/>
        </w:rPr>
        <w:t>成人教育发展中心</w:t>
      </w:r>
      <w:r>
        <w:rPr>
          <w:rFonts w:hint="eastAsia" w:ascii="方正黑体_GBK" w:hAnsi="方正黑体_GBK" w:eastAsia="方正黑体_GBK" w:cs="方正黑体_GBK"/>
          <w:kern w:val="0"/>
          <w:sz w:val="28"/>
          <w:szCs w:val="28"/>
          <w:lang w:bidi="ar"/>
        </w:rPr>
        <w:t>2024年度项目支出绩效自评表</w:t>
      </w:r>
    </w:p>
    <w:tbl>
      <w:tblPr>
        <w:tblStyle w:val="9"/>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184"/>
        <w:gridCol w:w="1726"/>
        <w:gridCol w:w="694"/>
        <w:gridCol w:w="663"/>
        <w:gridCol w:w="645"/>
        <w:gridCol w:w="750"/>
        <w:gridCol w:w="1125"/>
        <w:gridCol w:w="728"/>
        <w:gridCol w:w="427"/>
        <w:gridCol w:w="667"/>
      </w:tblGrid>
      <w:tr w14:paraId="162B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8" w:type="pct"/>
            <w:tcBorders>
              <w:top w:val="single" w:color="auto" w:sz="4" w:space="0"/>
            </w:tcBorders>
            <w:noWrap w:val="0"/>
            <w:vAlign w:val="center"/>
          </w:tcPr>
          <w:p w14:paraId="2FC078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序号</w:t>
            </w:r>
          </w:p>
        </w:tc>
        <w:tc>
          <w:tcPr>
            <w:tcW w:w="653" w:type="pct"/>
            <w:tcBorders>
              <w:top w:val="single" w:color="auto" w:sz="4" w:space="0"/>
            </w:tcBorders>
            <w:noWrap w:val="0"/>
            <w:vAlign w:val="center"/>
          </w:tcPr>
          <w:p w14:paraId="6A1D81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项目名称</w:t>
            </w:r>
          </w:p>
        </w:tc>
        <w:tc>
          <w:tcPr>
            <w:tcW w:w="952" w:type="pct"/>
            <w:tcBorders>
              <w:top w:val="single" w:color="auto" w:sz="4" w:space="0"/>
            </w:tcBorders>
            <w:noWrap w:val="0"/>
            <w:vAlign w:val="center"/>
          </w:tcPr>
          <w:p w14:paraId="654A80C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指标名称</w:t>
            </w:r>
          </w:p>
        </w:tc>
        <w:tc>
          <w:tcPr>
            <w:tcW w:w="383" w:type="pct"/>
            <w:tcBorders>
              <w:top w:val="single" w:color="auto" w:sz="4" w:space="0"/>
            </w:tcBorders>
            <w:noWrap w:val="0"/>
            <w:vAlign w:val="center"/>
          </w:tcPr>
          <w:p w14:paraId="2C082A6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指标性质</w:t>
            </w:r>
          </w:p>
        </w:tc>
        <w:tc>
          <w:tcPr>
            <w:tcW w:w="365" w:type="pct"/>
            <w:tcBorders>
              <w:top w:val="single" w:color="auto" w:sz="4" w:space="0"/>
            </w:tcBorders>
            <w:noWrap w:val="0"/>
            <w:vAlign w:val="center"/>
          </w:tcPr>
          <w:p w14:paraId="3EE1A57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指标值</w:t>
            </w:r>
          </w:p>
        </w:tc>
        <w:tc>
          <w:tcPr>
            <w:tcW w:w="355" w:type="pct"/>
            <w:tcBorders>
              <w:top w:val="single" w:color="auto" w:sz="4" w:space="0"/>
            </w:tcBorders>
            <w:noWrap w:val="0"/>
            <w:vAlign w:val="center"/>
          </w:tcPr>
          <w:p w14:paraId="4FEB6A3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计量单位</w:t>
            </w:r>
          </w:p>
        </w:tc>
        <w:tc>
          <w:tcPr>
            <w:tcW w:w="413" w:type="pct"/>
            <w:tcBorders>
              <w:top w:val="single" w:color="auto" w:sz="4" w:space="0"/>
            </w:tcBorders>
            <w:noWrap w:val="0"/>
            <w:vAlign w:val="center"/>
          </w:tcPr>
          <w:p w14:paraId="47B0AA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指标权重</w:t>
            </w:r>
          </w:p>
        </w:tc>
        <w:tc>
          <w:tcPr>
            <w:tcW w:w="620" w:type="pct"/>
            <w:tcBorders>
              <w:top w:val="single" w:color="auto" w:sz="4" w:space="0"/>
            </w:tcBorders>
            <w:noWrap w:val="0"/>
            <w:vAlign w:val="center"/>
          </w:tcPr>
          <w:p w14:paraId="229F52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全年完成值</w:t>
            </w:r>
          </w:p>
        </w:tc>
        <w:tc>
          <w:tcPr>
            <w:tcW w:w="401" w:type="pct"/>
            <w:tcBorders>
              <w:top w:val="single" w:color="auto" w:sz="4" w:space="0"/>
            </w:tcBorders>
            <w:noWrap w:val="0"/>
            <w:vAlign w:val="center"/>
          </w:tcPr>
          <w:p w14:paraId="725C41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指标得分</w:t>
            </w:r>
          </w:p>
        </w:tc>
        <w:tc>
          <w:tcPr>
            <w:tcW w:w="235" w:type="pct"/>
            <w:tcBorders>
              <w:top w:val="single" w:color="auto" w:sz="4" w:space="0"/>
            </w:tcBorders>
            <w:noWrap w:val="0"/>
            <w:vAlign w:val="center"/>
          </w:tcPr>
          <w:p w14:paraId="721FB7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说明</w:t>
            </w:r>
          </w:p>
        </w:tc>
        <w:tc>
          <w:tcPr>
            <w:tcW w:w="368" w:type="pct"/>
            <w:tcBorders>
              <w:top w:val="single" w:color="auto" w:sz="4" w:space="0"/>
            </w:tcBorders>
            <w:noWrap w:val="0"/>
            <w:vAlign w:val="center"/>
          </w:tcPr>
          <w:p w14:paraId="377039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自评得分</w:t>
            </w:r>
          </w:p>
        </w:tc>
      </w:tr>
      <w:tr w14:paraId="31D8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 w:type="pct"/>
            <w:vMerge w:val="restart"/>
            <w:noWrap/>
            <w:vAlign w:val="center"/>
          </w:tcPr>
          <w:p w14:paraId="7F7E8EB6">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653" w:type="pct"/>
            <w:vMerge w:val="restart"/>
            <w:noWrap/>
            <w:vAlign w:val="center"/>
          </w:tcPr>
          <w:p w14:paraId="0008CE0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社区学院专项经费</w:t>
            </w:r>
          </w:p>
        </w:tc>
        <w:tc>
          <w:tcPr>
            <w:tcW w:w="952" w:type="pct"/>
            <w:noWrap/>
            <w:vAlign w:val="center"/>
          </w:tcPr>
          <w:p w14:paraId="1940445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涵盖街镇数量</w:t>
            </w:r>
          </w:p>
        </w:tc>
        <w:tc>
          <w:tcPr>
            <w:tcW w:w="383" w:type="pct"/>
            <w:noWrap/>
            <w:vAlign w:val="center"/>
          </w:tcPr>
          <w:p w14:paraId="37E805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个</w:t>
            </w:r>
          </w:p>
        </w:tc>
        <w:tc>
          <w:tcPr>
            <w:tcW w:w="365" w:type="pct"/>
            <w:noWrap/>
            <w:vAlign w:val="center"/>
          </w:tcPr>
          <w:p w14:paraId="504A91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13</w:t>
            </w:r>
          </w:p>
        </w:tc>
        <w:tc>
          <w:tcPr>
            <w:tcW w:w="355" w:type="pct"/>
            <w:noWrap/>
            <w:vAlign w:val="center"/>
          </w:tcPr>
          <w:p w14:paraId="779C0DBD">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个</w:t>
            </w:r>
          </w:p>
        </w:tc>
        <w:tc>
          <w:tcPr>
            <w:tcW w:w="413" w:type="pct"/>
            <w:noWrap/>
            <w:vAlign w:val="center"/>
          </w:tcPr>
          <w:p w14:paraId="7A610BBF">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620" w:type="pct"/>
            <w:noWrap/>
            <w:vAlign w:val="center"/>
          </w:tcPr>
          <w:p w14:paraId="02A9CBA7">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13</w:t>
            </w:r>
          </w:p>
        </w:tc>
        <w:tc>
          <w:tcPr>
            <w:tcW w:w="401" w:type="pct"/>
            <w:noWrap/>
            <w:vAlign w:val="center"/>
          </w:tcPr>
          <w:p w14:paraId="4E357EB9">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235" w:type="pct"/>
            <w:noWrap/>
            <w:vAlign w:val="center"/>
          </w:tcPr>
          <w:p w14:paraId="6D930A0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c>
          <w:tcPr>
            <w:tcW w:w="368" w:type="pct"/>
            <w:vMerge w:val="restart"/>
            <w:noWrap/>
            <w:vAlign w:val="center"/>
          </w:tcPr>
          <w:p w14:paraId="61486A0B">
            <w:pPr>
              <w:keepNext w:val="0"/>
              <w:keepLines w:val="0"/>
              <w:pageBreakBefore w:val="0"/>
              <w:widowControl/>
              <w:kinsoku/>
              <w:wordWrap/>
              <w:overflowPunct/>
              <w:topLinePunct w:val="0"/>
              <w:autoSpaceDE/>
              <w:autoSpaceDN/>
              <w:bidi w:val="0"/>
              <w:adjustRightInd/>
              <w:snapToGrid/>
              <w:spacing w:line="300" w:lineRule="exact"/>
              <w:jc w:val="center"/>
              <w:rPr>
                <w:rFonts w:hint="default" w:eastAsia="方正仿宋_GBK" w:cs="宋体"/>
                <w:sz w:val="20"/>
                <w:szCs w:val="20"/>
                <w:lang w:val="en-US" w:eastAsia="zh-CN"/>
              </w:rPr>
            </w:pPr>
            <w:r>
              <w:rPr>
                <w:rFonts w:hint="eastAsia" w:ascii="方正仿宋_GBK" w:hAnsi="方正仿宋_GBK" w:eastAsia="方正仿宋_GBK" w:cs="方正仿宋_GBK"/>
                <w:sz w:val="20"/>
                <w:szCs w:val="20"/>
                <w:lang w:val="en-US" w:eastAsia="zh-CN"/>
              </w:rPr>
              <w:t>100</w:t>
            </w:r>
          </w:p>
        </w:tc>
      </w:tr>
      <w:tr w14:paraId="4C92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 w:type="pct"/>
            <w:vMerge w:val="continue"/>
            <w:noWrap/>
            <w:vAlign w:val="center"/>
          </w:tcPr>
          <w:p w14:paraId="0FD702E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rPr>
            </w:pPr>
          </w:p>
        </w:tc>
        <w:tc>
          <w:tcPr>
            <w:tcW w:w="653" w:type="pct"/>
            <w:vMerge w:val="continue"/>
            <w:noWrap/>
            <w:vAlign w:val="center"/>
          </w:tcPr>
          <w:p w14:paraId="4F9FED9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c>
          <w:tcPr>
            <w:tcW w:w="952" w:type="pct"/>
            <w:noWrap/>
            <w:vAlign w:val="center"/>
          </w:tcPr>
          <w:p w14:paraId="73258AA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十项重要工作的经费保障率</w:t>
            </w:r>
          </w:p>
        </w:tc>
        <w:tc>
          <w:tcPr>
            <w:tcW w:w="383" w:type="pct"/>
            <w:noWrap/>
            <w:vAlign w:val="center"/>
          </w:tcPr>
          <w:p w14:paraId="739B1054">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365" w:type="pct"/>
            <w:noWrap/>
            <w:vAlign w:val="center"/>
          </w:tcPr>
          <w:p w14:paraId="73E865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90</w:t>
            </w:r>
          </w:p>
        </w:tc>
        <w:tc>
          <w:tcPr>
            <w:tcW w:w="355" w:type="pct"/>
            <w:noWrap/>
            <w:vAlign w:val="center"/>
          </w:tcPr>
          <w:p w14:paraId="6C95C195">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413" w:type="pct"/>
            <w:noWrap/>
            <w:vAlign w:val="center"/>
          </w:tcPr>
          <w:p w14:paraId="1B9DD1C0">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620" w:type="pct"/>
            <w:noWrap/>
            <w:vAlign w:val="center"/>
          </w:tcPr>
          <w:p w14:paraId="4F3FC4B0">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lang w:val="en-US"/>
              </w:rPr>
            </w:pPr>
            <w:r>
              <w:rPr>
                <w:rFonts w:hint="eastAsia" w:ascii="方正仿宋_GBK" w:hAnsi="方正仿宋_GBK" w:eastAsia="方正仿宋_GBK" w:cs="方正仿宋_GBK"/>
                <w:i w:val="0"/>
                <w:iCs w:val="0"/>
                <w:color w:val="000000"/>
                <w:kern w:val="0"/>
                <w:sz w:val="20"/>
                <w:szCs w:val="20"/>
                <w:u w:val="none"/>
                <w:lang w:val="en-US" w:eastAsia="zh-CN" w:bidi="ar"/>
              </w:rPr>
              <w:t>90%</w:t>
            </w:r>
          </w:p>
        </w:tc>
        <w:tc>
          <w:tcPr>
            <w:tcW w:w="401" w:type="pct"/>
            <w:noWrap/>
            <w:vAlign w:val="center"/>
          </w:tcPr>
          <w:p w14:paraId="35DF5D7D">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235" w:type="pct"/>
            <w:noWrap/>
            <w:vAlign w:val="center"/>
          </w:tcPr>
          <w:p w14:paraId="646AC4B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c>
          <w:tcPr>
            <w:tcW w:w="368" w:type="pct"/>
            <w:vMerge w:val="continue"/>
            <w:noWrap/>
            <w:vAlign w:val="center"/>
          </w:tcPr>
          <w:p w14:paraId="24511BC3">
            <w:pPr>
              <w:keepNext w:val="0"/>
              <w:keepLines w:val="0"/>
              <w:pageBreakBefore w:val="0"/>
              <w:widowControl/>
              <w:kinsoku/>
              <w:wordWrap/>
              <w:overflowPunct/>
              <w:topLinePunct w:val="0"/>
              <w:autoSpaceDE/>
              <w:autoSpaceDN/>
              <w:bidi w:val="0"/>
              <w:adjustRightInd/>
              <w:snapToGrid/>
              <w:spacing w:line="300" w:lineRule="exact"/>
              <w:jc w:val="center"/>
              <w:rPr>
                <w:rFonts w:cs="宋体"/>
                <w:sz w:val="20"/>
                <w:szCs w:val="20"/>
              </w:rPr>
            </w:pPr>
          </w:p>
        </w:tc>
      </w:tr>
      <w:tr w14:paraId="1B2B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 w:type="pct"/>
            <w:vMerge w:val="continue"/>
            <w:noWrap/>
            <w:vAlign w:val="center"/>
          </w:tcPr>
          <w:p w14:paraId="361724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rPr>
            </w:pPr>
          </w:p>
        </w:tc>
        <w:tc>
          <w:tcPr>
            <w:tcW w:w="653" w:type="pct"/>
            <w:vMerge w:val="continue"/>
            <w:noWrap/>
            <w:vAlign w:val="center"/>
          </w:tcPr>
          <w:p w14:paraId="7392514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c>
          <w:tcPr>
            <w:tcW w:w="952" w:type="pct"/>
            <w:noWrap/>
            <w:vAlign w:val="center"/>
          </w:tcPr>
          <w:p w14:paraId="0523440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资金拨付时间</w:t>
            </w:r>
          </w:p>
        </w:tc>
        <w:tc>
          <w:tcPr>
            <w:tcW w:w="383" w:type="pct"/>
            <w:noWrap/>
            <w:vAlign w:val="center"/>
          </w:tcPr>
          <w:p w14:paraId="76FDD4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年</w:t>
            </w:r>
          </w:p>
        </w:tc>
        <w:tc>
          <w:tcPr>
            <w:tcW w:w="365" w:type="pct"/>
            <w:noWrap/>
            <w:vAlign w:val="center"/>
          </w:tcPr>
          <w:p w14:paraId="1EDA98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好</w:t>
            </w:r>
          </w:p>
        </w:tc>
        <w:tc>
          <w:tcPr>
            <w:tcW w:w="355" w:type="pct"/>
            <w:noWrap/>
            <w:vAlign w:val="center"/>
          </w:tcPr>
          <w:p w14:paraId="79F633B6">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年</w:t>
            </w:r>
          </w:p>
        </w:tc>
        <w:tc>
          <w:tcPr>
            <w:tcW w:w="413" w:type="pct"/>
            <w:noWrap/>
            <w:vAlign w:val="center"/>
          </w:tcPr>
          <w:p w14:paraId="4EC32EFD">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620" w:type="pct"/>
            <w:noWrap/>
            <w:vAlign w:val="center"/>
          </w:tcPr>
          <w:p w14:paraId="5BD53D16">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01" w:type="pct"/>
            <w:noWrap/>
            <w:vAlign w:val="center"/>
          </w:tcPr>
          <w:p w14:paraId="579685BD">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235" w:type="pct"/>
            <w:noWrap/>
            <w:vAlign w:val="center"/>
          </w:tcPr>
          <w:p w14:paraId="484C380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c>
          <w:tcPr>
            <w:tcW w:w="368" w:type="pct"/>
            <w:vMerge w:val="continue"/>
            <w:noWrap/>
            <w:vAlign w:val="center"/>
          </w:tcPr>
          <w:p w14:paraId="6236994C">
            <w:pPr>
              <w:keepNext w:val="0"/>
              <w:keepLines w:val="0"/>
              <w:pageBreakBefore w:val="0"/>
              <w:widowControl/>
              <w:kinsoku/>
              <w:wordWrap/>
              <w:overflowPunct/>
              <w:topLinePunct w:val="0"/>
              <w:autoSpaceDE/>
              <w:autoSpaceDN/>
              <w:bidi w:val="0"/>
              <w:adjustRightInd/>
              <w:snapToGrid/>
              <w:spacing w:line="300" w:lineRule="exact"/>
              <w:jc w:val="center"/>
              <w:rPr>
                <w:rFonts w:cs="宋体"/>
                <w:sz w:val="20"/>
                <w:szCs w:val="20"/>
              </w:rPr>
            </w:pPr>
          </w:p>
        </w:tc>
      </w:tr>
      <w:tr w14:paraId="2167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 w:type="pct"/>
            <w:vMerge w:val="continue"/>
            <w:noWrap/>
            <w:vAlign w:val="center"/>
          </w:tcPr>
          <w:p w14:paraId="5334B6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rPr>
            </w:pPr>
          </w:p>
        </w:tc>
        <w:tc>
          <w:tcPr>
            <w:tcW w:w="653" w:type="pct"/>
            <w:vMerge w:val="continue"/>
            <w:noWrap/>
            <w:vAlign w:val="center"/>
          </w:tcPr>
          <w:p w14:paraId="2507865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c>
          <w:tcPr>
            <w:tcW w:w="952" w:type="pct"/>
            <w:noWrap/>
            <w:vAlign w:val="center"/>
          </w:tcPr>
          <w:p w14:paraId="252522C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受益居民增加</w:t>
            </w:r>
          </w:p>
        </w:tc>
        <w:tc>
          <w:tcPr>
            <w:tcW w:w="383" w:type="pct"/>
            <w:noWrap/>
            <w:vAlign w:val="center"/>
          </w:tcPr>
          <w:p w14:paraId="36F90F1A">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365" w:type="pct"/>
            <w:noWrap/>
            <w:vAlign w:val="center"/>
          </w:tcPr>
          <w:p w14:paraId="410156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90</w:t>
            </w:r>
          </w:p>
        </w:tc>
        <w:tc>
          <w:tcPr>
            <w:tcW w:w="355" w:type="pct"/>
            <w:noWrap/>
            <w:vAlign w:val="center"/>
          </w:tcPr>
          <w:p w14:paraId="757355F7">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413" w:type="pct"/>
            <w:noWrap/>
            <w:vAlign w:val="center"/>
          </w:tcPr>
          <w:p w14:paraId="5C403F76">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620" w:type="pct"/>
            <w:noWrap/>
            <w:vAlign w:val="center"/>
          </w:tcPr>
          <w:p w14:paraId="1855B77F">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lang w:val="en-US"/>
              </w:rPr>
            </w:pPr>
            <w:r>
              <w:rPr>
                <w:rFonts w:hint="eastAsia" w:ascii="方正仿宋_GBK" w:hAnsi="方正仿宋_GBK" w:eastAsia="方正仿宋_GBK" w:cs="方正仿宋_GBK"/>
                <w:i w:val="0"/>
                <w:iCs w:val="0"/>
                <w:color w:val="000000"/>
                <w:kern w:val="0"/>
                <w:sz w:val="20"/>
                <w:szCs w:val="20"/>
                <w:u w:val="none"/>
                <w:lang w:val="en-US" w:eastAsia="zh-CN" w:bidi="ar"/>
              </w:rPr>
              <w:t>90%</w:t>
            </w:r>
          </w:p>
        </w:tc>
        <w:tc>
          <w:tcPr>
            <w:tcW w:w="401" w:type="pct"/>
            <w:noWrap/>
            <w:vAlign w:val="center"/>
          </w:tcPr>
          <w:p w14:paraId="739DDD92">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235" w:type="pct"/>
            <w:noWrap/>
            <w:vAlign w:val="center"/>
          </w:tcPr>
          <w:p w14:paraId="67A124D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c>
          <w:tcPr>
            <w:tcW w:w="368" w:type="pct"/>
            <w:vMerge w:val="continue"/>
            <w:noWrap/>
            <w:vAlign w:val="center"/>
          </w:tcPr>
          <w:p w14:paraId="3DC1D81D">
            <w:pPr>
              <w:keepNext w:val="0"/>
              <w:keepLines w:val="0"/>
              <w:pageBreakBefore w:val="0"/>
              <w:widowControl/>
              <w:kinsoku/>
              <w:wordWrap/>
              <w:overflowPunct/>
              <w:topLinePunct w:val="0"/>
              <w:autoSpaceDE/>
              <w:autoSpaceDN/>
              <w:bidi w:val="0"/>
              <w:adjustRightInd/>
              <w:snapToGrid/>
              <w:spacing w:line="300" w:lineRule="exact"/>
              <w:jc w:val="center"/>
              <w:rPr>
                <w:rFonts w:cs="宋体"/>
                <w:sz w:val="20"/>
                <w:szCs w:val="20"/>
              </w:rPr>
            </w:pPr>
          </w:p>
        </w:tc>
      </w:tr>
      <w:tr w14:paraId="183A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 w:type="pct"/>
            <w:vMerge w:val="continue"/>
            <w:noWrap/>
            <w:vAlign w:val="center"/>
          </w:tcPr>
          <w:p w14:paraId="1C05880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rPr>
            </w:pPr>
          </w:p>
        </w:tc>
        <w:tc>
          <w:tcPr>
            <w:tcW w:w="653" w:type="pct"/>
            <w:vMerge w:val="continue"/>
            <w:noWrap/>
            <w:vAlign w:val="center"/>
          </w:tcPr>
          <w:p w14:paraId="0A93DD8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c>
          <w:tcPr>
            <w:tcW w:w="952" w:type="pct"/>
            <w:noWrap/>
            <w:vAlign w:val="center"/>
          </w:tcPr>
          <w:p w14:paraId="2000E72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持续提升社区教育服务能力</w:t>
            </w:r>
          </w:p>
        </w:tc>
        <w:tc>
          <w:tcPr>
            <w:tcW w:w="383" w:type="pct"/>
            <w:noWrap/>
            <w:vAlign w:val="center"/>
          </w:tcPr>
          <w:p w14:paraId="54DCFCDE">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年</w:t>
            </w:r>
          </w:p>
        </w:tc>
        <w:tc>
          <w:tcPr>
            <w:tcW w:w="365" w:type="pct"/>
            <w:noWrap/>
            <w:vAlign w:val="center"/>
          </w:tcPr>
          <w:p w14:paraId="026596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lang w:val="en-US" w:eastAsia="zh-CN"/>
              </w:rPr>
              <w:t>明显改善</w:t>
            </w:r>
          </w:p>
        </w:tc>
        <w:tc>
          <w:tcPr>
            <w:tcW w:w="355" w:type="pct"/>
            <w:noWrap/>
            <w:vAlign w:val="center"/>
          </w:tcPr>
          <w:p w14:paraId="5686835D">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年</w:t>
            </w:r>
          </w:p>
        </w:tc>
        <w:tc>
          <w:tcPr>
            <w:tcW w:w="413" w:type="pct"/>
            <w:noWrap/>
            <w:vAlign w:val="center"/>
          </w:tcPr>
          <w:p w14:paraId="437E2691">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620" w:type="pct"/>
            <w:noWrap/>
            <w:vAlign w:val="center"/>
          </w:tcPr>
          <w:p w14:paraId="314F4D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明显改善</w:t>
            </w:r>
          </w:p>
        </w:tc>
        <w:tc>
          <w:tcPr>
            <w:tcW w:w="401" w:type="pct"/>
            <w:noWrap/>
            <w:vAlign w:val="center"/>
          </w:tcPr>
          <w:p w14:paraId="4A4B98CA">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235" w:type="pct"/>
            <w:noWrap/>
            <w:vAlign w:val="center"/>
          </w:tcPr>
          <w:p w14:paraId="71D7AA4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c>
          <w:tcPr>
            <w:tcW w:w="368" w:type="pct"/>
            <w:vMerge w:val="continue"/>
            <w:noWrap/>
            <w:vAlign w:val="center"/>
          </w:tcPr>
          <w:p w14:paraId="710503D6">
            <w:pPr>
              <w:keepNext w:val="0"/>
              <w:keepLines w:val="0"/>
              <w:pageBreakBefore w:val="0"/>
              <w:widowControl/>
              <w:kinsoku/>
              <w:wordWrap/>
              <w:overflowPunct/>
              <w:topLinePunct w:val="0"/>
              <w:autoSpaceDE/>
              <w:autoSpaceDN/>
              <w:bidi w:val="0"/>
              <w:adjustRightInd/>
              <w:snapToGrid/>
              <w:spacing w:line="300" w:lineRule="exact"/>
              <w:jc w:val="center"/>
              <w:rPr>
                <w:rFonts w:cs="宋体"/>
                <w:sz w:val="20"/>
                <w:szCs w:val="20"/>
              </w:rPr>
            </w:pPr>
          </w:p>
        </w:tc>
      </w:tr>
      <w:tr w14:paraId="0A2D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 w:type="pct"/>
            <w:vMerge w:val="continue"/>
            <w:noWrap/>
            <w:vAlign w:val="center"/>
          </w:tcPr>
          <w:p w14:paraId="30DEA0C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rPr>
            </w:pPr>
          </w:p>
        </w:tc>
        <w:tc>
          <w:tcPr>
            <w:tcW w:w="653" w:type="pct"/>
            <w:vMerge w:val="continue"/>
            <w:noWrap/>
            <w:vAlign w:val="center"/>
          </w:tcPr>
          <w:p w14:paraId="5C4D387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c>
          <w:tcPr>
            <w:tcW w:w="952" w:type="pct"/>
            <w:noWrap/>
            <w:vAlign w:val="center"/>
          </w:tcPr>
          <w:p w14:paraId="1D0F49A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社区居民满意度</w:t>
            </w:r>
          </w:p>
        </w:tc>
        <w:tc>
          <w:tcPr>
            <w:tcW w:w="383" w:type="pct"/>
            <w:noWrap/>
            <w:vAlign w:val="center"/>
          </w:tcPr>
          <w:p w14:paraId="296A8DD3">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365" w:type="pct"/>
            <w:noWrap/>
            <w:vAlign w:val="center"/>
          </w:tcPr>
          <w:p w14:paraId="4B95E7E7">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95</w:t>
            </w:r>
          </w:p>
        </w:tc>
        <w:tc>
          <w:tcPr>
            <w:tcW w:w="355" w:type="pct"/>
            <w:noWrap/>
            <w:vAlign w:val="center"/>
          </w:tcPr>
          <w:p w14:paraId="1EBAFD16">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413" w:type="pct"/>
            <w:noWrap/>
            <w:vAlign w:val="center"/>
          </w:tcPr>
          <w:p w14:paraId="1637BD47">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620" w:type="pct"/>
            <w:noWrap/>
            <w:vAlign w:val="center"/>
          </w:tcPr>
          <w:p w14:paraId="51822249">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lang w:val="en-US"/>
              </w:rPr>
            </w:pPr>
            <w:r>
              <w:rPr>
                <w:rFonts w:hint="eastAsia" w:ascii="方正仿宋_GBK" w:hAnsi="方正仿宋_GBK" w:eastAsia="方正仿宋_GBK" w:cs="方正仿宋_GBK"/>
                <w:i w:val="0"/>
                <w:iCs w:val="0"/>
                <w:color w:val="000000"/>
                <w:kern w:val="0"/>
                <w:sz w:val="20"/>
                <w:szCs w:val="20"/>
                <w:u w:val="none"/>
                <w:lang w:val="en-US" w:eastAsia="zh-CN" w:bidi="ar"/>
              </w:rPr>
              <w:t>95%</w:t>
            </w:r>
          </w:p>
        </w:tc>
        <w:tc>
          <w:tcPr>
            <w:tcW w:w="401" w:type="pct"/>
            <w:noWrap/>
            <w:vAlign w:val="center"/>
          </w:tcPr>
          <w:p w14:paraId="5C9B0EC9">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235" w:type="pct"/>
            <w:noWrap/>
            <w:vAlign w:val="center"/>
          </w:tcPr>
          <w:p w14:paraId="4D13589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c>
          <w:tcPr>
            <w:tcW w:w="368" w:type="pct"/>
            <w:vMerge w:val="continue"/>
            <w:noWrap/>
            <w:vAlign w:val="center"/>
          </w:tcPr>
          <w:p w14:paraId="47A19C52">
            <w:pPr>
              <w:keepNext w:val="0"/>
              <w:keepLines w:val="0"/>
              <w:pageBreakBefore w:val="0"/>
              <w:widowControl/>
              <w:kinsoku/>
              <w:wordWrap/>
              <w:overflowPunct/>
              <w:topLinePunct w:val="0"/>
              <w:autoSpaceDE/>
              <w:autoSpaceDN/>
              <w:bidi w:val="0"/>
              <w:adjustRightInd/>
              <w:snapToGrid/>
              <w:spacing w:line="300" w:lineRule="exact"/>
              <w:jc w:val="center"/>
              <w:rPr>
                <w:rFonts w:cs="宋体"/>
                <w:sz w:val="20"/>
                <w:szCs w:val="20"/>
              </w:rPr>
            </w:pPr>
          </w:p>
        </w:tc>
      </w:tr>
      <w:tr w14:paraId="51DB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 w:type="pct"/>
            <w:vMerge w:val="continue"/>
            <w:noWrap/>
            <w:vAlign w:val="center"/>
          </w:tcPr>
          <w:p w14:paraId="097BC9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sz w:val="20"/>
                <w:szCs w:val="20"/>
              </w:rPr>
            </w:pPr>
          </w:p>
        </w:tc>
        <w:tc>
          <w:tcPr>
            <w:tcW w:w="653" w:type="pct"/>
            <w:vMerge w:val="continue"/>
            <w:noWrap/>
            <w:vAlign w:val="center"/>
          </w:tcPr>
          <w:p w14:paraId="1206B63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c>
          <w:tcPr>
            <w:tcW w:w="952" w:type="pct"/>
            <w:noWrap/>
            <w:vAlign w:val="center"/>
          </w:tcPr>
          <w:p w14:paraId="110032E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执行率</w:t>
            </w:r>
          </w:p>
        </w:tc>
        <w:tc>
          <w:tcPr>
            <w:tcW w:w="383" w:type="pct"/>
            <w:noWrap/>
            <w:vAlign w:val="center"/>
          </w:tcPr>
          <w:p w14:paraId="3C495AA2">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365" w:type="pct"/>
            <w:noWrap/>
            <w:vAlign w:val="center"/>
          </w:tcPr>
          <w:p w14:paraId="505C23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355" w:type="pct"/>
            <w:noWrap/>
            <w:vAlign w:val="center"/>
          </w:tcPr>
          <w:p w14:paraId="3A5C6EF4">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413" w:type="pct"/>
            <w:noWrap/>
            <w:vAlign w:val="center"/>
          </w:tcPr>
          <w:p w14:paraId="75010E82">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620" w:type="pct"/>
            <w:noWrap/>
            <w:vAlign w:val="center"/>
          </w:tcPr>
          <w:p w14:paraId="53BEDE5B">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401" w:type="pct"/>
            <w:noWrap/>
            <w:vAlign w:val="center"/>
          </w:tcPr>
          <w:p w14:paraId="00B958BA">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235" w:type="pct"/>
            <w:noWrap/>
            <w:vAlign w:val="center"/>
          </w:tcPr>
          <w:p w14:paraId="694C6C7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sz w:val="20"/>
                <w:szCs w:val="20"/>
              </w:rPr>
            </w:pPr>
          </w:p>
        </w:tc>
        <w:tc>
          <w:tcPr>
            <w:tcW w:w="368" w:type="pct"/>
            <w:vMerge w:val="continue"/>
            <w:noWrap/>
            <w:vAlign w:val="center"/>
          </w:tcPr>
          <w:p w14:paraId="2937558C">
            <w:pPr>
              <w:keepNext w:val="0"/>
              <w:keepLines w:val="0"/>
              <w:pageBreakBefore w:val="0"/>
              <w:widowControl/>
              <w:kinsoku/>
              <w:wordWrap/>
              <w:overflowPunct/>
              <w:topLinePunct w:val="0"/>
              <w:autoSpaceDE/>
              <w:autoSpaceDN/>
              <w:bidi w:val="0"/>
              <w:adjustRightInd/>
              <w:snapToGrid/>
              <w:spacing w:line="300" w:lineRule="exact"/>
              <w:jc w:val="center"/>
              <w:rPr>
                <w:rFonts w:cs="宋体"/>
                <w:sz w:val="20"/>
                <w:szCs w:val="20"/>
              </w:rPr>
            </w:pPr>
          </w:p>
        </w:tc>
      </w:tr>
    </w:tbl>
    <w:p w14:paraId="0A037156">
      <w:pPr>
        <w:widowControl w:val="0"/>
        <w:tabs>
          <w:tab w:val="center" w:pos="4153"/>
          <w:tab w:val="left" w:pos="7275"/>
        </w:tabs>
        <w:spacing w:line="596" w:lineRule="exact"/>
        <w:ind w:firstLine="640" w:firstLineChars="200"/>
        <w:jc w:val="both"/>
        <w:rPr>
          <w:rFonts w:hint="eastAsia" w:ascii="方正楷体_GBK" w:hAnsi="Times New Roman" w:eastAsia="方正楷体_GBK" w:cs="宋体"/>
          <w:kern w:val="0"/>
          <w:sz w:val="32"/>
          <w:szCs w:val="32"/>
        </w:rPr>
      </w:pPr>
      <w:r>
        <w:rPr>
          <w:rFonts w:hint="eastAsia" w:ascii="方正楷体_GBK" w:hAnsi="Times New Roman" w:eastAsia="方正楷体_GBK" w:cs="宋体"/>
          <w:kern w:val="0"/>
          <w:sz w:val="32"/>
          <w:szCs w:val="32"/>
        </w:rPr>
        <w:t>（二）</w:t>
      </w:r>
      <w:r>
        <w:rPr>
          <w:rFonts w:hint="eastAsia" w:ascii="方正楷体_GBK" w:hAnsi="Times New Roman" w:eastAsia="方正楷体_GBK" w:cs="宋体"/>
          <w:kern w:val="0"/>
          <w:sz w:val="32"/>
          <w:szCs w:val="32"/>
          <w:lang w:val="en-US" w:eastAsia="zh-CN"/>
        </w:rPr>
        <w:t>单位</w:t>
      </w:r>
      <w:r>
        <w:rPr>
          <w:rFonts w:hint="eastAsia" w:ascii="方正楷体_GBK" w:hAnsi="Times New Roman" w:eastAsia="方正楷体_GBK" w:cs="宋体"/>
          <w:kern w:val="0"/>
          <w:sz w:val="32"/>
          <w:szCs w:val="32"/>
        </w:rPr>
        <w:t>重点绩效评价情况</w:t>
      </w:r>
    </w:p>
    <w:p w14:paraId="04C2558F">
      <w:pPr>
        <w:widowControl w:val="0"/>
        <w:tabs>
          <w:tab w:val="center" w:pos="4153"/>
          <w:tab w:val="left" w:pos="7275"/>
        </w:tabs>
        <w:spacing w:line="600" w:lineRule="exact"/>
        <w:ind w:firstLine="640" w:firstLineChars="200"/>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rPr>
        <w:t>我单位</w:t>
      </w:r>
      <w:r>
        <w:rPr>
          <w:rFonts w:hint="eastAsia" w:ascii="Times New Roman" w:hAnsi="Times New Roman" w:eastAsia="方正仿宋_GBK" w:cs="宋体"/>
          <w:kern w:val="0"/>
          <w:sz w:val="32"/>
          <w:szCs w:val="32"/>
          <w:lang w:val="en-US" w:eastAsia="zh-CN"/>
        </w:rPr>
        <w:t>2024年无重点绩效评价。</w:t>
      </w:r>
    </w:p>
    <w:p w14:paraId="39D061E3">
      <w:pPr>
        <w:widowControl w:val="0"/>
        <w:tabs>
          <w:tab w:val="center" w:pos="4153"/>
          <w:tab w:val="left" w:pos="7275"/>
        </w:tabs>
        <w:spacing w:line="600" w:lineRule="exact"/>
        <w:ind w:firstLine="640" w:firstLineChars="200"/>
        <w:jc w:val="both"/>
        <w:rPr>
          <w:rFonts w:hint="eastAsia" w:ascii="方正楷体_GBK" w:hAnsi="Times New Roman" w:eastAsia="方正楷体_GBK" w:cs="宋体"/>
          <w:kern w:val="0"/>
          <w:sz w:val="32"/>
          <w:szCs w:val="32"/>
        </w:rPr>
      </w:pPr>
      <w:r>
        <w:rPr>
          <w:rFonts w:hint="eastAsia" w:ascii="方正楷体_GBK" w:hAnsi="Times New Roman" w:eastAsia="方正楷体_GBK" w:cs="宋体"/>
          <w:kern w:val="0"/>
          <w:sz w:val="32"/>
          <w:szCs w:val="32"/>
        </w:rPr>
        <w:t>（三）财政绩效评价情况</w:t>
      </w:r>
    </w:p>
    <w:p w14:paraId="08EC8510">
      <w:pPr>
        <w:widowControl w:val="0"/>
        <w:tabs>
          <w:tab w:val="center" w:pos="4153"/>
          <w:tab w:val="left" w:pos="7275"/>
        </w:tabs>
        <w:spacing w:line="600" w:lineRule="exact"/>
        <w:ind w:firstLine="640" w:firstLineChars="200"/>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财政重点绩效评价由区财政局统一公开。</w:t>
      </w:r>
    </w:p>
    <w:p w14:paraId="0BA49445">
      <w:pPr>
        <w:widowControl w:val="0"/>
        <w:spacing w:line="600" w:lineRule="exact"/>
        <w:ind w:firstLine="630"/>
        <w:jc w:val="both"/>
        <w:rPr>
          <w:rFonts w:hint="default"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六、专业名词解释</w:t>
      </w:r>
    </w:p>
    <w:p w14:paraId="3ADB9A46">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firstLine="640" w:firstLineChars="200"/>
        <w:jc w:val="both"/>
        <w:textAlignment w:val="auto"/>
        <w:rPr>
          <w:rFonts w:hint="eastAsia" w:ascii="方正仿宋_GBK" w:hAnsi="宋体" w:eastAsia="方正仿宋_GBK" w:cs="宋体"/>
          <w:kern w:val="0"/>
          <w:sz w:val="32"/>
          <w:szCs w:val="32"/>
        </w:rPr>
      </w:pPr>
      <w:r>
        <w:rPr>
          <w:rStyle w:val="18"/>
          <w:rFonts w:hint="eastAsia" w:ascii="方正楷体_GBK" w:hAnsi="方正楷体_GBK" w:eastAsia="方正楷体_GBK" w:cs="方正楷体_GBK"/>
          <w:b w:val="0"/>
          <w:bCs w:val="0"/>
          <w:kern w:val="0"/>
          <w:sz w:val="32"/>
          <w:szCs w:val="32"/>
          <w:shd w:val="clear" w:fill="FFFFFF"/>
        </w:rPr>
        <w:t>（一）财政拨款收入：</w:t>
      </w:r>
      <w:r>
        <w:rPr>
          <w:rFonts w:hint="eastAsia" w:ascii="方正仿宋_GBK" w:hAnsi="方正仿宋_GBK" w:eastAsia="方正仿宋_GBK" w:cs="方正仿宋_GBK"/>
          <w:kern w:val="0"/>
          <w:sz w:val="32"/>
          <w:szCs w:val="32"/>
        </w:rPr>
        <w:t>指本年度从本级财政部门取得的财政拨款，包括一般公共预算财政拨款和政府性基金预算财政拨款。</w:t>
      </w:r>
    </w:p>
    <w:p w14:paraId="01C6D180">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firstLine="640" w:firstLineChars="200"/>
        <w:jc w:val="both"/>
        <w:textAlignment w:val="auto"/>
        <w:rPr>
          <w:rFonts w:hint="eastAsia" w:ascii="方正仿宋_GBK" w:hAnsi="宋体" w:eastAsia="方正仿宋_GBK" w:cs="宋体"/>
          <w:kern w:val="0"/>
          <w:sz w:val="32"/>
          <w:szCs w:val="32"/>
        </w:rPr>
      </w:pPr>
      <w:r>
        <w:rPr>
          <w:rStyle w:val="18"/>
          <w:rFonts w:hint="eastAsia" w:ascii="方正楷体_GBK" w:hAnsi="方正楷体_GBK" w:eastAsia="方正楷体_GBK" w:cs="方正楷体_GBK"/>
          <w:b w:val="0"/>
          <w:bCs w:val="0"/>
          <w:kern w:val="0"/>
          <w:sz w:val="32"/>
          <w:szCs w:val="32"/>
          <w:shd w:val="clear" w:fill="FFFFFF"/>
        </w:rPr>
        <w:t>（二）事业收入：</w:t>
      </w:r>
      <w:r>
        <w:rPr>
          <w:rFonts w:hint="eastAsia" w:ascii="方正仿宋_GBK" w:hAnsi="方正仿宋_GBK" w:eastAsia="方正仿宋_GBK" w:cs="方正仿宋_GBK"/>
          <w:kern w:val="0"/>
          <w:sz w:val="32"/>
          <w:szCs w:val="32"/>
        </w:rPr>
        <w:t>指事业单位开展专业业务活动及其辅助活动取得的现金流入；事业单位收到的财政专户实际核拨的教育收费等资金在此反映。</w:t>
      </w:r>
    </w:p>
    <w:p w14:paraId="440981F0">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firstLine="640" w:firstLineChars="200"/>
        <w:jc w:val="both"/>
        <w:textAlignment w:val="auto"/>
        <w:rPr>
          <w:rFonts w:hint="eastAsia" w:ascii="方正仿宋_GBK" w:hAnsi="宋体" w:eastAsia="方正仿宋_GBK" w:cs="宋体"/>
          <w:kern w:val="0"/>
          <w:sz w:val="32"/>
          <w:szCs w:val="32"/>
        </w:rPr>
      </w:pPr>
      <w:r>
        <w:rPr>
          <w:rStyle w:val="18"/>
          <w:rFonts w:hint="eastAsia" w:ascii="方正楷体_GBK" w:hAnsi="方正楷体_GBK" w:eastAsia="方正楷体_GBK" w:cs="方正楷体_GBK"/>
          <w:b w:val="0"/>
          <w:bCs w:val="0"/>
          <w:kern w:val="0"/>
          <w:sz w:val="32"/>
          <w:szCs w:val="32"/>
          <w:shd w:val="clear" w:fill="FFFFFF"/>
        </w:rPr>
        <w:t>（三）经营收入：</w:t>
      </w:r>
      <w:r>
        <w:rPr>
          <w:rFonts w:hint="eastAsia" w:ascii="方正仿宋_GBK" w:hAnsi="方正仿宋_GBK" w:eastAsia="方正仿宋_GBK" w:cs="方正仿宋_GBK"/>
          <w:kern w:val="0"/>
          <w:sz w:val="32"/>
          <w:szCs w:val="32"/>
        </w:rPr>
        <w:t>指事业单位在专业业务活动及其辅助活动之外开展非独立核算经营活动取得的现金流入。</w:t>
      </w:r>
    </w:p>
    <w:p w14:paraId="05AA84AD">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firstLine="640" w:firstLineChars="200"/>
        <w:jc w:val="both"/>
        <w:textAlignment w:val="auto"/>
        <w:rPr>
          <w:rFonts w:hint="eastAsia" w:ascii="方正仿宋_GBK" w:hAnsi="宋体" w:eastAsia="方正仿宋_GBK" w:cs="宋体"/>
          <w:kern w:val="0"/>
          <w:sz w:val="32"/>
          <w:szCs w:val="32"/>
        </w:rPr>
      </w:pPr>
      <w:r>
        <w:rPr>
          <w:rStyle w:val="18"/>
          <w:rFonts w:hint="eastAsia" w:ascii="方正楷体_GBK" w:hAnsi="方正楷体_GBK" w:eastAsia="方正楷体_GBK" w:cs="方正楷体_GBK"/>
          <w:b w:val="0"/>
          <w:bCs w:val="0"/>
          <w:kern w:val="0"/>
          <w:sz w:val="32"/>
          <w:szCs w:val="32"/>
          <w:shd w:val="clear" w:fill="FFFFFF"/>
        </w:rPr>
        <w:t>（四）其他收入：</w:t>
      </w:r>
      <w:r>
        <w:rPr>
          <w:rFonts w:hint="eastAsia" w:ascii="方正仿宋_GBK" w:hAnsi="方正仿宋_GBK" w:eastAsia="方正仿宋_GBK" w:cs="方正仿宋_GBK"/>
          <w:kern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77810AA">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firstLine="640" w:firstLineChars="200"/>
        <w:jc w:val="both"/>
        <w:textAlignment w:val="auto"/>
        <w:rPr>
          <w:rFonts w:hint="eastAsia" w:ascii="方正仿宋_GBK" w:hAnsi="宋体" w:eastAsia="方正仿宋_GBK" w:cs="宋体"/>
          <w:kern w:val="0"/>
          <w:sz w:val="32"/>
          <w:szCs w:val="32"/>
        </w:rPr>
      </w:pPr>
      <w:r>
        <w:rPr>
          <w:rStyle w:val="18"/>
          <w:rFonts w:hint="eastAsia" w:ascii="方正楷体_GBK" w:hAnsi="方正楷体_GBK" w:eastAsia="方正楷体_GBK" w:cs="方正楷体_GBK"/>
          <w:b w:val="0"/>
          <w:bCs w:val="0"/>
          <w:kern w:val="0"/>
          <w:sz w:val="32"/>
          <w:szCs w:val="32"/>
          <w:shd w:val="clear" w:fill="FFFFFF"/>
        </w:rPr>
        <w:t>（五）使用非财政拨款结余：</w:t>
      </w:r>
      <w:r>
        <w:rPr>
          <w:rFonts w:hint="eastAsia" w:ascii="方正仿宋_GBK" w:hAnsi="方正仿宋_GBK" w:eastAsia="方正仿宋_GBK" w:cs="方正仿宋_GBK"/>
          <w:kern w:val="0"/>
          <w:sz w:val="32"/>
          <w:szCs w:val="32"/>
        </w:rPr>
        <w:t>指单位在当年的“财政拨款收入”、“事业收入”、“经营收入”、“其他收入”等不足以安排当年支出的情况下，使用以前年度积累的非财政拨款结余弥补本年度收支缺口的资金。</w:t>
      </w:r>
    </w:p>
    <w:p w14:paraId="6F56D2FE">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firstLine="640" w:firstLineChars="200"/>
        <w:jc w:val="both"/>
        <w:textAlignment w:val="auto"/>
        <w:rPr>
          <w:rFonts w:hint="eastAsia" w:ascii="方正仿宋_GBK" w:hAnsi="宋体" w:eastAsia="方正仿宋_GBK" w:cs="宋体"/>
          <w:kern w:val="0"/>
          <w:sz w:val="32"/>
          <w:szCs w:val="32"/>
        </w:rPr>
      </w:pPr>
      <w:r>
        <w:rPr>
          <w:rStyle w:val="18"/>
          <w:rFonts w:hint="eastAsia" w:ascii="方正楷体_GBK" w:hAnsi="方正楷体_GBK" w:eastAsia="方正楷体_GBK" w:cs="方正楷体_GBK"/>
          <w:b w:val="0"/>
          <w:bCs w:val="0"/>
          <w:kern w:val="0"/>
          <w:sz w:val="32"/>
          <w:szCs w:val="32"/>
          <w:shd w:val="clear" w:fill="FFFFFF"/>
        </w:rPr>
        <w:t>（六）年初结转和结余：</w:t>
      </w:r>
      <w:r>
        <w:rPr>
          <w:rFonts w:hint="eastAsia" w:ascii="方正仿宋_GBK" w:hAnsi="方正仿宋_GBK" w:eastAsia="方正仿宋_GBK" w:cs="方正仿宋_GBK"/>
          <w:kern w:val="0"/>
          <w:sz w:val="32"/>
          <w:szCs w:val="32"/>
        </w:rPr>
        <w:t>指单位上年结转本年使用的基本支出结转、项目支出结转和结余、经营结余。</w:t>
      </w:r>
    </w:p>
    <w:p w14:paraId="7C1CABC8">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firstLine="640" w:firstLineChars="200"/>
        <w:jc w:val="both"/>
        <w:textAlignment w:val="auto"/>
        <w:rPr>
          <w:rFonts w:hint="eastAsia" w:ascii="方正仿宋_GBK" w:hAnsi="宋体" w:eastAsia="方正仿宋_GBK" w:cs="宋体"/>
          <w:kern w:val="0"/>
          <w:sz w:val="32"/>
          <w:szCs w:val="32"/>
        </w:rPr>
      </w:pPr>
      <w:r>
        <w:rPr>
          <w:rStyle w:val="18"/>
          <w:rFonts w:hint="eastAsia" w:ascii="方正楷体_GBK" w:hAnsi="方正楷体_GBK" w:eastAsia="方正楷体_GBK" w:cs="方正楷体_GBK"/>
          <w:b w:val="0"/>
          <w:bCs w:val="0"/>
          <w:kern w:val="0"/>
          <w:sz w:val="32"/>
          <w:szCs w:val="32"/>
          <w:shd w:val="clear" w:fill="FFFFFF"/>
        </w:rPr>
        <w:t>（七）结余分配：</w:t>
      </w:r>
      <w:r>
        <w:rPr>
          <w:rFonts w:hint="eastAsia" w:ascii="方正仿宋_GBK" w:hAnsi="方正仿宋_GBK" w:eastAsia="方正仿宋_GBK" w:cs="方正仿宋_GBK"/>
          <w:kern w:val="0"/>
          <w:sz w:val="32"/>
          <w:szCs w:val="32"/>
        </w:rPr>
        <w:t>指单位按照国家有关规定，缴纳所得税、提取专用基金、转入非财政拨款结余等当年结余的分配情况。</w:t>
      </w:r>
    </w:p>
    <w:p w14:paraId="66380A7D">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firstLine="640" w:firstLineChars="200"/>
        <w:jc w:val="both"/>
        <w:textAlignment w:val="auto"/>
        <w:rPr>
          <w:rFonts w:hint="eastAsia" w:ascii="方正仿宋_GBK" w:hAnsi="宋体" w:eastAsia="方正仿宋_GBK" w:cs="宋体"/>
          <w:kern w:val="0"/>
          <w:sz w:val="32"/>
          <w:szCs w:val="32"/>
        </w:rPr>
      </w:pPr>
      <w:r>
        <w:rPr>
          <w:rStyle w:val="18"/>
          <w:rFonts w:hint="eastAsia" w:ascii="方正楷体_GBK" w:hAnsi="方正楷体_GBK" w:eastAsia="方正楷体_GBK" w:cs="方正楷体_GBK"/>
          <w:b w:val="0"/>
          <w:bCs w:val="0"/>
          <w:kern w:val="0"/>
          <w:sz w:val="32"/>
          <w:szCs w:val="32"/>
          <w:shd w:val="clear" w:fill="FFFFFF"/>
        </w:rPr>
        <w:t>（八）年末结转和结余：</w:t>
      </w:r>
      <w:r>
        <w:rPr>
          <w:rFonts w:hint="eastAsia" w:ascii="方正仿宋_GBK" w:hAnsi="方正仿宋_GBK" w:eastAsia="方正仿宋_GBK" w:cs="方正仿宋_GBK"/>
          <w:kern w:val="0"/>
          <w:sz w:val="32"/>
          <w:szCs w:val="32"/>
        </w:rPr>
        <w:t>指单位结转下年的基本支出结转、项目支出结转和结余、经营结余。</w:t>
      </w:r>
    </w:p>
    <w:p w14:paraId="617C9AD0">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firstLine="640" w:firstLineChars="200"/>
        <w:jc w:val="both"/>
        <w:textAlignment w:val="auto"/>
        <w:rPr>
          <w:rFonts w:hint="eastAsia" w:ascii="方正仿宋_GBK" w:hAnsi="宋体" w:eastAsia="方正仿宋_GBK" w:cs="宋体"/>
          <w:kern w:val="0"/>
          <w:sz w:val="32"/>
          <w:szCs w:val="32"/>
        </w:rPr>
      </w:pPr>
      <w:r>
        <w:rPr>
          <w:rStyle w:val="18"/>
          <w:rFonts w:hint="eastAsia" w:ascii="方正楷体_GBK" w:hAnsi="方正楷体_GBK" w:eastAsia="方正楷体_GBK" w:cs="方正楷体_GBK"/>
          <w:b w:val="0"/>
          <w:bCs w:val="0"/>
          <w:kern w:val="0"/>
          <w:sz w:val="32"/>
          <w:szCs w:val="32"/>
          <w:shd w:val="clear" w:fill="FFFFFF"/>
        </w:rPr>
        <w:t>（九）基本支出：</w:t>
      </w:r>
      <w:r>
        <w:rPr>
          <w:rFonts w:hint="eastAsia" w:ascii="方正仿宋_GBK" w:hAnsi="方正仿宋_GBK" w:eastAsia="方正仿宋_GBK" w:cs="方正仿宋_GBK"/>
          <w:kern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83D4E15">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firstLine="640" w:firstLineChars="200"/>
        <w:jc w:val="both"/>
        <w:textAlignment w:val="auto"/>
        <w:rPr>
          <w:rFonts w:hint="eastAsia" w:ascii="方正仿宋_GBK" w:hAnsi="宋体" w:eastAsia="方正仿宋_GBK" w:cs="宋体"/>
          <w:kern w:val="0"/>
          <w:sz w:val="32"/>
          <w:szCs w:val="32"/>
        </w:rPr>
      </w:pPr>
      <w:r>
        <w:rPr>
          <w:rStyle w:val="18"/>
          <w:rFonts w:hint="eastAsia" w:ascii="方正楷体_GBK" w:hAnsi="方正楷体_GBK" w:eastAsia="方正楷体_GBK" w:cs="方正楷体_GBK"/>
          <w:b w:val="0"/>
          <w:bCs w:val="0"/>
          <w:kern w:val="0"/>
          <w:sz w:val="32"/>
          <w:szCs w:val="32"/>
          <w:shd w:val="clear" w:fill="FFFFFF"/>
        </w:rPr>
        <w:t>（十）项目支出：</w:t>
      </w:r>
      <w:r>
        <w:rPr>
          <w:rFonts w:hint="eastAsia" w:ascii="方正仿宋_GBK" w:hAnsi="方正仿宋_GBK" w:eastAsia="方正仿宋_GBK" w:cs="方正仿宋_GBK"/>
          <w:kern w:val="0"/>
          <w:sz w:val="32"/>
          <w:szCs w:val="32"/>
        </w:rPr>
        <w:t>指在基本支出之外为完成特定行政任务和事业发展目标所发生的支出。</w:t>
      </w:r>
    </w:p>
    <w:p w14:paraId="61379790">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firstLine="640" w:firstLineChars="200"/>
        <w:jc w:val="both"/>
        <w:textAlignment w:val="auto"/>
        <w:rPr>
          <w:rFonts w:hint="eastAsia" w:ascii="方正仿宋_GBK" w:hAnsi="宋体" w:eastAsia="方正仿宋_GBK" w:cs="宋体"/>
          <w:kern w:val="0"/>
          <w:sz w:val="32"/>
          <w:szCs w:val="32"/>
        </w:rPr>
      </w:pPr>
      <w:r>
        <w:rPr>
          <w:rStyle w:val="18"/>
          <w:rFonts w:hint="eastAsia" w:ascii="方正楷体_GBK" w:hAnsi="方正楷体_GBK" w:eastAsia="方正楷体_GBK" w:cs="方正楷体_GBK"/>
          <w:b w:val="0"/>
          <w:bCs w:val="0"/>
          <w:kern w:val="0"/>
          <w:sz w:val="32"/>
          <w:szCs w:val="32"/>
          <w:shd w:val="clear" w:fill="FFFFFF"/>
        </w:rPr>
        <w:t>（十一）经营支出：</w:t>
      </w:r>
      <w:r>
        <w:rPr>
          <w:rFonts w:hint="eastAsia" w:ascii="方正仿宋_GBK" w:hAnsi="方正仿宋_GBK" w:eastAsia="方正仿宋_GBK" w:cs="方正仿宋_GBK"/>
          <w:kern w:val="0"/>
          <w:sz w:val="32"/>
          <w:szCs w:val="32"/>
        </w:rPr>
        <w:t>指事业单位在专业业务活动及其辅助活动之外开展非独立核算经营活动发生的支出。</w:t>
      </w:r>
    </w:p>
    <w:p w14:paraId="5E0CECBD">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firstLine="640" w:firstLineChars="200"/>
        <w:jc w:val="both"/>
        <w:textAlignment w:val="auto"/>
        <w:rPr>
          <w:rFonts w:hint="eastAsia" w:ascii="方正仿宋_GBK" w:hAnsi="宋体" w:eastAsia="方正仿宋_GBK" w:cs="宋体"/>
          <w:kern w:val="0"/>
          <w:sz w:val="32"/>
          <w:szCs w:val="32"/>
        </w:rPr>
      </w:pPr>
      <w:r>
        <w:rPr>
          <w:rStyle w:val="18"/>
          <w:rFonts w:hint="eastAsia" w:ascii="方正楷体_GBK" w:hAnsi="方正楷体_GBK" w:eastAsia="方正楷体_GBK" w:cs="方正楷体_GBK"/>
          <w:b w:val="0"/>
          <w:bCs w:val="0"/>
          <w:kern w:val="0"/>
          <w:sz w:val="32"/>
          <w:szCs w:val="32"/>
          <w:shd w:val="clear" w:fill="FFFFFF"/>
        </w:rPr>
        <w:t>（十二）“三公”经费：</w:t>
      </w:r>
      <w:r>
        <w:rPr>
          <w:rFonts w:hint="eastAsia" w:ascii="方正仿宋_GBK" w:hAnsi="方正仿宋_GBK" w:eastAsia="方正仿宋_GBK" w:cs="方正仿宋_GBK"/>
          <w:kern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1D82069">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firstLine="640" w:firstLineChars="200"/>
        <w:jc w:val="both"/>
        <w:textAlignment w:val="auto"/>
        <w:rPr>
          <w:rFonts w:hint="eastAsia" w:ascii="方正仿宋_GBK" w:hAnsi="宋体" w:eastAsia="方正仿宋_GBK" w:cs="宋体"/>
          <w:kern w:val="0"/>
          <w:sz w:val="32"/>
          <w:szCs w:val="32"/>
        </w:rPr>
      </w:pPr>
      <w:r>
        <w:rPr>
          <w:rStyle w:val="18"/>
          <w:rFonts w:hint="eastAsia" w:ascii="方正楷体_GBK" w:hAnsi="方正楷体_GBK" w:eastAsia="方正楷体_GBK" w:cs="方正楷体_GBK"/>
          <w:b w:val="0"/>
          <w:bCs w:val="0"/>
          <w:kern w:val="0"/>
          <w:sz w:val="32"/>
          <w:szCs w:val="32"/>
          <w:shd w:val="clear" w:fill="FFFFFF"/>
        </w:rPr>
        <w:t>（十三）机关运行经费：</w:t>
      </w:r>
      <w:r>
        <w:rPr>
          <w:rFonts w:hint="eastAsia" w:ascii="方正仿宋_GBK" w:hAnsi="方正仿宋_GBK" w:eastAsia="方正仿宋_GBK" w:cs="方正仿宋_GBK"/>
          <w:kern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76DAEDA">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firstLine="640" w:firstLineChars="200"/>
        <w:jc w:val="both"/>
        <w:textAlignment w:val="auto"/>
        <w:rPr>
          <w:rFonts w:hint="eastAsia" w:ascii="方正仿宋_GBK" w:hAnsi="宋体" w:eastAsia="方正仿宋_GBK" w:cs="宋体"/>
          <w:kern w:val="0"/>
          <w:sz w:val="32"/>
          <w:szCs w:val="32"/>
        </w:rPr>
      </w:pPr>
      <w:r>
        <w:rPr>
          <w:rStyle w:val="18"/>
          <w:rFonts w:hint="eastAsia" w:ascii="方正楷体_GBK" w:hAnsi="方正楷体_GBK" w:eastAsia="方正楷体_GBK" w:cs="方正楷体_GBK"/>
          <w:b w:val="0"/>
          <w:bCs w:val="0"/>
          <w:kern w:val="0"/>
          <w:sz w:val="32"/>
          <w:szCs w:val="32"/>
          <w:shd w:val="clear" w:fill="FFFFFF"/>
        </w:rPr>
        <w:t>（十四）工资福利支出（支出经济分类科目类级）：</w:t>
      </w:r>
      <w:r>
        <w:rPr>
          <w:rFonts w:hint="eastAsia" w:ascii="方正仿宋_GBK" w:hAnsi="方正仿宋_GBK" w:eastAsia="方正仿宋_GBK" w:cs="方正仿宋_GBK"/>
          <w:kern w:val="0"/>
          <w:sz w:val="32"/>
          <w:szCs w:val="32"/>
        </w:rPr>
        <w:t>反映单位开支的在职职工和编制外长期聘用人员的各类劳动报酬，以及为上述人员缴纳的各项社会保险费等。</w:t>
      </w:r>
    </w:p>
    <w:p w14:paraId="70EB0F38">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firstLine="640" w:firstLineChars="200"/>
        <w:jc w:val="both"/>
        <w:textAlignment w:val="auto"/>
        <w:rPr>
          <w:rFonts w:hint="eastAsia" w:ascii="方正仿宋_GBK" w:hAnsi="宋体" w:eastAsia="方正仿宋_GBK" w:cs="宋体"/>
          <w:kern w:val="0"/>
          <w:sz w:val="32"/>
          <w:szCs w:val="32"/>
        </w:rPr>
      </w:pPr>
      <w:r>
        <w:rPr>
          <w:rStyle w:val="18"/>
          <w:rFonts w:hint="eastAsia" w:ascii="方正楷体_GBK" w:hAnsi="方正楷体_GBK" w:eastAsia="方正楷体_GBK" w:cs="方正楷体_GBK"/>
          <w:b w:val="0"/>
          <w:bCs w:val="0"/>
          <w:kern w:val="0"/>
          <w:sz w:val="32"/>
          <w:szCs w:val="32"/>
          <w:shd w:val="clear" w:fill="FFFFFF"/>
        </w:rPr>
        <w:t>（十五）商品和服务支出（支出经济分类科目类级）：</w:t>
      </w:r>
      <w:r>
        <w:rPr>
          <w:rFonts w:hint="eastAsia" w:ascii="方正仿宋_GBK" w:hAnsi="方正仿宋_GBK" w:eastAsia="方正仿宋_GBK" w:cs="方正仿宋_GBK"/>
          <w:kern w:val="0"/>
          <w:sz w:val="32"/>
          <w:szCs w:val="32"/>
        </w:rPr>
        <w:t>反映单位购买商品和服务的支出（不包括用于购置固定资产的支出、战略性和应急储备支出）。</w:t>
      </w:r>
    </w:p>
    <w:p w14:paraId="043B227E">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firstLine="640" w:firstLineChars="200"/>
        <w:jc w:val="both"/>
        <w:textAlignment w:val="auto"/>
        <w:rPr>
          <w:rFonts w:hint="eastAsia" w:ascii="方正仿宋_GBK" w:hAnsi="宋体" w:eastAsia="方正仿宋_GBK" w:cs="宋体"/>
          <w:kern w:val="0"/>
          <w:sz w:val="32"/>
          <w:szCs w:val="32"/>
        </w:rPr>
      </w:pPr>
      <w:r>
        <w:rPr>
          <w:rStyle w:val="18"/>
          <w:rFonts w:hint="eastAsia" w:ascii="方正楷体_GBK" w:hAnsi="方正楷体_GBK" w:eastAsia="方正楷体_GBK" w:cs="方正楷体_GBK"/>
          <w:b w:val="0"/>
          <w:bCs w:val="0"/>
          <w:kern w:val="0"/>
          <w:sz w:val="32"/>
          <w:szCs w:val="32"/>
          <w:shd w:val="clear" w:fill="FFFFFF"/>
        </w:rPr>
        <w:t>（十六）对个人和家庭的补助（支出经济分类科目类级）</w:t>
      </w:r>
      <w:r>
        <w:rPr>
          <w:rFonts w:hint="eastAsia" w:ascii="方正仿宋_GBK" w:hAnsi="方正仿宋_GBK" w:eastAsia="方正仿宋_GBK" w:cs="方正仿宋_GBK"/>
          <w:kern w:val="0"/>
          <w:sz w:val="32"/>
          <w:szCs w:val="32"/>
        </w:rPr>
        <w:t>：反映用于对个人和家庭的补助支出。</w:t>
      </w:r>
    </w:p>
    <w:p w14:paraId="0AD62AE1">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firstLine="640" w:firstLineChars="200"/>
        <w:jc w:val="both"/>
        <w:textAlignment w:val="auto"/>
        <w:rPr>
          <w:rFonts w:hint="default" w:ascii="方正仿宋_GBK" w:hAnsi="方正仿宋_GBK" w:eastAsia="方正仿宋_GBK" w:cs="方正仿宋_GBK"/>
          <w:kern w:val="2"/>
          <w:sz w:val="32"/>
          <w:szCs w:val="32"/>
        </w:rPr>
      </w:pPr>
      <w:r>
        <w:rPr>
          <w:rStyle w:val="18"/>
          <w:rFonts w:hint="eastAsia" w:ascii="方正楷体_GBK" w:hAnsi="方正楷体_GBK" w:eastAsia="方正楷体_GBK" w:cs="方正楷体_GBK"/>
          <w:b w:val="0"/>
          <w:bCs w:val="0"/>
          <w:kern w:val="0"/>
          <w:sz w:val="32"/>
          <w:szCs w:val="32"/>
          <w:shd w:val="clear" w:fill="FFFFFF"/>
        </w:rPr>
        <w:t>（十七）其他资本性支出（支出经济分类科目类级）：</w:t>
      </w:r>
      <w:r>
        <w:rPr>
          <w:rFonts w:hint="eastAsia" w:ascii="方正仿宋_GBK" w:hAnsi="方正仿宋_GBK" w:eastAsia="方正仿宋_GBK" w:cs="方正仿宋_GBK"/>
          <w:kern w:val="0"/>
          <w:sz w:val="32"/>
          <w:szCs w:val="32"/>
        </w:rPr>
        <w:t>反映非各级发展与改革部门集中安排的用于购置固定资产、战略性和应急性储备、土地和无形资产，以及构建基础设施、大型修缮和财政支持企业更新改造所发生的支出。</w:t>
      </w:r>
    </w:p>
    <w:p w14:paraId="2F9F864A">
      <w:pPr>
        <w:widowControl/>
        <w:spacing w:line="600" w:lineRule="exact"/>
        <w:ind w:firstLine="640" w:firstLineChars="200"/>
        <w:jc w:val="both"/>
        <w:rPr>
          <w:rFonts w:hint="default" w:ascii="Times New Roman" w:hAnsi="Times New Roman" w:eastAsia="方正黑体_GBK" w:cs="宋体"/>
          <w:b/>
          <w:kern w:val="0"/>
          <w:sz w:val="32"/>
          <w:szCs w:val="32"/>
        </w:rPr>
      </w:pPr>
      <w:r>
        <w:rPr>
          <w:rFonts w:hint="eastAsia" w:ascii="Times New Roman" w:hAnsi="Times New Roman" w:eastAsia="方正黑体_GBK" w:cs="宋体"/>
          <w:bCs/>
          <w:kern w:val="0"/>
          <w:sz w:val="32"/>
          <w:szCs w:val="20"/>
        </w:rPr>
        <w:t>七、决算公开联系方式及信息反馈渠道</w:t>
      </w:r>
    </w:p>
    <w:p w14:paraId="3B8FF6BB">
      <w:pPr>
        <w:pStyle w:val="14"/>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r>
        <w:rPr>
          <w:rFonts w:hint="default" w:ascii="Times New Roman" w:hAnsi="Times New Roman" w:eastAsia="方正仿宋_GBK" w:cs="Times New Roman"/>
          <w:kern w:val="0"/>
          <w:sz w:val="32"/>
          <w:szCs w:val="32"/>
          <w:shd w:val="clear" w:fill="FFFFFF"/>
        </w:rPr>
        <w:t>023-86134369</w:t>
      </w:r>
    </w:p>
    <w:p w14:paraId="1693576B">
      <w:pPr>
        <w:widowControl w:val="0"/>
        <w:adjustRightInd w:val="0"/>
        <w:snapToGrid w:val="0"/>
        <w:spacing w:line="600" w:lineRule="exact"/>
        <w:ind w:firstLine="640" w:firstLineChars="200"/>
        <w:jc w:val="both"/>
        <w:rPr>
          <w:rFonts w:hint="eastAsia" w:ascii="Times New Roman" w:hAnsi="Times New Roman" w:eastAsia="方正仿宋_GBK"/>
          <w:kern w:val="2"/>
          <w:sz w:val="32"/>
          <w:szCs w:val="32"/>
        </w:rPr>
      </w:pPr>
    </w:p>
    <w:p w14:paraId="2A0CAF3E">
      <w:pPr>
        <w:widowControl w:val="0"/>
        <w:adjustRightInd w:val="0"/>
        <w:snapToGrid w:val="0"/>
        <w:spacing w:line="600" w:lineRule="exact"/>
        <w:ind w:firstLine="640" w:firstLineChars="200"/>
        <w:jc w:val="both"/>
        <w:rPr>
          <w:rFonts w:hint="default" w:ascii="Times New Roman" w:hAnsi="Times New Roman" w:eastAsia="方正仿宋_GBK"/>
          <w:kern w:val="2"/>
          <w:sz w:val="32"/>
          <w:szCs w:val="32"/>
        </w:rPr>
      </w:pPr>
      <w:r>
        <w:rPr>
          <w:rFonts w:hint="eastAsia" w:ascii="Times New Roman" w:hAnsi="Times New Roman" w:eastAsia="方正仿宋_GBK"/>
          <w:kern w:val="2"/>
          <w:sz w:val="32"/>
          <w:szCs w:val="32"/>
        </w:rPr>
        <w:t>附件：1.收入支出决算总表</w:t>
      </w:r>
    </w:p>
    <w:p w14:paraId="07AA0C01">
      <w:pPr>
        <w:widowControl w:val="0"/>
        <w:adjustRightInd w:val="0"/>
        <w:snapToGrid w:val="0"/>
        <w:spacing w:line="600" w:lineRule="exact"/>
        <w:ind w:firstLine="1600" w:firstLineChars="500"/>
        <w:jc w:val="both"/>
        <w:rPr>
          <w:rFonts w:hint="default" w:ascii="Times New Roman" w:hAnsi="Times New Roman" w:eastAsia="方正仿宋_GBK"/>
          <w:kern w:val="2"/>
          <w:sz w:val="32"/>
          <w:szCs w:val="32"/>
        </w:rPr>
      </w:pPr>
      <w:r>
        <w:rPr>
          <w:rFonts w:hint="eastAsia" w:ascii="Times New Roman" w:hAnsi="Times New Roman" w:eastAsia="方正仿宋_GBK"/>
          <w:kern w:val="2"/>
          <w:sz w:val="32"/>
          <w:szCs w:val="32"/>
        </w:rPr>
        <w:t>2.收入决算表</w:t>
      </w:r>
    </w:p>
    <w:p w14:paraId="04C98F92">
      <w:pPr>
        <w:widowControl w:val="0"/>
        <w:adjustRightInd w:val="0"/>
        <w:snapToGrid w:val="0"/>
        <w:spacing w:line="600" w:lineRule="exact"/>
        <w:ind w:firstLine="1600" w:firstLineChars="500"/>
        <w:jc w:val="both"/>
        <w:rPr>
          <w:rFonts w:hint="default" w:ascii="Times New Roman" w:hAnsi="Times New Roman" w:eastAsia="方正仿宋_GBK"/>
          <w:kern w:val="2"/>
          <w:sz w:val="32"/>
          <w:szCs w:val="32"/>
        </w:rPr>
      </w:pPr>
      <w:r>
        <w:rPr>
          <w:rFonts w:hint="eastAsia" w:ascii="Times New Roman" w:hAnsi="Times New Roman" w:eastAsia="方正仿宋_GBK"/>
          <w:kern w:val="2"/>
          <w:sz w:val="32"/>
          <w:szCs w:val="32"/>
        </w:rPr>
        <w:t>3.支出决算表</w:t>
      </w:r>
    </w:p>
    <w:p w14:paraId="175D0599">
      <w:pPr>
        <w:widowControl w:val="0"/>
        <w:adjustRightInd w:val="0"/>
        <w:snapToGrid w:val="0"/>
        <w:spacing w:line="600" w:lineRule="exact"/>
        <w:ind w:firstLine="1600" w:firstLineChars="500"/>
        <w:jc w:val="both"/>
        <w:rPr>
          <w:rFonts w:hint="default" w:ascii="Times New Roman" w:hAnsi="Times New Roman" w:eastAsia="方正仿宋_GBK"/>
          <w:kern w:val="2"/>
          <w:sz w:val="32"/>
          <w:szCs w:val="32"/>
        </w:rPr>
      </w:pPr>
      <w:r>
        <w:rPr>
          <w:rFonts w:hint="eastAsia" w:ascii="Times New Roman" w:hAnsi="Times New Roman" w:eastAsia="方正仿宋_GBK"/>
          <w:kern w:val="2"/>
          <w:sz w:val="32"/>
          <w:szCs w:val="32"/>
        </w:rPr>
        <w:t>4.财政拨款收入支出决算总表</w:t>
      </w:r>
    </w:p>
    <w:p w14:paraId="7B7749FF">
      <w:pPr>
        <w:widowControl w:val="0"/>
        <w:adjustRightInd w:val="0"/>
        <w:snapToGrid w:val="0"/>
        <w:spacing w:line="600" w:lineRule="exact"/>
        <w:ind w:firstLine="1600" w:firstLineChars="500"/>
        <w:jc w:val="both"/>
        <w:rPr>
          <w:rFonts w:hint="default" w:ascii="Times New Roman" w:hAnsi="Times New Roman" w:eastAsia="方正仿宋_GBK"/>
          <w:kern w:val="2"/>
          <w:sz w:val="32"/>
          <w:szCs w:val="32"/>
        </w:rPr>
      </w:pPr>
      <w:r>
        <w:rPr>
          <w:rFonts w:hint="eastAsia" w:ascii="Times New Roman" w:hAnsi="Times New Roman" w:eastAsia="方正仿宋_GBK"/>
          <w:kern w:val="2"/>
          <w:sz w:val="32"/>
          <w:szCs w:val="32"/>
        </w:rPr>
        <w:t>5.一般公共预算财政拨款支出决算表</w:t>
      </w:r>
    </w:p>
    <w:p w14:paraId="1FDCFFF9">
      <w:pPr>
        <w:widowControl w:val="0"/>
        <w:adjustRightInd w:val="0"/>
        <w:snapToGrid w:val="0"/>
        <w:spacing w:line="600" w:lineRule="exact"/>
        <w:ind w:firstLine="1600" w:firstLineChars="500"/>
        <w:jc w:val="both"/>
        <w:rPr>
          <w:rFonts w:hint="default" w:ascii="Times New Roman" w:hAnsi="Times New Roman" w:eastAsia="方正仿宋_GBK"/>
          <w:kern w:val="2"/>
          <w:sz w:val="32"/>
          <w:szCs w:val="32"/>
        </w:rPr>
      </w:pPr>
      <w:r>
        <w:rPr>
          <w:rFonts w:hint="eastAsia" w:ascii="Times New Roman" w:hAnsi="Times New Roman" w:eastAsia="方正仿宋_GBK"/>
          <w:kern w:val="2"/>
          <w:sz w:val="32"/>
          <w:szCs w:val="32"/>
        </w:rPr>
        <w:t>6.一般公共预算财政拨款基本支出决算表</w:t>
      </w:r>
    </w:p>
    <w:p w14:paraId="56E5797B">
      <w:pPr>
        <w:widowControl w:val="0"/>
        <w:adjustRightInd w:val="0"/>
        <w:snapToGrid w:val="0"/>
        <w:spacing w:line="600" w:lineRule="exact"/>
        <w:jc w:val="both"/>
        <w:rPr>
          <w:rFonts w:hint="default" w:ascii="Times New Roman" w:hAnsi="Times New Roman" w:eastAsia="方正仿宋_GBK"/>
          <w:kern w:val="2"/>
          <w:sz w:val="32"/>
          <w:szCs w:val="32"/>
        </w:rPr>
      </w:pPr>
      <w:r>
        <w:rPr>
          <w:rFonts w:hint="eastAsia" w:ascii="Times New Roman" w:hAnsi="Times New Roman" w:eastAsia="方正仿宋_GBK"/>
          <w:kern w:val="2"/>
          <w:sz w:val="32"/>
          <w:szCs w:val="32"/>
        </w:rPr>
        <w:t xml:space="preserve">          7.政府性基金预算财政拨款收入支出决算表</w:t>
      </w:r>
    </w:p>
    <w:p w14:paraId="299E9B6D">
      <w:pPr>
        <w:widowControl w:val="0"/>
        <w:adjustRightInd w:val="0"/>
        <w:snapToGrid w:val="0"/>
        <w:spacing w:line="600" w:lineRule="exact"/>
        <w:ind w:firstLine="1600" w:firstLineChars="500"/>
        <w:jc w:val="both"/>
        <w:rPr>
          <w:rFonts w:hint="default" w:ascii="Times New Roman" w:hAnsi="Times New Roman" w:eastAsia="方正仿宋_GBK"/>
          <w:kern w:val="2"/>
          <w:sz w:val="32"/>
          <w:szCs w:val="32"/>
        </w:rPr>
      </w:pPr>
      <w:r>
        <w:rPr>
          <w:rFonts w:hint="eastAsia" w:ascii="Times New Roman" w:hAnsi="Times New Roman" w:eastAsia="方正仿宋_GBK"/>
          <w:kern w:val="2"/>
          <w:sz w:val="32"/>
          <w:szCs w:val="32"/>
        </w:rPr>
        <w:t>8.国有资本经营预算财政拨款支出决算表</w:t>
      </w:r>
    </w:p>
    <w:p w14:paraId="46B4BDAF">
      <w:pPr>
        <w:widowControl w:val="0"/>
        <w:adjustRightInd w:val="0"/>
        <w:snapToGrid w:val="0"/>
        <w:spacing w:line="600" w:lineRule="exact"/>
        <w:ind w:firstLine="1600" w:firstLineChars="500"/>
        <w:jc w:val="left"/>
        <w:rPr>
          <w:rFonts w:hint="eastAsia" w:ascii="Times New Roman" w:hAnsi="Times New Roman" w:eastAsia="方正仿宋_GBK"/>
          <w:kern w:val="2"/>
          <w:sz w:val="32"/>
          <w:szCs w:val="32"/>
        </w:rPr>
      </w:pPr>
      <w:r>
        <w:rPr>
          <w:rFonts w:hint="eastAsia" w:ascii="Times New Roman" w:hAnsi="Times New Roman" w:eastAsia="方正仿宋_GBK"/>
          <w:kern w:val="2"/>
          <w:sz w:val="32"/>
          <w:szCs w:val="32"/>
        </w:rPr>
        <w:t>9.机构运行信息表</w:t>
      </w:r>
    </w:p>
    <w:p w14:paraId="15B8E61B">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1"/>
          <w:rFonts w:hint="eastAsia" w:ascii="黑体" w:hAnsi="黑体" w:eastAsia="黑体" w:cs="黑体"/>
          <w:sz w:val="32"/>
          <w:szCs w:val="32"/>
          <w:shd w:val="clear" w:color="auto" w:fill="FFFFFF"/>
          <w:lang w:val="en-US" w:eastAsia="zh-CN" w:bidi="ar-SA"/>
        </w:rPr>
      </w:pPr>
    </w:p>
    <w:p w14:paraId="2094AC0F">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1"/>
          <w:rFonts w:hint="eastAsia" w:ascii="黑体" w:hAnsi="黑体" w:eastAsia="黑体" w:cs="黑体"/>
          <w:sz w:val="32"/>
          <w:szCs w:val="32"/>
          <w:shd w:val="clear" w:color="auto" w:fill="FFFFFF"/>
          <w:lang w:val="en-US" w:eastAsia="zh-CN" w:bidi="ar-SA"/>
        </w:rPr>
      </w:pPr>
    </w:p>
    <w:p w14:paraId="181A37CE">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1"/>
          <w:rFonts w:hint="eastAsia" w:ascii="黑体" w:hAnsi="黑体" w:eastAsia="黑体" w:cs="黑体"/>
          <w:sz w:val="32"/>
          <w:szCs w:val="32"/>
          <w:shd w:val="clear" w:color="auto" w:fill="FFFFFF"/>
          <w:lang w:val="en-US" w:eastAsia="zh-CN" w:bidi="ar-SA"/>
        </w:rPr>
      </w:pPr>
    </w:p>
    <w:p w14:paraId="57729F65">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1"/>
          <w:rFonts w:hint="eastAsia" w:ascii="黑体" w:hAnsi="黑体" w:eastAsia="黑体" w:cs="黑体"/>
          <w:sz w:val="32"/>
          <w:szCs w:val="32"/>
          <w:shd w:val="clear" w:color="auto" w:fill="FFFFFF"/>
          <w:lang w:val="en-US" w:eastAsia="zh-CN" w:bidi="ar-SA"/>
        </w:rPr>
      </w:pPr>
    </w:p>
    <w:p w14:paraId="7804D185">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1"/>
          <w:rFonts w:hint="eastAsia" w:ascii="黑体" w:hAnsi="黑体" w:eastAsia="黑体" w:cs="黑体"/>
          <w:sz w:val="32"/>
          <w:szCs w:val="32"/>
          <w:shd w:val="clear" w:color="auto" w:fill="FFFFFF"/>
          <w:lang w:val="en-US" w:eastAsia="zh-CN" w:bidi="ar-SA"/>
        </w:rPr>
      </w:pPr>
    </w:p>
    <w:p w14:paraId="41C4298E">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1"/>
          <w:rFonts w:hint="eastAsia" w:ascii="黑体" w:hAnsi="黑体" w:eastAsia="黑体" w:cs="黑体"/>
          <w:sz w:val="32"/>
          <w:szCs w:val="32"/>
          <w:shd w:val="clear" w:color="auto" w:fill="FFFFFF"/>
          <w:lang w:val="en-US" w:eastAsia="zh-CN" w:bidi="ar-SA"/>
        </w:rPr>
      </w:pPr>
    </w:p>
    <w:p w14:paraId="59A85AFF">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1"/>
          <w:rFonts w:hint="eastAsia" w:ascii="黑体" w:hAnsi="黑体" w:eastAsia="黑体" w:cs="黑体"/>
          <w:sz w:val="32"/>
          <w:szCs w:val="32"/>
          <w:shd w:val="clear" w:color="auto" w:fill="FFFFFF"/>
          <w:lang w:val="en-US" w:eastAsia="zh-CN" w:bidi="ar-SA"/>
        </w:rPr>
      </w:pPr>
    </w:p>
    <w:p w14:paraId="67C3E1B2">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1"/>
          <w:rFonts w:hint="eastAsia" w:ascii="黑体" w:hAnsi="黑体" w:eastAsia="黑体" w:cs="黑体"/>
          <w:sz w:val="32"/>
          <w:szCs w:val="32"/>
          <w:shd w:val="clear" w:color="auto" w:fill="FFFFFF"/>
          <w:lang w:val="en-US" w:eastAsia="zh-CN" w:bidi="ar-SA"/>
        </w:rPr>
      </w:pPr>
    </w:p>
    <w:p w14:paraId="56A397D1">
      <w:pPr>
        <w:pStyle w:val="13"/>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50B7B797">
      <w:pPr>
        <w:pStyle w:val="13"/>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733C05E1">
      <w:pPr>
        <w:widowControl w:val="0"/>
        <w:adjustRightInd w:val="0"/>
        <w:snapToGrid w:val="0"/>
        <w:spacing w:line="600" w:lineRule="exact"/>
        <w:jc w:val="both"/>
        <w:rPr>
          <w:rFonts w:hint="eastAsia" w:ascii="方正仿宋_GBK" w:hAnsi="方正仿宋_GBK" w:eastAsia="方正仿宋_GBK" w:cs="方正仿宋_GBK"/>
          <w:kern w:val="2"/>
          <w:sz w:val="24"/>
          <w:szCs w:val="24"/>
          <w:lang w:val="en-US" w:eastAsia="zh-CN"/>
        </w:rPr>
      </w:pPr>
      <w:r>
        <w:rPr>
          <w:rFonts w:hint="eastAsia" w:ascii="方正仿宋_GBK" w:hAnsi="方正仿宋_GBK" w:eastAsia="方正仿宋_GBK" w:cs="方正仿宋_GBK"/>
          <w:kern w:val="2"/>
          <w:sz w:val="28"/>
          <w:szCs w:val="28"/>
          <w:lang w:val="en-US" w:eastAsia="zh-CN"/>
        </w:rPr>
        <w:t>附件</w:t>
      </w:r>
      <w:r>
        <w:rPr>
          <w:rFonts w:hint="eastAsia" w:ascii="Times New Roman" w:hAnsi="Times New Roman" w:eastAsia="方正仿宋_GBK"/>
          <w:kern w:val="2"/>
          <w:sz w:val="24"/>
          <w:szCs w:val="24"/>
          <w:lang w:val="en-US" w:eastAsia="zh-CN"/>
        </w:rPr>
        <w:t>1</w:t>
      </w:r>
    </w:p>
    <w:tbl>
      <w:tblPr>
        <w:tblStyle w:val="9"/>
        <w:tblpPr w:leftFromText="180" w:rightFromText="180" w:vertAnchor="text" w:horzAnchor="page" w:tblpX="1058" w:tblpY="22"/>
        <w:tblOverlap w:val="never"/>
        <w:tblW w:w="5000" w:type="pct"/>
        <w:tblInd w:w="0" w:type="dxa"/>
        <w:tblLayout w:type="autofit"/>
        <w:tblCellMar>
          <w:top w:w="0" w:type="dxa"/>
          <w:left w:w="0" w:type="dxa"/>
          <w:bottom w:w="0" w:type="dxa"/>
          <w:right w:w="0" w:type="dxa"/>
        </w:tblCellMar>
      </w:tblPr>
      <w:tblGrid>
        <w:gridCol w:w="4462"/>
        <w:gridCol w:w="3699"/>
        <w:gridCol w:w="4201"/>
        <w:gridCol w:w="2960"/>
      </w:tblGrid>
      <w:tr w14:paraId="530D64B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4C2687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809D5A8">
        <w:tblPrEx>
          <w:tblCellMar>
            <w:top w:w="0" w:type="dxa"/>
            <w:left w:w="0" w:type="dxa"/>
            <w:bottom w:w="0" w:type="dxa"/>
            <w:right w:w="0" w:type="dxa"/>
          </w:tblCellMar>
        </w:tblPrEx>
        <w:trPr>
          <w:trHeight w:val="232" w:hRule="atLeast"/>
        </w:trPr>
        <w:tc>
          <w:tcPr>
            <w:tcW w:w="1456" w:type="pct"/>
            <w:tcBorders>
              <w:top w:val="nil"/>
              <w:left w:val="nil"/>
              <w:bottom w:val="nil"/>
              <w:right w:val="nil"/>
            </w:tcBorders>
            <w:shd w:val="clear" w:color="auto" w:fill="auto"/>
            <w:noWrap/>
            <w:tcMar>
              <w:top w:w="15" w:type="dxa"/>
              <w:left w:w="15" w:type="dxa"/>
              <w:right w:w="15" w:type="dxa"/>
            </w:tcMar>
            <w:vAlign w:val="bottom"/>
          </w:tcPr>
          <w:p w14:paraId="1F96F8E3">
            <w:pPr>
              <w:spacing w:line="200" w:lineRule="exact"/>
              <w:rPr>
                <w:rFonts w:hint="default" w:ascii="Arial" w:hAnsi="Arial" w:cs="Arial"/>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14:paraId="60718BDF">
            <w:pPr>
              <w:spacing w:line="200" w:lineRule="exact"/>
              <w:jc w:val="right"/>
              <w:rPr>
                <w:rFonts w:hint="default" w:ascii="Arial" w:hAnsi="Arial" w:cs="Arial"/>
                <w:color w:val="000000"/>
                <w:sz w:val="20"/>
                <w:szCs w:val="20"/>
              </w:rPr>
            </w:pPr>
          </w:p>
        </w:tc>
        <w:tc>
          <w:tcPr>
            <w:tcW w:w="1371" w:type="pct"/>
            <w:tcBorders>
              <w:top w:val="nil"/>
              <w:left w:val="nil"/>
              <w:bottom w:val="nil"/>
              <w:right w:val="nil"/>
            </w:tcBorders>
            <w:shd w:val="clear" w:color="auto" w:fill="auto"/>
            <w:noWrap/>
            <w:tcMar>
              <w:top w:w="15" w:type="dxa"/>
              <w:left w:w="15" w:type="dxa"/>
              <w:right w:w="15" w:type="dxa"/>
            </w:tcMar>
            <w:vAlign w:val="bottom"/>
          </w:tcPr>
          <w:p w14:paraId="1761372E">
            <w:pPr>
              <w:spacing w:line="200" w:lineRule="exact"/>
              <w:rPr>
                <w:rFonts w:hint="default" w:ascii="Arial" w:hAnsi="Arial" w:cs="Arial"/>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14:paraId="06CDCDB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727C4023">
        <w:tblPrEx>
          <w:tblCellMar>
            <w:top w:w="0" w:type="dxa"/>
            <w:left w:w="0" w:type="dxa"/>
            <w:bottom w:w="0" w:type="dxa"/>
            <w:right w:w="0" w:type="dxa"/>
          </w:tblCellMar>
        </w:tblPrEx>
        <w:trPr>
          <w:trHeight w:val="232" w:hRule="atLeast"/>
        </w:trPr>
        <w:tc>
          <w:tcPr>
            <w:tcW w:w="2663" w:type="pct"/>
            <w:gridSpan w:val="2"/>
            <w:tcBorders>
              <w:top w:val="nil"/>
              <w:left w:val="nil"/>
              <w:bottom w:val="nil"/>
              <w:right w:val="nil"/>
            </w:tcBorders>
            <w:shd w:val="clear" w:color="auto" w:fill="auto"/>
            <w:noWrap/>
            <w:tcMar>
              <w:top w:w="15" w:type="dxa"/>
              <w:left w:w="15" w:type="dxa"/>
              <w:right w:w="15" w:type="dxa"/>
            </w:tcMar>
            <w:vAlign w:val="bottom"/>
          </w:tcPr>
          <w:p w14:paraId="569C5A9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重庆市九龙坡区成人教育发展中心</w:t>
            </w:r>
          </w:p>
        </w:tc>
        <w:tc>
          <w:tcPr>
            <w:tcW w:w="1371" w:type="pct"/>
            <w:tcBorders>
              <w:top w:val="nil"/>
              <w:left w:val="nil"/>
              <w:bottom w:val="nil"/>
              <w:right w:val="nil"/>
            </w:tcBorders>
            <w:shd w:val="clear" w:color="auto" w:fill="auto"/>
            <w:noWrap/>
            <w:tcMar>
              <w:top w:w="15" w:type="dxa"/>
              <w:left w:w="15" w:type="dxa"/>
              <w:right w:w="15" w:type="dxa"/>
            </w:tcMar>
            <w:vAlign w:val="bottom"/>
          </w:tcPr>
          <w:p w14:paraId="656B97FC">
            <w:pPr>
              <w:spacing w:line="200" w:lineRule="exact"/>
              <w:rPr>
                <w:rFonts w:hint="default" w:ascii="Arial" w:hAnsi="Arial" w:cs="Arial"/>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14:paraId="2644DA9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5265CC1">
        <w:tblPrEx>
          <w:tblCellMar>
            <w:top w:w="0" w:type="dxa"/>
            <w:left w:w="0" w:type="dxa"/>
            <w:bottom w:w="0" w:type="dxa"/>
            <w:right w:w="0" w:type="dxa"/>
          </w:tblCellMar>
        </w:tblPrEx>
        <w:trPr>
          <w:trHeight w:val="243" w:hRule="atLeast"/>
        </w:trPr>
        <w:tc>
          <w:tcPr>
            <w:tcW w:w="2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C702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6"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6FB78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019C0F5">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7AD5">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DEF45">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AD4C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0BB4E">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9172DBB">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02843">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8D3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1,235.68</w:t>
            </w:r>
            <w:r>
              <w:rPr>
                <w:rFonts w:ascii="Times New Roman" w:hAnsi="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A4EB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9C9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8572B7">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2CB8">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AD5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8535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DF7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FAF6EA">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4E3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29E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759A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8ED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3537CB">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6B3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71B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AE9C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85F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9D27E2">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D65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CB7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810.10</w:t>
            </w:r>
            <w:r>
              <w:rPr>
                <w:rFonts w:ascii="Times New Roman" w:hAnsi="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F200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4421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1,744.98</w:t>
            </w:r>
            <w:r>
              <w:rPr>
                <w:rFonts w:ascii="Times New Roman" w:hAnsi="Times New Roman"/>
                <w:color w:val="000000"/>
                <w:sz w:val="20"/>
                <w:u w:color="auto"/>
              </w:rPr>
              <w:t xml:space="preserve"> </w:t>
            </w:r>
          </w:p>
        </w:tc>
      </w:tr>
      <w:tr w14:paraId="11853782">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D858">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9E1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9324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89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A6E2DF">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AF22">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809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3BB3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EF7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5129ED">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EA8E">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7" w:type="pct"/>
            <w:tcBorders>
              <w:top w:val="nil"/>
              <w:left w:val="nil"/>
              <w:bottom w:val="nil"/>
              <w:right w:val="single" w:color="000000" w:sz="4" w:space="0"/>
            </w:tcBorders>
            <w:shd w:val="clear" w:color="auto" w:fill="auto"/>
            <w:noWrap/>
            <w:tcMar>
              <w:top w:w="15" w:type="dxa"/>
              <w:left w:w="15" w:type="dxa"/>
              <w:right w:w="15" w:type="dxa"/>
            </w:tcMar>
            <w:vAlign w:val="center"/>
          </w:tcPr>
          <w:p w14:paraId="03A45B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38AF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ABB4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187.46</w:t>
            </w:r>
            <w:r>
              <w:rPr>
                <w:rFonts w:ascii="Times New Roman" w:hAnsi="Times New Roman"/>
                <w:color w:val="000000"/>
                <w:sz w:val="20"/>
                <w:u w:color="auto"/>
              </w:rPr>
              <w:t xml:space="preserve"> </w:t>
            </w:r>
          </w:p>
        </w:tc>
      </w:tr>
      <w:tr w14:paraId="361F705D">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DE622">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EC2AD6">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B78C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ECBB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47.54</w:t>
            </w:r>
            <w:r>
              <w:rPr>
                <w:rFonts w:ascii="Times New Roman" w:hAnsi="Times New Roman"/>
                <w:color w:val="000000"/>
                <w:sz w:val="20"/>
                <w:u w:color="auto"/>
              </w:rPr>
              <w:t xml:space="preserve"> </w:t>
            </w:r>
          </w:p>
        </w:tc>
      </w:tr>
      <w:tr w14:paraId="012717A5">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86A0">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5D2182">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7383A">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42D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A8D90E">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9A0B">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DFEF8">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9229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AC4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14589F">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97BD">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AF3E1D">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E235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BEF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894B06">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6651">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D314">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F8E32">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7D9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1026A5">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F951">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B6A33">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33A24">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B9B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5AD7EC">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82EC3">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1502D">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679FA">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ED2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06A564">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A08AE">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0FC8F">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D34EA">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0A1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244FE8">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376B">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E3DB2">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F1FB6">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AB8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F64BE2">
        <w:tblPrEx>
          <w:tblCellMar>
            <w:top w:w="0" w:type="dxa"/>
            <w:left w:w="0" w:type="dxa"/>
            <w:bottom w:w="0" w:type="dxa"/>
            <w:right w:w="0" w:type="dxa"/>
          </w:tblCellMar>
        </w:tblPrEx>
        <w:trPr>
          <w:trHeight w:val="90"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F55F">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5D089">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7AD1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3B2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B16EEA">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629F">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B9D6C">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4D4E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8FF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65.79</w:t>
            </w:r>
            <w:r>
              <w:rPr>
                <w:rFonts w:ascii="Times New Roman" w:hAnsi="Times New Roman"/>
                <w:color w:val="000000"/>
                <w:sz w:val="20"/>
                <w:u w:color="auto"/>
              </w:rPr>
              <w:t xml:space="preserve"> </w:t>
            </w:r>
          </w:p>
        </w:tc>
      </w:tr>
      <w:tr w14:paraId="58025EC0">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BCC5C">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5A62C">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CCD5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AF8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323516">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B626">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933A5">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845A5">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875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E9532C">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475D">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45946">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06E84">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3BF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215F8C">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E2BC">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C9F29">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7BD0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385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747C1A">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41F7">
            <w:pPr>
              <w:spacing w:line="240" w:lineRule="exact"/>
              <w:jc w:val="center"/>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2AE2D">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05B6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938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52A828">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76D7A">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BF1DE">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01C77">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410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FBEC78">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E02A">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E1DCB">
            <w:pPr>
              <w:wordWrap w:val="0"/>
              <w:spacing w:line="200" w:lineRule="exact"/>
              <w:jc w:val="right"/>
              <w:textAlignment w:val="center"/>
              <w:rPr>
                <w:rFonts w:hint="default" w:ascii="Times New Roman" w:hAnsi="Times New Roman"/>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BCC4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9F5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C50D4C">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F89F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E3F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2,045.78</w:t>
            </w:r>
            <w:r>
              <w:rPr>
                <w:rFonts w:ascii="Times New Roman" w:hAnsi="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8B58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3373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2,045.78</w:t>
            </w:r>
            <w:r>
              <w:rPr>
                <w:rFonts w:ascii="Times New Roman" w:hAnsi="Times New Roman"/>
                <w:color w:val="000000"/>
                <w:sz w:val="20"/>
                <w:u w:color="auto"/>
              </w:rPr>
              <w:t xml:space="preserve"> </w:t>
            </w:r>
          </w:p>
        </w:tc>
      </w:tr>
      <w:tr w14:paraId="2F8DCA52">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4CC0F">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3FD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65753">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7B8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40F35F">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9ED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FD2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81EA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F6246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71CED4">
        <w:tblPrEx>
          <w:tblCellMar>
            <w:top w:w="0" w:type="dxa"/>
            <w:left w:w="0" w:type="dxa"/>
            <w:bottom w:w="0" w:type="dxa"/>
            <w:right w:w="0" w:type="dxa"/>
          </w:tblCellMar>
        </w:tblPrEx>
        <w:trPr>
          <w:trHeight w:val="25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8C9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F3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2,045.78</w:t>
            </w:r>
            <w:r>
              <w:rPr>
                <w:rFonts w:ascii="Times New Roman" w:hAnsi="Times New Roman"/>
                <w:color w:val="000000"/>
                <w:sz w:val="20"/>
                <w:u w:color="auto"/>
              </w:rPr>
              <w:t xml:space="preserve"> </w:t>
            </w:r>
          </w:p>
        </w:tc>
        <w:tc>
          <w:tcPr>
            <w:tcW w:w="1371"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9F7B4F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D1A4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2,045.78</w:t>
            </w:r>
            <w:r>
              <w:rPr>
                <w:rFonts w:ascii="Times New Roman" w:hAnsi="Times New Roman"/>
                <w:color w:val="000000"/>
                <w:sz w:val="20"/>
                <w:u w:color="auto"/>
              </w:rPr>
              <w:t xml:space="preserve"> </w:t>
            </w:r>
          </w:p>
        </w:tc>
      </w:tr>
    </w:tbl>
    <w:p w14:paraId="58FD9CB5">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p>
    <w:p w14:paraId="669487E1">
      <w:pPr>
        <w:spacing w:line="240" w:lineRule="exact"/>
        <w:rPr>
          <w:rFonts w:cs="宋体"/>
          <w:sz w:val="20"/>
          <w:szCs w:val="20"/>
        </w:rPr>
      </w:pPr>
    </w:p>
    <w:p w14:paraId="0212EE28">
      <w:pPr>
        <w:widowControl w:val="0"/>
        <w:adjustRightInd w:val="0"/>
        <w:snapToGrid w:val="0"/>
        <w:spacing w:line="600" w:lineRule="exact"/>
        <w:jc w:val="both"/>
        <w:rPr>
          <w:rFonts w:cs="宋体"/>
          <w:sz w:val="20"/>
          <w:szCs w:val="20"/>
        </w:rPr>
      </w:pPr>
      <w:r>
        <w:rPr>
          <w:rFonts w:hint="eastAsia" w:ascii="方正仿宋_GBK" w:hAnsi="方正仿宋_GBK" w:eastAsia="方正仿宋_GBK" w:cs="方正仿宋_GBK"/>
          <w:kern w:val="2"/>
          <w:sz w:val="28"/>
          <w:szCs w:val="28"/>
          <w:lang w:val="en-US" w:eastAsia="zh-CN"/>
        </w:rPr>
        <w:t>附件</w:t>
      </w:r>
      <w:r>
        <w:rPr>
          <w:rFonts w:hint="eastAsia" w:ascii="Times New Roman" w:hAnsi="Times New Roman" w:eastAsia="方正仿宋_GBK"/>
          <w:kern w:val="2"/>
          <w:sz w:val="28"/>
          <w:szCs w:val="28"/>
          <w:lang w:val="en-US" w:eastAsia="zh-CN"/>
        </w:rPr>
        <w:t>2</w:t>
      </w:r>
    </w:p>
    <w:tbl>
      <w:tblPr>
        <w:tblStyle w:val="9"/>
        <w:tblpPr w:leftFromText="180" w:rightFromText="180" w:vertAnchor="text" w:horzAnchor="page" w:tblpX="1032" w:tblpY="417"/>
        <w:tblOverlap w:val="never"/>
        <w:tblW w:w="5000" w:type="pct"/>
        <w:tblInd w:w="0" w:type="dxa"/>
        <w:tblLayout w:type="autofit"/>
        <w:tblCellMar>
          <w:top w:w="0" w:type="dxa"/>
          <w:left w:w="0" w:type="dxa"/>
          <w:bottom w:w="0" w:type="dxa"/>
          <w:right w:w="0" w:type="dxa"/>
        </w:tblCellMar>
      </w:tblPr>
      <w:tblGrid>
        <w:gridCol w:w="1637"/>
        <w:gridCol w:w="3230"/>
        <w:gridCol w:w="1492"/>
        <w:gridCol w:w="1358"/>
        <w:gridCol w:w="1161"/>
        <w:gridCol w:w="1345"/>
        <w:gridCol w:w="1367"/>
        <w:gridCol w:w="1201"/>
        <w:gridCol w:w="1256"/>
        <w:gridCol w:w="1275"/>
      </w:tblGrid>
      <w:tr w14:paraId="3D55F5BD">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B9240A6">
            <w:pPr>
              <w:jc w:val="center"/>
              <w:textAlignment w:val="bottom"/>
              <w:rPr>
                <w:rFonts w:hint="default" w:cs="宋体"/>
                <w:b/>
                <w:color w:val="000000"/>
                <w:sz w:val="32"/>
                <w:szCs w:val="32"/>
              </w:rPr>
            </w:pPr>
            <w:r>
              <w:rPr>
                <w:rFonts w:cs="宋体"/>
                <w:b/>
                <w:color w:val="000000"/>
                <w:sz w:val="32"/>
                <w:szCs w:val="32"/>
              </w:rPr>
              <w:t>收入决算表</w:t>
            </w:r>
          </w:p>
        </w:tc>
      </w:tr>
      <w:tr w14:paraId="53703406">
        <w:tblPrEx>
          <w:tblCellMar>
            <w:top w:w="0" w:type="dxa"/>
            <w:left w:w="0" w:type="dxa"/>
            <w:bottom w:w="0" w:type="dxa"/>
            <w:right w:w="0" w:type="dxa"/>
          </w:tblCellMar>
        </w:tblPrEx>
        <w:trPr>
          <w:trHeight w:val="328" w:hRule="atLeast"/>
        </w:trPr>
        <w:tc>
          <w:tcPr>
            <w:tcW w:w="2075" w:type="pct"/>
            <w:gridSpan w:val="3"/>
            <w:vMerge w:val="restart"/>
            <w:tcBorders>
              <w:top w:val="nil"/>
              <w:left w:val="nil"/>
              <w:right w:val="nil"/>
            </w:tcBorders>
            <w:shd w:val="clear" w:color="auto" w:fill="auto"/>
            <w:noWrap/>
            <w:tcMar>
              <w:top w:w="15" w:type="dxa"/>
              <w:left w:w="15" w:type="dxa"/>
              <w:right w:w="15" w:type="dxa"/>
            </w:tcMar>
            <w:vAlign w:val="bottom"/>
          </w:tcPr>
          <w:p w14:paraId="3E09D5B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重庆市九龙坡区成人教育发展中心</w:t>
            </w:r>
          </w:p>
        </w:tc>
        <w:tc>
          <w:tcPr>
            <w:tcW w:w="443" w:type="pct"/>
            <w:tcBorders>
              <w:top w:val="nil"/>
              <w:left w:val="nil"/>
              <w:bottom w:val="nil"/>
              <w:right w:val="nil"/>
            </w:tcBorders>
            <w:shd w:val="clear" w:color="auto" w:fill="auto"/>
            <w:noWrap/>
            <w:tcMar>
              <w:top w:w="15" w:type="dxa"/>
              <w:left w:w="15" w:type="dxa"/>
              <w:right w:w="15" w:type="dxa"/>
            </w:tcMar>
            <w:vAlign w:val="bottom"/>
          </w:tcPr>
          <w:p w14:paraId="18163404">
            <w:pPr>
              <w:rPr>
                <w:rFonts w:hint="default" w:cs="宋体"/>
                <w:color w:val="000000"/>
                <w:sz w:val="20"/>
                <w:szCs w:val="20"/>
              </w:rPr>
            </w:pPr>
          </w:p>
        </w:tc>
        <w:tc>
          <w:tcPr>
            <w:tcW w:w="379" w:type="pct"/>
            <w:tcBorders>
              <w:top w:val="nil"/>
              <w:left w:val="nil"/>
              <w:bottom w:val="nil"/>
              <w:right w:val="nil"/>
            </w:tcBorders>
            <w:shd w:val="clear" w:color="auto" w:fill="auto"/>
            <w:noWrap/>
            <w:tcMar>
              <w:top w:w="15" w:type="dxa"/>
              <w:left w:w="15" w:type="dxa"/>
              <w:right w:w="15" w:type="dxa"/>
            </w:tcMar>
            <w:vAlign w:val="bottom"/>
          </w:tcPr>
          <w:p w14:paraId="6746852A">
            <w:pPr>
              <w:rPr>
                <w:rFonts w:hint="default" w:cs="宋体"/>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14:paraId="3CFA610D">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60F4E434">
            <w:pPr>
              <w:rPr>
                <w:rFonts w:hint="default" w:cs="宋体"/>
                <w:color w:val="000000"/>
                <w:sz w:val="20"/>
                <w:szCs w:val="20"/>
              </w:rPr>
            </w:pPr>
          </w:p>
        </w:tc>
        <w:tc>
          <w:tcPr>
            <w:tcW w:w="392" w:type="pct"/>
            <w:tcBorders>
              <w:top w:val="nil"/>
              <w:left w:val="nil"/>
              <w:bottom w:val="nil"/>
              <w:right w:val="nil"/>
            </w:tcBorders>
            <w:shd w:val="clear" w:color="auto" w:fill="auto"/>
            <w:noWrap/>
            <w:tcMar>
              <w:top w:w="15" w:type="dxa"/>
              <w:left w:w="15" w:type="dxa"/>
              <w:right w:w="15" w:type="dxa"/>
            </w:tcMar>
            <w:vAlign w:val="bottom"/>
          </w:tcPr>
          <w:p w14:paraId="39EB0A53">
            <w:pPr>
              <w:rPr>
                <w:rFonts w:hint="default" w:cs="宋体"/>
                <w:color w:val="000000"/>
                <w:sz w:val="20"/>
                <w:szCs w:val="20"/>
              </w:rPr>
            </w:pPr>
          </w:p>
        </w:tc>
        <w:tc>
          <w:tcPr>
            <w:tcW w:w="410" w:type="pct"/>
            <w:tcBorders>
              <w:top w:val="nil"/>
              <w:left w:val="nil"/>
              <w:bottom w:val="nil"/>
              <w:right w:val="nil"/>
            </w:tcBorders>
            <w:shd w:val="clear" w:color="auto" w:fill="auto"/>
            <w:noWrap/>
            <w:tcMar>
              <w:top w:w="15" w:type="dxa"/>
              <w:left w:w="15" w:type="dxa"/>
              <w:right w:w="15" w:type="dxa"/>
            </w:tcMar>
            <w:vAlign w:val="bottom"/>
          </w:tcPr>
          <w:p w14:paraId="5A0C425C">
            <w:pPr>
              <w:rPr>
                <w:rFonts w:hint="default" w:cs="宋体"/>
                <w:color w:val="000000"/>
                <w:sz w:val="20"/>
                <w:szCs w:val="20"/>
              </w:rPr>
            </w:pPr>
          </w:p>
        </w:tc>
        <w:tc>
          <w:tcPr>
            <w:tcW w:w="412" w:type="pct"/>
            <w:tcBorders>
              <w:top w:val="nil"/>
              <w:left w:val="nil"/>
              <w:bottom w:val="nil"/>
              <w:right w:val="nil"/>
            </w:tcBorders>
            <w:shd w:val="clear" w:color="auto" w:fill="auto"/>
            <w:noWrap/>
            <w:tcMar>
              <w:top w:w="15" w:type="dxa"/>
              <w:left w:w="15" w:type="dxa"/>
              <w:right w:w="15" w:type="dxa"/>
            </w:tcMar>
            <w:vAlign w:val="bottom"/>
          </w:tcPr>
          <w:p w14:paraId="7990237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787F6604">
        <w:tblPrEx>
          <w:tblCellMar>
            <w:top w:w="0" w:type="dxa"/>
            <w:left w:w="0" w:type="dxa"/>
            <w:bottom w:w="0" w:type="dxa"/>
            <w:right w:w="0" w:type="dxa"/>
          </w:tblCellMar>
        </w:tblPrEx>
        <w:trPr>
          <w:trHeight w:val="328" w:hRule="atLeast"/>
        </w:trPr>
        <w:tc>
          <w:tcPr>
            <w:tcW w:w="2075" w:type="pct"/>
            <w:gridSpan w:val="3"/>
            <w:vMerge w:val="continue"/>
            <w:tcBorders>
              <w:left w:val="nil"/>
              <w:bottom w:val="nil"/>
              <w:right w:val="nil"/>
            </w:tcBorders>
            <w:shd w:val="clear" w:color="auto" w:fill="auto"/>
            <w:noWrap/>
            <w:tcMar>
              <w:top w:w="15" w:type="dxa"/>
              <w:left w:w="15" w:type="dxa"/>
              <w:right w:w="15" w:type="dxa"/>
            </w:tcMar>
            <w:vAlign w:val="bottom"/>
          </w:tcPr>
          <w:p w14:paraId="602A482B">
            <w:pPr>
              <w:rPr>
                <w:rFonts w:hint="default" w:cs="宋体"/>
                <w:color w:val="000000"/>
                <w:sz w:val="20"/>
                <w:szCs w:val="20"/>
              </w:rPr>
            </w:pPr>
          </w:p>
        </w:tc>
        <w:tc>
          <w:tcPr>
            <w:tcW w:w="443" w:type="pct"/>
            <w:tcBorders>
              <w:top w:val="nil"/>
              <w:left w:val="nil"/>
              <w:bottom w:val="nil"/>
              <w:right w:val="nil"/>
            </w:tcBorders>
            <w:shd w:val="clear" w:color="auto" w:fill="auto"/>
            <w:noWrap/>
            <w:tcMar>
              <w:top w:w="15" w:type="dxa"/>
              <w:left w:w="15" w:type="dxa"/>
              <w:right w:w="15" w:type="dxa"/>
            </w:tcMar>
            <w:vAlign w:val="bottom"/>
          </w:tcPr>
          <w:p w14:paraId="5FAA2975">
            <w:pPr>
              <w:rPr>
                <w:rFonts w:hint="default" w:cs="宋体"/>
                <w:color w:val="000000"/>
                <w:sz w:val="20"/>
                <w:szCs w:val="20"/>
              </w:rPr>
            </w:pPr>
          </w:p>
        </w:tc>
        <w:tc>
          <w:tcPr>
            <w:tcW w:w="379" w:type="pct"/>
            <w:tcBorders>
              <w:top w:val="nil"/>
              <w:left w:val="nil"/>
              <w:bottom w:val="nil"/>
              <w:right w:val="nil"/>
            </w:tcBorders>
            <w:shd w:val="clear" w:color="auto" w:fill="auto"/>
            <w:noWrap/>
            <w:tcMar>
              <w:top w:w="15" w:type="dxa"/>
              <w:left w:w="15" w:type="dxa"/>
              <w:right w:w="15" w:type="dxa"/>
            </w:tcMar>
            <w:vAlign w:val="bottom"/>
          </w:tcPr>
          <w:p w14:paraId="186B0B16">
            <w:pPr>
              <w:rPr>
                <w:rFonts w:hint="default" w:cs="宋体"/>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14:paraId="56C3CE0D">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F4BDFED">
            <w:pPr>
              <w:rPr>
                <w:rFonts w:hint="default" w:cs="宋体"/>
                <w:color w:val="000000"/>
                <w:sz w:val="20"/>
                <w:szCs w:val="20"/>
              </w:rPr>
            </w:pPr>
          </w:p>
        </w:tc>
        <w:tc>
          <w:tcPr>
            <w:tcW w:w="392" w:type="pct"/>
            <w:tcBorders>
              <w:top w:val="nil"/>
              <w:left w:val="nil"/>
              <w:bottom w:val="nil"/>
              <w:right w:val="nil"/>
            </w:tcBorders>
            <w:shd w:val="clear" w:color="auto" w:fill="auto"/>
            <w:noWrap/>
            <w:tcMar>
              <w:top w:w="15" w:type="dxa"/>
              <w:left w:w="15" w:type="dxa"/>
              <w:right w:w="15" w:type="dxa"/>
            </w:tcMar>
            <w:vAlign w:val="bottom"/>
          </w:tcPr>
          <w:p w14:paraId="5D09725F">
            <w:pPr>
              <w:rPr>
                <w:rFonts w:hint="default" w:cs="宋体"/>
                <w:color w:val="000000"/>
                <w:sz w:val="20"/>
                <w:szCs w:val="20"/>
              </w:rPr>
            </w:pPr>
          </w:p>
        </w:tc>
        <w:tc>
          <w:tcPr>
            <w:tcW w:w="410" w:type="pct"/>
            <w:tcBorders>
              <w:top w:val="nil"/>
              <w:left w:val="nil"/>
              <w:bottom w:val="nil"/>
              <w:right w:val="nil"/>
            </w:tcBorders>
            <w:shd w:val="clear" w:color="auto" w:fill="auto"/>
            <w:noWrap/>
            <w:tcMar>
              <w:top w:w="15" w:type="dxa"/>
              <w:left w:w="15" w:type="dxa"/>
              <w:right w:w="15" w:type="dxa"/>
            </w:tcMar>
            <w:vAlign w:val="bottom"/>
          </w:tcPr>
          <w:p w14:paraId="088B566C">
            <w:pPr>
              <w:rPr>
                <w:rFonts w:hint="default" w:cs="宋体"/>
                <w:color w:val="000000"/>
                <w:sz w:val="20"/>
                <w:szCs w:val="20"/>
              </w:rPr>
            </w:pPr>
          </w:p>
        </w:tc>
        <w:tc>
          <w:tcPr>
            <w:tcW w:w="412" w:type="pct"/>
            <w:tcBorders>
              <w:top w:val="nil"/>
              <w:left w:val="nil"/>
              <w:bottom w:val="nil"/>
              <w:right w:val="nil"/>
            </w:tcBorders>
            <w:shd w:val="clear" w:color="auto" w:fill="auto"/>
            <w:noWrap/>
            <w:tcMar>
              <w:top w:w="15" w:type="dxa"/>
              <w:left w:w="15" w:type="dxa"/>
              <w:right w:w="15" w:type="dxa"/>
            </w:tcMar>
            <w:vAlign w:val="bottom"/>
          </w:tcPr>
          <w:p w14:paraId="0CC6F2B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3D49C6E">
        <w:tblPrEx>
          <w:tblCellMar>
            <w:top w:w="0" w:type="dxa"/>
            <w:left w:w="0" w:type="dxa"/>
            <w:bottom w:w="0" w:type="dxa"/>
            <w:right w:w="0" w:type="dxa"/>
          </w:tblCellMar>
        </w:tblPrEx>
        <w:trPr>
          <w:trHeight w:val="431" w:hRule="atLeast"/>
        </w:trPr>
        <w:tc>
          <w:tcPr>
            <w:tcW w:w="158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F14DC07">
            <w:pPr>
              <w:jc w:val="center"/>
              <w:textAlignment w:val="bottom"/>
              <w:rPr>
                <w:rFonts w:hint="default" w:cs="宋体"/>
                <w:b/>
                <w:color w:val="000000"/>
                <w:sz w:val="20"/>
                <w:szCs w:val="20"/>
              </w:rPr>
            </w:pPr>
            <w:r>
              <w:rPr>
                <w:rFonts w:cs="宋体"/>
                <w:b/>
                <w:color w:val="000000"/>
                <w:sz w:val="20"/>
                <w:szCs w:val="20"/>
              </w:rPr>
              <w:t>项目</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0DEA9">
            <w:pPr>
              <w:jc w:val="center"/>
              <w:textAlignment w:val="center"/>
              <w:rPr>
                <w:rFonts w:hint="default" w:cs="宋体"/>
                <w:b/>
                <w:color w:val="000000"/>
                <w:sz w:val="20"/>
                <w:szCs w:val="20"/>
              </w:rPr>
            </w:pPr>
            <w:r>
              <w:rPr>
                <w:rFonts w:cs="宋体"/>
                <w:b/>
                <w:color w:val="000000"/>
                <w:sz w:val="20"/>
                <w:szCs w:val="20"/>
              </w:rPr>
              <w:t>本年收入合计</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9F08C">
            <w:pPr>
              <w:jc w:val="center"/>
              <w:textAlignment w:val="center"/>
              <w:rPr>
                <w:rFonts w:hint="default" w:cs="宋体"/>
                <w:b/>
                <w:color w:val="000000"/>
                <w:sz w:val="20"/>
                <w:szCs w:val="20"/>
              </w:rPr>
            </w:pPr>
            <w:r>
              <w:rPr>
                <w:rFonts w:cs="宋体"/>
                <w:b/>
                <w:color w:val="000000"/>
                <w:sz w:val="20"/>
                <w:szCs w:val="20"/>
              </w:rPr>
              <w:t>财政拨款收入</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B03AB">
            <w:pPr>
              <w:jc w:val="center"/>
              <w:textAlignment w:val="center"/>
              <w:rPr>
                <w:rFonts w:hint="default" w:cs="宋体"/>
                <w:b/>
                <w:color w:val="000000"/>
                <w:sz w:val="20"/>
                <w:szCs w:val="20"/>
              </w:rPr>
            </w:pPr>
            <w:r>
              <w:rPr>
                <w:rFonts w:cs="宋体"/>
                <w:b/>
                <w:color w:val="000000"/>
                <w:sz w:val="20"/>
                <w:szCs w:val="20"/>
              </w:rPr>
              <w:t>上级补助收入</w:t>
            </w: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9467B0">
            <w:pPr>
              <w:jc w:val="center"/>
              <w:textAlignment w:val="bottom"/>
              <w:rPr>
                <w:rFonts w:hint="default" w:cs="宋体"/>
                <w:b/>
                <w:color w:val="000000"/>
                <w:sz w:val="20"/>
                <w:szCs w:val="20"/>
              </w:rPr>
            </w:pPr>
            <w:r>
              <w:rPr>
                <w:rFonts w:cs="宋体"/>
                <w:b/>
                <w:color w:val="000000"/>
                <w:sz w:val="20"/>
                <w:szCs w:val="20"/>
              </w:rPr>
              <w:t>事业收入</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B047F">
            <w:pPr>
              <w:jc w:val="center"/>
              <w:textAlignment w:val="center"/>
              <w:rPr>
                <w:rFonts w:hint="default" w:cs="宋体"/>
                <w:b/>
                <w:color w:val="000000"/>
                <w:sz w:val="20"/>
                <w:szCs w:val="20"/>
              </w:rPr>
            </w:pPr>
            <w:r>
              <w:rPr>
                <w:rFonts w:cs="宋体"/>
                <w:b/>
                <w:color w:val="000000"/>
                <w:sz w:val="20"/>
                <w:szCs w:val="20"/>
              </w:rPr>
              <w:t>经营收入</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FB9AB">
            <w:pPr>
              <w:jc w:val="center"/>
              <w:textAlignment w:val="center"/>
              <w:rPr>
                <w:rFonts w:hint="default" w:cs="宋体"/>
                <w:b/>
                <w:color w:val="000000"/>
                <w:sz w:val="20"/>
                <w:szCs w:val="20"/>
              </w:rPr>
            </w:pPr>
            <w:r>
              <w:rPr>
                <w:rFonts w:cs="宋体"/>
                <w:b/>
                <w:color w:val="000000"/>
                <w:sz w:val="20"/>
                <w:szCs w:val="20"/>
              </w:rPr>
              <w:t>附属单位上缴收入</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1BF33">
            <w:pPr>
              <w:jc w:val="center"/>
              <w:textAlignment w:val="center"/>
              <w:rPr>
                <w:rFonts w:hint="default" w:cs="宋体"/>
                <w:b/>
                <w:color w:val="000000"/>
                <w:sz w:val="20"/>
                <w:szCs w:val="20"/>
              </w:rPr>
            </w:pPr>
            <w:r>
              <w:rPr>
                <w:rFonts w:cs="宋体"/>
                <w:b/>
                <w:color w:val="000000"/>
                <w:sz w:val="20"/>
                <w:szCs w:val="20"/>
              </w:rPr>
              <w:t>其他收入</w:t>
            </w:r>
          </w:p>
        </w:tc>
      </w:tr>
      <w:tr w14:paraId="7AA5E4B4">
        <w:tblPrEx>
          <w:tblCellMar>
            <w:top w:w="0" w:type="dxa"/>
            <w:left w:w="0" w:type="dxa"/>
            <w:bottom w:w="0" w:type="dxa"/>
            <w:right w:w="0" w:type="dxa"/>
          </w:tblCellMar>
        </w:tblPrEx>
        <w:trPr>
          <w:trHeight w:val="334" w:hRule="atLeast"/>
        </w:trPr>
        <w:tc>
          <w:tcPr>
            <w:tcW w:w="53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2857">
            <w:pPr>
              <w:jc w:val="center"/>
              <w:textAlignment w:val="center"/>
              <w:rPr>
                <w:rFonts w:hint="default" w:cs="宋体"/>
                <w:b/>
                <w:color w:val="000000"/>
                <w:sz w:val="20"/>
                <w:szCs w:val="20"/>
              </w:rPr>
            </w:pPr>
            <w:r>
              <w:rPr>
                <w:rFonts w:cs="宋体"/>
                <w:b/>
                <w:color w:val="000000"/>
                <w:sz w:val="20"/>
                <w:szCs w:val="20"/>
              </w:rPr>
              <w:t>功能分类科目编码</w:t>
            </w:r>
          </w:p>
        </w:tc>
        <w:tc>
          <w:tcPr>
            <w:tcW w:w="105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FBD8CC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FBFC9">
            <w:pPr>
              <w:jc w:val="center"/>
              <w:rPr>
                <w:rFonts w:hint="default" w:cs="宋体"/>
                <w:b/>
                <w:color w:val="000000"/>
                <w:sz w:val="20"/>
                <w:szCs w:val="20"/>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ACF6A">
            <w:pPr>
              <w:jc w:val="center"/>
              <w:rPr>
                <w:rFonts w:hint="default" w:cs="宋体"/>
                <w:b/>
                <w:color w:val="000000"/>
                <w:sz w:val="20"/>
                <w:szCs w:val="20"/>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479BC">
            <w:pPr>
              <w:jc w:val="center"/>
              <w:rPr>
                <w:rFonts w:hint="default" w:cs="宋体"/>
                <w:b/>
                <w:color w:val="000000"/>
                <w:sz w:val="20"/>
                <w:szCs w:val="20"/>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4E2A5">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7607A">
            <w:pPr>
              <w:jc w:val="center"/>
              <w:textAlignment w:val="center"/>
              <w:rPr>
                <w:rFonts w:hint="default" w:cs="宋体"/>
                <w:b/>
                <w:color w:val="000000"/>
                <w:sz w:val="20"/>
                <w:szCs w:val="20"/>
              </w:rPr>
            </w:pPr>
            <w:r>
              <w:rPr>
                <w:rFonts w:cs="宋体"/>
                <w:b/>
                <w:color w:val="000000"/>
                <w:sz w:val="20"/>
                <w:szCs w:val="20"/>
              </w:rPr>
              <w:t>其中：教育收费</w:t>
            </w: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ADEDC">
            <w:pPr>
              <w:jc w:val="center"/>
              <w:rPr>
                <w:rFonts w:hint="default" w:cs="宋体"/>
                <w:b/>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2FE2D">
            <w:pPr>
              <w:jc w:val="center"/>
              <w:rPr>
                <w:rFonts w:hint="default" w:cs="宋体"/>
                <w:b/>
                <w:color w:val="000000"/>
                <w:sz w:val="20"/>
                <w:szCs w:val="20"/>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F08BE">
            <w:pPr>
              <w:jc w:val="center"/>
              <w:rPr>
                <w:rFonts w:hint="default" w:cs="宋体"/>
                <w:b/>
                <w:color w:val="000000"/>
                <w:sz w:val="20"/>
                <w:szCs w:val="20"/>
              </w:rPr>
            </w:pPr>
          </w:p>
        </w:tc>
      </w:tr>
      <w:tr w14:paraId="7B019BD6">
        <w:tblPrEx>
          <w:tblCellMar>
            <w:top w:w="0" w:type="dxa"/>
            <w:left w:w="0" w:type="dxa"/>
            <w:bottom w:w="0" w:type="dxa"/>
            <w:right w:w="0" w:type="dxa"/>
          </w:tblCellMar>
        </w:tblPrEx>
        <w:trPr>
          <w:trHeight w:val="334" w:hRule="atLeast"/>
        </w:trPr>
        <w:tc>
          <w:tcPr>
            <w:tcW w:w="53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6610">
            <w:pPr>
              <w:jc w:val="center"/>
              <w:rPr>
                <w:rFonts w:hint="default" w:cs="宋体"/>
                <w:b/>
                <w:color w:val="000000"/>
                <w:sz w:val="20"/>
                <w:szCs w:val="20"/>
              </w:rPr>
            </w:pPr>
          </w:p>
        </w:tc>
        <w:tc>
          <w:tcPr>
            <w:tcW w:w="105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9D7D22">
            <w:pPr>
              <w:jc w:val="center"/>
              <w:rPr>
                <w:rFonts w:hint="default" w:cs="宋体"/>
                <w:b/>
                <w:color w:val="000000"/>
                <w:sz w:val="20"/>
                <w:szCs w:val="20"/>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A9167">
            <w:pPr>
              <w:jc w:val="center"/>
              <w:rPr>
                <w:rFonts w:hint="default" w:cs="宋体"/>
                <w:b/>
                <w:color w:val="000000"/>
                <w:sz w:val="20"/>
                <w:szCs w:val="20"/>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EDC2D">
            <w:pPr>
              <w:jc w:val="center"/>
              <w:rPr>
                <w:rFonts w:hint="default" w:cs="宋体"/>
                <w:b/>
                <w:color w:val="000000"/>
                <w:sz w:val="20"/>
                <w:szCs w:val="20"/>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2CEC6">
            <w:pPr>
              <w:jc w:val="center"/>
              <w:rPr>
                <w:rFonts w:hint="default" w:cs="宋体"/>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FD752">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909AB">
            <w:pPr>
              <w:jc w:val="center"/>
              <w:rPr>
                <w:rFonts w:hint="default" w:cs="宋体"/>
                <w:b/>
                <w:color w:val="000000"/>
                <w:sz w:val="20"/>
                <w:szCs w:val="20"/>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96A80">
            <w:pPr>
              <w:jc w:val="center"/>
              <w:rPr>
                <w:rFonts w:hint="default" w:cs="宋体"/>
                <w:b/>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DC118">
            <w:pPr>
              <w:jc w:val="center"/>
              <w:rPr>
                <w:rFonts w:hint="default" w:cs="宋体"/>
                <w:b/>
                <w:color w:val="000000"/>
                <w:sz w:val="20"/>
                <w:szCs w:val="20"/>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3AEED">
            <w:pPr>
              <w:jc w:val="center"/>
              <w:rPr>
                <w:rFonts w:hint="default" w:cs="宋体"/>
                <w:b/>
                <w:color w:val="000000"/>
                <w:sz w:val="20"/>
                <w:szCs w:val="20"/>
              </w:rPr>
            </w:pPr>
          </w:p>
        </w:tc>
      </w:tr>
      <w:tr w14:paraId="172173CE">
        <w:tblPrEx>
          <w:tblCellMar>
            <w:top w:w="0" w:type="dxa"/>
            <w:left w:w="0" w:type="dxa"/>
            <w:bottom w:w="0" w:type="dxa"/>
            <w:right w:w="0" w:type="dxa"/>
          </w:tblCellMar>
        </w:tblPrEx>
        <w:trPr>
          <w:trHeight w:val="334" w:hRule="atLeast"/>
        </w:trPr>
        <w:tc>
          <w:tcPr>
            <w:tcW w:w="53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C473">
            <w:pPr>
              <w:jc w:val="center"/>
              <w:rPr>
                <w:rFonts w:hint="default" w:cs="宋体"/>
                <w:b/>
                <w:color w:val="000000"/>
                <w:sz w:val="20"/>
                <w:szCs w:val="20"/>
              </w:rPr>
            </w:pPr>
          </w:p>
        </w:tc>
        <w:tc>
          <w:tcPr>
            <w:tcW w:w="105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0693DA">
            <w:pPr>
              <w:jc w:val="center"/>
              <w:rPr>
                <w:rFonts w:hint="default" w:cs="宋体"/>
                <w:b/>
                <w:color w:val="000000"/>
                <w:sz w:val="20"/>
                <w:szCs w:val="20"/>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AD0AE">
            <w:pPr>
              <w:jc w:val="center"/>
              <w:rPr>
                <w:rFonts w:hint="default" w:cs="宋体"/>
                <w:b/>
                <w:color w:val="000000"/>
                <w:sz w:val="20"/>
                <w:szCs w:val="20"/>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AFF92">
            <w:pPr>
              <w:jc w:val="center"/>
              <w:rPr>
                <w:rFonts w:hint="default" w:cs="宋体"/>
                <w:b/>
                <w:color w:val="000000"/>
                <w:sz w:val="20"/>
                <w:szCs w:val="20"/>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458B1">
            <w:pPr>
              <w:jc w:val="center"/>
              <w:rPr>
                <w:rFonts w:hint="default" w:cs="宋体"/>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1F4A0">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F1649">
            <w:pPr>
              <w:jc w:val="center"/>
              <w:rPr>
                <w:rFonts w:hint="default" w:cs="宋体"/>
                <w:b/>
                <w:color w:val="000000"/>
                <w:sz w:val="20"/>
                <w:szCs w:val="20"/>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8DBE8">
            <w:pPr>
              <w:jc w:val="center"/>
              <w:rPr>
                <w:rFonts w:hint="default" w:cs="宋体"/>
                <w:b/>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68B34">
            <w:pPr>
              <w:jc w:val="center"/>
              <w:rPr>
                <w:rFonts w:hint="default" w:cs="宋体"/>
                <w:b/>
                <w:color w:val="000000"/>
                <w:sz w:val="20"/>
                <w:szCs w:val="20"/>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6454C">
            <w:pPr>
              <w:jc w:val="center"/>
              <w:rPr>
                <w:rFonts w:hint="default" w:cs="宋体"/>
                <w:b/>
                <w:color w:val="000000"/>
                <w:sz w:val="20"/>
                <w:szCs w:val="20"/>
              </w:rPr>
            </w:pPr>
          </w:p>
        </w:tc>
      </w:tr>
      <w:tr w14:paraId="695F2741">
        <w:tblPrEx>
          <w:tblCellMar>
            <w:top w:w="0" w:type="dxa"/>
            <w:left w:w="0" w:type="dxa"/>
            <w:bottom w:w="0" w:type="dxa"/>
            <w:right w:w="0" w:type="dxa"/>
          </w:tblCellMar>
        </w:tblPrEx>
        <w:trPr>
          <w:trHeight w:val="334" w:hRule="atLeast"/>
        </w:trPr>
        <w:tc>
          <w:tcPr>
            <w:tcW w:w="53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7DD0">
            <w:pPr>
              <w:jc w:val="center"/>
              <w:rPr>
                <w:rFonts w:hint="default" w:cs="宋体"/>
                <w:b/>
                <w:color w:val="000000"/>
                <w:sz w:val="20"/>
                <w:szCs w:val="20"/>
              </w:rPr>
            </w:pPr>
          </w:p>
        </w:tc>
        <w:tc>
          <w:tcPr>
            <w:tcW w:w="105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552C46">
            <w:pPr>
              <w:jc w:val="center"/>
              <w:rPr>
                <w:rFonts w:hint="default" w:cs="宋体"/>
                <w:b/>
                <w:color w:val="000000"/>
                <w:sz w:val="20"/>
                <w:szCs w:val="20"/>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3B26B">
            <w:pPr>
              <w:jc w:val="center"/>
              <w:rPr>
                <w:rFonts w:hint="default" w:cs="宋体"/>
                <w:b/>
                <w:color w:val="000000"/>
                <w:sz w:val="20"/>
                <w:szCs w:val="20"/>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49848">
            <w:pPr>
              <w:jc w:val="center"/>
              <w:rPr>
                <w:rFonts w:hint="default" w:cs="宋体"/>
                <w:b/>
                <w:color w:val="000000"/>
                <w:sz w:val="20"/>
                <w:szCs w:val="20"/>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21E04">
            <w:pPr>
              <w:jc w:val="center"/>
              <w:rPr>
                <w:rFonts w:hint="default" w:cs="宋体"/>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0026D">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7DA8F">
            <w:pPr>
              <w:jc w:val="center"/>
              <w:rPr>
                <w:rFonts w:hint="default" w:cs="宋体"/>
                <w:b/>
                <w:color w:val="000000"/>
                <w:sz w:val="20"/>
                <w:szCs w:val="20"/>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478D3">
            <w:pPr>
              <w:jc w:val="center"/>
              <w:rPr>
                <w:rFonts w:hint="default" w:cs="宋体"/>
                <w:b/>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E1DE8">
            <w:pPr>
              <w:jc w:val="center"/>
              <w:rPr>
                <w:rFonts w:hint="default" w:cs="宋体"/>
                <w:b/>
                <w:color w:val="000000"/>
                <w:sz w:val="20"/>
                <w:szCs w:val="20"/>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F177F">
            <w:pPr>
              <w:jc w:val="center"/>
              <w:rPr>
                <w:rFonts w:hint="default" w:cs="宋体"/>
                <w:b/>
                <w:color w:val="000000"/>
                <w:sz w:val="20"/>
                <w:szCs w:val="20"/>
              </w:rPr>
            </w:pPr>
          </w:p>
        </w:tc>
      </w:tr>
      <w:tr w14:paraId="4957ED8E">
        <w:tblPrEx>
          <w:tblCellMar>
            <w:top w:w="0" w:type="dxa"/>
            <w:left w:w="0" w:type="dxa"/>
            <w:bottom w:w="0" w:type="dxa"/>
            <w:right w:w="0" w:type="dxa"/>
          </w:tblCellMar>
        </w:tblPrEx>
        <w:trPr>
          <w:trHeight w:val="338" w:hRule="atLeast"/>
        </w:trPr>
        <w:tc>
          <w:tcPr>
            <w:tcW w:w="158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B09D">
            <w:pPr>
              <w:jc w:val="center"/>
              <w:textAlignment w:val="center"/>
              <w:rPr>
                <w:rFonts w:hint="default" w:cs="宋体"/>
                <w:b/>
                <w:color w:val="000000"/>
                <w:sz w:val="20"/>
                <w:szCs w:val="20"/>
              </w:rPr>
            </w:pPr>
            <w:r>
              <w:rPr>
                <w:rFonts w:cs="宋体"/>
                <w:b/>
                <w:color w:val="000000"/>
                <w:sz w:val="20"/>
                <w:szCs w:val="20"/>
              </w:rPr>
              <w:t>合计</w:t>
            </w:r>
          </w:p>
        </w:tc>
        <w:tc>
          <w:tcPr>
            <w:tcW w:w="4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449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2,045.78</w:t>
            </w:r>
            <w:r>
              <w:rPr>
                <w:rFonts w:ascii="Times New Roman" w:hAnsi="Times New Roman"/>
                <w:b/>
                <w:color w:val="000000"/>
                <w:sz w:val="20"/>
                <w:u w:color="auto"/>
              </w:rPr>
              <w:t xml:space="preserve"> </w:t>
            </w:r>
          </w:p>
        </w:tc>
        <w:tc>
          <w:tcPr>
            <w:tcW w:w="4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C34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1,235.68</w:t>
            </w:r>
            <w:r>
              <w:rPr>
                <w:rFonts w:ascii="Times New Roman" w:hAnsi="Times New Roman"/>
                <w:b/>
                <w:color w:val="000000"/>
                <w:sz w:val="20"/>
                <w:u w:color="auto"/>
              </w:rPr>
              <w:t xml:space="preserve"> </w:t>
            </w:r>
          </w:p>
        </w:tc>
        <w:tc>
          <w:tcPr>
            <w:tcW w:w="3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FE3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3F2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810.10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8B4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810.10</w:t>
            </w:r>
            <w:r>
              <w:rPr>
                <w:rFonts w:ascii="Times New Roman" w:hAnsi="Times New Roman"/>
                <w:b/>
                <w:color w:val="000000"/>
                <w:sz w:val="20"/>
                <w:u w:color="auto"/>
              </w:rPr>
              <w:t xml:space="preserve"> </w:t>
            </w:r>
          </w:p>
        </w:tc>
        <w:tc>
          <w:tcPr>
            <w:tcW w:w="3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2F3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27C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531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180139A">
        <w:tblPrEx>
          <w:tblCellMar>
            <w:top w:w="0" w:type="dxa"/>
            <w:left w:w="0" w:type="dxa"/>
            <w:bottom w:w="0" w:type="dxa"/>
            <w:right w:w="0" w:type="dxa"/>
          </w:tblCellMar>
        </w:tblPrEx>
        <w:trPr>
          <w:trHeight w:val="348"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80B0">
            <w:pPr>
              <w:textAlignment w:val="center"/>
              <w:rPr>
                <w:rFonts w:hint="default" w:cs="宋体"/>
                <w:color w:val="000000"/>
                <w:sz w:val="20"/>
                <w:szCs w:val="20"/>
              </w:rPr>
            </w:pPr>
            <w:r>
              <w:rPr>
                <w:rFonts w:cs="宋体"/>
                <w:b/>
                <w:color w:val="000000"/>
                <w:sz w:val="20"/>
                <w:szCs w:val="20"/>
              </w:rPr>
              <w:t>205</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C8BD1">
            <w:pPr>
              <w:textAlignment w:val="center"/>
              <w:rPr>
                <w:rFonts w:hint="default" w:cs="宋体"/>
                <w:color w:val="000000"/>
                <w:sz w:val="20"/>
                <w:szCs w:val="20"/>
              </w:rPr>
            </w:pPr>
            <w:r>
              <w:rPr>
                <w:rFonts w:cs="宋体"/>
                <w:b/>
                <w:color w:val="000000"/>
                <w:sz w:val="20"/>
                <w:szCs w:val="20"/>
              </w:rPr>
              <w:t>教育支出</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69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1,744.98</w:t>
            </w:r>
            <w:r>
              <w:rPr>
                <w:rFonts w:ascii="Times New Roman" w:hAnsi="Times New Roman"/>
                <w:b/>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1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934.88</w:t>
            </w:r>
            <w:r>
              <w:rPr>
                <w:rFonts w:ascii="Times New Roman" w:hAnsi="Times New Roman"/>
                <w:b/>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D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42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810.10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F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810.10</w:t>
            </w:r>
            <w:r>
              <w:rPr>
                <w:rFonts w:ascii="Times New Roman" w:hAnsi="Times New Roman"/>
                <w:b/>
                <w:color w:val="000000"/>
                <w:sz w:val="20"/>
                <w:u w:color="auto"/>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24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6F1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62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E3DE78">
        <w:tblPrEx>
          <w:tblCellMar>
            <w:top w:w="0" w:type="dxa"/>
            <w:left w:w="0" w:type="dxa"/>
            <w:bottom w:w="0" w:type="dxa"/>
            <w:right w:w="0" w:type="dxa"/>
          </w:tblCellMar>
        </w:tblPrEx>
        <w:trPr>
          <w:trHeight w:val="348"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F6FED">
            <w:pPr>
              <w:textAlignment w:val="center"/>
              <w:rPr>
                <w:rFonts w:hint="default" w:cs="宋体"/>
                <w:color w:val="000000"/>
                <w:sz w:val="20"/>
                <w:szCs w:val="20"/>
              </w:rPr>
            </w:pPr>
            <w:r>
              <w:rPr>
                <w:rFonts w:cs="宋体"/>
                <w:b/>
                <w:color w:val="000000"/>
                <w:sz w:val="20"/>
                <w:szCs w:val="20"/>
              </w:rPr>
              <w:t>20504</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C8F6C">
            <w:pPr>
              <w:textAlignment w:val="center"/>
              <w:rPr>
                <w:rFonts w:hint="default" w:cs="宋体"/>
                <w:color w:val="000000"/>
                <w:sz w:val="20"/>
                <w:szCs w:val="20"/>
              </w:rPr>
            </w:pPr>
            <w:r>
              <w:rPr>
                <w:rFonts w:cs="宋体"/>
                <w:b/>
                <w:color w:val="000000"/>
                <w:sz w:val="20"/>
                <w:szCs w:val="20"/>
              </w:rPr>
              <w:t>成人教育</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B0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1,744.98</w:t>
            </w:r>
            <w:r>
              <w:rPr>
                <w:rFonts w:ascii="Times New Roman" w:hAnsi="Times New Roman"/>
                <w:b/>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B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934.88</w:t>
            </w:r>
            <w:r>
              <w:rPr>
                <w:rFonts w:ascii="Times New Roman" w:hAnsi="Times New Roman"/>
                <w:b/>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FC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9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810.10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1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810.10</w:t>
            </w:r>
            <w:r>
              <w:rPr>
                <w:rFonts w:ascii="Times New Roman" w:hAnsi="Times New Roman"/>
                <w:b/>
                <w:color w:val="000000"/>
                <w:sz w:val="20"/>
                <w:u w:color="auto"/>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90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91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7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0C8290">
        <w:tblPrEx>
          <w:tblCellMar>
            <w:top w:w="0" w:type="dxa"/>
            <w:left w:w="0" w:type="dxa"/>
            <w:bottom w:w="0" w:type="dxa"/>
            <w:right w:w="0" w:type="dxa"/>
          </w:tblCellMar>
        </w:tblPrEx>
        <w:trPr>
          <w:trHeight w:val="348"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DF79">
            <w:pPr>
              <w:textAlignment w:val="center"/>
              <w:rPr>
                <w:rFonts w:hint="default" w:cs="宋体"/>
                <w:color w:val="000000"/>
                <w:sz w:val="20"/>
                <w:szCs w:val="20"/>
              </w:rPr>
            </w:pPr>
            <w:r>
              <w:rPr>
                <w:rFonts w:cs="宋体"/>
                <w:color w:val="000000"/>
                <w:sz w:val="20"/>
                <w:szCs w:val="20"/>
              </w:rPr>
              <w:t>2050404</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AE057">
            <w:pPr>
              <w:textAlignment w:val="center"/>
              <w:rPr>
                <w:rFonts w:hint="default" w:cs="宋体"/>
                <w:color w:val="000000"/>
                <w:sz w:val="20"/>
                <w:szCs w:val="20"/>
              </w:rPr>
            </w:pPr>
            <w:r>
              <w:rPr>
                <w:rFonts w:cs="宋体"/>
                <w:color w:val="000000"/>
                <w:sz w:val="20"/>
                <w:szCs w:val="20"/>
              </w:rPr>
              <w:t>成人广播电视教育</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1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1,699.98</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F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889.88</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5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9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810.10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1D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810.10</w:t>
            </w:r>
            <w:r>
              <w:rPr>
                <w:rFonts w:ascii="Times New Roman" w:hAnsi="Times New Roman"/>
                <w:color w:val="000000"/>
                <w:sz w:val="20"/>
                <w:u w:color="auto"/>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1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7E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BB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EAD573">
        <w:tblPrEx>
          <w:tblCellMar>
            <w:top w:w="0" w:type="dxa"/>
            <w:left w:w="0" w:type="dxa"/>
            <w:bottom w:w="0" w:type="dxa"/>
            <w:right w:w="0" w:type="dxa"/>
          </w:tblCellMar>
        </w:tblPrEx>
        <w:trPr>
          <w:trHeight w:val="348"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B4E09">
            <w:pPr>
              <w:textAlignment w:val="center"/>
              <w:rPr>
                <w:rFonts w:hint="default" w:cs="宋体"/>
                <w:color w:val="000000"/>
                <w:sz w:val="20"/>
                <w:szCs w:val="20"/>
              </w:rPr>
            </w:pPr>
            <w:r>
              <w:rPr>
                <w:rFonts w:cs="宋体"/>
                <w:color w:val="000000"/>
                <w:sz w:val="20"/>
                <w:szCs w:val="20"/>
              </w:rPr>
              <w:t>2050499</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E8FC0">
            <w:pPr>
              <w:textAlignment w:val="center"/>
              <w:rPr>
                <w:rFonts w:hint="default" w:cs="宋体"/>
                <w:color w:val="000000"/>
                <w:sz w:val="20"/>
                <w:szCs w:val="20"/>
              </w:rPr>
            </w:pPr>
            <w:r>
              <w:rPr>
                <w:rFonts w:cs="宋体"/>
                <w:color w:val="000000"/>
                <w:sz w:val="20"/>
                <w:szCs w:val="20"/>
              </w:rPr>
              <w:t>其他成人教育支出</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91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A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6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6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E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3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1E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0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858E2A">
        <w:tblPrEx>
          <w:tblCellMar>
            <w:top w:w="0" w:type="dxa"/>
            <w:left w:w="0" w:type="dxa"/>
            <w:bottom w:w="0" w:type="dxa"/>
            <w:right w:w="0" w:type="dxa"/>
          </w:tblCellMar>
        </w:tblPrEx>
        <w:trPr>
          <w:trHeight w:val="348"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0268">
            <w:pPr>
              <w:textAlignment w:val="center"/>
              <w:rPr>
                <w:rFonts w:hint="default" w:cs="宋体"/>
                <w:color w:val="000000"/>
                <w:sz w:val="20"/>
                <w:szCs w:val="20"/>
              </w:rPr>
            </w:pPr>
            <w:r>
              <w:rPr>
                <w:rFonts w:cs="宋体"/>
                <w:b/>
                <w:color w:val="000000"/>
                <w:sz w:val="20"/>
                <w:szCs w:val="20"/>
              </w:rPr>
              <w:t>208</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1B1D1">
            <w:pPr>
              <w:textAlignment w:val="center"/>
              <w:rPr>
                <w:rFonts w:hint="default" w:cs="宋体"/>
                <w:color w:val="000000"/>
                <w:sz w:val="20"/>
                <w:szCs w:val="20"/>
              </w:rPr>
            </w:pPr>
            <w:r>
              <w:rPr>
                <w:rFonts w:cs="宋体"/>
                <w:b/>
                <w:color w:val="000000"/>
                <w:sz w:val="20"/>
                <w:szCs w:val="20"/>
              </w:rPr>
              <w:t>社会保障和就业支出</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7C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187.46</w:t>
            </w:r>
            <w:r>
              <w:rPr>
                <w:rFonts w:ascii="Times New Roman" w:hAnsi="Times New Roman"/>
                <w:b/>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09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187.46</w:t>
            </w:r>
            <w:r>
              <w:rPr>
                <w:rFonts w:ascii="Times New Roman" w:hAnsi="Times New Roman"/>
                <w:b/>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5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46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28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2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2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8C5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4F4B68">
        <w:tblPrEx>
          <w:tblCellMar>
            <w:top w:w="0" w:type="dxa"/>
            <w:left w:w="0" w:type="dxa"/>
            <w:bottom w:w="0" w:type="dxa"/>
            <w:right w:w="0" w:type="dxa"/>
          </w:tblCellMar>
        </w:tblPrEx>
        <w:trPr>
          <w:trHeight w:val="348"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AB53F">
            <w:pPr>
              <w:textAlignment w:val="center"/>
              <w:rPr>
                <w:rFonts w:hint="default" w:cs="宋体"/>
                <w:color w:val="000000"/>
                <w:sz w:val="20"/>
                <w:szCs w:val="20"/>
              </w:rPr>
            </w:pPr>
            <w:r>
              <w:rPr>
                <w:rFonts w:cs="宋体"/>
                <w:b/>
                <w:color w:val="000000"/>
                <w:sz w:val="20"/>
                <w:szCs w:val="20"/>
              </w:rPr>
              <w:t>20805</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1CBE6">
            <w:pPr>
              <w:textAlignment w:val="center"/>
              <w:rPr>
                <w:rFonts w:hint="default" w:cs="宋体"/>
                <w:color w:val="000000"/>
                <w:sz w:val="20"/>
                <w:szCs w:val="20"/>
              </w:rPr>
            </w:pPr>
            <w:r>
              <w:rPr>
                <w:rFonts w:cs="宋体"/>
                <w:b/>
                <w:color w:val="000000"/>
                <w:sz w:val="20"/>
                <w:szCs w:val="20"/>
              </w:rPr>
              <w:t>行政事业单位养老支出</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49E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169.00</w:t>
            </w:r>
            <w:r>
              <w:rPr>
                <w:rFonts w:ascii="Times New Roman" w:hAnsi="Times New Roman"/>
                <w:b/>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6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169.00</w:t>
            </w:r>
            <w:r>
              <w:rPr>
                <w:rFonts w:ascii="Times New Roman" w:hAnsi="Times New Roman"/>
                <w:b/>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D9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A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0D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C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25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BC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270355">
        <w:tblPrEx>
          <w:tblCellMar>
            <w:top w:w="0" w:type="dxa"/>
            <w:left w:w="0" w:type="dxa"/>
            <w:bottom w:w="0" w:type="dxa"/>
            <w:right w:w="0" w:type="dxa"/>
          </w:tblCellMar>
        </w:tblPrEx>
        <w:trPr>
          <w:trHeight w:val="348"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FA870">
            <w:pPr>
              <w:textAlignment w:val="center"/>
              <w:rPr>
                <w:rFonts w:hint="default" w:cs="宋体"/>
                <w:color w:val="000000"/>
                <w:sz w:val="20"/>
                <w:szCs w:val="20"/>
              </w:rPr>
            </w:pPr>
            <w:r>
              <w:rPr>
                <w:rFonts w:cs="宋体"/>
                <w:color w:val="000000"/>
                <w:sz w:val="20"/>
                <w:szCs w:val="20"/>
              </w:rPr>
              <w:t>2080505</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A41C4">
            <w:pPr>
              <w:textAlignment w:val="center"/>
              <w:rPr>
                <w:rFonts w:hint="default" w:cs="宋体"/>
                <w:color w:val="000000"/>
                <w:sz w:val="20"/>
                <w:szCs w:val="20"/>
              </w:rPr>
            </w:pPr>
            <w:r>
              <w:rPr>
                <w:rFonts w:cs="宋体"/>
                <w:color w:val="000000"/>
                <w:sz w:val="20"/>
                <w:szCs w:val="20"/>
              </w:rPr>
              <w:t>机关事业单位基本养老保险缴费支出</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5E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108.12</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7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108.12</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6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F4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4F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885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50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AA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07EF7B">
        <w:tblPrEx>
          <w:tblCellMar>
            <w:top w:w="0" w:type="dxa"/>
            <w:left w:w="0" w:type="dxa"/>
            <w:bottom w:w="0" w:type="dxa"/>
            <w:right w:w="0" w:type="dxa"/>
          </w:tblCellMar>
        </w:tblPrEx>
        <w:trPr>
          <w:trHeight w:val="348"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86B2A">
            <w:pPr>
              <w:textAlignment w:val="center"/>
              <w:rPr>
                <w:rFonts w:hint="default" w:cs="宋体"/>
                <w:color w:val="000000"/>
                <w:sz w:val="20"/>
                <w:szCs w:val="20"/>
              </w:rPr>
            </w:pPr>
            <w:r>
              <w:rPr>
                <w:rFonts w:cs="宋体"/>
                <w:color w:val="000000"/>
                <w:sz w:val="20"/>
                <w:szCs w:val="20"/>
              </w:rPr>
              <w:t>2080506</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B8311">
            <w:pPr>
              <w:textAlignment w:val="center"/>
              <w:rPr>
                <w:rFonts w:hint="default" w:cs="宋体"/>
                <w:color w:val="000000"/>
                <w:sz w:val="20"/>
                <w:szCs w:val="20"/>
              </w:rPr>
            </w:pPr>
            <w:r>
              <w:rPr>
                <w:rFonts w:cs="宋体"/>
                <w:color w:val="000000"/>
                <w:sz w:val="20"/>
                <w:szCs w:val="20"/>
              </w:rPr>
              <w:t>机关事业单位职业年金缴费支出</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75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56.88</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E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56.88</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1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FD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0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B8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0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9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246486">
        <w:tblPrEx>
          <w:tblCellMar>
            <w:top w:w="0" w:type="dxa"/>
            <w:left w:w="0" w:type="dxa"/>
            <w:bottom w:w="0" w:type="dxa"/>
            <w:right w:w="0" w:type="dxa"/>
          </w:tblCellMar>
        </w:tblPrEx>
        <w:trPr>
          <w:trHeight w:val="348"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47373">
            <w:pPr>
              <w:textAlignment w:val="center"/>
              <w:rPr>
                <w:rFonts w:hint="default" w:cs="宋体"/>
                <w:color w:val="000000"/>
                <w:sz w:val="20"/>
                <w:szCs w:val="20"/>
              </w:rPr>
            </w:pPr>
            <w:r>
              <w:rPr>
                <w:rFonts w:cs="宋体"/>
                <w:color w:val="000000"/>
                <w:sz w:val="20"/>
                <w:szCs w:val="20"/>
              </w:rPr>
              <w:t>2080599</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743C9">
            <w:pPr>
              <w:textAlignment w:val="center"/>
              <w:rPr>
                <w:rFonts w:hint="default" w:cs="宋体"/>
                <w:color w:val="000000"/>
                <w:sz w:val="20"/>
                <w:szCs w:val="20"/>
              </w:rPr>
            </w:pPr>
            <w:r>
              <w:rPr>
                <w:rFonts w:cs="宋体"/>
                <w:color w:val="000000"/>
                <w:sz w:val="20"/>
                <w:szCs w:val="20"/>
              </w:rPr>
              <w:t>其他行政事业单位养老支出</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0B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BF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D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5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2A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87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8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12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63C547">
        <w:tblPrEx>
          <w:tblCellMar>
            <w:top w:w="0" w:type="dxa"/>
            <w:left w:w="0" w:type="dxa"/>
            <w:bottom w:w="0" w:type="dxa"/>
            <w:right w:w="0" w:type="dxa"/>
          </w:tblCellMar>
        </w:tblPrEx>
        <w:trPr>
          <w:trHeight w:val="348"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C6FB">
            <w:pPr>
              <w:textAlignment w:val="center"/>
              <w:rPr>
                <w:rFonts w:hint="default" w:cs="宋体"/>
                <w:color w:val="000000"/>
                <w:sz w:val="20"/>
                <w:szCs w:val="20"/>
              </w:rPr>
            </w:pPr>
            <w:r>
              <w:rPr>
                <w:rFonts w:cs="宋体"/>
                <w:b/>
                <w:color w:val="000000"/>
                <w:sz w:val="20"/>
                <w:szCs w:val="20"/>
              </w:rPr>
              <w:t>20808</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EC5E0">
            <w:pPr>
              <w:textAlignment w:val="center"/>
              <w:rPr>
                <w:rFonts w:hint="default" w:cs="宋体"/>
                <w:color w:val="000000"/>
                <w:sz w:val="20"/>
                <w:szCs w:val="20"/>
              </w:rPr>
            </w:pPr>
            <w:r>
              <w:rPr>
                <w:rFonts w:cs="宋体"/>
                <w:b/>
                <w:color w:val="000000"/>
                <w:sz w:val="20"/>
                <w:szCs w:val="20"/>
              </w:rPr>
              <w:t>抚恤</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62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18.46</w:t>
            </w:r>
            <w:r>
              <w:rPr>
                <w:rFonts w:ascii="Times New Roman" w:hAnsi="Times New Roman"/>
                <w:b/>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1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18.46</w:t>
            </w:r>
            <w:r>
              <w:rPr>
                <w:rFonts w:ascii="Times New Roman" w:hAnsi="Times New Roman"/>
                <w:b/>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3B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23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91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7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C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C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0A3771">
        <w:tblPrEx>
          <w:tblCellMar>
            <w:top w:w="0" w:type="dxa"/>
            <w:left w:w="0" w:type="dxa"/>
            <w:bottom w:w="0" w:type="dxa"/>
            <w:right w:w="0" w:type="dxa"/>
          </w:tblCellMar>
        </w:tblPrEx>
        <w:trPr>
          <w:trHeight w:val="348"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89E7">
            <w:pPr>
              <w:textAlignment w:val="center"/>
              <w:rPr>
                <w:rFonts w:hint="default" w:cs="宋体"/>
                <w:color w:val="000000"/>
                <w:sz w:val="20"/>
                <w:szCs w:val="20"/>
              </w:rPr>
            </w:pPr>
            <w:r>
              <w:rPr>
                <w:rFonts w:cs="宋体"/>
                <w:color w:val="000000"/>
                <w:sz w:val="20"/>
                <w:szCs w:val="20"/>
              </w:rPr>
              <w:t>2080801</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58B21">
            <w:pPr>
              <w:textAlignment w:val="center"/>
              <w:rPr>
                <w:rFonts w:hint="default" w:cs="宋体"/>
                <w:color w:val="000000"/>
                <w:sz w:val="20"/>
                <w:szCs w:val="20"/>
              </w:rPr>
            </w:pPr>
            <w:r>
              <w:rPr>
                <w:rFonts w:cs="宋体"/>
                <w:color w:val="000000"/>
                <w:sz w:val="20"/>
                <w:szCs w:val="20"/>
              </w:rPr>
              <w:t>死亡抚恤</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D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18.46</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F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18.46</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3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73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B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8A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8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8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DF1BFB">
        <w:tblPrEx>
          <w:tblCellMar>
            <w:top w:w="0" w:type="dxa"/>
            <w:left w:w="0" w:type="dxa"/>
            <w:bottom w:w="0" w:type="dxa"/>
            <w:right w:w="0" w:type="dxa"/>
          </w:tblCellMar>
        </w:tblPrEx>
        <w:trPr>
          <w:trHeight w:val="348"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04EE8">
            <w:pPr>
              <w:textAlignment w:val="center"/>
              <w:rPr>
                <w:rFonts w:hint="default" w:cs="宋体"/>
                <w:color w:val="000000"/>
                <w:sz w:val="20"/>
                <w:szCs w:val="20"/>
              </w:rPr>
            </w:pPr>
            <w:r>
              <w:rPr>
                <w:rFonts w:cs="宋体"/>
                <w:b/>
                <w:color w:val="000000"/>
                <w:sz w:val="20"/>
                <w:szCs w:val="20"/>
              </w:rPr>
              <w:t>210</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DCC1E">
            <w:pPr>
              <w:textAlignment w:val="center"/>
              <w:rPr>
                <w:rFonts w:hint="default" w:cs="宋体"/>
                <w:color w:val="000000"/>
                <w:sz w:val="20"/>
                <w:szCs w:val="20"/>
              </w:rPr>
            </w:pPr>
            <w:r>
              <w:rPr>
                <w:rFonts w:cs="宋体"/>
                <w:b/>
                <w:color w:val="000000"/>
                <w:sz w:val="20"/>
                <w:szCs w:val="20"/>
              </w:rPr>
              <w:t>卫生健康支出</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0B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47.54</w:t>
            </w:r>
            <w:r>
              <w:rPr>
                <w:rFonts w:ascii="Times New Roman" w:hAnsi="Times New Roman"/>
                <w:b/>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B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47.54</w:t>
            </w:r>
            <w:r>
              <w:rPr>
                <w:rFonts w:ascii="Times New Roman" w:hAnsi="Times New Roman"/>
                <w:b/>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F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F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7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DA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0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5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EF437A">
        <w:tblPrEx>
          <w:tblCellMar>
            <w:top w:w="0" w:type="dxa"/>
            <w:left w:w="0" w:type="dxa"/>
            <w:bottom w:w="0" w:type="dxa"/>
            <w:right w:w="0" w:type="dxa"/>
          </w:tblCellMar>
        </w:tblPrEx>
        <w:trPr>
          <w:trHeight w:val="348"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C3D5">
            <w:pPr>
              <w:textAlignment w:val="center"/>
              <w:rPr>
                <w:rFonts w:hint="default" w:cs="宋体"/>
                <w:color w:val="000000"/>
                <w:sz w:val="20"/>
                <w:szCs w:val="20"/>
              </w:rPr>
            </w:pPr>
            <w:r>
              <w:rPr>
                <w:rFonts w:cs="宋体"/>
                <w:b/>
                <w:color w:val="000000"/>
                <w:sz w:val="20"/>
                <w:szCs w:val="20"/>
              </w:rPr>
              <w:t>21011</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2E605">
            <w:pPr>
              <w:textAlignment w:val="center"/>
              <w:rPr>
                <w:rFonts w:hint="default" w:cs="宋体"/>
                <w:color w:val="000000"/>
                <w:sz w:val="20"/>
                <w:szCs w:val="20"/>
              </w:rPr>
            </w:pPr>
            <w:r>
              <w:rPr>
                <w:rFonts w:cs="宋体"/>
                <w:b/>
                <w:color w:val="000000"/>
                <w:sz w:val="20"/>
                <w:szCs w:val="20"/>
              </w:rPr>
              <w:t>行政事业单位医疗</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C6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47.54</w:t>
            </w:r>
            <w:r>
              <w:rPr>
                <w:rFonts w:ascii="Times New Roman" w:hAnsi="Times New Roman"/>
                <w:b/>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CA7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47.54</w:t>
            </w:r>
            <w:r>
              <w:rPr>
                <w:rFonts w:ascii="Times New Roman" w:hAnsi="Times New Roman"/>
                <w:b/>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9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B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1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F4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17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6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44D038">
        <w:tblPrEx>
          <w:tblCellMar>
            <w:top w:w="0" w:type="dxa"/>
            <w:left w:w="0" w:type="dxa"/>
            <w:bottom w:w="0" w:type="dxa"/>
            <w:right w:w="0" w:type="dxa"/>
          </w:tblCellMar>
        </w:tblPrEx>
        <w:trPr>
          <w:trHeight w:val="348"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34EA">
            <w:pPr>
              <w:textAlignment w:val="center"/>
              <w:rPr>
                <w:rFonts w:hint="default" w:cs="宋体"/>
                <w:color w:val="000000"/>
                <w:sz w:val="20"/>
                <w:szCs w:val="20"/>
              </w:rPr>
            </w:pPr>
            <w:r>
              <w:rPr>
                <w:rFonts w:cs="宋体"/>
                <w:color w:val="000000"/>
                <w:sz w:val="20"/>
                <w:szCs w:val="20"/>
              </w:rPr>
              <w:t>2101102</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312B2">
            <w:pPr>
              <w:textAlignment w:val="center"/>
              <w:rPr>
                <w:rFonts w:hint="default" w:cs="宋体"/>
                <w:color w:val="000000"/>
                <w:sz w:val="20"/>
                <w:szCs w:val="20"/>
              </w:rPr>
            </w:pPr>
            <w:r>
              <w:rPr>
                <w:rFonts w:cs="宋体"/>
                <w:color w:val="000000"/>
                <w:sz w:val="20"/>
                <w:szCs w:val="20"/>
              </w:rPr>
              <w:t>事业单位医疗</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B1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33.89</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6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33.89</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6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6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E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1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422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09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E716FC">
        <w:tblPrEx>
          <w:tblCellMar>
            <w:top w:w="0" w:type="dxa"/>
            <w:left w:w="0" w:type="dxa"/>
            <w:bottom w:w="0" w:type="dxa"/>
            <w:right w:w="0" w:type="dxa"/>
          </w:tblCellMar>
        </w:tblPrEx>
        <w:trPr>
          <w:trHeight w:val="348"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D07E6">
            <w:pPr>
              <w:textAlignment w:val="center"/>
              <w:rPr>
                <w:rFonts w:hint="default" w:cs="宋体"/>
                <w:color w:val="000000"/>
                <w:sz w:val="20"/>
                <w:szCs w:val="20"/>
              </w:rPr>
            </w:pPr>
            <w:r>
              <w:rPr>
                <w:rFonts w:cs="宋体"/>
                <w:color w:val="000000"/>
                <w:sz w:val="20"/>
                <w:szCs w:val="20"/>
              </w:rPr>
              <w:t>2101199</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FCBA9">
            <w:pPr>
              <w:textAlignment w:val="center"/>
              <w:rPr>
                <w:rFonts w:hint="default" w:cs="宋体"/>
                <w:color w:val="000000"/>
                <w:sz w:val="20"/>
                <w:szCs w:val="20"/>
              </w:rPr>
            </w:pPr>
            <w:r>
              <w:rPr>
                <w:rFonts w:cs="宋体"/>
                <w:color w:val="000000"/>
                <w:sz w:val="20"/>
                <w:szCs w:val="20"/>
              </w:rPr>
              <w:t>其他行政事业单位医疗支出</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E1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2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34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42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5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5DA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B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E0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5E5821">
        <w:tblPrEx>
          <w:tblCellMar>
            <w:top w:w="0" w:type="dxa"/>
            <w:left w:w="0" w:type="dxa"/>
            <w:bottom w:w="0" w:type="dxa"/>
            <w:right w:w="0" w:type="dxa"/>
          </w:tblCellMar>
        </w:tblPrEx>
        <w:trPr>
          <w:trHeight w:val="348" w:hRule="atLeast"/>
        </w:trPr>
        <w:tc>
          <w:tcPr>
            <w:tcW w:w="53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72658DB">
            <w:pPr>
              <w:textAlignment w:val="center"/>
              <w:rPr>
                <w:rFonts w:hint="default" w:cs="宋体"/>
                <w:color w:val="000000"/>
                <w:sz w:val="20"/>
                <w:szCs w:val="20"/>
              </w:rPr>
            </w:pPr>
            <w:r>
              <w:rPr>
                <w:rFonts w:cs="宋体"/>
                <w:b/>
                <w:color w:val="000000"/>
                <w:sz w:val="20"/>
                <w:szCs w:val="20"/>
              </w:rPr>
              <w:t>221</w:t>
            </w:r>
          </w:p>
        </w:tc>
        <w:tc>
          <w:tcPr>
            <w:tcW w:w="105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A6E5C16">
            <w:pPr>
              <w:textAlignment w:val="center"/>
              <w:rPr>
                <w:rFonts w:hint="default" w:cs="宋体"/>
                <w:color w:val="000000"/>
                <w:sz w:val="20"/>
                <w:szCs w:val="20"/>
              </w:rPr>
            </w:pPr>
            <w:r>
              <w:rPr>
                <w:rFonts w:cs="宋体"/>
                <w:b/>
                <w:color w:val="000000"/>
                <w:sz w:val="20"/>
                <w:szCs w:val="20"/>
              </w:rPr>
              <w:t>住房保障支出</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06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65.79</w:t>
            </w:r>
            <w:r>
              <w:rPr>
                <w:rFonts w:ascii="Times New Roman" w:hAnsi="Times New Roman"/>
                <w:b/>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AED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65.79</w:t>
            </w:r>
            <w:r>
              <w:rPr>
                <w:rFonts w:ascii="Times New Roman" w:hAnsi="Times New Roman"/>
                <w:b/>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F1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4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4E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6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B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B2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1B7B3F">
        <w:tblPrEx>
          <w:tblCellMar>
            <w:top w:w="0" w:type="dxa"/>
            <w:left w:w="0" w:type="dxa"/>
            <w:bottom w:w="0" w:type="dxa"/>
            <w:right w:w="0" w:type="dxa"/>
          </w:tblCellMar>
        </w:tblPrEx>
        <w:trPr>
          <w:trHeight w:val="348" w:hRule="atLeast"/>
        </w:trPr>
        <w:tc>
          <w:tcPr>
            <w:tcW w:w="534"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70CA5489">
            <w:pPr>
              <w:textAlignment w:val="center"/>
              <w:rPr>
                <w:rFonts w:hint="default" w:cs="宋体"/>
                <w:color w:val="000000"/>
                <w:sz w:val="20"/>
                <w:szCs w:val="20"/>
              </w:rPr>
            </w:pPr>
            <w:r>
              <w:rPr>
                <w:rFonts w:cs="宋体"/>
                <w:b/>
                <w:color w:val="000000"/>
                <w:sz w:val="20"/>
                <w:szCs w:val="20"/>
              </w:rPr>
              <w:t>22102</w:t>
            </w:r>
          </w:p>
        </w:tc>
        <w:tc>
          <w:tcPr>
            <w:tcW w:w="1054"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240AD356">
            <w:pPr>
              <w:textAlignment w:val="center"/>
              <w:rPr>
                <w:rFonts w:hint="default" w:cs="宋体"/>
                <w:color w:val="000000"/>
                <w:sz w:val="20"/>
                <w:szCs w:val="20"/>
              </w:rPr>
            </w:pPr>
            <w:r>
              <w:rPr>
                <w:rFonts w:cs="宋体"/>
                <w:b/>
                <w:color w:val="000000"/>
                <w:sz w:val="20"/>
                <w:szCs w:val="20"/>
              </w:rPr>
              <w:t>住房改革支出</w:t>
            </w:r>
          </w:p>
        </w:tc>
        <w:tc>
          <w:tcPr>
            <w:tcW w:w="486"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CE64C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65.79</w:t>
            </w:r>
            <w:r>
              <w:rPr>
                <w:rFonts w:ascii="Times New Roman" w:hAnsi="Times New Roman"/>
                <w:b/>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B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65.79</w:t>
            </w:r>
            <w:r>
              <w:rPr>
                <w:rFonts w:ascii="Times New Roman" w:hAnsi="Times New Roman"/>
                <w:b/>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D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91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9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F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FB4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0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B0ACC9">
        <w:tblPrEx>
          <w:tblCellMar>
            <w:top w:w="0" w:type="dxa"/>
            <w:left w:w="0" w:type="dxa"/>
            <w:bottom w:w="0" w:type="dxa"/>
            <w:right w:w="0" w:type="dxa"/>
          </w:tblCellMar>
        </w:tblPrEx>
        <w:trPr>
          <w:trHeight w:val="348" w:hRule="atLeast"/>
        </w:trPr>
        <w:tc>
          <w:tcPr>
            <w:tcW w:w="53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94001">
            <w:pPr>
              <w:textAlignment w:val="center"/>
              <w:rPr>
                <w:rFonts w:hint="default" w:cs="宋体"/>
                <w:color w:val="000000"/>
                <w:sz w:val="20"/>
                <w:szCs w:val="20"/>
              </w:rPr>
            </w:pPr>
            <w:r>
              <w:rPr>
                <w:rFonts w:cs="宋体"/>
                <w:color w:val="000000"/>
                <w:sz w:val="20"/>
                <w:szCs w:val="20"/>
              </w:rPr>
              <w:t>2210201</w:t>
            </w:r>
          </w:p>
        </w:tc>
        <w:tc>
          <w:tcPr>
            <w:tcW w:w="1054"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07CE3C">
            <w:pPr>
              <w:textAlignment w:val="center"/>
              <w:rPr>
                <w:rFonts w:hint="default" w:cs="宋体"/>
                <w:color w:val="000000"/>
                <w:sz w:val="20"/>
                <w:szCs w:val="20"/>
              </w:rPr>
            </w:pPr>
            <w:r>
              <w:rPr>
                <w:rFonts w:cs="宋体"/>
                <w:color w:val="000000"/>
                <w:sz w:val="20"/>
                <w:szCs w:val="20"/>
              </w:rPr>
              <w:t>住房公积金</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1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B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5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13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7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50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A7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2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883739">
        <w:tblPrEx>
          <w:tblCellMar>
            <w:top w:w="0" w:type="dxa"/>
            <w:left w:w="0" w:type="dxa"/>
            <w:bottom w:w="0" w:type="dxa"/>
            <w:right w:w="0" w:type="dxa"/>
          </w:tblCellMar>
        </w:tblPrEx>
        <w:trPr>
          <w:trHeight w:val="348"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4AB25">
            <w:pPr>
              <w:textAlignment w:val="center"/>
              <w:rPr>
                <w:rFonts w:hint="default" w:cs="宋体"/>
                <w:color w:val="000000"/>
                <w:sz w:val="20"/>
                <w:szCs w:val="20"/>
              </w:rPr>
            </w:pPr>
            <w:r>
              <w:rPr>
                <w:rFonts w:cs="宋体"/>
                <w:color w:val="000000"/>
                <w:sz w:val="20"/>
                <w:szCs w:val="20"/>
              </w:rPr>
              <w:t>2210203</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25260">
            <w:pPr>
              <w:textAlignment w:val="center"/>
              <w:rPr>
                <w:rFonts w:hint="default" w:cs="宋体"/>
                <w:color w:val="000000"/>
                <w:sz w:val="20"/>
                <w:szCs w:val="20"/>
              </w:rPr>
            </w:pPr>
            <w:r>
              <w:rPr>
                <w:rFonts w:cs="宋体"/>
                <w:color w:val="000000"/>
                <w:sz w:val="20"/>
                <w:szCs w:val="20"/>
              </w:rPr>
              <w:t>购房补贴</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468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9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EA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5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2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8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8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A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AC8C6B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34807F7">
      <w:pPr>
        <w:rPr>
          <w:rFonts w:cs="宋体"/>
          <w:sz w:val="20"/>
          <w:szCs w:val="20"/>
        </w:rPr>
      </w:pPr>
      <w:r>
        <w:rPr>
          <w:rFonts w:cs="宋体"/>
          <w:sz w:val="20"/>
          <w:szCs w:val="20"/>
        </w:rPr>
        <w:br w:type="page"/>
      </w:r>
    </w:p>
    <w:p w14:paraId="06CA065D">
      <w:pPr>
        <w:widowControl w:val="0"/>
        <w:adjustRightInd w:val="0"/>
        <w:snapToGrid w:val="0"/>
        <w:spacing w:line="600" w:lineRule="exact"/>
        <w:jc w:val="both"/>
        <w:rPr>
          <w:rFonts w:hint="default" w:cs="宋体"/>
          <w:sz w:val="20"/>
          <w:szCs w:val="20"/>
        </w:rPr>
      </w:pPr>
      <w:r>
        <w:rPr>
          <w:rFonts w:hint="eastAsia" w:ascii="方正仿宋_GBK" w:hAnsi="方正仿宋_GBK" w:eastAsia="方正仿宋_GBK" w:cs="方正仿宋_GBK"/>
          <w:kern w:val="2"/>
          <w:sz w:val="28"/>
          <w:szCs w:val="28"/>
          <w:lang w:val="en-US" w:eastAsia="zh-CN"/>
        </w:rPr>
        <w:t>附件</w:t>
      </w:r>
      <w:r>
        <w:rPr>
          <w:rFonts w:hint="eastAsia" w:ascii="Times New Roman" w:hAnsi="Times New Roman" w:eastAsia="方正仿宋_GBK"/>
          <w:kern w:val="2"/>
          <w:sz w:val="28"/>
          <w:szCs w:val="28"/>
          <w:lang w:val="en-US" w:eastAsia="zh-CN"/>
        </w:rPr>
        <w:t>3</w:t>
      </w:r>
    </w:p>
    <w:tbl>
      <w:tblPr>
        <w:tblStyle w:val="9"/>
        <w:tblW w:w="5000" w:type="pct"/>
        <w:tblInd w:w="0" w:type="dxa"/>
        <w:tblLayout w:type="autofit"/>
        <w:tblCellMar>
          <w:top w:w="0" w:type="dxa"/>
          <w:left w:w="0" w:type="dxa"/>
          <w:bottom w:w="0" w:type="dxa"/>
          <w:right w:w="0" w:type="dxa"/>
        </w:tblCellMar>
      </w:tblPr>
      <w:tblGrid>
        <w:gridCol w:w="1637"/>
        <w:gridCol w:w="3551"/>
        <w:gridCol w:w="1792"/>
        <w:gridCol w:w="1715"/>
        <w:gridCol w:w="1571"/>
        <w:gridCol w:w="1504"/>
        <w:gridCol w:w="1643"/>
        <w:gridCol w:w="1909"/>
      </w:tblGrid>
      <w:tr w14:paraId="13300FD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13728D7">
            <w:pPr>
              <w:jc w:val="center"/>
              <w:textAlignment w:val="bottom"/>
              <w:rPr>
                <w:rFonts w:hint="default" w:cs="宋体"/>
                <w:b/>
                <w:color w:val="000000"/>
                <w:sz w:val="32"/>
                <w:szCs w:val="32"/>
              </w:rPr>
            </w:pPr>
            <w:r>
              <w:rPr>
                <w:rFonts w:cs="宋体"/>
                <w:b/>
                <w:color w:val="000000"/>
                <w:sz w:val="32"/>
                <w:szCs w:val="32"/>
              </w:rPr>
              <w:t>支出决算表</w:t>
            </w:r>
          </w:p>
        </w:tc>
      </w:tr>
      <w:tr w14:paraId="23C8E277">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AE4F62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重庆市九龙坡区成人教育发展中心 </w:t>
            </w:r>
          </w:p>
        </w:tc>
        <w:tc>
          <w:tcPr>
            <w:tcW w:w="576" w:type="pct"/>
            <w:tcBorders>
              <w:top w:val="nil"/>
              <w:left w:val="nil"/>
              <w:bottom w:val="nil"/>
              <w:right w:val="nil"/>
            </w:tcBorders>
            <w:shd w:val="clear" w:color="auto" w:fill="auto"/>
            <w:noWrap/>
            <w:tcMar>
              <w:top w:w="15" w:type="dxa"/>
              <w:left w:w="15" w:type="dxa"/>
              <w:right w:w="15" w:type="dxa"/>
            </w:tcMar>
            <w:vAlign w:val="bottom"/>
          </w:tcPr>
          <w:p w14:paraId="6AA204B1">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DC18EDE">
            <w:pPr>
              <w:rPr>
                <w:rFonts w:hint="default" w:cs="宋体"/>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2887B33F">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CA98E2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FA46A5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0C4CF1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CB5A604">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0B82C40">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1C8B3D8">
            <w:pPr>
              <w:rPr>
                <w:rFonts w:hint="default" w:cs="宋体"/>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4DE05893">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9A4718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EF0C8F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58CBB6">
        <w:tblPrEx>
          <w:tblCellMar>
            <w:top w:w="0" w:type="dxa"/>
            <w:left w:w="0" w:type="dxa"/>
            <w:bottom w:w="0" w:type="dxa"/>
            <w:right w:w="0" w:type="dxa"/>
          </w:tblCellMar>
        </w:tblPrEx>
        <w:trPr>
          <w:trHeight w:val="362"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3D8321">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D1D36">
            <w:pPr>
              <w:jc w:val="center"/>
              <w:textAlignment w:val="center"/>
              <w:rPr>
                <w:rFonts w:hint="default" w:cs="宋体"/>
                <w:b/>
                <w:color w:val="000000"/>
                <w:sz w:val="20"/>
                <w:szCs w:val="20"/>
              </w:rPr>
            </w:pPr>
            <w:r>
              <w:rPr>
                <w:rFonts w:cs="宋体"/>
                <w:b/>
                <w:color w:val="000000"/>
                <w:sz w:val="20"/>
                <w:szCs w:val="20"/>
              </w:rPr>
              <w:t>本年支出合计</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E3B72">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D476E">
            <w:pPr>
              <w:jc w:val="center"/>
              <w:textAlignment w:val="center"/>
              <w:rPr>
                <w:rFonts w:hint="default" w:cs="宋体"/>
                <w:b/>
                <w:color w:val="000000"/>
                <w:sz w:val="20"/>
                <w:szCs w:val="20"/>
              </w:rPr>
            </w:pPr>
            <w:r>
              <w:rPr>
                <w:rFonts w:cs="宋体"/>
                <w:b/>
                <w:color w:val="000000"/>
                <w:sz w:val="20"/>
                <w:szCs w:val="20"/>
              </w:rPr>
              <w:t>项目支出</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1EC01">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71960">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3ED95">
            <w:pPr>
              <w:jc w:val="center"/>
              <w:textAlignment w:val="center"/>
              <w:rPr>
                <w:rFonts w:hint="default" w:cs="宋体"/>
                <w:b/>
                <w:color w:val="000000"/>
                <w:sz w:val="20"/>
                <w:szCs w:val="20"/>
              </w:rPr>
            </w:pPr>
            <w:r>
              <w:rPr>
                <w:rFonts w:cs="宋体"/>
                <w:b/>
                <w:color w:val="000000"/>
                <w:sz w:val="20"/>
                <w:szCs w:val="20"/>
              </w:rPr>
              <w:t>对附属单位补助支出</w:t>
            </w:r>
          </w:p>
        </w:tc>
      </w:tr>
      <w:tr w14:paraId="23AF713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ED5E">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73B33C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3D661">
            <w:pPr>
              <w:jc w:val="center"/>
              <w:rPr>
                <w:rFonts w:hint="default" w:cs="宋体"/>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45E8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95CC7">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1356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A8FB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1F292">
            <w:pPr>
              <w:jc w:val="center"/>
              <w:rPr>
                <w:rFonts w:hint="default" w:cs="宋体"/>
                <w:b/>
                <w:color w:val="000000"/>
                <w:sz w:val="20"/>
                <w:szCs w:val="20"/>
              </w:rPr>
            </w:pPr>
          </w:p>
        </w:tc>
      </w:tr>
      <w:tr w14:paraId="70285C3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D750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4DD2C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68E86">
            <w:pPr>
              <w:jc w:val="center"/>
              <w:rPr>
                <w:rFonts w:hint="default" w:cs="宋体"/>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D612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62AB8">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C52F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4BBB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4720A">
            <w:pPr>
              <w:jc w:val="center"/>
              <w:rPr>
                <w:rFonts w:hint="default" w:cs="宋体"/>
                <w:b/>
                <w:color w:val="000000"/>
                <w:sz w:val="20"/>
                <w:szCs w:val="20"/>
              </w:rPr>
            </w:pPr>
          </w:p>
        </w:tc>
      </w:tr>
      <w:tr w14:paraId="6C07458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7B6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BC0F1F">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1D5E7">
            <w:pPr>
              <w:jc w:val="center"/>
              <w:rPr>
                <w:rFonts w:hint="default" w:cs="宋体"/>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EA4A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AB92B">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AC9A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94B7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8AFB2">
            <w:pPr>
              <w:jc w:val="center"/>
              <w:rPr>
                <w:rFonts w:hint="default" w:cs="宋体"/>
                <w:b/>
                <w:color w:val="000000"/>
                <w:sz w:val="20"/>
                <w:szCs w:val="20"/>
              </w:rPr>
            </w:pPr>
          </w:p>
        </w:tc>
      </w:tr>
      <w:tr w14:paraId="090474B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0B7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307A8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71D01">
            <w:pPr>
              <w:jc w:val="center"/>
              <w:rPr>
                <w:rFonts w:hint="default" w:cs="宋体"/>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045F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E12D8">
            <w:pPr>
              <w:jc w:val="center"/>
              <w:rPr>
                <w:rFonts w:hint="default" w:cs="宋体"/>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AC1B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29E5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85FBD">
            <w:pPr>
              <w:jc w:val="center"/>
              <w:rPr>
                <w:rFonts w:hint="default" w:cs="宋体"/>
                <w:b/>
                <w:color w:val="000000"/>
                <w:sz w:val="20"/>
                <w:szCs w:val="20"/>
              </w:rPr>
            </w:pPr>
          </w:p>
        </w:tc>
      </w:tr>
      <w:tr w14:paraId="0C6E6186">
        <w:tblPrEx>
          <w:tblCellMar>
            <w:top w:w="0" w:type="dxa"/>
            <w:left w:w="0" w:type="dxa"/>
            <w:bottom w:w="0" w:type="dxa"/>
            <w:right w:w="0" w:type="dxa"/>
          </w:tblCellMar>
        </w:tblPrEx>
        <w:trPr>
          <w:trHeight w:val="362"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540A">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6B0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2,045.78</w:t>
            </w:r>
            <w:r>
              <w:rPr>
                <w:rFonts w:ascii="Times New Roman" w:hAnsi="Times New Roman"/>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1BF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1,123.18</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E47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922.60</w:t>
            </w:r>
            <w:r>
              <w:rPr>
                <w:rFonts w:ascii="Times New Roman" w:hAnsi="Times New Roman"/>
                <w:b/>
                <w:color w:val="000000"/>
                <w:sz w:val="20"/>
                <w:u w:color="auto"/>
              </w:rPr>
              <w:t xml:space="preserve"> </w:t>
            </w:r>
          </w:p>
        </w:tc>
        <w:tc>
          <w:tcPr>
            <w:tcW w:w="5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63E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33D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CC1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D31F0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3480">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88446">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D89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1,744.98</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D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8C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922.60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89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8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C4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12B8F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94403">
            <w:pPr>
              <w:textAlignment w:val="center"/>
              <w:rPr>
                <w:rFonts w:hint="default" w:cs="宋体"/>
                <w:color w:val="000000"/>
                <w:sz w:val="20"/>
                <w:szCs w:val="20"/>
              </w:rPr>
            </w:pPr>
            <w:r>
              <w:rPr>
                <w:rFonts w:cs="宋体"/>
                <w:b/>
                <w:color w:val="000000"/>
                <w:sz w:val="20"/>
                <w:szCs w:val="20"/>
              </w:rPr>
              <w:t>20504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E6719">
            <w:pPr>
              <w:textAlignment w:val="center"/>
              <w:rPr>
                <w:rFonts w:hint="default" w:cs="宋体"/>
                <w:color w:val="000000"/>
                <w:sz w:val="20"/>
                <w:szCs w:val="20"/>
              </w:rPr>
            </w:pPr>
            <w:r>
              <w:rPr>
                <w:rFonts w:cs="宋体"/>
                <w:b/>
                <w:color w:val="000000"/>
                <w:sz w:val="20"/>
                <w:szCs w:val="20"/>
              </w:rPr>
              <w:t>成人教育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5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1,744.98</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1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A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922.60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C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4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CB9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1010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27CC">
            <w:pPr>
              <w:textAlignment w:val="center"/>
              <w:rPr>
                <w:rFonts w:hint="default" w:cs="宋体"/>
                <w:color w:val="000000"/>
                <w:sz w:val="20"/>
                <w:szCs w:val="20"/>
              </w:rPr>
            </w:pPr>
            <w:r>
              <w:rPr>
                <w:rFonts w:cs="宋体"/>
                <w:color w:val="000000"/>
                <w:sz w:val="20"/>
                <w:szCs w:val="20"/>
              </w:rPr>
              <w:t>2050404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419CD">
            <w:pPr>
              <w:textAlignment w:val="center"/>
              <w:rPr>
                <w:rFonts w:hint="default" w:cs="宋体"/>
                <w:color w:val="000000"/>
                <w:sz w:val="20"/>
                <w:szCs w:val="20"/>
              </w:rPr>
            </w:pPr>
            <w:r>
              <w:rPr>
                <w:rFonts w:cs="宋体"/>
                <w:color w:val="000000"/>
                <w:sz w:val="20"/>
                <w:szCs w:val="20"/>
              </w:rPr>
              <w:t>成人广播电视教育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3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1,699.98</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0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822.38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28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877.60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49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1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3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8C14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949F7">
            <w:pPr>
              <w:textAlignment w:val="center"/>
              <w:rPr>
                <w:rFonts w:hint="default" w:cs="宋体"/>
                <w:color w:val="000000"/>
                <w:sz w:val="20"/>
                <w:szCs w:val="20"/>
              </w:rPr>
            </w:pPr>
            <w:r>
              <w:rPr>
                <w:rFonts w:cs="宋体"/>
                <w:color w:val="000000"/>
                <w:sz w:val="20"/>
                <w:szCs w:val="20"/>
              </w:rPr>
              <w:t>2050499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466B7">
            <w:pPr>
              <w:textAlignment w:val="center"/>
              <w:rPr>
                <w:rFonts w:hint="default" w:cs="宋体"/>
                <w:color w:val="000000"/>
                <w:sz w:val="20"/>
                <w:szCs w:val="20"/>
              </w:rPr>
            </w:pPr>
            <w:r>
              <w:rPr>
                <w:rFonts w:cs="宋体"/>
                <w:color w:val="000000"/>
                <w:sz w:val="20"/>
                <w:szCs w:val="20"/>
              </w:rPr>
              <w:t>其他成人教育支出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CE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C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866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8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9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72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4E73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2CAE">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82029">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9F2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187.46</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7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187.46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5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F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B2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BB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0528E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87CCB">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8F1F6">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59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169.00</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43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E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F5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F2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F6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6F1E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3792">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663CF">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99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108.12</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7C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3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4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0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5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60F4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47F94">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C9E24">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3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56.88</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4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D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9D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7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6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8287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6EAB">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6F7F2">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D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5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A1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3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E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6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ECC1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B1D0">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54042">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B4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18.46</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4A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4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1C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0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CC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6251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365D">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086F8">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6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18.46</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DB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62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5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3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8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6D55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B0A62">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0E8D2">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C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47.54</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FE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D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84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EE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85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EBEA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E5E0">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84697">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69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47.54</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B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D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5C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AF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C52B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7700">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D5873">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E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33.89</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E6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6E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F21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D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3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2F493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1CCBA67">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B8870BC">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1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E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CA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6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E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4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7C26E7">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0E9F752C">
            <w:pPr>
              <w:textAlignment w:val="center"/>
              <w:rPr>
                <w:rFonts w:hint="default" w:cs="宋体"/>
                <w:color w:val="000000"/>
                <w:sz w:val="20"/>
                <w:szCs w:val="20"/>
              </w:rPr>
            </w:pPr>
            <w:r>
              <w:rPr>
                <w:rFonts w:cs="宋体"/>
                <w:b/>
                <w:color w:val="000000"/>
                <w:sz w:val="20"/>
                <w:szCs w:val="20"/>
              </w:rPr>
              <w:t>221</w:t>
            </w:r>
          </w:p>
        </w:tc>
        <w:tc>
          <w:tcPr>
            <w:tcW w:w="1175"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6E5F6559">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0B7A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65.79</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6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A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5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D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20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B7939E">
        <w:tblPrEx>
          <w:tblCellMar>
            <w:top w:w="0" w:type="dxa"/>
            <w:left w:w="0" w:type="dxa"/>
            <w:bottom w:w="0" w:type="dxa"/>
            <w:right w:w="0" w:type="dxa"/>
          </w:tblCellMar>
        </w:tblPrEx>
        <w:trPr>
          <w:trHeight w:val="382" w:hRule="atLeast"/>
        </w:trPr>
        <w:tc>
          <w:tcPr>
            <w:tcW w:w="42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5D690">
            <w:pPr>
              <w:textAlignment w:val="center"/>
              <w:rPr>
                <w:rFonts w:hint="default" w:cs="宋体"/>
                <w:color w:val="000000"/>
                <w:sz w:val="20"/>
                <w:szCs w:val="20"/>
              </w:rPr>
            </w:pPr>
            <w:r>
              <w:rPr>
                <w:rFonts w:cs="宋体"/>
                <w:b/>
                <w:color w:val="000000"/>
                <w:sz w:val="20"/>
                <w:szCs w:val="20"/>
              </w:rPr>
              <w:t>22102</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1673CE">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0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65.79</w:t>
            </w:r>
            <w:r>
              <w:rPr>
                <w:rFonts w:ascii="Times New Roman" w:hAnsi="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4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3C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E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96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E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F902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E191">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07365">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E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6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0B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C7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7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DF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DE2E7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7BBDE">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F4780">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83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F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E20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8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6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9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CDCDFCB">
      <w:pPr>
        <w:rPr>
          <w:rFonts w:cs="宋体"/>
          <w:sz w:val="20"/>
          <w:szCs w:val="20"/>
        </w:rPr>
      </w:pPr>
      <w:r>
        <w:rPr>
          <w:rFonts w:cs="宋体"/>
          <w:sz w:val="20"/>
          <w:szCs w:val="20"/>
        </w:rPr>
        <w:t>备注：1.本表反映单位本年度各项支出情况。</w:t>
      </w:r>
    </w:p>
    <w:p w14:paraId="43E24F43">
      <w:pPr>
        <w:ind w:firstLine="600" w:firstLineChars="300"/>
        <w:rPr>
          <w:rFonts w:hint="default" w:cs="宋体"/>
          <w:sz w:val="20"/>
          <w:szCs w:val="20"/>
        </w:rPr>
      </w:pP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0"/>
          <w:szCs w:val="20"/>
        </w:rPr>
        <w:t xml:space="preserve">     </w:t>
      </w:r>
    </w:p>
    <w:p w14:paraId="16AE8107">
      <w:pPr>
        <w:rPr>
          <w:rFonts w:cs="宋体"/>
          <w:sz w:val="21"/>
          <w:szCs w:val="21"/>
        </w:rPr>
      </w:pPr>
      <w:r>
        <w:rPr>
          <w:rFonts w:cs="宋体"/>
          <w:sz w:val="21"/>
          <w:szCs w:val="21"/>
        </w:rPr>
        <w:br w:type="page"/>
      </w:r>
    </w:p>
    <w:p w14:paraId="188CC193">
      <w:pPr>
        <w:widowControl w:val="0"/>
        <w:adjustRightInd w:val="0"/>
        <w:snapToGrid w:val="0"/>
        <w:spacing w:line="600" w:lineRule="exact"/>
        <w:jc w:val="both"/>
        <w:rPr>
          <w:rFonts w:hint="default" w:cs="宋体"/>
          <w:sz w:val="28"/>
          <w:szCs w:val="28"/>
        </w:rPr>
      </w:pPr>
      <w:r>
        <w:rPr>
          <w:rFonts w:hint="eastAsia" w:ascii="方正仿宋_GBK" w:hAnsi="方正仿宋_GBK" w:eastAsia="方正仿宋_GBK" w:cs="方正仿宋_GBK"/>
          <w:kern w:val="2"/>
          <w:sz w:val="28"/>
          <w:szCs w:val="28"/>
          <w:lang w:val="en-US" w:eastAsia="zh-CN"/>
        </w:rPr>
        <w:t>附件</w:t>
      </w:r>
      <w:r>
        <w:rPr>
          <w:rFonts w:hint="eastAsia" w:ascii="Times New Roman" w:hAnsi="Times New Roman" w:eastAsia="方正仿宋_GBK"/>
          <w:kern w:val="2"/>
          <w:sz w:val="28"/>
          <w:szCs w:val="28"/>
          <w:lang w:val="en-US" w:eastAsia="zh-CN"/>
        </w:rPr>
        <w:t>4</w:t>
      </w:r>
    </w:p>
    <w:tbl>
      <w:tblPr>
        <w:tblStyle w:val="9"/>
        <w:tblW w:w="5000" w:type="pct"/>
        <w:tblInd w:w="0" w:type="dxa"/>
        <w:tblLayout w:type="autofit"/>
        <w:tblCellMar>
          <w:top w:w="0" w:type="dxa"/>
          <w:left w:w="0" w:type="dxa"/>
          <w:bottom w:w="0" w:type="dxa"/>
          <w:right w:w="0" w:type="dxa"/>
        </w:tblCellMar>
      </w:tblPr>
      <w:tblGrid>
        <w:gridCol w:w="3095"/>
        <w:gridCol w:w="1587"/>
        <w:gridCol w:w="3319"/>
        <w:gridCol w:w="1765"/>
        <w:gridCol w:w="1765"/>
        <w:gridCol w:w="1765"/>
        <w:gridCol w:w="2026"/>
      </w:tblGrid>
      <w:tr w14:paraId="388763A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7F159E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E7DCC85">
        <w:tblPrEx>
          <w:tblCellMar>
            <w:top w:w="0" w:type="dxa"/>
            <w:left w:w="0" w:type="dxa"/>
            <w:bottom w:w="0" w:type="dxa"/>
            <w:right w:w="0" w:type="dxa"/>
          </w:tblCellMar>
        </w:tblPrEx>
        <w:trPr>
          <w:trHeight w:val="90" w:hRule="atLeast"/>
        </w:trPr>
        <w:tc>
          <w:tcPr>
            <w:tcW w:w="2611" w:type="pct"/>
            <w:gridSpan w:val="3"/>
            <w:vMerge w:val="restart"/>
            <w:tcBorders>
              <w:top w:val="nil"/>
              <w:left w:val="nil"/>
              <w:right w:val="nil"/>
            </w:tcBorders>
            <w:shd w:val="clear" w:color="auto" w:fill="auto"/>
            <w:noWrap/>
            <w:tcMar>
              <w:top w:w="15" w:type="dxa"/>
              <w:left w:w="15" w:type="dxa"/>
              <w:right w:w="15" w:type="dxa"/>
            </w:tcMar>
            <w:vAlign w:val="bottom"/>
          </w:tcPr>
          <w:p w14:paraId="3351105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重庆市九龙坡区成人教育发展中心</w:t>
            </w:r>
          </w:p>
        </w:tc>
        <w:tc>
          <w:tcPr>
            <w:tcW w:w="576" w:type="pct"/>
            <w:tcBorders>
              <w:top w:val="nil"/>
              <w:left w:val="nil"/>
              <w:bottom w:val="nil"/>
              <w:right w:val="nil"/>
            </w:tcBorders>
            <w:shd w:val="clear" w:color="auto" w:fill="auto"/>
            <w:noWrap/>
            <w:tcMar>
              <w:top w:w="15" w:type="dxa"/>
              <w:left w:w="15" w:type="dxa"/>
              <w:right w:w="15" w:type="dxa"/>
            </w:tcMar>
            <w:vAlign w:val="bottom"/>
          </w:tcPr>
          <w:p w14:paraId="45636109">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28232D44">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70B6279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F77F0EC">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25C2A78">
        <w:tblPrEx>
          <w:tblCellMar>
            <w:top w:w="0" w:type="dxa"/>
            <w:left w:w="0" w:type="dxa"/>
            <w:bottom w:w="0" w:type="dxa"/>
            <w:right w:w="0" w:type="dxa"/>
          </w:tblCellMar>
        </w:tblPrEx>
        <w:trPr>
          <w:trHeight w:val="90" w:hRule="atLeast"/>
        </w:trPr>
        <w:tc>
          <w:tcPr>
            <w:tcW w:w="2611" w:type="pct"/>
            <w:gridSpan w:val="3"/>
            <w:vMerge w:val="continue"/>
            <w:tcBorders>
              <w:left w:val="nil"/>
              <w:bottom w:val="nil"/>
              <w:right w:val="nil"/>
            </w:tcBorders>
            <w:shd w:val="clear" w:color="auto" w:fill="auto"/>
            <w:noWrap/>
            <w:tcMar>
              <w:top w:w="15" w:type="dxa"/>
              <w:left w:w="15" w:type="dxa"/>
              <w:right w:w="15" w:type="dxa"/>
            </w:tcMar>
            <w:vAlign w:val="bottom"/>
          </w:tcPr>
          <w:p w14:paraId="3A6ECD02">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01EDBD5B">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AE54DA8">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2017691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52D48C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A9482E">
        <w:tblPrEx>
          <w:tblCellMar>
            <w:top w:w="0" w:type="dxa"/>
            <w:left w:w="0" w:type="dxa"/>
            <w:bottom w:w="0" w:type="dxa"/>
            <w:right w:w="0" w:type="dxa"/>
          </w:tblCellMar>
        </w:tblPrEx>
        <w:trPr>
          <w:trHeight w:val="90" w:hRule="atLeast"/>
        </w:trPr>
        <w:tc>
          <w:tcPr>
            <w:tcW w:w="1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62F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F5FA">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0754BA4">
        <w:tblPrEx>
          <w:tblCellMar>
            <w:top w:w="0" w:type="dxa"/>
            <w:left w:w="0" w:type="dxa"/>
            <w:bottom w:w="0" w:type="dxa"/>
            <w:right w:w="0" w:type="dxa"/>
          </w:tblCellMar>
        </w:tblPrEx>
        <w:trPr>
          <w:trHeight w:val="90" w:hRule="atLeast"/>
        </w:trPr>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EE43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B93F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E847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53BB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86D8E49">
        <w:tblPrEx>
          <w:tblCellMar>
            <w:top w:w="0" w:type="dxa"/>
            <w:left w:w="0" w:type="dxa"/>
            <w:bottom w:w="0" w:type="dxa"/>
            <w:right w:w="0" w:type="dxa"/>
          </w:tblCellMar>
        </w:tblPrEx>
        <w:trPr>
          <w:trHeight w:val="90" w:hRule="atLeast"/>
        </w:trPr>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694B1">
            <w:pPr>
              <w:spacing w:line="200" w:lineRule="exact"/>
              <w:jc w:val="center"/>
              <w:rPr>
                <w:rFonts w:hint="default" w:cs="宋体"/>
                <w:b/>
                <w:color w:val="000000"/>
                <w:sz w:val="18"/>
                <w:szCs w:val="18"/>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8D1C5">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CE453">
            <w:pPr>
              <w:spacing w:line="200" w:lineRule="exact"/>
              <w:jc w:val="center"/>
              <w:rPr>
                <w:rFonts w:hint="default" w:cs="宋体"/>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764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CA715">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9BC2F">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7B1C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73C4B5C">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2BC5">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798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CC0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B6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D91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62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CD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918328">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9EF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223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4DC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15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D34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A4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2D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46AC5A">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13C02">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B6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5FAC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805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E0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D7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AA2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02DF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4C4E">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50A9E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FD194">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9A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6DB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F0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78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D9BD29">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858C3">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8126E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0FDF">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AD0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934.88</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CF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934.88</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4C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77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561204">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C60E">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B5A03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65F6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27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E5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7D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BFF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325FD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0D0DB">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65981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CFC1">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66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21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97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92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21C94F">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EBD89">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89615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D9B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85D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187.46</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7E1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187.46</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E2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62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2EEE67">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6A98">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178E9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F68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5FC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47.54</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37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47.54</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A7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08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0BE4D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A7F03">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753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5F42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18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19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5D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AD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C429F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F394">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EC9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22F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AF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3F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A0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09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674636">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7744">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3CBC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D28B0">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7E2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07B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D8C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AE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4D348C">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BDEA">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EE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295E">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E02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A2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D9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75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67E62F">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70B9C">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CBA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941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B71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89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0A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99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A1C26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38ED">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C2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47F8">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80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542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C82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7D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DB6C72">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5340">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7E7B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4EE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CA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06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BF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A9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A3B0D2">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A0BF">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731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F60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F0A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F5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D8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8D5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C942B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0A403">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704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FEE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7B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9A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74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6E6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E74F0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F312">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BA9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C41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4C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65.79</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6B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65.79</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C7C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D5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D2CE6D">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C174">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73C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0610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F3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F4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29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92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D4DBC1">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6B62">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C18C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36FA">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972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F83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93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C6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C3925E">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01095">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004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7453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98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B3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406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BE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94167D">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7972">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528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2BFE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10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1D6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10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D0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CFB66">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A3F747">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F7B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B86F">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148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BA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43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E73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260B68">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FC2B6D">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6AF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FCF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FC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ED9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47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D06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B38BE5">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887A3A">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1D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76E63">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33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74B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296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04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EE34FF">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DED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7A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FCB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DF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1,235.68</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617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1,235.68</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DB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8EF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57B1D4">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22A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B0F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A83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DF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2B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9F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E2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0BC6F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4CDB">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08A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0CC3B0">
            <w:pPr>
              <w:spacing w:line="200" w:lineRule="exact"/>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CCE176">
            <w:pPr>
              <w:spacing w:line="200" w:lineRule="exact"/>
              <w:rPr>
                <w:rFonts w:hint="default" w:ascii="Times New Roman" w:hAnsi="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39B58C">
            <w:pPr>
              <w:spacing w:line="200" w:lineRule="exact"/>
              <w:rPr>
                <w:rFonts w:hint="default" w:ascii="Times New Roman" w:hAnsi="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96A38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DD9F0A">
            <w:pPr>
              <w:spacing w:line="200" w:lineRule="exact"/>
              <w:rPr>
                <w:rFonts w:hint="default" w:ascii="Times New Roman" w:hAnsi="Times New Roman"/>
                <w:color w:val="000000"/>
                <w:sz w:val="18"/>
                <w:szCs w:val="18"/>
              </w:rPr>
            </w:pPr>
          </w:p>
        </w:tc>
      </w:tr>
      <w:tr w14:paraId="52DE0568">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2FF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443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4C6C">
            <w:pPr>
              <w:spacing w:line="200" w:lineRule="exact"/>
              <w:jc w:val="center"/>
              <w:rPr>
                <w:rFonts w:hint="default" w:cs="宋体"/>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4ECBA">
            <w:pPr>
              <w:spacing w:line="200" w:lineRule="exact"/>
              <w:jc w:val="right"/>
              <w:rPr>
                <w:rFonts w:hint="default" w:ascii="Times New Roman" w:hAnsi="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F723">
            <w:pPr>
              <w:spacing w:line="200" w:lineRule="exact"/>
              <w:jc w:val="right"/>
              <w:rPr>
                <w:rFonts w:hint="default" w:ascii="Times New Roman" w:hAnsi="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331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FDF6">
            <w:pPr>
              <w:spacing w:line="200" w:lineRule="exact"/>
              <w:jc w:val="right"/>
              <w:rPr>
                <w:rFonts w:hint="default" w:ascii="Times New Roman" w:hAnsi="Times New Roman"/>
                <w:color w:val="000000"/>
                <w:sz w:val="18"/>
                <w:szCs w:val="18"/>
              </w:rPr>
            </w:pPr>
          </w:p>
        </w:tc>
      </w:tr>
      <w:tr w14:paraId="77828992">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160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A35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97F0">
            <w:pPr>
              <w:spacing w:line="200" w:lineRule="exact"/>
              <w:jc w:val="center"/>
              <w:rPr>
                <w:rFonts w:hint="default" w:cs="宋体"/>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9FC8">
            <w:pPr>
              <w:spacing w:line="200" w:lineRule="exact"/>
              <w:jc w:val="right"/>
              <w:rPr>
                <w:rFonts w:hint="default" w:ascii="Times New Roman" w:hAnsi="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8819">
            <w:pPr>
              <w:spacing w:line="200" w:lineRule="exact"/>
              <w:jc w:val="right"/>
              <w:rPr>
                <w:rFonts w:hint="default" w:ascii="Times New Roman" w:hAnsi="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4EE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FE73">
            <w:pPr>
              <w:spacing w:line="200" w:lineRule="exact"/>
              <w:jc w:val="right"/>
              <w:rPr>
                <w:rFonts w:hint="default" w:ascii="Times New Roman" w:hAnsi="Times New Roman"/>
                <w:color w:val="000000"/>
                <w:sz w:val="18"/>
                <w:szCs w:val="18"/>
              </w:rPr>
            </w:pPr>
          </w:p>
        </w:tc>
      </w:tr>
      <w:tr w14:paraId="774AC08D">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699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46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F831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E4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1,235.68</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26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1,235.68</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B7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01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BA55A0A">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w:t>
      </w:r>
      <w:r>
        <w:rPr>
          <w:rFonts w:hint="eastAsia" w:cs="宋体"/>
          <w:sz w:val="20"/>
          <w:szCs w:val="20"/>
          <w:lang w:val="en-US" w:eastAsia="zh-CN"/>
        </w:rPr>
        <w:t xml:space="preserve">     </w:t>
      </w:r>
      <w:r>
        <w:rPr>
          <w:rFonts w:cs="宋体"/>
          <w:sz w:val="20"/>
          <w:szCs w:val="20"/>
        </w:rPr>
        <w:t>2.本套报表金额单位转换时可能存在尾数误差。</w:t>
      </w:r>
      <w:r>
        <w:rPr>
          <w:rFonts w:cs="宋体"/>
          <w:sz w:val="20"/>
          <w:szCs w:val="20"/>
        </w:rPr>
        <w:br w:type="textWrapping"/>
      </w:r>
      <w:r>
        <w:rPr>
          <w:rFonts w:cs="宋体"/>
          <w:sz w:val="20"/>
          <w:szCs w:val="20"/>
        </w:rPr>
        <w:t xml:space="preserve">     </w:t>
      </w:r>
    </w:p>
    <w:p w14:paraId="70ADEEAC">
      <w:pPr>
        <w:widowControl w:val="0"/>
        <w:adjustRightInd w:val="0"/>
        <w:snapToGrid w:val="0"/>
        <w:spacing w:line="600" w:lineRule="exact"/>
        <w:jc w:val="both"/>
        <w:rPr>
          <w:rFonts w:hint="default" w:cs="宋体"/>
          <w:sz w:val="28"/>
          <w:szCs w:val="28"/>
        </w:rPr>
      </w:pPr>
      <w:r>
        <w:rPr>
          <w:rFonts w:hint="eastAsia" w:ascii="方正仿宋_GBK" w:hAnsi="方正仿宋_GBK" w:eastAsia="方正仿宋_GBK" w:cs="方正仿宋_GBK"/>
          <w:kern w:val="2"/>
          <w:sz w:val="28"/>
          <w:szCs w:val="28"/>
          <w:lang w:val="en-US" w:eastAsia="zh-CN"/>
        </w:rPr>
        <w:t>附件</w:t>
      </w:r>
      <w:r>
        <w:rPr>
          <w:rFonts w:hint="eastAsia" w:ascii="Times New Roman" w:hAnsi="Times New Roman" w:eastAsia="方正仿宋_GBK"/>
          <w:kern w:val="2"/>
          <w:sz w:val="28"/>
          <w:szCs w:val="28"/>
          <w:lang w:val="en-US" w:eastAsia="zh-CN"/>
        </w:rPr>
        <w:t>5</w:t>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1B11206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F7615E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70CE5B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6A20B9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重庆市九龙坡区成人教育发展中心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188025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60F063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138FBF61">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DE31F65">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F00921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D3D47B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90C6D6">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C3666">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85EC2B">
            <w:pPr>
              <w:jc w:val="center"/>
              <w:textAlignment w:val="center"/>
              <w:rPr>
                <w:rFonts w:hint="default" w:cs="宋体"/>
                <w:b/>
                <w:color w:val="000000"/>
                <w:sz w:val="20"/>
                <w:szCs w:val="20"/>
              </w:rPr>
            </w:pPr>
            <w:r>
              <w:rPr>
                <w:rFonts w:cs="宋体"/>
                <w:b/>
                <w:color w:val="000000"/>
                <w:sz w:val="20"/>
                <w:szCs w:val="20"/>
              </w:rPr>
              <w:t>本年支出</w:t>
            </w:r>
          </w:p>
        </w:tc>
      </w:tr>
      <w:tr w14:paraId="32A1793E">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EBF5C">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4E49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8918C">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BA6FB">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FA9A6">
            <w:pPr>
              <w:jc w:val="center"/>
              <w:textAlignment w:val="center"/>
              <w:rPr>
                <w:rFonts w:hint="default" w:cs="宋体"/>
                <w:b/>
                <w:color w:val="000000"/>
                <w:sz w:val="20"/>
                <w:szCs w:val="20"/>
              </w:rPr>
            </w:pPr>
            <w:r>
              <w:rPr>
                <w:rFonts w:cs="宋体"/>
                <w:b/>
                <w:color w:val="000000"/>
                <w:sz w:val="20"/>
                <w:szCs w:val="20"/>
              </w:rPr>
              <w:t>项目支出</w:t>
            </w:r>
          </w:p>
        </w:tc>
      </w:tr>
      <w:tr w14:paraId="73E5748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D411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022E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1C59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1DCB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CC754">
            <w:pPr>
              <w:jc w:val="center"/>
              <w:rPr>
                <w:rFonts w:hint="default" w:cs="宋体"/>
                <w:b/>
                <w:color w:val="000000"/>
                <w:sz w:val="20"/>
                <w:szCs w:val="20"/>
              </w:rPr>
            </w:pPr>
          </w:p>
        </w:tc>
      </w:tr>
      <w:tr w14:paraId="52B95808">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88CA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BEBF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08EED">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DE3E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7ACF2">
            <w:pPr>
              <w:jc w:val="center"/>
              <w:rPr>
                <w:rFonts w:hint="default" w:cs="宋体"/>
                <w:b/>
                <w:color w:val="000000"/>
                <w:sz w:val="20"/>
                <w:szCs w:val="20"/>
              </w:rPr>
            </w:pPr>
          </w:p>
        </w:tc>
      </w:tr>
      <w:tr w14:paraId="4CE5AAC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F1F52">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052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1,235.68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2A6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1,123.18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C35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112.50</w:t>
            </w:r>
            <w:r>
              <w:rPr>
                <w:rFonts w:ascii="Times New Roman" w:hAnsi="Times New Roman"/>
                <w:b/>
                <w:color w:val="000000"/>
                <w:sz w:val="20"/>
                <w:u w:color="auto"/>
              </w:rPr>
              <w:t xml:space="preserve"> </w:t>
            </w:r>
          </w:p>
        </w:tc>
      </w:tr>
      <w:tr w14:paraId="02AEEC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EFD0D">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EE45F">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DDB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43B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822.38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E77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112.50</w:t>
            </w:r>
            <w:r>
              <w:rPr>
                <w:rFonts w:ascii="Times New Roman" w:hAnsi="Times New Roman"/>
                <w:b/>
                <w:color w:val="000000"/>
                <w:sz w:val="20"/>
                <w:u w:color="auto"/>
              </w:rPr>
              <w:t xml:space="preserve"> </w:t>
            </w:r>
          </w:p>
        </w:tc>
      </w:tr>
      <w:tr w14:paraId="7D6515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EC4A">
            <w:pPr>
              <w:textAlignment w:val="center"/>
              <w:rPr>
                <w:rFonts w:hint="default" w:cs="宋体"/>
                <w:color w:val="000000"/>
                <w:sz w:val="20"/>
                <w:szCs w:val="20"/>
              </w:rPr>
            </w:pPr>
            <w:r>
              <w:rPr>
                <w:rFonts w:cs="宋体"/>
                <w:b/>
                <w:color w:val="000000"/>
                <w:sz w:val="20"/>
                <w:szCs w:val="20"/>
              </w:rPr>
              <w:t>20504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3CC49">
            <w:pPr>
              <w:textAlignment w:val="center"/>
              <w:rPr>
                <w:rFonts w:hint="default" w:cs="宋体"/>
                <w:color w:val="000000"/>
                <w:sz w:val="20"/>
                <w:szCs w:val="20"/>
              </w:rPr>
            </w:pPr>
            <w:r>
              <w:rPr>
                <w:rFonts w:cs="宋体"/>
                <w:b/>
                <w:color w:val="000000"/>
                <w:sz w:val="20"/>
                <w:szCs w:val="20"/>
              </w:rPr>
              <w:t>成人教育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5A7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20B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822.38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6B9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112.50</w:t>
            </w:r>
            <w:r>
              <w:rPr>
                <w:rFonts w:ascii="Times New Roman" w:hAnsi="Times New Roman"/>
                <w:b/>
                <w:color w:val="000000"/>
                <w:sz w:val="20"/>
                <w:u w:color="auto"/>
              </w:rPr>
              <w:t xml:space="preserve"> </w:t>
            </w:r>
          </w:p>
        </w:tc>
      </w:tr>
      <w:tr w14:paraId="2C7F0C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5C0C">
            <w:pPr>
              <w:textAlignment w:val="center"/>
              <w:rPr>
                <w:rFonts w:hint="default" w:cs="宋体"/>
                <w:color w:val="000000"/>
                <w:sz w:val="20"/>
                <w:szCs w:val="20"/>
              </w:rPr>
            </w:pPr>
            <w:r>
              <w:rPr>
                <w:rFonts w:cs="宋体"/>
                <w:color w:val="000000"/>
                <w:sz w:val="20"/>
                <w:szCs w:val="20"/>
              </w:rPr>
              <w:t>2050404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7E189">
            <w:pPr>
              <w:textAlignment w:val="center"/>
              <w:rPr>
                <w:rFonts w:hint="default" w:cs="宋体"/>
                <w:color w:val="000000"/>
                <w:sz w:val="20"/>
                <w:szCs w:val="20"/>
              </w:rPr>
            </w:pPr>
            <w:r>
              <w:rPr>
                <w:rFonts w:cs="宋体"/>
                <w:color w:val="000000"/>
                <w:sz w:val="20"/>
                <w:szCs w:val="20"/>
              </w:rPr>
              <w:t>成人广播电视教育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854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889.88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183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822.38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44A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67.50</w:t>
            </w:r>
            <w:r>
              <w:rPr>
                <w:rFonts w:ascii="Times New Roman" w:hAnsi="Times New Roman"/>
                <w:color w:val="000000"/>
                <w:sz w:val="20"/>
                <w:u w:color="auto"/>
              </w:rPr>
              <w:t xml:space="preserve"> </w:t>
            </w:r>
          </w:p>
        </w:tc>
      </w:tr>
      <w:tr w14:paraId="2291A3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205DC">
            <w:pPr>
              <w:textAlignment w:val="center"/>
              <w:rPr>
                <w:rFonts w:hint="default" w:cs="宋体"/>
                <w:color w:val="000000"/>
                <w:sz w:val="20"/>
                <w:szCs w:val="20"/>
              </w:rPr>
            </w:pPr>
            <w:r>
              <w:rPr>
                <w:rFonts w:cs="宋体"/>
                <w:color w:val="000000"/>
                <w:sz w:val="20"/>
                <w:szCs w:val="20"/>
              </w:rPr>
              <w:t>2050499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BEAFD">
            <w:pPr>
              <w:textAlignment w:val="center"/>
              <w:rPr>
                <w:rFonts w:hint="default" w:cs="宋体"/>
                <w:color w:val="000000"/>
                <w:sz w:val="20"/>
                <w:szCs w:val="20"/>
              </w:rPr>
            </w:pPr>
            <w:r>
              <w:rPr>
                <w:rFonts w:cs="宋体"/>
                <w:color w:val="000000"/>
                <w:sz w:val="20"/>
                <w:szCs w:val="20"/>
              </w:rPr>
              <w:t>其他成人教育支出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60D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B3C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3B0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r>
      <w:tr w14:paraId="75574C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AA3D3">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C6C21">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AEF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E7E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050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36A1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3FB8">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83F47">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672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4E9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9AF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5F36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7BE4">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4DDEB">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FB0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B3B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BB1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CBF3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F07C">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DC01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A82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913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C3C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E4BE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E4CE">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9DF87">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A76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542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49C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5A32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C25DD">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B915B">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A78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F3B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963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701F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6A996">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BAF18">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BBA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B1F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6C3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C9EA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3BBD">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5F152">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A0B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6D6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23B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5207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95F0">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ABB0D">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2D7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E51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05D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9438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4F63">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32C98">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489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242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ED0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25A4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78D3">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09880">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06F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D7B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1C5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B10F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84B8">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B22E3">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A9F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02F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5CE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A728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E708D">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DC819">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64A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BAE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59A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7F74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1A82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FAC72">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72F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59A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CDF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0018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93E8F">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FFE3">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265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D9D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F3F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5BC9D2F">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hint="eastAsia" w:ascii="方正仿宋_GBK" w:hAnsi="方正仿宋_GBK" w:eastAsia="方正仿宋_GBK" w:cs="方正仿宋_GBK"/>
          <w:kern w:val="2"/>
          <w:sz w:val="28"/>
          <w:szCs w:val="28"/>
          <w:lang w:val="en-US" w:eastAsia="zh-CN"/>
        </w:rPr>
        <w:t>附件</w:t>
      </w:r>
      <w:r>
        <w:rPr>
          <w:rFonts w:hint="eastAsia" w:ascii="Times New Roman" w:hAnsi="Times New Roman" w:eastAsia="方正仿宋_GBK"/>
          <w:kern w:val="2"/>
          <w:sz w:val="28"/>
          <w:szCs w:val="28"/>
          <w:lang w:val="en-US" w:eastAsia="zh-CN"/>
        </w:rPr>
        <w:t>6</w:t>
      </w:r>
      <w:r>
        <w:rPr>
          <w:rFonts w:cs="宋体"/>
          <w:sz w:val="28"/>
          <w:szCs w:val="28"/>
        </w:rPr>
        <w:br w:type="textWrapping"/>
      </w:r>
    </w:p>
    <w:tbl>
      <w:tblPr>
        <w:tblStyle w:val="9"/>
        <w:tblW w:w="4815" w:type="pct"/>
        <w:tblInd w:w="0" w:type="dxa"/>
        <w:tblLayout w:type="autofit"/>
        <w:tblCellMar>
          <w:top w:w="0" w:type="dxa"/>
          <w:left w:w="0" w:type="dxa"/>
          <w:bottom w:w="0" w:type="dxa"/>
          <w:right w:w="0" w:type="dxa"/>
        </w:tblCellMar>
      </w:tblPr>
      <w:tblGrid>
        <w:gridCol w:w="731"/>
        <w:gridCol w:w="2774"/>
        <w:gridCol w:w="1452"/>
        <w:gridCol w:w="797"/>
        <w:gridCol w:w="1936"/>
        <w:gridCol w:w="1322"/>
        <w:gridCol w:w="797"/>
        <w:gridCol w:w="3515"/>
        <w:gridCol w:w="1431"/>
      </w:tblGrid>
      <w:tr w14:paraId="24E6B438">
        <w:tblPrEx>
          <w:tblCellMar>
            <w:top w:w="0" w:type="dxa"/>
            <w:left w:w="0" w:type="dxa"/>
            <w:bottom w:w="0" w:type="dxa"/>
            <w:right w:w="0" w:type="dxa"/>
          </w:tblCellMar>
        </w:tblPrEx>
        <w:trPr>
          <w:trHeight w:val="405"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7E17488">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1362343">
        <w:tblPrEx>
          <w:tblCellMar>
            <w:top w:w="0" w:type="dxa"/>
            <w:left w:w="0" w:type="dxa"/>
            <w:bottom w:w="0" w:type="dxa"/>
            <w:right w:w="0" w:type="dxa"/>
          </w:tblCellMar>
        </w:tblPrEx>
        <w:trPr>
          <w:trHeight w:val="263" w:hRule="atLeast"/>
        </w:trPr>
        <w:tc>
          <w:tcPr>
            <w:tcW w:w="2606" w:type="pct"/>
            <w:gridSpan w:val="5"/>
            <w:vMerge w:val="restart"/>
            <w:tcBorders>
              <w:top w:val="nil"/>
              <w:left w:val="nil"/>
              <w:right w:val="nil"/>
            </w:tcBorders>
            <w:shd w:val="clear" w:color="auto" w:fill="auto"/>
            <w:noWrap/>
            <w:tcMar>
              <w:top w:w="15" w:type="dxa"/>
              <w:left w:w="15" w:type="dxa"/>
              <w:right w:w="15" w:type="dxa"/>
            </w:tcMar>
            <w:vAlign w:val="bottom"/>
          </w:tcPr>
          <w:p w14:paraId="3BF0CD1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重庆市九龙坡区成人教育发展中心</w:t>
            </w:r>
          </w:p>
        </w:tc>
        <w:tc>
          <w:tcPr>
            <w:tcW w:w="448" w:type="pct"/>
            <w:tcBorders>
              <w:top w:val="nil"/>
              <w:left w:val="nil"/>
              <w:bottom w:val="nil"/>
              <w:right w:val="nil"/>
            </w:tcBorders>
            <w:shd w:val="clear" w:color="auto" w:fill="auto"/>
            <w:noWrap/>
            <w:tcMar>
              <w:top w:w="15" w:type="dxa"/>
              <w:left w:w="15" w:type="dxa"/>
              <w:right w:w="15" w:type="dxa"/>
            </w:tcMar>
            <w:vAlign w:val="bottom"/>
          </w:tcPr>
          <w:p w14:paraId="4CD5A7E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70" w:type="pct"/>
            <w:tcBorders>
              <w:top w:val="nil"/>
              <w:left w:val="nil"/>
              <w:bottom w:val="nil"/>
              <w:right w:val="nil"/>
            </w:tcBorders>
            <w:shd w:val="clear" w:color="auto" w:fill="auto"/>
            <w:noWrap/>
            <w:tcMar>
              <w:top w:w="15" w:type="dxa"/>
              <w:left w:w="15" w:type="dxa"/>
              <w:right w:w="15" w:type="dxa"/>
            </w:tcMar>
            <w:vAlign w:val="bottom"/>
          </w:tcPr>
          <w:p w14:paraId="6F2C586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90" w:type="pct"/>
            <w:tcBorders>
              <w:top w:val="nil"/>
              <w:left w:val="nil"/>
              <w:bottom w:val="nil"/>
              <w:right w:val="nil"/>
            </w:tcBorders>
            <w:shd w:val="clear" w:color="auto" w:fill="auto"/>
            <w:noWrap/>
            <w:tcMar>
              <w:top w:w="15" w:type="dxa"/>
              <w:left w:w="15" w:type="dxa"/>
              <w:right w:w="15" w:type="dxa"/>
            </w:tcMar>
            <w:vAlign w:val="bottom"/>
          </w:tcPr>
          <w:p w14:paraId="39B4573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3" w:type="pct"/>
            <w:tcBorders>
              <w:top w:val="nil"/>
              <w:left w:val="nil"/>
              <w:bottom w:val="nil"/>
              <w:right w:val="nil"/>
            </w:tcBorders>
            <w:shd w:val="clear" w:color="auto" w:fill="auto"/>
            <w:noWrap/>
            <w:tcMar>
              <w:top w:w="15" w:type="dxa"/>
              <w:left w:w="15" w:type="dxa"/>
              <w:right w:w="15" w:type="dxa"/>
            </w:tcMar>
            <w:vAlign w:val="bottom"/>
          </w:tcPr>
          <w:p w14:paraId="539B2A1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2536D86C">
        <w:tblPrEx>
          <w:tblCellMar>
            <w:top w:w="0" w:type="dxa"/>
            <w:left w:w="0" w:type="dxa"/>
            <w:bottom w:w="0" w:type="dxa"/>
            <w:right w:w="0" w:type="dxa"/>
          </w:tblCellMar>
        </w:tblPrEx>
        <w:trPr>
          <w:trHeight w:val="263" w:hRule="atLeast"/>
        </w:trPr>
        <w:tc>
          <w:tcPr>
            <w:tcW w:w="2606" w:type="pct"/>
            <w:gridSpan w:val="5"/>
            <w:vMerge w:val="continue"/>
            <w:tcBorders>
              <w:left w:val="nil"/>
              <w:bottom w:val="nil"/>
              <w:right w:val="nil"/>
            </w:tcBorders>
            <w:shd w:val="clear" w:color="auto" w:fill="auto"/>
            <w:noWrap/>
            <w:tcMar>
              <w:top w:w="15" w:type="dxa"/>
              <w:left w:w="15" w:type="dxa"/>
              <w:right w:w="15" w:type="dxa"/>
            </w:tcMar>
            <w:vAlign w:val="bottom"/>
          </w:tcPr>
          <w:p w14:paraId="098971B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48" w:type="pct"/>
            <w:tcBorders>
              <w:top w:val="nil"/>
              <w:left w:val="nil"/>
              <w:bottom w:val="nil"/>
              <w:right w:val="nil"/>
            </w:tcBorders>
            <w:shd w:val="clear" w:color="auto" w:fill="auto"/>
            <w:noWrap/>
            <w:tcMar>
              <w:top w:w="15" w:type="dxa"/>
              <w:left w:w="15" w:type="dxa"/>
              <w:right w:w="15" w:type="dxa"/>
            </w:tcMar>
            <w:vAlign w:val="bottom"/>
          </w:tcPr>
          <w:p w14:paraId="46EB463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70" w:type="pct"/>
            <w:tcBorders>
              <w:top w:val="nil"/>
              <w:left w:val="nil"/>
              <w:bottom w:val="nil"/>
              <w:right w:val="nil"/>
            </w:tcBorders>
            <w:shd w:val="clear" w:color="auto" w:fill="auto"/>
            <w:noWrap/>
            <w:tcMar>
              <w:top w:w="15" w:type="dxa"/>
              <w:left w:w="15" w:type="dxa"/>
              <w:right w:w="15" w:type="dxa"/>
            </w:tcMar>
            <w:vAlign w:val="bottom"/>
          </w:tcPr>
          <w:p w14:paraId="55B1B43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90" w:type="pct"/>
            <w:tcBorders>
              <w:top w:val="nil"/>
              <w:left w:val="nil"/>
              <w:bottom w:val="nil"/>
              <w:right w:val="nil"/>
            </w:tcBorders>
            <w:shd w:val="clear" w:color="auto" w:fill="auto"/>
            <w:noWrap/>
            <w:tcMar>
              <w:top w:w="15" w:type="dxa"/>
              <w:left w:w="15" w:type="dxa"/>
              <w:right w:w="15" w:type="dxa"/>
            </w:tcMar>
            <w:vAlign w:val="bottom"/>
          </w:tcPr>
          <w:p w14:paraId="48E45F0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3" w:type="pct"/>
            <w:tcBorders>
              <w:top w:val="nil"/>
              <w:left w:val="nil"/>
              <w:bottom w:val="nil"/>
              <w:right w:val="nil"/>
            </w:tcBorders>
            <w:shd w:val="clear" w:color="auto" w:fill="auto"/>
            <w:noWrap/>
            <w:tcMar>
              <w:top w:w="15" w:type="dxa"/>
              <w:left w:w="15" w:type="dxa"/>
              <w:right w:w="15" w:type="dxa"/>
            </w:tcMar>
            <w:vAlign w:val="bottom"/>
          </w:tcPr>
          <w:p w14:paraId="2B079CD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8E594B">
        <w:tblPrEx>
          <w:tblCellMar>
            <w:top w:w="0" w:type="dxa"/>
            <w:left w:w="0" w:type="dxa"/>
            <w:bottom w:w="0" w:type="dxa"/>
            <w:right w:w="0" w:type="dxa"/>
          </w:tblCellMar>
        </w:tblPrEx>
        <w:trPr>
          <w:trHeight w:val="193" w:hRule="atLeast"/>
        </w:trPr>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1699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9"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A7D2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DAC4815">
        <w:tblPrEx>
          <w:tblCellMar>
            <w:top w:w="0" w:type="dxa"/>
            <w:left w:w="0" w:type="dxa"/>
            <w:bottom w:w="0" w:type="dxa"/>
            <w:right w:w="0" w:type="dxa"/>
          </w:tblCellMar>
        </w:tblPrEx>
        <w:trPr>
          <w:trHeight w:val="312" w:hRule="atLeast"/>
        </w:trPr>
        <w:tc>
          <w:tcPr>
            <w:tcW w:w="24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752C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4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985A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9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18A6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70"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CD1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2244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A577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70"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41B3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49E4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B9FF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02D5B1C">
        <w:tblPrEx>
          <w:tblCellMar>
            <w:top w:w="0" w:type="dxa"/>
            <w:left w:w="0" w:type="dxa"/>
            <w:bottom w:w="0" w:type="dxa"/>
            <w:right w:w="0" w:type="dxa"/>
          </w:tblCellMar>
        </w:tblPrEx>
        <w:trPr>
          <w:trHeight w:val="312" w:hRule="atLeast"/>
        </w:trPr>
        <w:tc>
          <w:tcPr>
            <w:tcW w:w="24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0A7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4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1F52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9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FB79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7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EA3E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78AD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E60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7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0287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E2DC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207F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2A3F0A79">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690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90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23F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836.97</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86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431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AD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131.91</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1A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52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086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r>
      <w:tr w14:paraId="66B22523">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9B6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16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7C2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195.46</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F42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E8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6A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A2A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C4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A76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F7CDA1">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49A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58C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79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8.32</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E0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AC2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5CF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41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C97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BF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r>
      <w:tr w14:paraId="18F7326A">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82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6D2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089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95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CC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E8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7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0F0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06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D0F01A">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92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63E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670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94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E9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E96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5C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22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4E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70981F">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90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583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7B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348.59</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3C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51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90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0CB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63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C93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FEBFC1">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C5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43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08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114.63</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C7D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A2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46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15.70</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BF4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12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C1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7E2927">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0A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1BC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54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56.88</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1C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90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51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C2F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41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D0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52BACD">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11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EB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5D4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32.95</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5A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D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83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BEC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482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D6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C1D626">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25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0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EB1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05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FD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EE9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16.32</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D3F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82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40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DFEE59">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74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79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06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E35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94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422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02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D3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65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62BCDA">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7E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08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66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69.05</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6F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D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CAE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8F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2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13C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CB594F">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CA8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61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7CA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56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00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BC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7.66</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A3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81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06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BA2A4B">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67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92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F2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83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F8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E4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35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4A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82D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9A95B0">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7C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F3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080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153.05</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903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A0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8E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32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1F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99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D44DA0">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AC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73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09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2FF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B3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B6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DC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F8C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2A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2C76E2">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5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32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39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68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FA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DA7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D9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40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FA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615F49">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4E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09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0D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62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3C2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1E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0B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D3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62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9AEC30">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8C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80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FEB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18.46</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54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18A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7A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F2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34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A8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205211">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6D5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04C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FC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122.47</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BA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B6D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606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1E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4F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0A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DA3102">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69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E14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972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58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B92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6C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27.17</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04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78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A76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44D4EA">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FB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DF3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79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12.12</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EF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76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BF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137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E7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6D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75DFE4">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59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30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0A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0B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F2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83F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10.05</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B6E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C45D4">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A4B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3AD8ED">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821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9C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B8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C42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78C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40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11.76</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7E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D8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CAE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882CF1">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F8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50A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FB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14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D6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F7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9A3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16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409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0F8447">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93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157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FB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24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850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78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8CA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89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8BA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478456">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A6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CD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E67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11D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B3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90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F2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D3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A2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541363">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05BF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795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AFCF6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8BE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BAB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B0C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21.27</w:t>
            </w: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8A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A9A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3F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49FB93">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B79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508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9CA3A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4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7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583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7B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FD1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83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E8C888">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463D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A4C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555B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BBC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AD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A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A6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A5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84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9FC257">
        <w:tblPrEx>
          <w:tblCellMar>
            <w:top w:w="0" w:type="dxa"/>
            <w:left w:w="0" w:type="dxa"/>
            <w:bottom w:w="0" w:type="dxa"/>
            <w:right w:w="0" w:type="dxa"/>
          </w:tblCellMar>
        </w:tblPrEx>
        <w:trPr>
          <w:trHeight w:val="1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885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FA6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22324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7B4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A1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290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47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AFF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07E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8E9DEAC">
        <w:tblPrEx>
          <w:tblCellMar>
            <w:top w:w="0" w:type="dxa"/>
            <w:left w:w="0" w:type="dxa"/>
            <w:bottom w:w="0" w:type="dxa"/>
            <w:right w:w="0" w:type="dxa"/>
          </w:tblCellMar>
        </w:tblPrEx>
        <w:trPr>
          <w:trHeight w:val="193" w:hRule="atLeast"/>
        </w:trPr>
        <w:tc>
          <w:tcPr>
            <w:tcW w:w="1188"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44F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4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824B91">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990.02</w:t>
            </w:r>
            <w:r>
              <w:rPr>
                <w:rFonts w:ascii="Times New Roman" w:hAnsi="Times New Roman"/>
                <w:color w:val="000000"/>
                <w:sz w:val="18"/>
                <w:u w:color="auto"/>
              </w:rPr>
              <w:t xml:space="preserve"> </w:t>
            </w:r>
          </w:p>
        </w:tc>
        <w:tc>
          <w:tcPr>
            <w:tcW w:w="2835"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28C9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05B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133.16</w:t>
            </w:r>
            <w:r>
              <w:rPr>
                <w:rFonts w:ascii="Times New Roman" w:hAnsi="Times New Roman"/>
                <w:color w:val="000000"/>
                <w:sz w:val="18"/>
                <w:u w:color="auto"/>
              </w:rPr>
              <w:t xml:space="preserve"> </w:t>
            </w:r>
          </w:p>
        </w:tc>
      </w:tr>
    </w:tbl>
    <w:p w14:paraId="1C365D86">
      <w:pPr>
        <w:keepNext w:val="0"/>
        <w:keepLines w:val="0"/>
        <w:pageBreakBefore w:val="0"/>
        <w:widowControl/>
        <w:kinsoku/>
        <w:wordWrap/>
        <w:overflowPunct/>
        <w:topLinePunct w:val="0"/>
        <w:autoSpaceDE/>
        <w:autoSpaceDN/>
        <w:bidi w:val="0"/>
        <w:adjustRightInd/>
        <w:snapToGrid/>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30793CF6">
      <w:pPr>
        <w:widowControl w:val="0"/>
        <w:adjustRightInd w:val="0"/>
        <w:snapToGrid w:val="0"/>
        <w:spacing w:line="600" w:lineRule="exact"/>
        <w:jc w:val="both"/>
        <w:rPr>
          <w:rFonts w:hint="eastAsia" w:ascii="Times New Roman" w:hAnsi="Times New Roman" w:eastAsia="方正仿宋_GBK"/>
          <w:kern w:val="2"/>
          <w:sz w:val="28"/>
          <w:szCs w:val="28"/>
          <w:lang w:val="en-US" w:eastAsia="zh-CN"/>
        </w:rPr>
      </w:pPr>
      <w:r>
        <w:rPr>
          <w:rFonts w:hint="eastAsia" w:ascii="方正仿宋_GBK" w:hAnsi="方正仿宋_GBK" w:eastAsia="方正仿宋_GBK" w:cs="方正仿宋_GBK"/>
          <w:kern w:val="2"/>
          <w:sz w:val="28"/>
          <w:szCs w:val="28"/>
          <w:lang w:val="en-US" w:eastAsia="zh-CN"/>
        </w:rPr>
        <w:t>附件</w:t>
      </w:r>
      <w:r>
        <w:rPr>
          <w:rFonts w:hint="eastAsia" w:ascii="Times New Roman" w:hAnsi="Times New Roman" w:eastAsia="方正仿宋_GBK"/>
          <w:kern w:val="2"/>
          <w:sz w:val="28"/>
          <w:szCs w:val="28"/>
          <w:lang w:val="en-US" w:eastAsia="zh-CN"/>
        </w:rPr>
        <w:t>7</w:t>
      </w:r>
    </w:p>
    <w:tbl>
      <w:tblPr>
        <w:tblStyle w:val="9"/>
        <w:tblpPr w:leftFromText="180" w:rightFromText="180" w:vertAnchor="text" w:horzAnchor="page" w:tblpX="1043" w:tblpY="258"/>
        <w:tblOverlap w:val="never"/>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47B3BB4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62DCCA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3CD3CF5">
        <w:tblPrEx>
          <w:tblCellMar>
            <w:top w:w="0" w:type="dxa"/>
            <w:left w:w="0" w:type="dxa"/>
            <w:bottom w:w="0" w:type="dxa"/>
            <w:right w:w="0" w:type="dxa"/>
          </w:tblCellMar>
        </w:tblPrEx>
        <w:trPr>
          <w:trHeight w:val="329" w:hRule="atLeast"/>
        </w:trPr>
        <w:tc>
          <w:tcPr>
            <w:tcW w:w="2158" w:type="pct"/>
            <w:gridSpan w:val="3"/>
            <w:vMerge w:val="restart"/>
            <w:tcBorders>
              <w:top w:val="nil"/>
              <w:left w:val="nil"/>
              <w:right w:val="nil"/>
            </w:tcBorders>
            <w:shd w:val="clear" w:color="auto" w:fill="auto"/>
            <w:noWrap/>
            <w:tcMar>
              <w:top w:w="15" w:type="dxa"/>
              <w:left w:w="15" w:type="dxa"/>
              <w:right w:w="15" w:type="dxa"/>
            </w:tcMar>
            <w:vAlign w:val="bottom"/>
          </w:tcPr>
          <w:p w14:paraId="54AEA60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重庆市九龙坡区成人教育发展中心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3A5A985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26C0F8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DABCB2E">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21104B1">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56166C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36CD0D0">
        <w:tblPrEx>
          <w:tblCellMar>
            <w:top w:w="0" w:type="dxa"/>
            <w:left w:w="0" w:type="dxa"/>
            <w:bottom w:w="0" w:type="dxa"/>
            <w:right w:w="0" w:type="dxa"/>
          </w:tblCellMar>
        </w:tblPrEx>
        <w:trPr>
          <w:trHeight w:val="329" w:hRule="atLeast"/>
        </w:trPr>
        <w:tc>
          <w:tcPr>
            <w:tcW w:w="2158" w:type="pct"/>
            <w:gridSpan w:val="3"/>
            <w:vMerge w:val="continue"/>
            <w:tcBorders>
              <w:left w:val="nil"/>
              <w:bottom w:val="nil"/>
              <w:right w:val="nil"/>
            </w:tcBorders>
            <w:shd w:val="clear" w:color="auto" w:fill="auto"/>
            <w:noWrap/>
            <w:tcMar>
              <w:top w:w="15" w:type="dxa"/>
              <w:left w:w="15" w:type="dxa"/>
              <w:right w:w="15" w:type="dxa"/>
            </w:tcMar>
            <w:vAlign w:val="bottom"/>
          </w:tcPr>
          <w:p w14:paraId="57741A2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982E9C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E0D11B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7EC0D92">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486622C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EEDEC0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E08EC8">
        <w:tblPrEx>
          <w:tblCellMar>
            <w:top w:w="0" w:type="dxa"/>
            <w:left w:w="0" w:type="dxa"/>
            <w:bottom w:w="0" w:type="dxa"/>
            <w:right w:w="0" w:type="dxa"/>
          </w:tblCellMar>
        </w:tblPrEx>
        <w:trPr>
          <w:trHeight w:val="339" w:hRule="atLeast"/>
        </w:trPr>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CA742">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4C6A67">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EDAE8">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84805F">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B360E">
            <w:pPr>
              <w:jc w:val="center"/>
              <w:textAlignment w:val="center"/>
              <w:rPr>
                <w:rFonts w:hint="default" w:cs="宋体"/>
                <w:b/>
                <w:color w:val="000000"/>
                <w:sz w:val="20"/>
                <w:szCs w:val="20"/>
              </w:rPr>
            </w:pPr>
            <w:r>
              <w:rPr>
                <w:rFonts w:cs="宋体"/>
                <w:b/>
                <w:color w:val="000000"/>
                <w:sz w:val="20"/>
                <w:szCs w:val="20"/>
              </w:rPr>
              <w:t>年末结转和结余</w:t>
            </w:r>
          </w:p>
        </w:tc>
      </w:tr>
      <w:tr w14:paraId="2250DA7E">
        <w:tblPrEx>
          <w:tblCellMar>
            <w:top w:w="0" w:type="dxa"/>
            <w:left w:w="0" w:type="dxa"/>
            <w:bottom w:w="0" w:type="dxa"/>
            <w:right w:w="0" w:type="dxa"/>
          </w:tblCellMar>
        </w:tblPrEx>
        <w:trPr>
          <w:trHeight w:val="335" w:hRule="atLeast"/>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19BF2">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3B29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BEFEF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7026F">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0775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216F9">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5AF6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C1A17">
            <w:pPr>
              <w:jc w:val="center"/>
              <w:rPr>
                <w:rFonts w:hint="default" w:cs="宋体"/>
                <w:b/>
                <w:color w:val="000000"/>
                <w:sz w:val="20"/>
                <w:szCs w:val="20"/>
              </w:rPr>
            </w:pPr>
          </w:p>
        </w:tc>
      </w:tr>
      <w:tr w14:paraId="6B37C9CA">
        <w:tblPrEx>
          <w:tblCellMar>
            <w:top w:w="0" w:type="dxa"/>
            <w:left w:w="0" w:type="dxa"/>
            <w:bottom w:w="0" w:type="dxa"/>
            <w:right w:w="0" w:type="dxa"/>
          </w:tblCellMar>
        </w:tblPrEx>
        <w:trPr>
          <w:trHeight w:val="335" w:hRule="atLeast"/>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B4CCE">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F2DF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52B2B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95E0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BC33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5D39E">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2162F">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85268">
            <w:pPr>
              <w:jc w:val="center"/>
              <w:rPr>
                <w:rFonts w:hint="default" w:cs="宋体"/>
                <w:b/>
                <w:color w:val="000000"/>
                <w:sz w:val="20"/>
                <w:szCs w:val="20"/>
              </w:rPr>
            </w:pPr>
          </w:p>
        </w:tc>
      </w:tr>
      <w:tr w14:paraId="0F008C4F">
        <w:tblPrEx>
          <w:tblCellMar>
            <w:top w:w="0" w:type="dxa"/>
            <w:left w:w="0" w:type="dxa"/>
            <w:bottom w:w="0" w:type="dxa"/>
            <w:right w:w="0" w:type="dxa"/>
          </w:tblCellMar>
        </w:tblPrEx>
        <w:trPr>
          <w:trHeight w:val="645" w:hRule="atLeast"/>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9324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243F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798CA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7119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E331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9B113">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82BF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E13D1">
            <w:pPr>
              <w:jc w:val="center"/>
              <w:rPr>
                <w:rFonts w:hint="default" w:cs="宋体"/>
                <w:b/>
                <w:color w:val="000000"/>
                <w:sz w:val="20"/>
                <w:szCs w:val="20"/>
              </w:rPr>
            </w:pPr>
          </w:p>
        </w:tc>
      </w:tr>
      <w:tr w14:paraId="32867687">
        <w:tblPrEx>
          <w:tblCellMar>
            <w:top w:w="0" w:type="dxa"/>
            <w:left w:w="0" w:type="dxa"/>
            <w:bottom w:w="0" w:type="dxa"/>
            <w:right w:w="0" w:type="dxa"/>
          </w:tblCellMar>
        </w:tblPrEx>
        <w:trPr>
          <w:trHeight w:val="339" w:hRule="atLeast"/>
        </w:trPr>
        <w:tc>
          <w:tcPr>
            <w:tcW w:w="1603"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ACFFF">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54A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C10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6AD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587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EC8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75C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65756D4">
        <w:tblPrEx>
          <w:tblCellMar>
            <w:top w:w="0" w:type="dxa"/>
            <w:left w:w="0" w:type="dxa"/>
            <w:bottom w:w="0" w:type="dxa"/>
            <w:right w:w="0" w:type="dxa"/>
          </w:tblCellMar>
        </w:tblPrEx>
        <w:trPr>
          <w:trHeight w:val="349" w:hRule="atLeast"/>
        </w:trPr>
        <w:tc>
          <w:tcPr>
            <w:tcW w:w="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37A8">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EE380">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BD9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8BC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8F1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CEE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0DD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772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3CBD5F3">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p>
    <w:p w14:paraId="48DD56AB">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F6D7BA5">
      <w:pPr>
        <w:rPr>
          <w:rFonts w:cs="宋体"/>
          <w:sz w:val="21"/>
          <w:szCs w:val="21"/>
        </w:rPr>
      </w:pPr>
      <w:r>
        <w:rPr>
          <w:rFonts w:cs="宋体"/>
          <w:sz w:val="21"/>
          <w:szCs w:val="21"/>
        </w:rPr>
        <w:br w:type="page"/>
      </w:r>
    </w:p>
    <w:p w14:paraId="43A5EC84">
      <w:pPr>
        <w:keepNext w:val="0"/>
        <w:keepLines w:val="0"/>
        <w:pageBreakBefore w:val="0"/>
        <w:widowControl/>
        <w:kinsoku/>
        <w:wordWrap/>
        <w:overflowPunct/>
        <w:topLinePunct w:val="0"/>
        <w:autoSpaceDE/>
        <w:autoSpaceDN/>
        <w:bidi w:val="0"/>
        <w:adjustRightInd/>
        <w:snapToGrid/>
        <w:spacing w:line="280" w:lineRule="exact"/>
        <w:rPr>
          <w:rFonts w:hint="eastAsia" w:ascii="方正仿宋_GBK" w:hAnsi="方正仿宋_GBK" w:eastAsia="方正仿宋_GBK" w:cs="方正仿宋_GBK"/>
          <w:kern w:val="2"/>
          <w:sz w:val="32"/>
          <w:szCs w:val="32"/>
          <w:lang w:val="en-US" w:eastAsia="zh-CN"/>
        </w:rPr>
      </w:pPr>
    </w:p>
    <w:p w14:paraId="494B1C2C">
      <w:pPr>
        <w:widowControl w:val="0"/>
        <w:adjustRightInd w:val="0"/>
        <w:snapToGrid w:val="0"/>
        <w:spacing w:line="600" w:lineRule="exact"/>
        <w:jc w:val="both"/>
        <w:rPr>
          <w:rFonts w:cs="宋体"/>
          <w:sz w:val="21"/>
          <w:szCs w:val="21"/>
        </w:rPr>
      </w:pPr>
      <w:r>
        <w:rPr>
          <w:rFonts w:hint="eastAsia" w:ascii="方正仿宋_GBK" w:hAnsi="方正仿宋_GBK" w:eastAsia="方正仿宋_GBK" w:cs="方正仿宋_GBK"/>
          <w:kern w:val="2"/>
          <w:sz w:val="28"/>
          <w:szCs w:val="28"/>
          <w:lang w:val="en-US" w:eastAsia="zh-CN"/>
        </w:rPr>
        <w:t>附件</w:t>
      </w:r>
      <w:r>
        <w:rPr>
          <w:rFonts w:hint="eastAsia" w:ascii="Times New Roman" w:hAnsi="Times New Roman" w:eastAsia="方正仿宋_GBK"/>
          <w:kern w:val="2"/>
          <w:sz w:val="28"/>
          <w:szCs w:val="28"/>
          <w:lang w:val="en-US" w:eastAsia="zh-CN"/>
        </w:rPr>
        <w:t>8</w:t>
      </w:r>
    </w:p>
    <w:p w14:paraId="00F8C41A">
      <w:pPr>
        <w:rPr>
          <w:rFonts w:hint="default" w:cs="宋体"/>
          <w:sz w:val="21"/>
          <w:szCs w:val="21"/>
        </w:rPr>
      </w:pPr>
    </w:p>
    <w:tbl>
      <w:tblPr>
        <w:tblStyle w:val="9"/>
        <w:tblW w:w="5000" w:type="pct"/>
        <w:tblInd w:w="0" w:type="dxa"/>
        <w:tblLayout w:type="autofit"/>
        <w:tblCellMar>
          <w:top w:w="0" w:type="dxa"/>
          <w:left w:w="0" w:type="dxa"/>
          <w:bottom w:w="0" w:type="dxa"/>
          <w:right w:w="0" w:type="dxa"/>
        </w:tblCellMar>
      </w:tblPr>
      <w:tblGrid>
        <w:gridCol w:w="1292"/>
        <w:gridCol w:w="3616"/>
        <w:gridCol w:w="3273"/>
        <w:gridCol w:w="187"/>
        <w:gridCol w:w="3460"/>
        <w:gridCol w:w="86"/>
        <w:gridCol w:w="3408"/>
      </w:tblGrid>
      <w:tr w14:paraId="34C71827">
        <w:tblPrEx>
          <w:tblCellMar>
            <w:top w:w="0" w:type="dxa"/>
            <w:left w:w="0" w:type="dxa"/>
            <w:bottom w:w="0" w:type="dxa"/>
            <w:right w:w="0" w:type="dxa"/>
          </w:tblCellMar>
        </w:tblPrEx>
        <w:trPr>
          <w:trHeight w:val="585"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D532A4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75F7320">
        <w:tblPrEx>
          <w:tblCellMar>
            <w:top w:w="0" w:type="dxa"/>
            <w:left w:w="0" w:type="dxa"/>
            <w:bottom w:w="0" w:type="dxa"/>
            <w:right w:w="0" w:type="dxa"/>
          </w:tblCellMar>
        </w:tblPrEx>
        <w:trPr>
          <w:trHeight w:val="306"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CF9DDC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重庆市九龙坡区成人教育发展中心</w:t>
            </w:r>
          </w:p>
        </w:tc>
        <w:tc>
          <w:tcPr>
            <w:tcW w:w="1218" w:type="pct"/>
            <w:gridSpan w:val="3"/>
            <w:tcBorders>
              <w:top w:val="nil"/>
              <w:left w:val="nil"/>
              <w:bottom w:val="nil"/>
              <w:right w:val="nil"/>
            </w:tcBorders>
            <w:shd w:val="clear" w:color="auto" w:fill="auto"/>
            <w:noWrap/>
            <w:tcMar>
              <w:top w:w="15" w:type="dxa"/>
              <w:left w:w="15" w:type="dxa"/>
              <w:right w:w="15" w:type="dxa"/>
            </w:tcMar>
            <w:vAlign w:val="bottom"/>
          </w:tcPr>
          <w:p w14:paraId="4BAEB0D4">
            <w:pPr>
              <w:rPr>
                <w:rFonts w:hint="default" w:cs="宋体"/>
                <w:color w:val="000000"/>
                <w:sz w:val="20"/>
                <w:szCs w:val="20"/>
              </w:rPr>
            </w:pPr>
          </w:p>
        </w:tc>
        <w:tc>
          <w:tcPr>
            <w:tcW w:w="1110" w:type="pct"/>
            <w:tcBorders>
              <w:top w:val="nil"/>
              <w:left w:val="nil"/>
              <w:bottom w:val="nil"/>
              <w:right w:val="nil"/>
            </w:tcBorders>
            <w:shd w:val="clear" w:color="auto" w:fill="auto"/>
            <w:noWrap/>
            <w:tcMar>
              <w:top w:w="15" w:type="dxa"/>
              <w:left w:w="15" w:type="dxa"/>
              <w:right w:w="15" w:type="dxa"/>
            </w:tcMar>
            <w:vAlign w:val="bottom"/>
          </w:tcPr>
          <w:p w14:paraId="20ED8D8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642EC6D">
        <w:tblPrEx>
          <w:tblCellMar>
            <w:top w:w="0" w:type="dxa"/>
            <w:left w:w="0" w:type="dxa"/>
            <w:bottom w:w="0" w:type="dxa"/>
            <w:right w:w="0" w:type="dxa"/>
          </w:tblCellMar>
        </w:tblPrEx>
        <w:trPr>
          <w:trHeight w:val="306"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99B9636">
            <w:pPr>
              <w:rPr>
                <w:rFonts w:hint="default" w:cs="宋体"/>
                <w:color w:val="000000"/>
                <w:sz w:val="20"/>
                <w:szCs w:val="20"/>
              </w:rPr>
            </w:pPr>
          </w:p>
        </w:tc>
        <w:tc>
          <w:tcPr>
            <w:tcW w:w="1218" w:type="pct"/>
            <w:gridSpan w:val="3"/>
            <w:tcBorders>
              <w:top w:val="nil"/>
              <w:left w:val="nil"/>
              <w:bottom w:val="nil"/>
              <w:right w:val="nil"/>
            </w:tcBorders>
            <w:shd w:val="clear" w:color="auto" w:fill="auto"/>
            <w:noWrap/>
            <w:tcMar>
              <w:top w:w="15" w:type="dxa"/>
              <w:left w:w="15" w:type="dxa"/>
              <w:right w:w="15" w:type="dxa"/>
            </w:tcMar>
            <w:vAlign w:val="bottom"/>
          </w:tcPr>
          <w:p w14:paraId="1998B94C">
            <w:pPr>
              <w:rPr>
                <w:rFonts w:hint="default" w:cs="宋体"/>
                <w:color w:val="000000"/>
                <w:sz w:val="20"/>
                <w:szCs w:val="20"/>
              </w:rPr>
            </w:pPr>
          </w:p>
        </w:tc>
        <w:tc>
          <w:tcPr>
            <w:tcW w:w="1110" w:type="pct"/>
            <w:tcBorders>
              <w:top w:val="nil"/>
              <w:left w:val="nil"/>
              <w:bottom w:val="nil"/>
              <w:right w:val="nil"/>
            </w:tcBorders>
            <w:shd w:val="clear" w:color="auto" w:fill="auto"/>
            <w:noWrap/>
            <w:tcMar>
              <w:top w:w="15" w:type="dxa"/>
              <w:left w:w="15" w:type="dxa"/>
              <w:right w:w="15" w:type="dxa"/>
            </w:tcMar>
            <w:vAlign w:val="bottom"/>
          </w:tcPr>
          <w:p w14:paraId="434C708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3C3345">
        <w:tblPrEx>
          <w:tblCellMar>
            <w:top w:w="0" w:type="dxa"/>
            <w:left w:w="0" w:type="dxa"/>
            <w:bottom w:w="0" w:type="dxa"/>
            <w:right w:w="0" w:type="dxa"/>
          </w:tblCellMar>
        </w:tblPrEx>
        <w:trPr>
          <w:trHeight w:val="394"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E17F16">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998E83">
            <w:pPr>
              <w:jc w:val="center"/>
              <w:textAlignment w:val="bottom"/>
              <w:rPr>
                <w:rFonts w:hint="default" w:cs="宋体"/>
                <w:b/>
                <w:color w:val="000000"/>
                <w:sz w:val="20"/>
                <w:szCs w:val="20"/>
              </w:rPr>
            </w:pPr>
            <w:r>
              <w:rPr>
                <w:rFonts w:cs="宋体"/>
                <w:b/>
                <w:color w:val="000000"/>
                <w:sz w:val="20"/>
                <w:szCs w:val="20"/>
              </w:rPr>
              <w:t>本年支出</w:t>
            </w:r>
          </w:p>
        </w:tc>
      </w:tr>
      <w:tr w14:paraId="070AB6BA">
        <w:tblPrEx>
          <w:tblCellMar>
            <w:top w:w="0" w:type="dxa"/>
            <w:left w:w="0" w:type="dxa"/>
            <w:bottom w:w="0" w:type="dxa"/>
            <w:right w:w="0" w:type="dxa"/>
          </w:tblCellMar>
        </w:tblPrEx>
        <w:trPr>
          <w:trHeight w:val="312"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E8802">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C5D0B">
            <w:pPr>
              <w:jc w:val="center"/>
              <w:textAlignment w:val="center"/>
              <w:rPr>
                <w:rFonts w:hint="default" w:cs="宋体"/>
                <w:b/>
                <w:color w:val="000000"/>
                <w:sz w:val="20"/>
                <w:szCs w:val="20"/>
              </w:rPr>
            </w:pPr>
            <w:r>
              <w:rPr>
                <w:rFonts w:cs="宋体"/>
                <w:b/>
                <w:color w:val="000000"/>
                <w:sz w:val="20"/>
                <w:szCs w:val="20"/>
              </w:rPr>
              <w:t>科目名称</w:t>
            </w:r>
          </w:p>
        </w:tc>
        <w:tc>
          <w:tcPr>
            <w:tcW w:w="1129"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F69D1">
            <w:pPr>
              <w:jc w:val="center"/>
              <w:textAlignment w:val="center"/>
              <w:rPr>
                <w:rFonts w:hint="default" w:cs="宋体"/>
                <w:b/>
                <w:color w:val="000000"/>
                <w:sz w:val="20"/>
                <w:szCs w:val="20"/>
              </w:rPr>
            </w:pPr>
            <w:r>
              <w:rPr>
                <w:rFonts w:cs="宋体"/>
                <w:b/>
                <w:color w:val="000000"/>
                <w:sz w:val="20"/>
                <w:szCs w:val="20"/>
              </w:rPr>
              <w:t>合计</w:t>
            </w:r>
          </w:p>
        </w:tc>
        <w:tc>
          <w:tcPr>
            <w:tcW w:w="11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9CDD7">
            <w:pPr>
              <w:jc w:val="center"/>
              <w:textAlignment w:val="center"/>
              <w:rPr>
                <w:rFonts w:hint="default" w:cs="宋体"/>
                <w:b/>
                <w:color w:val="000000"/>
                <w:sz w:val="20"/>
                <w:szCs w:val="20"/>
              </w:rPr>
            </w:pPr>
            <w:r>
              <w:rPr>
                <w:rFonts w:cs="宋体"/>
                <w:b/>
                <w:color w:val="000000"/>
                <w:sz w:val="20"/>
                <w:szCs w:val="20"/>
              </w:rPr>
              <w:t>基本支出</w:t>
            </w:r>
          </w:p>
        </w:tc>
        <w:tc>
          <w:tcPr>
            <w:tcW w:w="1138"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BCD40">
            <w:pPr>
              <w:jc w:val="center"/>
              <w:textAlignment w:val="center"/>
              <w:rPr>
                <w:rFonts w:hint="default" w:cs="宋体"/>
                <w:b/>
                <w:color w:val="000000"/>
                <w:sz w:val="20"/>
                <w:szCs w:val="20"/>
              </w:rPr>
            </w:pPr>
            <w:r>
              <w:rPr>
                <w:rFonts w:cs="宋体"/>
                <w:b/>
                <w:color w:val="000000"/>
                <w:sz w:val="20"/>
                <w:szCs w:val="20"/>
              </w:rPr>
              <w:t>项目支出</w:t>
            </w:r>
          </w:p>
        </w:tc>
      </w:tr>
      <w:tr w14:paraId="701C9151">
        <w:tblPrEx>
          <w:tblCellMar>
            <w:top w:w="0" w:type="dxa"/>
            <w:left w:w="0" w:type="dxa"/>
            <w:bottom w:w="0" w:type="dxa"/>
            <w:right w:w="0" w:type="dxa"/>
          </w:tblCellMar>
        </w:tblPrEx>
        <w:trPr>
          <w:trHeight w:val="312"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D751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78867">
            <w:pPr>
              <w:jc w:val="center"/>
              <w:rPr>
                <w:rFonts w:hint="default" w:cs="宋体"/>
                <w:b/>
                <w:color w:val="000000"/>
                <w:sz w:val="20"/>
                <w:szCs w:val="20"/>
              </w:rPr>
            </w:pPr>
          </w:p>
        </w:tc>
        <w:tc>
          <w:tcPr>
            <w:tcW w:w="1129"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D2410">
            <w:pPr>
              <w:jc w:val="center"/>
              <w:rPr>
                <w:rFonts w:hint="default" w:cs="宋体"/>
                <w:b/>
                <w:color w:val="000000"/>
                <w:sz w:val="20"/>
                <w:szCs w:val="20"/>
              </w:rPr>
            </w:pPr>
          </w:p>
        </w:tc>
        <w:tc>
          <w:tcPr>
            <w:tcW w:w="11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5A32B">
            <w:pPr>
              <w:jc w:val="center"/>
              <w:rPr>
                <w:rFonts w:hint="default" w:cs="宋体"/>
                <w:b/>
                <w:color w:val="000000"/>
                <w:sz w:val="20"/>
                <w:szCs w:val="20"/>
              </w:rPr>
            </w:pPr>
          </w:p>
        </w:tc>
        <w:tc>
          <w:tcPr>
            <w:tcW w:w="1138"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14662">
            <w:pPr>
              <w:jc w:val="center"/>
              <w:rPr>
                <w:rFonts w:hint="default" w:cs="宋体"/>
                <w:b/>
                <w:color w:val="000000"/>
                <w:sz w:val="20"/>
                <w:szCs w:val="20"/>
              </w:rPr>
            </w:pPr>
          </w:p>
        </w:tc>
      </w:tr>
      <w:tr w14:paraId="1FAB6A04">
        <w:tblPrEx>
          <w:tblCellMar>
            <w:top w:w="0" w:type="dxa"/>
            <w:left w:w="0" w:type="dxa"/>
            <w:bottom w:w="0" w:type="dxa"/>
            <w:right w:w="0" w:type="dxa"/>
          </w:tblCellMar>
        </w:tblPrEx>
        <w:trPr>
          <w:trHeight w:val="312"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F9DB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022B8">
            <w:pPr>
              <w:jc w:val="center"/>
              <w:rPr>
                <w:rFonts w:hint="default" w:cs="宋体"/>
                <w:b/>
                <w:color w:val="000000"/>
                <w:sz w:val="20"/>
                <w:szCs w:val="20"/>
              </w:rPr>
            </w:pPr>
          </w:p>
        </w:tc>
        <w:tc>
          <w:tcPr>
            <w:tcW w:w="1129"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A1B2C">
            <w:pPr>
              <w:jc w:val="center"/>
              <w:rPr>
                <w:rFonts w:hint="default" w:cs="宋体"/>
                <w:b/>
                <w:color w:val="000000"/>
                <w:sz w:val="20"/>
                <w:szCs w:val="20"/>
              </w:rPr>
            </w:pPr>
          </w:p>
        </w:tc>
        <w:tc>
          <w:tcPr>
            <w:tcW w:w="11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29808">
            <w:pPr>
              <w:jc w:val="center"/>
              <w:rPr>
                <w:rFonts w:hint="default" w:cs="宋体"/>
                <w:b/>
                <w:color w:val="000000"/>
                <w:sz w:val="20"/>
                <w:szCs w:val="20"/>
              </w:rPr>
            </w:pPr>
          </w:p>
        </w:tc>
        <w:tc>
          <w:tcPr>
            <w:tcW w:w="1138"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D964C">
            <w:pPr>
              <w:jc w:val="center"/>
              <w:rPr>
                <w:rFonts w:hint="default" w:cs="宋体"/>
                <w:b/>
                <w:color w:val="000000"/>
                <w:sz w:val="20"/>
                <w:szCs w:val="20"/>
              </w:rPr>
            </w:pPr>
          </w:p>
        </w:tc>
      </w:tr>
      <w:tr w14:paraId="23EC7121">
        <w:tblPrEx>
          <w:tblCellMar>
            <w:top w:w="0" w:type="dxa"/>
            <w:left w:w="0" w:type="dxa"/>
            <w:bottom w:w="0" w:type="dxa"/>
            <w:right w:w="0" w:type="dxa"/>
          </w:tblCellMar>
        </w:tblPrEx>
        <w:trPr>
          <w:trHeight w:val="312"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7369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E1870">
            <w:pPr>
              <w:jc w:val="center"/>
              <w:rPr>
                <w:rFonts w:hint="default" w:cs="宋体"/>
                <w:b/>
                <w:color w:val="000000"/>
                <w:sz w:val="20"/>
                <w:szCs w:val="20"/>
              </w:rPr>
            </w:pPr>
          </w:p>
        </w:tc>
        <w:tc>
          <w:tcPr>
            <w:tcW w:w="1129"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4EED7">
            <w:pPr>
              <w:jc w:val="center"/>
              <w:rPr>
                <w:rFonts w:hint="default" w:cs="宋体"/>
                <w:b/>
                <w:color w:val="000000"/>
                <w:sz w:val="20"/>
                <w:szCs w:val="20"/>
              </w:rPr>
            </w:pPr>
          </w:p>
        </w:tc>
        <w:tc>
          <w:tcPr>
            <w:tcW w:w="11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A911C">
            <w:pPr>
              <w:jc w:val="center"/>
              <w:rPr>
                <w:rFonts w:hint="default" w:cs="宋体"/>
                <w:b/>
                <w:color w:val="000000"/>
                <w:sz w:val="20"/>
                <w:szCs w:val="20"/>
              </w:rPr>
            </w:pPr>
          </w:p>
        </w:tc>
        <w:tc>
          <w:tcPr>
            <w:tcW w:w="1138"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50536">
            <w:pPr>
              <w:jc w:val="center"/>
              <w:rPr>
                <w:rFonts w:hint="default" w:cs="宋体"/>
                <w:b/>
                <w:color w:val="000000"/>
                <w:sz w:val="20"/>
                <w:szCs w:val="20"/>
              </w:rPr>
            </w:pPr>
          </w:p>
        </w:tc>
      </w:tr>
      <w:tr w14:paraId="1B19DC33">
        <w:tblPrEx>
          <w:tblCellMar>
            <w:top w:w="0" w:type="dxa"/>
            <w:left w:w="0" w:type="dxa"/>
            <w:bottom w:w="0" w:type="dxa"/>
            <w:right w:w="0" w:type="dxa"/>
          </w:tblCellMar>
        </w:tblPrEx>
        <w:trPr>
          <w:trHeight w:val="560"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4D115">
            <w:pPr>
              <w:jc w:val="center"/>
              <w:textAlignment w:val="center"/>
              <w:rPr>
                <w:rFonts w:hint="default" w:cs="宋体"/>
                <w:b/>
                <w:color w:val="000000"/>
                <w:sz w:val="20"/>
                <w:szCs w:val="20"/>
              </w:rPr>
            </w:pPr>
            <w:r>
              <w:rPr>
                <w:rFonts w:cs="宋体"/>
                <w:b/>
                <w:color w:val="000000"/>
                <w:sz w:val="20"/>
                <w:szCs w:val="20"/>
              </w:rPr>
              <w:t>合计</w:t>
            </w:r>
          </w:p>
        </w:tc>
        <w:tc>
          <w:tcPr>
            <w:tcW w:w="1129"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7E9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1DFA7">
            <w:pPr>
              <w:jc w:val="right"/>
              <w:rPr>
                <w:rFonts w:hint="default" w:ascii="Times New Roman" w:hAnsi="Times New Roman"/>
                <w:b/>
                <w:color w:val="000000"/>
                <w:sz w:val="20"/>
                <w:szCs w:val="20"/>
              </w:rPr>
            </w:pPr>
          </w:p>
        </w:tc>
        <w:tc>
          <w:tcPr>
            <w:tcW w:w="11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D53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F669509">
        <w:tblPrEx>
          <w:tblCellMar>
            <w:top w:w="0" w:type="dxa"/>
            <w:left w:w="0" w:type="dxa"/>
            <w:bottom w:w="0" w:type="dxa"/>
            <w:right w:w="0" w:type="dxa"/>
          </w:tblCellMar>
        </w:tblPrEx>
        <w:trPr>
          <w:trHeight w:val="452"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45A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1A1A5">
            <w:pPr>
              <w:textAlignment w:val="center"/>
              <w:rPr>
                <w:rFonts w:hint="default" w:cs="宋体"/>
                <w:color w:val="000000"/>
                <w:sz w:val="20"/>
                <w:szCs w:val="20"/>
              </w:rPr>
            </w:pPr>
          </w:p>
        </w:tc>
        <w:tc>
          <w:tcPr>
            <w:tcW w:w="1129"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F06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1DD70">
            <w:pPr>
              <w:jc w:val="right"/>
              <w:rPr>
                <w:rFonts w:hint="default" w:ascii="Times New Roman" w:hAnsi="Times New Roman"/>
                <w:b/>
                <w:color w:val="000000"/>
                <w:sz w:val="20"/>
                <w:szCs w:val="20"/>
              </w:rPr>
            </w:pPr>
          </w:p>
        </w:tc>
        <w:tc>
          <w:tcPr>
            <w:tcW w:w="11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523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2650349">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47572AA">
      <w:pPr>
        <w:rPr>
          <w:rFonts w:hint="default" w:cs="宋体"/>
          <w:sz w:val="21"/>
          <w:szCs w:val="21"/>
        </w:rPr>
      </w:pPr>
    </w:p>
    <w:p w14:paraId="3ED5DDE9">
      <w:pPr>
        <w:rPr>
          <w:rFonts w:hint="default" w:cs="宋体"/>
          <w:sz w:val="21"/>
          <w:szCs w:val="21"/>
        </w:rPr>
      </w:pPr>
    </w:p>
    <w:p w14:paraId="635F90E7">
      <w:pPr>
        <w:rPr>
          <w:rFonts w:hint="default" w:cs="宋体"/>
          <w:sz w:val="21"/>
          <w:szCs w:val="21"/>
        </w:rPr>
      </w:pPr>
    </w:p>
    <w:p w14:paraId="0BA90F7A">
      <w:pPr>
        <w:rPr>
          <w:rFonts w:hint="default" w:cs="宋体"/>
          <w:sz w:val="21"/>
          <w:szCs w:val="21"/>
        </w:rPr>
      </w:pPr>
    </w:p>
    <w:p w14:paraId="63519B89">
      <w:pPr>
        <w:rPr>
          <w:rFonts w:hint="default" w:cs="宋体"/>
          <w:sz w:val="21"/>
          <w:szCs w:val="21"/>
        </w:rPr>
      </w:pPr>
    </w:p>
    <w:p w14:paraId="0AF75A8E">
      <w:pPr>
        <w:rPr>
          <w:rFonts w:hint="default" w:cs="宋体"/>
          <w:sz w:val="21"/>
          <w:szCs w:val="21"/>
        </w:rPr>
      </w:pPr>
    </w:p>
    <w:p w14:paraId="7C533B9D">
      <w:pPr>
        <w:rPr>
          <w:rFonts w:hint="default" w:cs="宋体"/>
          <w:sz w:val="21"/>
          <w:szCs w:val="21"/>
        </w:rPr>
      </w:pPr>
    </w:p>
    <w:p w14:paraId="73072EB3">
      <w:pPr>
        <w:rPr>
          <w:rFonts w:hint="default" w:cs="宋体"/>
          <w:sz w:val="21"/>
          <w:szCs w:val="21"/>
        </w:rPr>
      </w:pPr>
    </w:p>
    <w:p w14:paraId="346FE6D6">
      <w:pPr>
        <w:rPr>
          <w:rFonts w:hint="default" w:cs="宋体"/>
          <w:sz w:val="21"/>
          <w:szCs w:val="21"/>
        </w:rPr>
      </w:pPr>
    </w:p>
    <w:p w14:paraId="67A045BB">
      <w:pPr>
        <w:rPr>
          <w:rFonts w:hint="default" w:cs="宋体"/>
          <w:sz w:val="21"/>
          <w:szCs w:val="21"/>
        </w:rPr>
      </w:pPr>
    </w:p>
    <w:p w14:paraId="3006F6B6">
      <w:pPr>
        <w:rPr>
          <w:rFonts w:hint="default" w:cs="宋体"/>
          <w:sz w:val="21"/>
          <w:szCs w:val="21"/>
        </w:rPr>
      </w:pPr>
    </w:p>
    <w:p w14:paraId="3E416A55">
      <w:pPr>
        <w:rPr>
          <w:rFonts w:hint="default" w:cs="宋体"/>
          <w:sz w:val="21"/>
          <w:szCs w:val="21"/>
        </w:rPr>
      </w:pPr>
    </w:p>
    <w:p w14:paraId="61CC78DC">
      <w:pPr>
        <w:widowControl w:val="0"/>
        <w:adjustRightInd w:val="0"/>
        <w:snapToGrid w:val="0"/>
        <w:spacing w:line="600" w:lineRule="exact"/>
        <w:jc w:val="both"/>
        <w:rPr>
          <w:rFonts w:hint="eastAsia" w:ascii="方正仿宋_GBK" w:hAnsi="方正仿宋_GBK" w:eastAsia="方正仿宋_GBK" w:cs="方正仿宋_GBK"/>
          <w:kern w:val="2"/>
          <w:sz w:val="32"/>
          <w:szCs w:val="32"/>
          <w:lang w:val="en-US" w:eastAsia="zh-CN"/>
        </w:rPr>
      </w:pPr>
    </w:p>
    <w:p w14:paraId="721D3A59">
      <w:pPr>
        <w:widowControl w:val="0"/>
        <w:adjustRightInd w:val="0"/>
        <w:snapToGrid w:val="0"/>
        <w:spacing w:line="600" w:lineRule="exact"/>
        <w:jc w:val="both"/>
        <w:rPr>
          <w:rFonts w:hint="default" w:cs="宋体"/>
          <w:sz w:val="28"/>
          <w:szCs w:val="28"/>
        </w:rPr>
      </w:pPr>
      <w:r>
        <w:rPr>
          <w:rFonts w:hint="eastAsia" w:ascii="方正仿宋_GBK" w:hAnsi="方正仿宋_GBK" w:eastAsia="方正仿宋_GBK" w:cs="方正仿宋_GBK"/>
          <w:kern w:val="2"/>
          <w:sz w:val="28"/>
          <w:szCs w:val="28"/>
          <w:lang w:val="en-US" w:eastAsia="zh-CN"/>
        </w:rPr>
        <w:t>附件</w:t>
      </w:r>
      <w:r>
        <w:rPr>
          <w:rFonts w:hint="eastAsia" w:ascii="Times New Roman" w:hAnsi="Times New Roman" w:eastAsia="方正仿宋_GBK"/>
          <w:kern w:val="2"/>
          <w:sz w:val="28"/>
          <w:szCs w:val="28"/>
          <w:lang w:val="en-US" w:eastAsia="zh-CN"/>
        </w:rPr>
        <w:t>9</w:t>
      </w:r>
    </w:p>
    <w:tbl>
      <w:tblPr>
        <w:tblStyle w:val="9"/>
        <w:tblW w:w="5000" w:type="pct"/>
        <w:tblInd w:w="0" w:type="dxa"/>
        <w:tblLayout w:type="autofit"/>
        <w:tblCellMar>
          <w:top w:w="0" w:type="dxa"/>
          <w:left w:w="170" w:type="dxa"/>
          <w:bottom w:w="0" w:type="dxa"/>
          <w:right w:w="170" w:type="dxa"/>
        </w:tblCellMar>
      </w:tblPr>
      <w:tblGrid>
        <w:gridCol w:w="3051"/>
        <w:gridCol w:w="2179"/>
        <w:gridCol w:w="2124"/>
        <w:gridCol w:w="3895"/>
        <w:gridCol w:w="4073"/>
      </w:tblGrid>
      <w:tr w14:paraId="724CFB24">
        <w:tblPrEx>
          <w:tblCellMar>
            <w:top w:w="0" w:type="dxa"/>
            <w:left w:w="170" w:type="dxa"/>
            <w:bottom w:w="0" w:type="dxa"/>
            <w:right w:w="170" w:type="dxa"/>
          </w:tblCellMar>
        </w:tblPrEx>
        <w:trPr>
          <w:trHeight w:val="315" w:hRule="atLeast"/>
        </w:trPr>
        <w:tc>
          <w:tcPr>
            <w:tcW w:w="5000" w:type="pct"/>
            <w:gridSpan w:val="5"/>
            <w:shd w:val="clear" w:color="auto" w:fill="auto"/>
            <w:noWrap/>
            <w:tcMar>
              <w:top w:w="15" w:type="dxa"/>
              <w:left w:w="15" w:type="dxa"/>
              <w:right w:w="15" w:type="dxa"/>
            </w:tcMar>
            <w:vAlign w:val="bottom"/>
          </w:tcPr>
          <w:p w14:paraId="7A289D38">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8440882">
        <w:tblPrEx>
          <w:tblCellMar>
            <w:top w:w="0" w:type="dxa"/>
            <w:left w:w="170" w:type="dxa"/>
            <w:bottom w:w="0" w:type="dxa"/>
            <w:right w:w="170" w:type="dxa"/>
          </w:tblCellMar>
        </w:tblPrEx>
        <w:trPr>
          <w:trHeight w:val="255" w:hRule="atLeast"/>
        </w:trPr>
        <w:tc>
          <w:tcPr>
            <w:tcW w:w="996" w:type="pct"/>
            <w:shd w:val="clear" w:color="auto" w:fill="auto"/>
            <w:noWrap/>
            <w:tcMar>
              <w:top w:w="15" w:type="dxa"/>
              <w:left w:w="15" w:type="dxa"/>
              <w:right w:w="15" w:type="dxa"/>
            </w:tcMar>
            <w:vAlign w:val="bottom"/>
          </w:tcPr>
          <w:p w14:paraId="44664786">
            <w:pPr>
              <w:spacing w:line="280" w:lineRule="exact"/>
              <w:rPr>
                <w:rFonts w:hint="default" w:cs="宋体"/>
                <w:color w:val="000000"/>
                <w:kern w:val="2"/>
                <w:sz w:val="20"/>
                <w:szCs w:val="20"/>
              </w:rPr>
            </w:pPr>
          </w:p>
        </w:tc>
        <w:tc>
          <w:tcPr>
            <w:tcW w:w="711" w:type="pct"/>
            <w:shd w:val="clear" w:color="auto" w:fill="auto"/>
            <w:noWrap/>
            <w:tcMar>
              <w:top w:w="15" w:type="dxa"/>
              <w:left w:w="15" w:type="dxa"/>
              <w:right w:w="15" w:type="dxa"/>
            </w:tcMar>
            <w:vAlign w:val="bottom"/>
          </w:tcPr>
          <w:p w14:paraId="5ECD5C79">
            <w:pPr>
              <w:spacing w:line="280" w:lineRule="exact"/>
              <w:jc w:val="center"/>
              <w:rPr>
                <w:rFonts w:hint="default" w:cs="宋体"/>
                <w:color w:val="000000"/>
                <w:kern w:val="2"/>
                <w:sz w:val="20"/>
                <w:szCs w:val="20"/>
              </w:rPr>
            </w:pPr>
          </w:p>
        </w:tc>
        <w:tc>
          <w:tcPr>
            <w:tcW w:w="693" w:type="pct"/>
            <w:shd w:val="clear" w:color="auto" w:fill="auto"/>
            <w:noWrap/>
            <w:tcMar>
              <w:top w:w="15" w:type="dxa"/>
              <w:left w:w="15" w:type="dxa"/>
              <w:right w:w="15" w:type="dxa"/>
            </w:tcMar>
            <w:vAlign w:val="bottom"/>
          </w:tcPr>
          <w:p w14:paraId="4C31A346">
            <w:pPr>
              <w:spacing w:line="280" w:lineRule="exact"/>
              <w:jc w:val="right"/>
              <w:rPr>
                <w:rFonts w:hint="default" w:cs="宋体"/>
                <w:color w:val="000000"/>
                <w:kern w:val="2"/>
                <w:sz w:val="20"/>
                <w:szCs w:val="20"/>
              </w:rPr>
            </w:pPr>
          </w:p>
        </w:tc>
        <w:tc>
          <w:tcPr>
            <w:tcW w:w="1271" w:type="pct"/>
            <w:shd w:val="clear" w:color="auto" w:fill="auto"/>
            <w:noWrap/>
            <w:tcMar>
              <w:top w:w="15" w:type="dxa"/>
              <w:left w:w="15" w:type="dxa"/>
              <w:right w:w="15" w:type="dxa"/>
            </w:tcMar>
            <w:vAlign w:val="bottom"/>
          </w:tcPr>
          <w:p w14:paraId="2AE28B3B">
            <w:pPr>
              <w:spacing w:line="280" w:lineRule="exact"/>
              <w:rPr>
                <w:rFonts w:hint="default" w:cs="宋体"/>
                <w:color w:val="000000"/>
                <w:kern w:val="2"/>
                <w:sz w:val="20"/>
                <w:szCs w:val="20"/>
              </w:rPr>
            </w:pPr>
          </w:p>
        </w:tc>
        <w:tc>
          <w:tcPr>
            <w:tcW w:w="1328" w:type="pct"/>
            <w:shd w:val="clear" w:color="auto" w:fill="auto"/>
            <w:noWrap/>
            <w:tcMar>
              <w:top w:w="15" w:type="dxa"/>
              <w:left w:w="15" w:type="dxa"/>
              <w:right w:w="15" w:type="dxa"/>
            </w:tcMar>
            <w:vAlign w:val="bottom"/>
          </w:tcPr>
          <w:p w14:paraId="3DEFE0A1">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F1BEC64">
        <w:tblPrEx>
          <w:tblCellMar>
            <w:top w:w="0" w:type="dxa"/>
            <w:left w:w="170" w:type="dxa"/>
            <w:bottom w:w="0" w:type="dxa"/>
            <w:right w:w="170" w:type="dxa"/>
          </w:tblCellMar>
        </w:tblPrEx>
        <w:trPr>
          <w:trHeight w:val="255" w:hRule="atLeast"/>
        </w:trPr>
        <w:tc>
          <w:tcPr>
            <w:tcW w:w="1707"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2C36DE9">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重庆市九龙坡区成人教育发展中心</w:t>
            </w:r>
          </w:p>
        </w:tc>
        <w:tc>
          <w:tcPr>
            <w:tcW w:w="693" w:type="pct"/>
            <w:tcBorders>
              <w:top w:val="nil"/>
              <w:left w:val="nil"/>
              <w:bottom w:val="single" w:color="auto" w:sz="4" w:space="0"/>
              <w:right w:val="nil"/>
            </w:tcBorders>
            <w:shd w:val="clear" w:color="auto" w:fill="auto"/>
            <w:noWrap/>
            <w:tcMar>
              <w:top w:w="15" w:type="dxa"/>
              <w:left w:w="15" w:type="dxa"/>
              <w:right w:w="15" w:type="dxa"/>
            </w:tcMar>
            <w:vAlign w:val="bottom"/>
          </w:tcPr>
          <w:p w14:paraId="77A7FA08">
            <w:pPr>
              <w:spacing w:line="280" w:lineRule="exact"/>
              <w:jc w:val="right"/>
              <w:rPr>
                <w:rFonts w:hint="default" w:cs="宋体"/>
                <w:color w:val="000000"/>
                <w:kern w:val="2"/>
                <w:sz w:val="20"/>
                <w:szCs w:val="20"/>
              </w:rPr>
            </w:pPr>
          </w:p>
        </w:tc>
        <w:tc>
          <w:tcPr>
            <w:tcW w:w="1271" w:type="pct"/>
            <w:tcBorders>
              <w:top w:val="nil"/>
              <w:left w:val="nil"/>
              <w:bottom w:val="single" w:color="auto" w:sz="4" w:space="0"/>
              <w:right w:val="nil"/>
            </w:tcBorders>
            <w:shd w:val="clear" w:color="auto" w:fill="auto"/>
            <w:noWrap/>
            <w:tcMar>
              <w:top w:w="15" w:type="dxa"/>
              <w:left w:w="15" w:type="dxa"/>
              <w:right w:w="15" w:type="dxa"/>
            </w:tcMar>
            <w:vAlign w:val="bottom"/>
          </w:tcPr>
          <w:p w14:paraId="75B5ACD9">
            <w:pPr>
              <w:spacing w:line="280" w:lineRule="exact"/>
              <w:rPr>
                <w:rFonts w:hint="default" w:cs="宋体"/>
                <w:color w:val="000000"/>
                <w:kern w:val="2"/>
                <w:sz w:val="20"/>
                <w:szCs w:val="20"/>
              </w:rPr>
            </w:pPr>
          </w:p>
        </w:tc>
        <w:tc>
          <w:tcPr>
            <w:tcW w:w="1328" w:type="pct"/>
            <w:tcBorders>
              <w:top w:val="nil"/>
              <w:left w:val="nil"/>
              <w:bottom w:val="single" w:color="auto" w:sz="4" w:space="0"/>
              <w:right w:val="nil"/>
            </w:tcBorders>
            <w:shd w:val="clear" w:color="auto" w:fill="auto"/>
            <w:noWrap/>
            <w:tcMar>
              <w:top w:w="15" w:type="dxa"/>
              <w:left w:w="15" w:type="dxa"/>
              <w:right w:w="15" w:type="dxa"/>
            </w:tcMar>
            <w:vAlign w:val="bottom"/>
          </w:tcPr>
          <w:p w14:paraId="28AE0AE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174E6D1">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591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8DB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BE2F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AAE5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EF1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128B94F">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030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982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7BFD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1D1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1463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ABE1DF">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470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86B8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F7A6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73B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A408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759E73">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836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C1A0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996C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733C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197C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A3DA56">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7BF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5CD4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1621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1674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674BA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E2D5FF0">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D64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C375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155D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F73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68AA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6E1C94">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14E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69FC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A2F4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7289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AB25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ED3EB2">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694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74E1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9C6E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5A0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72CF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58BFEE">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FD3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DCE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6C65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6D0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1EC1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029683">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AA4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464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F97B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8842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C1FB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B78EC1">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1849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0272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BDA5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7E30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932A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D610ED">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AB8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004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CA600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4F5A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BF7E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3A3879">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E0D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4A9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504A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646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D97C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D0014B">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61C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E420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2F3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8CB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54D4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9EB68">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D92D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41E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8003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BF95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E1C1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04DB06">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00B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41A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0B86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A42A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1BFD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6BC87C2">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8DF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348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BFDC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CE1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FBDA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u w:color="auto"/>
              </w:rPr>
              <w:t xml:space="preserve"> </w:t>
            </w:r>
          </w:p>
        </w:tc>
      </w:tr>
      <w:tr w14:paraId="5B2D65A5">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C2D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24E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A492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B93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EF8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u w:color="auto"/>
              </w:rPr>
              <w:t xml:space="preserve"> </w:t>
            </w:r>
          </w:p>
        </w:tc>
      </w:tr>
      <w:tr w14:paraId="577AB2C8">
        <w:tblPrEx>
          <w:tblCellMar>
            <w:top w:w="0" w:type="dxa"/>
            <w:left w:w="170" w:type="dxa"/>
            <w:bottom w:w="0" w:type="dxa"/>
            <w:right w:w="170" w:type="dxa"/>
          </w:tblCellMar>
        </w:tblPrEx>
        <w:trPr>
          <w:trHeight w:val="235"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948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308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792B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B6F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C62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F90C9B">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484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3BC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EA2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A42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944C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291FC5">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A2B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B79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CB1B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95B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A2B7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u w:color="auto"/>
              </w:rPr>
              <w:t xml:space="preserve"> </w:t>
            </w:r>
          </w:p>
        </w:tc>
      </w:tr>
      <w:tr w14:paraId="39AFA2BD">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2DE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7A7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A4FD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A0F1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8DD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u w:color="auto"/>
              </w:rPr>
              <w:t xml:space="preserve"> </w:t>
            </w:r>
          </w:p>
        </w:tc>
      </w:tr>
      <w:tr w14:paraId="74722AC4">
        <w:tblPrEx>
          <w:tblCellMar>
            <w:top w:w="0" w:type="dxa"/>
            <w:left w:w="170" w:type="dxa"/>
            <w:bottom w:w="0" w:type="dxa"/>
            <w:right w:w="170" w:type="dxa"/>
          </w:tblCellMar>
        </w:tblPrEx>
        <w:trPr>
          <w:trHeight w:val="26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E6B6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4E1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B2E6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042AE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A7499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0AEECF5">
        <w:tblPrEx>
          <w:tblCellMar>
            <w:top w:w="0" w:type="dxa"/>
            <w:left w:w="170" w:type="dxa"/>
            <w:bottom w:w="0" w:type="dxa"/>
            <w:right w:w="170" w:type="dxa"/>
          </w:tblCellMar>
        </w:tblPrEx>
        <w:trPr>
          <w:trHeight w:val="194"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15C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FE8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40AF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4.84</w:t>
            </w: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2B14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5774A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8423689">
        <w:tblPrEx>
          <w:tblCellMar>
            <w:top w:w="0" w:type="dxa"/>
            <w:left w:w="170" w:type="dxa"/>
            <w:bottom w:w="0" w:type="dxa"/>
            <w:right w:w="170" w:type="dxa"/>
          </w:tblCellMar>
        </w:tblPrEx>
        <w:trPr>
          <w:trHeight w:val="229" w:hRule="atLeast"/>
        </w:trPr>
        <w:tc>
          <w:tcPr>
            <w:tcW w:w="9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63A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7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478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1317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2.72</w:t>
            </w:r>
            <w:r>
              <w:rPr>
                <w:rFonts w:ascii="Times New Roman" w:hAnsi="Times New Roman"/>
                <w:color w:val="000000"/>
                <w:sz w:val="18"/>
                <w:u w:color="auto"/>
              </w:rPr>
              <w:t xml:space="preserve"> </w:t>
            </w:r>
          </w:p>
        </w:tc>
        <w:tc>
          <w:tcPr>
            <w:tcW w:w="12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1C1C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99181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CA582D3">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87B04D3-B1DB-43B7-9102-89068CCFDC3D}"/>
  </w:font>
  <w:font w:name="黑体">
    <w:panose1 w:val="02010609060101010101"/>
    <w:charset w:val="86"/>
    <w:family w:val="auto"/>
    <w:pitch w:val="default"/>
    <w:sig w:usb0="800002BF" w:usb1="38CF7CFA" w:usb2="00000016" w:usb3="00000000" w:csb0="00040001" w:csb1="00000000"/>
    <w:embedRegular r:id="rId2" w:fontKey="{ADB71CBF-0ABA-4B43-986B-14F804C944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3" w:fontKey="{E01623F6-A953-4490-A3F4-ED4834AB0FB4}"/>
  </w:font>
  <w:font w:name="方正黑体_GBK">
    <w:panose1 w:val="03000509000000000000"/>
    <w:charset w:val="86"/>
    <w:family w:val="script"/>
    <w:pitch w:val="default"/>
    <w:sig w:usb0="00000001" w:usb1="080E0000" w:usb2="00000000" w:usb3="00000000" w:csb0="00040000" w:csb1="00000000"/>
    <w:embedRegular r:id="rId4" w:fontKey="{E60C2535-A208-4FA9-A4AA-02498F448BF5}"/>
  </w:font>
  <w:font w:name="方正楷体_GBK">
    <w:panose1 w:val="03000509000000000000"/>
    <w:charset w:val="86"/>
    <w:family w:val="script"/>
    <w:pitch w:val="default"/>
    <w:sig w:usb0="00000001" w:usb1="080E0000" w:usb2="00000000" w:usb3="00000000" w:csb0="00040000" w:csb1="00000000"/>
    <w:embedRegular r:id="rId5" w:fontKey="{CD1FD54C-48DF-494E-881D-8030ADB9A9CF}"/>
  </w:font>
  <w:font w:name="方正仿宋_GBK">
    <w:panose1 w:val="03000509000000000000"/>
    <w:charset w:val="86"/>
    <w:family w:val="script"/>
    <w:pitch w:val="default"/>
    <w:sig w:usb0="00000001" w:usb1="080E0000" w:usb2="00000000" w:usb3="00000000" w:csb0="00040000" w:csb1="00000000"/>
    <w:embedRegular r:id="rId6" w:fontKey="{8EC7833B-6BEA-448F-BCD0-EB2FF24EA0F4}"/>
  </w:font>
  <w:font w:name="仿宋_GB2312">
    <w:panose1 w:val="02010609030101010101"/>
    <w:charset w:val="86"/>
    <w:family w:val="modern"/>
    <w:pitch w:val="default"/>
    <w:sig w:usb0="00000001" w:usb1="080E0000" w:usb2="00000000" w:usb3="00000000" w:csb0="00040000" w:csb1="00000000"/>
    <w:embedRegular r:id="rId7" w:fontKey="{5B6D4215-BF16-4A9F-B7A0-068E7C318B6D}"/>
  </w:font>
  <w:font w:name="仿宋">
    <w:panose1 w:val="02010609060101010101"/>
    <w:charset w:val="86"/>
    <w:family w:val="modern"/>
    <w:pitch w:val="default"/>
    <w:sig w:usb0="800002BF" w:usb1="38CF7CFA" w:usb2="00000016" w:usb3="00000000" w:csb0="00040001" w:csb1="00000000"/>
    <w:embedRegular r:id="rId8" w:fontKey="{22F85CF6-41B6-4637-A505-00C41BFC5BF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664C9">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D8BFED">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5D8BFED">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DB47">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CFADD5">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1CFADD5">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9E0E242">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9E0E242">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F926A">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4812CDA"/>
    <w:rsid w:val="0536621F"/>
    <w:rsid w:val="05975BBE"/>
    <w:rsid w:val="05E71467"/>
    <w:rsid w:val="06247E33"/>
    <w:rsid w:val="06651C1D"/>
    <w:rsid w:val="06A2550B"/>
    <w:rsid w:val="06F80EE2"/>
    <w:rsid w:val="07001CCA"/>
    <w:rsid w:val="0735779B"/>
    <w:rsid w:val="075321D2"/>
    <w:rsid w:val="075678DB"/>
    <w:rsid w:val="07932335"/>
    <w:rsid w:val="08051BCA"/>
    <w:rsid w:val="080A21BB"/>
    <w:rsid w:val="08BA052C"/>
    <w:rsid w:val="08DB07BA"/>
    <w:rsid w:val="08F61A47"/>
    <w:rsid w:val="092211F1"/>
    <w:rsid w:val="098305D0"/>
    <w:rsid w:val="09B72B6E"/>
    <w:rsid w:val="09F007AC"/>
    <w:rsid w:val="0A0C7F04"/>
    <w:rsid w:val="0A227275"/>
    <w:rsid w:val="0A5C4B69"/>
    <w:rsid w:val="0B9335CE"/>
    <w:rsid w:val="0BA10C97"/>
    <w:rsid w:val="0C1F4E62"/>
    <w:rsid w:val="0C4D7C21"/>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D019BE"/>
    <w:rsid w:val="18E03A42"/>
    <w:rsid w:val="18FC0A05"/>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7D5CEF"/>
    <w:rsid w:val="1DD26311"/>
    <w:rsid w:val="1DE57DAF"/>
    <w:rsid w:val="1E424F38"/>
    <w:rsid w:val="1EF67CA4"/>
    <w:rsid w:val="1F213FD9"/>
    <w:rsid w:val="1FCD26AF"/>
    <w:rsid w:val="20642787"/>
    <w:rsid w:val="20C83310"/>
    <w:rsid w:val="20EC77A3"/>
    <w:rsid w:val="21556F04"/>
    <w:rsid w:val="216838F8"/>
    <w:rsid w:val="21D95F02"/>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E782484"/>
    <w:rsid w:val="2FAF304A"/>
    <w:rsid w:val="2FE029D7"/>
    <w:rsid w:val="2FF06E00"/>
    <w:rsid w:val="315F0B22"/>
    <w:rsid w:val="31BE24D6"/>
    <w:rsid w:val="31D84415"/>
    <w:rsid w:val="32285F6F"/>
    <w:rsid w:val="325C1EB3"/>
    <w:rsid w:val="32770556"/>
    <w:rsid w:val="329C0913"/>
    <w:rsid w:val="3337290D"/>
    <w:rsid w:val="334B0167"/>
    <w:rsid w:val="34C46423"/>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5223DC"/>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3AF029E"/>
    <w:rsid w:val="443A3B12"/>
    <w:rsid w:val="44487B36"/>
    <w:rsid w:val="44EF6BE8"/>
    <w:rsid w:val="45A30364"/>
    <w:rsid w:val="465B470D"/>
    <w:rsid w:val="469D6AD4"/>
    <w:rsid w:val="47674801"/>
    <w:rsid w:val="47BE6D02"/>
    <w:rsid w:val="48225EF7"/>
    <w:rsid w:val="48A36D47"/>
    <w:rsid w:val="495C4A24"/>
    <w:rsid w:val="49A21DF3"/>
    <w:rsid w:val="49C811E4"/>
    <w:rsid w:val="4A216E30"/>
    <w:rsid w:val="4A735466"/>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AC22C1"/>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70032F"/>
    <w:rsid w:val="5AD563E4"/>
    <w:rsid w:val="5C1336B7"/>
    <w:rsid w:val="5C263CE4"/>
    <w:rsid w:val="5C5D2777"/>
    <w:rsid w:val="5C722D7F"/>
    <w:rsid w:val="5D290C69"/>
    <w:rsid w:val="5D3C129B"/>
    <w:rsid w:val="5DC17CC6"/>
    <w:rsid w:val="5EFA176D"/>
    <w:rsid w:val="5F0247F9"/>
    <w:rsid w:val="5F2D4A41"/>
    <w:rsid w:val="601C34ED"/>
    <w:rsid w:val="60A511FB"/>
    <w:rsid w:val="61025A59"/>
    <w:rsid w:val="613D5BBC"/>
    <w:rsid w:val="61536C39"/>
    <w:rsid w:val="616D60F9"/>
    <w:rsid w:val="61E138C1"/>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43B14"/>
    <w:rsid w:val="6A3829EE"/>
    <w:rsid w:val="6A924CB7"/>
    <w:rsid w:val="6AE0292E"/>
    <w:rsid w:val="6B39651C"/>
    <w:rsid w:val="6B474EF5"/>
    <w:rsid w:val="6BC27679"/>
    <w:rsid w:val="6BC54EFE"/>
    <w:rsid w:val="6C0737CC"/>
    <w:rsid w:val="6C560CAE"/>
    <w:rsid w:val="6CD15296"/>
    <w:rsid w:val="6D903FF5"/>
    <w:rsid w:val="6DA955B8"/>
    <w:rsid w:val="6DE346AB"/>
    <w:rsid w:val="6F607C2A"/>
    <w:rsid w:val="6F79025B"/>
    <w:rsid w:val="6FFB2E76"/>
    <w:rsid w:val="702863C8"/>
    <w:rsid w:val="70AB70D6"/>
    <w:rsid w:val="70DE5507"/>
    <w:rsid w:val="71C34D91"/>
    <w:rsid w:val="71ED38AA"/>
    <w:rsid w:val="723F3B65"/>
    <w:rsid w:val="72DB435C"/>
    <w:rsid w:val="738549F4"/>
    <w:rsid w:val="73DD668E"/>
    <w:rsid w:val="74ED1B1B"/>
    <w:rsid w:val="750837F0"/>
    <w:rsid w:val="762A73EF"/>
    <w:rsid w:val="7631412E"/>
    <w:rsid w:val="764F62AB"/>
    <w:rsid w:val="765C45EC"/>
    <w:rsid w:val="766C1E9B"/>
    <w:rsid w:val="768A7619"/>
    <w:rsid w:val="7714640F"/>
    <w:rsid w:val="77EA362A"/>
    <w:rsid w:val="77F35CA4"/>
    <w:rsid w:val="780E2ADE"/>
    <w:rsid w:val="7875383E"/>
    <w:rsid w:val="796D60A4"/>
    <w:rsid w:val="79A031D5"/>
    <w:rsid w:val="79A52681"/>
    <w:rsid w:val="7A1525F7"/>
    <w:rsid w:val="7A3E6CB6"/>
    <w:rsid w:val="7A99799F"/>
    <w:rsid w:val="7AAB4252"/>
    <w:rsid w:val="7ADD183C"/>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character" w:styleId="12">
    <w:name w:val="page number"/>
    <w:basedOn w:val="10"/>
    <w:qFormat/>
    <w:uiPriority w:val="0"/>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autoRedefine/>
    <w:qFormat/>
    <w:uiPriority w:val="0"/>
    <w:rPr>
      <w:rFonts w:hint="default" w:ascii="Wingdings" w:hAnsi="Wingdings" w:cs="Wingdings"/>
      <w:b/>
      <w:bCs/>
    </w:rPr>
  </w:style>
  <w:style w:type="paragraph" w:customStyle="1" w:styleId="16">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7">
    <w:name w:val="25"/>
    <w:basedOn w:val="10"/>
    <w:qFormat/>
    <w:uiPriority w:val="0"/>
    <w:rPr>
      <w:rFonts w:hint="default" w:ascii="Times New Roman" w:hAnsi="Times New Roman" w:cs="Times New Roman"/>
    </w:rPr>
  </w:style>
  <w:style w:type="character" w:customStyle="1" w:styleId="18">
    <w:name w:val="23"/>
    <w:basedOn w:val="10"/>
    <w:qFormat/>
    <w:uiPriority w:val="0"/>
    <w:rPr>
      <w:rFonts w:hint="default" w:ascii="Times New Roman" w:hAnsi="Times New Roman" w:cs="Times New Roman"/>
      <w:b/>
      <w:bCs/>
    </w:rPr>
  </w:style>
  <w:style w:type="paragraph" w:customStyle="1" w:styleId="19">
    <w:name w:val="普通(网站) Char Char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5098</Words>
  <Characters>5690</Characters>
  <Lines>161</Lines>
  <Paragraphs>45</Paragraphs>
  <TotalTime>6</TotalTime>
  <ScaleCrop>false</ScaleCrop>
  <LinksUpToDate>false</LinksUpToDate>
  <CharactersWithSpaces>5757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2025-10-23T08:32:56Z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