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C463D">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color w:val="auto"/>
          <w:sz w:val="44"/>
          <w:szCs w:val="44"/>
          <w:shd w:val="clear" w:color="auto" w:fill="auto"/>
        </w:rPr>
      </w:pPr>
      <w:r>
        <w:rPr>
          <w:rFonts w:hint="default" w:ascii="Times New Roman" w:hAnsi="Times New Roman" w:eastAsia="方正小标宋_GBK" w:cs="Times New Roman"/>
          <w:color w:val="auto"/>
          <w:sz w:val="44"/>
          <w:szCs w:val="44"/>
        </w:rPr>
        <w:t>重</w:t>
      </w:r>
      <w:r>
        <w:rPr>
          <w:rFonts w:hint="default" w:ascii="Times New Roman" w:hAnsi="Times New Roman" w:eastAsia="方正小标宋_GBK" w:cs="Times New Roman"/>
          <w:color w:val="auto"/>
          <w:sz w:val="44"/>
          <w:szCs w:val="44"/>
          <w:shd w:val="clear" w:color="auto" w:fill="auto"/>
        </w:rPr>
        <w:t>庆市高新技术产业开发区石桥铺小学</w:t>
      </w:r>
    </w:p>
    <w:p w14:paraId="7A7062F4">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小标宋_GBK" w:cs="Times New Roman"/>
          <w:color w:val="auto"/>
          <w:sz w:val="44"/>
          <w:szCs w:val="44"/>
          <w:shd w:val="clear" w:color="auto" w:fill="auto"/>
        </w:rPr>
        <w:t>202</w:t>
      </w:r>
      <w:r>
        <w:rPr>
          <w:rFonts w:hint="default" w:ascii="Times New Roman" w:hAnsi="Times New Roman" w:eastAsia="方正小标宋_GBK" w:cs="Times New Roman"/>
          <w:color w:val="auto"/>
          <w:sz w:val="44"/>
          <w:szCs w:val="44"/>
          <w:shd w:val="clear" w:color="auto" w:fill="auto"/>
          <w:lang w:val="en-US" w:eastAsia="zh-CN"/>
        </w:rPr>
        <w:t>4</w:t>
      </w:r>
      <w:r>
        <w:rPr>
          <w:rFonts w:hint="default" w:ascii="Times New Roman" w:hAnsi="Times New Roman" w:eastAsia="方正小标宋_GBK" w:cs="Times New Roman"/>
          <w:color w:val="auto"/>
          <w:sz w:val="44"/>
          <w:szCs w:val="44"/>
          <w:shd w:val="clear" w:color="auto" w:fill="auto"/>
        </w:rPr>
        <w:t>年度单位决算情况说明</w:t>
      </w:r>
    </w:p>
    <w:p w14:paraId="0EB72C1B">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p>
    <w:p w14:paraId="71BDCA53">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一、单位基本情况</w:t>
      </w:r>
    </w:p>
    <w:p w14:paraId="7E88EA5F">
      <w:pPr>
        <w:pStyle w:val="8"/>
        <w:keepNext w:val="0"/>
        <w:keepLines w:val="0"/>
        <w:pageBreakBefore w:val="0"/>
        <w:widowControl/>
        <w:shd w:val="clear" w:color="auto"/>
        <w:kinsoku/>
        <w:wordWrap/>
        <w:overflowPunct/>
        <w:topLinePunct w:val="0"/>
        <w:autoSpaceDN/>
        <w:bidi w:val="0"/>
        <w:adjustRightInd/>
        <w:spacing w:before="0" w:beforeAutospacing="0" w:after="0" w:afterAutospacing="0" w:line="600" w:lineRule="exact"/>
        <w:ind w:firstLine="640" w:firstLineChars="200"/>
        <w:jc w:val="both"/>
        <w:textAlignment w:val="auto"/>
        <w:rPr>
          <w:rFonts w:hint="default" w:ascii="Times New Roman" w:hAnsi="Times New Roman" w:eastAsia="方正楷体_GBK" w:cs="Times New Roman"/>
          <w:color w:val="auto"/>
          <w:sz w:val="32"/>
          <w:szCs w:val="32"/>
          <w:shd w:val="clear" w:color="auto" w:fill="auto"/>
        </w:rPr>
      </w:pPr>
      <w:r>
        <w:rPr>
          <w:rFonts w:hint="default" w:ascii="Times New Roman" w:hAnsi="Times New Roman" w:eastAsia="方正楷体_GBK" w:cs="Times New Roman"/>
          <w:color w:val="auto"/>
          <w:sz w:val="32"/>
          <w:szCs w:val="32"/>
          <w:shd w:val="clear" w:color="auto" w:fill="auto"/>
        </w:rPr>
        <w:t>（一）职能职责</w:t>
      </w:r>
    </w:p>
    <w:p w14:paraId="2157A31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实施普通小学义务教育，促进学生全面发展。开展教育教学工作；开展学校德育工作；开展学校体育、卫生、艺术工作；负责学校行政管理工作；开展对外交流工作；按政策规定开展学前教育；维护校园安全，提供后勤保障服务。</w:t>
      </w:r>
    </w:p>
    <w:p w14:paraId="38406A7B">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color w:val="auto"/>
          <w:sz w:val="32"/>
          <w:szCs w:val="32"/>
          <w:shd w:val="clear" w:color="auto" w:fill="auto"/>
        </w:rPr>
      </w:pPr>
      <w:r>
        <w:rPr>
          <w:rStyle w:val="11"/>
          <w:rFonts w:hint="default" w:ascii="Times New Roman" w:hAnsi="Times New Roman" w:eastAsia="方正楷体_GBK" w:cs="Times New Roman"/>
          <w:b w:val="0"/>
          <w:color w:val="auto"/>
          <w:sz w:val="32"/>
          <w:szCs w:val="32"/>
          <w:shd w:val="clear" w:color="auto" w:fill="auto"/>
        </w:rPr>
        <w:t>（二）机构设置</w:t>
      </w:r>
    </w:p>
    <w:p w14:paraId="043A3250">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重庆市高新技术产业开发区石桥铺小学是财政全额拨款事业单位，本单位内设机构有党政办公室、行政办公室、教导处、德育处、后勤保障处、安稳办、教学研究室、附属幼儿园。</w:t>
      </w:r>
    </w:p>
    <w:p w14:paraId="02432E80">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二、单位决算</w:t>
      </w:r>
      <w:r>
        <w:rPr>
          <w:rFonts w:hint="default" w:ascii="Times New Roman" w:hAnsi="Times New Roman" w:eastAsia="方正黑体_GBK" w:cs="Times New Roman"/>
          <w:color w:val="auto"/>
          <w:sz w:val="32"/>
          <w:szCs w:val="32"/>
          <w:shd w:val="clear" w:color="auto" w:fill="auto"/>
          <w:lang w:eastAsia="zh-CN"/>
        </w:rPr>
        <w:t>收支</w:t>
      </w:r>
      <w:r>
        <w:rPr>
          <w:rFonts w:hint="default" w:ascii="Times New Roman" w:hAnsi="Times New Roman" w:eastAsia="方正黑体_GBK" w:cs="Times New Roman"/>
          <w:color w:val="auto"/>
          <w:sz w:val="32"/>
          <w:szCs w:val="32"/>
          <w:shd w:val="clear" w:color="auto" w:fill="auto"/>
        </w:rPr>
        <w:t>情况说明</w:t>
      </w:r>
    </w:p>
    <w:p w14:paraId="6141C7F8">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（一）收入支出决算总体情况说明</w:t>
      </w:r>
    </w:p>
    <w:p w14:paraId="2D14F8C2">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b/>
          <w:bCs/>
          <w:color w:val="auto"/>
          <w:sz w:val="32"/>
          <w:szCs w:val="32"/>
          <w:shd w:val="clear" w:color="auto" w:fill="auto"/>
        </w:rPr>
        <w:t>1.总体情况</w:t>
      </w:r>
      <w:r>
        <w:rPr>
          <w:rFonts w:hint="default" w:ascii="Times New Roman" w:hAnsi="Times New Roman" w:eastAsia="方正仿宋_GBK" w:cs="Times New Roman"/>
          <w:b/>
          <w:bCs/>
          <w:color w:val="auto"/>
          <w:sz w:val="32"/>
          <w:szCs w:val="32"/>
          <w:shd w:val="clear" w:color="auto" w:fill="auto"/>
          <w:lang w:eastAsia="zh-CN"/>
        </w:rPr>
        <w:t>。</w:t>
      </w:r>
      <w:r>
        <w:rPr>
          <w:rFonts w:hint="default" w:ascii="Times New Roman" w:hAnsi="Times New Roman" w:eastAsia="方正仿宋_GBK" w:cs="宋体"/>
          <w:b w:val="0"/>
          <w:bCs w:val="0"/>
          <w:kern w:val="0"/>
          <w:sz w:val="32"/>
          <w:szCs w:val="20"/>
          <w:lang w:val="en-US" w:eastAsia="zh-CN" w:bidi="ar-SA"/>
        </w:rPr>
        <w:t>2024</w:t>
      </w:r>
      <w:r>
        <w:rPr>
          <w:rFonts w:hint="default" w:ascii="Times New Roman" w:hAnsi="Times New Roman" w:eastAsia="方正仿宋_GBK" w:cs="Times New Roman"/>
          <w:color w:val="auto"/>
          <w:sz w:val="32"/>
          <w:szCs w:val="32"/>
          <w:shd w:val="clear" w:color="auto" w:fill="auto"/>
        </w:rPr>
        <w:t>年度收入总计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万元，支出总计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万元。收</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支</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71.89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2.2</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w:t>
      </w:r>
    </w:p>
    <w:p w14:paraId="40FC2DC5">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b/>
          <w:bCs/>
          <w:color w:val="auto"/>
          <w:sz w:val="32"/>
          <w:szCs w:val="32"/>
          <w:shd w:val="clear" w:color="auto" w:fill="auto"/>
        </w:rPr>
        <w:t>2.收入情况</w:t>
      </w:r>
      <w:r>
        <w:rPr>
          <w:rFonts w:hint="default" w:ascii="Times New Roman" w:hAnsi="Times New Roman" w:eastAsia="方正仿宋_GBK" w:cs="Times New Roman"/>
          <w:b/>
          <w:bCs/>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年度收入合计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71.89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2.2</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其中：财政拨款收入</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95.61</w:t>
      </w:r>
      <w:r>
        <w:rPr>
          <w:rFonts w:hint="default" w:ascii="Times New Roman" w:hAnsi="Times New Roman" w:eastAsia="方正仿宋_GBK" w:cs="Times New Roman"/>
          <w:color w:val="auto"/>
          <w:sz w:val="32"/>
          <w:szCs w:val="32"/>
          <w:shd w:val="clear" w:color="auto" w:fill="auto"/>
        </w:rPr>
        <w:t>%；事业收入</w:t>
      </w:r>
      <w:r>
        <w:rPr>
          <w:rFonts w:hint="default" w:ascii="Times New Roman" w:hAnsi="Times New Roman" w:eastAsia="方正仿宋_GBK" w:cs="Times New Roman"/>
          <w:color w:val="auto"/>
          <w:sz w:val="32"/>
          <w:szCs w:val="32"/>
          <w:shd w:val="clear" w:color="auto" w:fill="auto"/>
          <w:lang w:val="en-US" w:eastAsia="zh-CN"/>
        </w:rPr>
        <w:t>139.10</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4.39</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eastAsia="zh-CN"/>
        </w:rPr>
        <w:t>。</w:t>
      </w:r>
    </w:p>
    <w:p w14:paraId="36E6BB4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3.支出情况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年度支出合计</w:t>
      </w:r>
      <w:r>
        <w:rPr>
          <w:rFonts w:hint="default" w:ascii="Times New Roman" w:hAnsi="Times New Roman" w:eastAsia="方正仿宋_GBK" w:cs="Times New Roman"/>
          <w:color w:val="auto"/>
          <w:sz w:val="32"/>
          <w:szCs w:val="32"/>
          <w:shd w:val="clear" w:color="auto" w:fill="auto"/>
          <w:lang w:val="en-US" w:eastAsia="zh-CN"/>
        </w:rPr>
        <w:t>3171.66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71.89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2.2</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。其中：基本支出</w:t>
      </w:r>
      <w:r>
        <w:rPr>
          <w:rFonts w:hint="default" w:ascii="Times New Roman" w:hAnsi="Times New Roman" w:eastAsia="方正仿宋_GBK" w:cs="Times New Roman"/>
          <w:color w:val="auto"/>
          <w:sz w:val="32"/>
          <w:szCs w:val="32"/>
          <w:shd w:val="clear" w:color="auto" w:fill="auto"/>
          <w:lang w:val="en-US" w:eastAsia="zh-CN"/>
        </w:rPr>
        <w:t>2491.98</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78.57</w:t>
      </w:r>
      <w:r>
        <w:rPr>
          <w:rFonts w:hint="default" w:ascii="Times New Roman" w:hAnsi="Times New Roman" w:eastAsia="方正仿宋_GBK" w:cs="Times New Roman"/>
          <w:color w:val="auto"/>
          <w:sz w:val="32"/>
          <w:szCs w:val="32"/>
          <w:shd w:val="clear" w:color="auto" w:fill="auto"/>
        </w:rPr>
        <w:t>%；项目支出</w:t>
      </w:r>
      <w:r>
        <w:rPr>
          <w:rFonts w:hint="default" w:ascii="Times New Roman" w:hAnsi="Times New Roman" w:eastAsia="方正仿宋_GBK" w:cs="Times New Roman"/>
          <w:color w:val="auto"/>
          <w:sz w:val="32"/>
          <w:szCs w:val="32"/>
          <w:shd w:val="clear" w:color="auto" w:fill="auto"/>
          <w:lang w:val="en-US" w:eastAsia="zh-CN"/>
        </w:rPr>
        <w:t>679.68</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21.43</w:t>
      </w:r>
      <w:r>
        <w:rPr>
          <w:rFonts w:hint="default" w:ascii="Times New Roman" w:hAnsi="Times New Roman" w:eastAsia="方正仿宋_GBK" w:cs="Times New Roman"/>
          <w:color w:val="auto"/>
          <w:sz w:val="32"/>
          <w:szCs w:val="32"/>
          <w:shd w:val="clear" w:color="auto" w:fill="auto"/>
        </w:rPr>
        <w:t>%。</w:t>
      </w:r>
    </w:p>
    <w:p w14:paraId="657BA499">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Style w:val="11"/>
          <w:rFonts w:hint="default" w:ascii="Times New Roman" w:hAnsi="Times New Roman" w:eastAsia="方正仿宋_GBK" w:cs="Times New Roman"/>
          <w:b/>
          <w:bCs w:val="0"/>
          <w:color w:val="auto"/>
          <w:sz w:val="32"/>
          <w:szCs w:val="32"/>
          <w:shd w:val="clear" w:color="auto" w:fill="auto"/>
        </w:rPr>
        <w:t>4.结转结余情况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年度年末结转和结余0.00万元，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主要原因是收支平衡。</w:t>
      </w:r>
    </w:p>
    <w:p w14:paraId="21968E91">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（二）财政拨款收入支出决算总体情况说明</w:t>
      </w:r>
    </w:p>
    <w:p w14:paraId="32BC9D8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年度财政拨款收、支总计</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万元。与202</w:t>
      </w: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年相比，财政拨款收、支总计各</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130.69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4.1</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w:t>
      </w:r>
    </w:p>
    <w:p w14:paraId="7789137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（三）一般公共预算财政拨款</w:t>
      </w:r>
      <w:r>
        <w:rPr>
          <w:rStyle w:val="11"/>
          <w:rFonts w:hint="default" w:ascii="Times New Roman" w:hAnsi="Times New Roman" w:eastAsia="方正楷体_GBK" w:cs="Times New Roman"/>
          <w:b w:val="0"/>
          <w:bCs w:val="0"/>
          <w:color w:val="auto"/>
          <w:sz w:val="32"/>
          <w:szCs w:val="32"/>
          <w:shd w:val="clear" w:color="auto" w:fill="auto"/>
          <w:lang w:eastAsia="zh-CN"/>
        </w:rPr>
        <w:t>收入</w:t>
      </w:r>
      <w:r>
        <w:rPr>
          <w:rStyle w:val="11"/>
          <w:rFonts w:hint="default" w:ascii="Times New Roman" w:hAnsi="Times New Roman" w:eastAsia="方正楷体_GBK" w:cs="Times New Roman"/>
          <w:b w:val="0"/>
          <w:bCs w:val="0"/>
          <w:color w:val="auto"/>
          <w:sz w:val="32"/>
          <w:szCs w:val="32"/>
          <w:shd w:val="clear" w:color="auto" w:fill="auto"/>
        </w:rPr>
        <w:t>支出决算情况说明</w:t>
      </w:r>
    </w:p>
    <w:p w14:paraId="218EE5A1">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1.收入情况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年度一般公共预算财政拨款收入</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128.69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4.1</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452.08</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17.5</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eastAsia="zh-CN"/>
        </w:rPr>
        <w:t>因人员增加引起工资及社保增加</w:t>
      </w:r>
      <w:r>
        <w:rPr>
          <w:rFonts w:hint="default" w:ascii="Times New Roman" w:hAnsi="Times New Roman" w:eastAsia="方正仿宋_GBK" w:cs="Times New Roman"/>
          <w:color w:val="auto"/>
          <w:sz w:val="32"/>
          <w:szCs w:val="32"/>
          <w:shd w:val="clear" w:color="auto" w:fill="auto"/>
        </w:rPr>
        <w:t>。此外，年初财政拨款结转和结余0.00万元。</w:t>
      </w:r>
    </w:p>
    <w:p w14:paraId="70F779C8">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Style w:val="11"/>
          <w:rFonts w:hint="default" w:ascii="Times New Roman" w:hAnsi="Times New Roman" w:eastAsia="方正仿宋_GBK" w:cs="Times New Roman"/>
          <w:b/>
          <w:bCs w:val="0"/>
          <w:color w:val="auto"/>
          <w:sz w:val="32"/>
          <w:szCs w:val="32"/>
          <w:shd w:val="clear" w:color="auto" w:fill="auto"/>
        </w:rPr>
        <w:t>2.支出情况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年度一般公共预算财政拨款支出</w:t>
      </w:r>
      <w:r>
        <w:rPr>
          <w:rFonts w:hint="default" w:ascii="Times New Roman" w:hAnsi="Times New Roman" w:eastAsia="方正仿宋_GBK" w:cs="Times New Roman"/>
          <w:color w:val="auto"/>
          <w:sz w:val="32"/>
          <w:szCs w:val="32"/>
          <w:shd w:val="clear" w:color="auto" w:fill="auto"/>
          <w:lang w:val="en-US" w:eastAsia="zh-CN"/>
        </w:rPr>
        <w:t>3032.56</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128.69</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4.1</w:t>
      </w:r>
      <w:r>
        <w:rPr>
          <w:rFonts w:hint="default"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项目维修费和设备购置费</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452.08</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17.5</w:t>
      </w: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主要原因是</w:t>
      </w:r>
      <w:r>
        <w:rPr>
          <w:rFonts w:hint="eastAsia" w:ascii="Times New Roman" w:hAnsi="Times New Roman" w:eastAsia="方正仿宋_GBK" w:cs="Times New Roman"/>
          <w:color w:val="auto"/>
          <w:sz w:val="32"/>
          <w:szCs w:val="32"/>
          <w:shd w:val="clear" w:color="auto" w:fill="auto"/>
          <w:lang w:val="en-US" w:eastAsia="zh-CN"/>
        </w:rPr>
        <w:t>因人员增加引起工资及社保增加</w:t>
      </w:r>
      <w:r>
        <w:rPr>
          <w:rFonts w:hint="default" w:ascii="Times New Roman" w:hAnsi="Times New Roman" w:eastAsia="方正仿宋_GBK" w:cs="Times New Roman"/>
          <w:color w:val="auto"/>
          <w:sz w:val="32"/>
          <w:szCs w:val="32"/>
          <w:shd w:val="clear" w:color="auto" w:fill="auto"/>
          <w:lang w:val="en-US" w:eastAsia="zh-CN"/>
        </w:rPr>
        <w:t>。</w:t>
      </w:r>
    </w:p>
    <w:p w14:paraId="7DC7C1F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3.结转结余情况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年度年末一般公共预算财政拨款结转和结余0.00万元，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。主要原因是我单位合理安排使用资金，无结转和结余。</w:t>
      </w:r>
    </w:p>
    <w:p w14:paraId="36AC775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Style w:val="11"/>
          <w:rFonts w:hint="default" w:ascii="Times New Roman" w:hAnsi="Times New Roman" w:eastAsia="方正仿宋_GBK" w:cs="Times New Roman"/>
          <w:b/>
          <w:bCs w:val="0"/>
          <w:color w:val="auto"/>
          <w:sz w:val="32"/>
          <w:szCs w:val="32"/>
          <w:shd w:val="clear" w:color="auto" w:fill="auto"/>
        </w:rPr>
        <w:t>4.比较情况</w:t>
      </w:r>
      <w:r>
        <w:rPr>
          <w:rStyle w:val="11"/>
          <w:rFonts w:hint="default" w:ascii="Times New Roman" w:hAnsi="Times New Roman" w:eastAsia="方正仿宋_GBK" w:cs="Times New Roman"/>
          <w:b/>
          <w:bCs w:val="0"/>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本单位202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年度一般公共预算财政拨款支出主要用于以下几个方面：</w:t>
      </w:r>
    </w:p>
    <w:p w14:paraId="0464A3F2">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（1）教育支出</w:t>
      </w:r>
      <w:r>
        <w:rPr>
          <w:rFonts w:hint="default" w:ascii="Times New Roman" w:hAnsi="Times New Roman" w:eastAsia="方正仿宋_GBK" w:cs="Times New Roman"/>
          <w:color w:val="auto"/>
          <w:sz w:val="32"/>
          <w:szCs w:val="32"/>
          <w:shd w:val="clear" w:color="auto" w:fill="auto"/>
          <w:lang w:val="en-US" w:eastAsia="zh-CN"/>
        </w:rPr>
        <w:t>2452.88</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80.88</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585.26</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31.3</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教育投入加大</w:t>
      </w:r>
      <w:r>
        <w:rPr>
          <w:rFonts w:hint="default" w:ascii="Times New Roman" w:hAnsi="Times New Roman" w:eastAsia="方正仿宋_GBK" w:cs="Times New Roman"/>
          <w:color w:val="auto"/>
          <w:sz w:val="32"/>
          <w:szCs w:val="32"/>
          <w:shd w:val="clear" w:color="auto" w:fill="auto"/>
        </w:rPr>
        <w:t>。</w:t>
      </w:r>
    </w:p>
    <w:p w14:paraId="0F4FDE1D">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2</w:t>
      </w:r>
      <w:r>
        <w:rPr>
          <w:rFonts w:hint="default" w:ascii="Times New Roman" w:hAnsi="Times New Roman" w:eastAsia="方正仿宋_GBK" w:cs="Times New Roman"/>
          <w:color w:val="auto"/>
          <w:sz w:val="32"/>
          <w:szCs w:val="32"/>
          <w:shd w:val="clear" w:color="auto" w:fill="auto"/>
        </w:rPr>
        <w:t>）社会保障与就业支出</w:t>
      </w:r>
      <w:r>
        <w:rPr>
          <w:rFonts w:hint="default" w:ascii="Times New Roman" w:hAnsi="Times New Roman" w:eastAsia="方正仿宋_GBK" w:cs="Times New Roman"/>
          <w:color w:val="auto"/>
          <w:sz w:val="32"/>
          <w:szCs w:val="32"/>
          <w:shd w:val="clear" w:color="auto" w:fill="auto"/>
          <w:lang w:val="en-US" w:eastAsia="zh-CN"/>
        </w:rPr>
        <w:t>292.05</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9.63</w:t>
      </w:r>
      <w:r>
        <w:rPr>
          <w:rFonts w:hint="default" w:ascii="Times New Roman" w:hAnsi="Times New Roman" w:eastAsia="方正仿宋_GBK" w:cs="Times New Roman"/>
          <w:color w:val="auto"/>
          <w:sz w:val="32"/>
          <w:szCs w:val="32"/>
          <w:shd w:val="clear" w:color="auto" w:fill="auto"/>
        </w:rPr>
        <w:t>%，较年初预算数</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lang w:val="en-US" w:eastAsia="zh-CN"/>
        </w:rPr>
        <w:t>142.31</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lang w:val="en-US" w:eastAsia="zh-CN"/>
        </w:rPr>
        <w:t>32.8</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政策性调资</w:t>
      </w:r>
      <w:r>
        <w:rPr>
          <w:rFonts w:hint="default" w:ascii="Times New Roman" w:hAnsi="Times New Roman" w:eastAsia="方正仿宋_GBK" w:cs="Times New Roman"/>
          <w:color w:val="auto"/>
          <w:sz w:val="32"/>
          <w:szCs w:val="32"/>
          <w:shd w:val="clear" w:color="auto" w:fill="auto"/>
        </w:rPr>
        <w:t>。</w:t>
      </w:r>
    </w:p>
    <w:p w14:paraId="4B0A08E2">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3</w:t>
      </w:r>
      <w:r>
        <w:rPr>
          <w:rFonts w:hint="default" w:ascii="Times New Roman" w:hAnsi="Times New Roman" w:eastAsia="方正仿宋_GBK" w:cs="Times New Roman"/>
          <w:color w:val="auto"/>
          <w:sz w:val="32"/>
          <w:szCs w:val="32"/>
          <w:shd w:val="clear" w:color="auto" w:fill="auto"/>
        </w:rPr>
        <w:t>）卫生健康支出</w:t>
      </w:r>
      <w:r>
        <w:rPr>
          <w:rFonts w:hint="default" w:ascii="Times New Roman" w:hAnsi="Times New Roman" w:eastAsia="方正仿宋_GBK" w:cs="Times New Roman"/>
          <w:color w:val="auto"/>
          <w:sz w:val="32"/>
          <w:szCs w:val="32"/>
          <w:shd w:val="clear" w:color="auto" w:fill="auto"/>
          <w:lang w:val="en-US" w:eastAsia="zh-CN"/>
        </w:rPr>
        <w:t>113.27</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3.74</w:t>
      </w:r>
      <w:r>
        <w:rPr>
          <w:rFonts w:hint="default" w:ascii="Times New Roman" w:hAnsi="Times New Roman" w:eastAsia="方正仿宋_GBK" w:cs="Times New Roman"/>
          <w:color w:val="auto"/>
          <w:sz w:val="32"/>
          <w:szCs w:val="32"/>
          <w:shd w:val="clear" w:color="auto" w:fill="auto"/>
        </w:rPr>
        <w:t>%，较年初预算数</w:t>
      </w:r>
      <w:r>
        <w:rPr>
          <w:rFonts w:hint="default" w:ascii="Times New Roman" w:hAnsi="Times New Roman" w:eastAsia="方正仿宋_GBK" w:cs="Times New Roman"/>
          <w:color w:val="auto"/>
          <w:sz w:val="32"/>
          <w:szCs w:val="32"/>
          <w:shd w:val="clear" w:color="auto" w:fill="auto"/>
          <w:lang w:eastAsia="zh-CN"/>
        </w:rPr>
        <w:t>增加</w:t>
      </w:r>
      <w:r>
        <w:rPr>
          <w:rFonts w:hint="default" w:ascii="Times New Roman" w:hAnsi="Times New Roman" w:eastAsia="方正仿宋_GBK" w:cs="Times New Roman"/>
          <w:color w:val="auto"/>
          <w:sz w:val="32"/>
          <w:szCs w:val="32"/>
          <w:shd w:val="clear" w:color="auto" w:fill="auto"/>
          <w:lang w:val="en-US" w:eastAsia="zh-CN"/>
        </w:rPr>
        <w:t>3.30</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增长</w:t>
      </w:r>
      <w:r>
        <w:rPr>
          <w:rFonts w:hint="default" w:ascii="Times New Roman" w:hAnsi="Times New Roman" w:eastAsia="方正仿宋_GBK" w:cs="Times New Roman"/>
          <w:color w:val="auto"/>
          <w:sz w:val="32"/>
          <w:szCs w:val="32"/>
          <w:shd w:val="clear" w:color="auto" w:fill="auto"/>
          <w:lang w:val="en-US" w:eastAsia="zh-CN"/>
        </w:rPr>
        <w:t>3.0</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eastAsia="zh-CN"/>
        </w:rPr>
        <w:t>因</w:t>
      </w:r>
      <w:r>
        <w:rPr>
          <w:rFonts w:hint="eastAsia" w:ascii="Times New Roman" w:hAnsi="Times New Roman" w:eastAsia="方正仿宋_GBK" w:cs="Times New Roman"/>
          <w:color w:val="auto"/>
          <w:sz w:val="32"/>
          <w:szCs w:val="32"/>
          <w:shd w:val="clear" w:color="auto" w:fill="auto"/>
          <w:lang w:val="en-US" w:eastAsia="zh-CN"/>
        </w:rPr>
        <w:t>基数调整</w:t>
      </w:r>
      <w:r>
        <w:rPr>
          <w:rFonts w:hint="default" w:ascii="Times New Roman" w:hAnsi="Times New Roman" w:eastAsia="方正仿宋_GBK" w:cs="Times New Roman"/>
          <w:color w:val="auto"/>
          <w:sz w:val="32"/>
          <w:szCs w:val="32"/>
          <w:shd w:val="clear" w:color="auto" w:fill="auto"/>
        </w:rPr>
        <w:t>。</w:t>
      </w:r>
    </w:p>
    <w:p w14:paraId="238FE9A6">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）住房保障支出</w:t>
      </w:r>
      <w:r>
        <w:rPr>
          <w:rFonts w:hint="default" w:ascii="Times New Roman" w:hAnsi="Times New Roman" w:eastAsia="方正仿宋_GBK" w:cs="Times New Roman"/>
          <w:color w:val="auto"/>
          <w:sz w:val="32"/>
          <w:szCs w:val="32"/>
          <w:shd w:val="clear" w:color="auto" w:fill="auto"/>
          <w:lang w:val="en-US" w:eastAsia="zh-CN"/>
        </w:rPr>
        <w:t>174.37</w:t>
      </w:r>
      <w:r>
        <w:rPr>
          <w:rFonts w:hint="default"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lang w:val="en-US" w:eastAsia="zh-CN"/>
        </w:rPr>
        <w:t>5.75</w:t>
      </w:r>
      <w:r>
        <w:rPr>
          <w:rFonts w:hint="default" w:ascii="Times New Roman" w:hAnsi="Times New Roman" w:eastAsia="方正仿宋_GBK" w:cs="Times New Roman"/>
          <w:color w:val="auto"/>
          <w:sz w:val="32"/>
          <w:szCs w:val="32"/>
          <w:shd w:val="clear" w:color="auto" w:fill="auto"/>
        </w:rPr>
        <w:t>%，较年初预算数增加</w:t>
      </w:r>
      <w:r>
        <w:rPr>
          <w:rFonts w:hint="default" w:ascii="Times New Roman" w:hAnsi="Times New Roman" w:eastAsia="方正仿宋_GBK" w:cs="Times New Roman"/>
          <w:color w:val="auto"/>
          <w:sz w:val="32"/>
          <w:szCs w:val="32"/>
          <w:shd w:val="clear" w:color="auto" w:fill="auto"/>
          <w:lang w:val="en-US" w:eastAsia="zh-CN"/>
        </w:rPr>
        <w:t>5.84</w:t>
      </w:r>
      <w:r>
        <w:rPr>
          <w:rFonts w:hint="default" w:ascii="Times New Roman" w:hAnsi="Times New Roman" w:eastAsia="方正仿宋_GBK" w:cs="Times New Roman"/>
          <w:color w:val="auto"/>
          <w:sz w:val="32"/>
          <w:szCs w:val="32"/>
          <w:shd w:val="clear" w:color="auto" w:fill="auto"/>
        </w:rPr>
        <w:t>万元，增长</w:t>
      </w:r>
      <w:r>
        <w:rPr>
          <w:rFonts w:hint="default" w:ascii="Times New Roman" w:hAnsi="Times New Roman" w:eastAsia="方正仿宋_GBK" w:cs="Times New Roman"/>
          <w:color w:val="auto"/>
          <w:sz w:val="32"/>
          <w:szCs w:val="32"/>
          <w:shd w:val="clear" w:color="auto" w:fill="auto"/>
          <w:lang w:val="en-US" w:eastAsia="zh-CN"/>
        </w:rPr>
        <w:t>3.5</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增人增资</w:t>
      </w:r>
      <w:r>
        <w:rPr>
          <w:rFonts w:hint="default" w:ascii="Times New Roman" w:hAnsi="Times New Roman" w:eastAsia="方正仿宋_GBK" w:cs="Times New Roman"/>
          <w:color w:val="auto"/>
          <w:sz w:val="32"/>
          <w:szCs w:val="32"/>
          <w:shd w:val="clear" w:color="auto" w:fill="auto"/>
        </w:rPr>
        <w:t>。</w:t>
      </w:r>
    </w:p>
    <w:p w14:paraId="7F9C02F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（四）一般公共预算财政拨款基本支出决算情况说明</w:t>
      </w:r>
    </w:p>
    <w:p w14:paraId="538CA35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年度一般公共财政拨款基本支出</w:t>
      </w:r>
      <w:r>
        <w:rPr>
          <w:rFonts w:hint="default" w:ascii="Times New Roman" w:hAnsi="Times New Roman" w:eastAsia="方正仿宋_GBK" w:cs="Times New Roman"/>
          <w:color w:val="auto"/>
          <w:sz w:val="32"/>
          <w:szCs w:val="32"/>
          <w:shd w:val="clear" w:color="auto" w:fill="auto"/>
          <w:lang w:val="en-US" w:eastAsia="zh-CN"/>
        </w:rPr>
        <w:t>2491.98</w:t>
      </w:r>
      <w:r>
        <w:rPr>
          <w:rFonts w:hint="default" w:ascii="Times New Roman" w:hAnsi="Times New Roman" w:eastAsia="方正仿宋_GBK" w:cs="Times New Roman"/>
          <w:color w:val="auto"/>
          <w:sz w:val="32"/>
          <w:szCs w:val="32"/>
          <w:shd w:val="clear" w:color="auto" w:fill="auto"/>
        </w:rPr>
        <w:t>万元。其中：人员经费</w:t>
      </w:r>
      <w:r>
        <w:rPr>
          <w:rFonts w:hint="default" w:ascii="Times New Roman" w:hAnsi="Times New Roman" w:eastAsia="方正仿宋_GBK" w:cs="Times New Roman"/>
          <w:color w:val="auto"/>
          <w:sz w:val="32"/>
          <w:szCs w:val="32"/>
          <w:shd w:val="clear" w:color="auto" w:fill="auto"/>
          <w:lang w:val="en-US" w:eastAsia="zh-CN"/>
        </w:rPr>
        <w:t>2198.21</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2023年度相比，增加116.84</w:t>
      </w:r>
      <w:r>
        <w:rPr>
          <w:rFonts w:hint="default"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lang w:eastAsia="zh-CN"/>
        </w:rPr>
        <w:t>增长</w:t>
      </w:r>
      <w:r>
        <w:rPr>
          <w:rFonts w:hint="default" w:ascii="Times New Roman" w:hAnsi="Times New Roman" w:eastAsia="方正仿宋_GBK" w:cs="Times New Roman"/>
          <w:color w:val="auto"/>
          <w:sz w:val="32"/>
          <w:szCs w:val="32"/>
          <w:shd w:val="clear" w:color="auto" w:fill="auto"/>
          <w:lang w:val="en-US" w:eastAsia="zh-CN"/>
        </w:rPr>
        <w:t>5.6</w:t>
      </w:r>
      <w:r>
        <w:rPr>
          <w:rFonts w:hint="default" w:ascii="Times New Roman" w:hAnsi="Times New Roman" w:eastAsia="方正仿宋_GBK" w:cs="Times New Roman"/>
          <w:color w:val="auto"/>
          <w:sz w:val="32"/>
          <w:szCs w:val="32"/>
          <w:shd w:val="clear" w:color="auto" w:fill="auto"/>
        </w:rPr>
        <w:t>%。主要原因</w:t>
      </w:r>
      <w:r>
        <w:rPr>
          <w:rFonts w:hint="default" w:ascii="Times New Roman" w:hAnsi="Times New Roman" w:eastAsia="方正仿宋_GBK" w:cs="Times New Roman"/>
          <w:color w:val="auto"/>
          <w:sz w:val="32"/>
          <w:szCs w:val="32"/>
          <w:shd w:val="clear" w:color="auto" w:fill="auto"/>
          <w:lang w:eastAsia="zh-CN"/>
        </w:rPr>
        <w:t>社保缴费基数调整及人员增加。人员经费用途主要包括基本工资、津贴补贴、绩效工资、社会保障缴费</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lang w:eastAsia="zh-CN"/>
        </w:rPr>
        <w:t>其他工资福利支出。公用经费</w:t>
      </w:r>
      <w:r>
        <w:rPr>
          <w:rFonts w:hint="default" w:ascii="Times New Roman" w:hAnsi="Times New Roman" w:eastAsia="方正仿宋_GBK" w:cs="Times New Roman"/>
          <w:color w:val="auto"/>
          <w:sz w:val="32"/>
          <w:szCs w:val="32"/>
          <w:shd w:val="clear" w:color="auto" w:fill="auto"/>
          <w:lang w:val="en-US" w:eastAsia="zh-CN"/>
        </w:rPr>
        <w:t>293.77</w:t>
      </w:r>
      <w:r>
        <w:rPr>
          <w:rFonts w:hint="default" w:ascii="Times New Roman" w:hAnsi="Times New Roman" w:eastAsia="方正仿宋_GBK" w:cs="Times New Roman"/>
          <w:color w:val="auto"/>
          <w:sz w:val="32"/>
          <w:szCs w:val="32"/>
          <w:shd w:val="clear" w:color="auto" w:fill="auto"/>
          <w:lang w:eastAsia="zh-CN"/>
        </w:rPr>
        <w:t>万元，与</w:t>
      </w:r>
      <w:r>
        <w:rPr>
          <w:rFonts w:hint="default" w:ascii="Times New Roman" w:hAnsi="Times New Roman" w:eastAsia="方正仿宋_GBK" w:cs="Times New Roman"/>
          <w:color w:val="auto"/>
          <w:sz w:val="32"/>
          <w:szCs w:val="32"/>
          <w:shd w:val="clear" w:color="auto" w:fill="auto"/>
          <w:lang w:val="en-US" w:eastAsia="zh-CN"/>
        </w:rPr>
        <w:t>2023年度相比，</w:t>
      </w:r>
      <w:r>
        <w:rPr>
          <w:rFonts w:hint="default" w:ascii="Times New Roman" w:hAnsi="Times New Roman" w:eastAsia="方正仿宋_GBK" w:cs="Times New Roman"/>
          <w:color w:val="auto"/>
          <w:sz w:val="32"/>
          <w:szCs w:val="32"/>
          <w:shd w:val="clear" w:color="auto" w:fill="auto"/>
          <w:lang w:eastAsia="zh-CN"/>
        </w:rPr>
        <w:t>增加</w:t>
      </w:r>
      <w:r>
        <w:rPr>
          <w:rFonts w:hint="default" w:ascii="Times New Roman" w:hAnsi="Times New Roman" w:eastAsia="方正仿宋_GBK" w:cs="Times New Roman"/>
          <w:color w:val="auto"/>
          <w:sz w:val="32"/>
          <w:szCs w:val="32"/>
          <w:shd w:val="clear" w:color="auto" w:fill="auto"/>
          <w:lang w:val="en-US" w:eastAsia="zh-CN"/>
        </w:rPr>
        <w:t>12.41</w:t>
      </w:r>
      <w:r>
        <w:rPr>
          <w:rFonts w:hint="default" w:ascii="Times New Roman" w:hAnsi="Times New Roman" w:eastAsia="方正仿宋_GBK" w:cs="Times New Roman"/>
          <w:color w:val="auto"/>
          <w:sz w:val="32"/>
          <w:szCs w:val="32"/>
          <w:shd w:val="clear" w:color="auto" w:fill="auto"/>
          <w:lang w:eastAsia="zh-CN"/>
        </w:rPr>
        <w:t>万元，增长</w:t>
      </w:r>
      <w:r>
        <w:rPr>
          <w:rFonts w:hint="default" w:ascii="Times New Roman" w:hAnsi="Times New Roman" w:eastAsia="方正仿宋_GBK" w:cs="Times New Roman"/>
          <w:color w:val="auto"/>
          <w:sz w:val="32"/>
          <w:szCs w:val="32"/>
          <w:shd w:val="clear" w:color="auto" w:fill="auto"/>
          <w:lang w:val="en-US" w:eastAsia="zh-CN"/>
        </w:rPr>
        <w:t>4.4</w:t>
      </w:r>
      <w:r>
        <w:rPr>
          <w:rFonts w:hint="default" w:ascii="Times New Roman" w:hAnsi="Times New Roman" w:eastAsia="方正仿宋_GBK" w:cs="Times New Roman"/>
          <w:color w:val="auto"/>
          <w:sz w:val="32"/>
          <w:szCs w:val="32"/>
          <w:shd w:val="clear" w:color="auto" w:fill="auto"/>
          <w:lang w:eastAsia="zh-CN"/>
        </w:rPr>
        <w:t>%，主要原因是</w:t>
      </w:r>
      <w:r>
        <w:rPr>
          <w:rFonts w:hint="eastAsia" w:ascii="Times New Roman" w:hAnsi="Times New Roman" w:eastAsia="方正仿宋_GBK" w:cs="Times New Roman"/>
          <w:color w:val="auto"/>
          <w:sz w:val="32"/>
          <w:szCs w:val="32"/>
          <w:shd w:val="clear" w:color="auto" w:fill="auto"/>
          <w:lang w:val="en-US" w:eastAsia="zh-CN"/>
        </w:rPr>
        <w:t>幼儿园学生人数增加</w:t>
      </w:r>
      <w:r>
        <w:rPr>
          <w:rFonts w:hint="default" w:ascii="Times New Roman" w:hAnsi="Times New Roman" w:eastAsia="方正仿宋_GBK" w:cs="Times New Roman"/>
          <w:color w:val="auto"/>
          <w:sz w:val="32"/>
          <w:szCs w:val="32"/>
          <w:shd w:val="clear" w:color="auto" w:fill="auto"/>
          <w:lang w:eastAsia="zh-CN"/>
        </w:rPr>
        <w:t>。公用经费用途主要包括办公费、印刷费、水电费、邮电费、物</w:t>
      </w:r>
      <w:r>
        <w:rPr>
          <w:rFonts w:hint="default" w:ascii="Times New Roman" w:hAnsi="Times New Roman" w:eastAsia="方正仿宋_GBK" w:cs="Times New Roman"/>
          <w:color w:val="auto"/>
          <w:sz w:val="32"/>
          <w:szCs w:val="32"/>
          <w:shd w:val="clear" w:color="auto" w:fill="auto"/>
        </w:rPr>
        <w:t>业管理费、差旅费、维修费、培训费、专用材料费、劳务费</w:t>
      </w:r>
      <w:r>
        <w:rPr>
          <w:rFonts w:hint="default"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公务用车运行维护费、其他商品和服务支出</w:t>
      </w:r>
      <w:r>
        <w:rPr>
          <w:rFonts w:hint="eastAsia" w:ascii="Times New Roman" w:hAnsi="Times New Roman" w:eastAsia="方正仿宋_GBK" w:cs="Times New Roman"/>
          <w:color w:val="auto"/>
          <w:sz w:val="32"/>
          <w:szCs w:val="32"/>
          <w:shd w:val="clear" w:color="auto" w:fill="auto"/>
          <w:lang w:val="en-US" w:eastAsia="zh-CN"/>
        </w:rPr>
        <w:t>等</w:t>
      </w:r>
      <w:r>
        <w:rPr>
          <w:rFonts w:hint="default" w:ascii="Times New Roman" w:hAnsi="Times New Roman" w:eastAsia="方正仿宋_GBK" w:cs="Times New Roman"/>
          <w:color w:val="auto"/>
          <w:sz w:val="32"/>
          <w:szCs w:val="32"/>
          <w:shd w:val="clear" w:color="auto" w:fill="auto"/>
        </w:rPr>
        <w:t>。</w:t>
      </w:r>
    </w:p>
    <w:p w14:paraId="5A2F4144">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（五）政府性基金预算收支决算情况说明</w:t>
      </w:r>
    </w:p>
    <w:p w14:paraId="22B4C0B5">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val="en-US" w:eastAsia="zh-CN"/>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年度政府性基金预算财政拨款年初结转结余0.00万元，年末结转结余0.00万元。本年收入</w:t>
      </w:r>
      <w:r>
        <w:rPr>
          <w:rFonts w:hint="default"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2023年度相比，减少2</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下降</w:t>
      </w:r>
      <w:r>
        <w:rPr>
          <w:rFonts w:hint="default" w:ascii="Times New Roman" w:hAnsi="Times New Roman" w:eastAsia="方正仿宋_GBK" w:cs="Times New Roman"/>
          <w:color w:val="auto"/>
          <w:sz w:val="32"/>
          <w:szCs w:val="32"/>
          <w:shd w:val="clear" w:color="auto" w:fill="auto"/>
        </w:rPr>
        <w:t>100%。主要原因</w:t>
      </w:r>
      <w:r>
        <w:rPr>
          <w:rFonts w:hint="default" w:ascii="Times New Roman" w:hAnsi="Times New Roman" w:eastAsia="方正仿宋_GBK" w:cs="Times New Roman"/>
          <w:color w:val="auto"/>
          <w:sz w:val="32"/>
          <w:szCs w:val="32"/>
          <w:shd w:val="clear" w:color="auto" w:fill="auto"/>
          <w:lang w:eastAsia="zh-CN"/>
        </w:rPr>
        <w:t>是减少青少年体育训练基地建设费</w:t>
      </w:r>
      <w:r>
        <w:rPr>
          <w:rFonts w:hint="default" w:ascii="Times New Roman" w:hAnsi="Times New Roman" w:eastAsia="方正仿宋_GBK" w:cs="Times New Roman"/>
          <w:color w:val="auto"/>
          <w:sz w:val="32"/>
          <w:szCs w:val="32"/>
          <w:shd w:val="clear" w:color="auto" w:fill="auto"/>
        </w:rPr>
        <w:t>。本年支出</w:t>
      </w:r>
      <w:r>
        <w:rPr>
          <w:rFonts w:hint="default" w:ascii="Times New Roman" w:hAnsi="Times New Roman" w:eastAsia="方正仿宋_GBK" w:cs="Times New Roman"/>
          <w:color w:val="auto"/>
          <w:sz w:val="32"/>
          <w:szCs w:val="32"/>
          <w:shd w:val="clear" w:color="auto" w:fill="auto"/>
          <w:lang w:val="en-US" w:eastAsia="zh-CN"/>
        </w:rPr>
        <w:t>0</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与</w:t>
      </w:r>
      <w:r>
        <w:rPr>
          <w:rFonts w:hint="default" w:ascii="Times New Roman" w:hAnsi="Times New Roman" w:eastAsia="方正仿宋_GBK" w:cs="Times New Roman"/>
          <w:color w:val="auto"/>
          <w:sz w:val="32"/>
          <w:szCs w:val="32"/>
          <w:shd w:val="clear" w:color="auto" w:fill="auto"/>
          <w:lang w:val="en-US" w:eastAsia="zh-CN"/>
        </w:rPr>
        <w:t>2023年度减少2</w:t>
      </w:r>
      <w:r>
        <w:rPr>
          <w:rFonts w:hint="default" w:ascii="Times New Roman" w:hAnsi="Times New Roman" w:eastAsia="方正仿宋_GBK" w:cs="Times New Roman"/>
          <w:color w:val="auto"/>
          <w:sz w:val="32"/>
          <w:szCs w:val="32"/>
          <w:shd w:val="clear" w:color="auto" w:fill="auto"/>
        </w:rPr>
        <w:t>.00万元，</w:t>
      </w:r>
      <w:r>
        <w:rPr>
          <w:rFonts w:hint="default" w:ascii="Times New Roman" w:hAnsi="Times New Roman" w:eastAsia="方正仿宋_GBK" w:cs="Times New Roman"/>
          <w:color w:val="auto"/>
          <w:sz w:val="32"/>
          <w:szCs w:val="32"/>
          <w:shd w:val="clear" w:color="auto" w:fill="auto"/>
          <w:lang w:eastAsia="zh-CN"/>
        </w:rPr>
        <w:t>减少</w:t>
      </w:r>
      <w:r>
        <w:rPr>
          <w:rFonts w:hint="default" w:ascii="Times New Roman" w:hAnsi="Times New Roman" w:eastAsia="方正仿宋_GBK" w:cs="Times New Roman"/>
          <w:color w:val="auto"/>
          <w:sz w:val="32"/>
          <w:szCs w:val="32"/>
          <w:shd w:val="clear" w:color="auto" w:fill="auto"/>
        </w:rPr>
        <w:t>100%。主要原因是</w:t>
      </w:r>
      <w:r>
        <w:rPr>
          <w:rFonts w:hint="default" w:ascii="Times New Roman" w:hAnsi="Times New Roman" w:eastAsia="方正仿宋_GBK" w:cs="Times New Roman"/>
          <w:color w:val="auto"/>
          <w:sz w:val="32"/>
          <w:szCs w:val="32"/>
          <w:shd w:val="clear" w:color="auto" w:fill="auto"/>
          <w:lang w:eastAsia="zh-CN"/>
        </w:rPr>
        <w:t>本</w:t>
      </w:r>
      <w:r>
        <w:rPr>
          <w:rFonts w:hint="default" w:ascii="Times New Roman" w:hAnsi="Times New Roman" w:eastAsia="方正仿宋_GBK" w:cs="Times New Roman"/>
          <w:color w:val="auto"/>
          <w:sz w:val="32"/>
          <w:szCs w:val="32"/>
          <w:shd w:val="clear" w:color="auto" w:fill="auto"/>
          <w:lang w:val="en-US" w:eastAsia="zh-CN"/>
        </w:rPr>
        <w:t>年度无政府性基金预算财政拨款收支。</w:t>
      </w:r>
    </w:p>
    <w:p w14:paraId="55F466C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（六）国有资本经营预算财政拨款支出决算情况说明</w:t>
      </w:r>
    </w:p>
    <w:p w14:paraId="7C968446">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年度国有资本经营预算财政拨款本年支出0.00万元，基本支出0.00万元，项目支出0.00万元。</w:t>
      </w:r>
      <w:r>
        <w:rPr>
          <w:rFonts w:hint="default" w:ascii="Times New Roman" w:hAnsi="Times New Roman" w:eastAsia="方正仿宋_GBK" w:cs="Times New Roman"/>
          <w:color w:val="auto"/>
          <w:sz w:val="32"/>
          <w:szCs w:val="32"/>
          <w:shd w:val="clear" w:color="auto" w:fill="auto"/>
          <w:lang w:eastAsia="zh-CN"/>
        </w:rPr>
        <w:t>主要原因是</w:t>
      </w:r>
      <w:r>
        <w:rPr>
          <w:rFonts w:hint="default" w:ascii="Times New Roman" w:hAnsi="Times New Roman" w:eastAsia="方正仿宋_GBK" w:cs="Times New Roman"/>
          <w:color w:val="auto"/>
          <w:sz w:val="32"/>
          <w:szCs w:val="32"/>
          <w:shd w:val="clear" w:color="auto" w:fill="auto"/>
        </w:rPr>
        <w:t>本单位202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年度无国有资本经营预算财政拨款支出。</w:t>
      </w:r>
    </w:p>
    <w:p w14:paraId="4D33DB2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shd w:val="clear" w:color="auto" w:fill="auto"/>
        </w:rPr>
      </w:pPr>
      <w:r>
        <w:rPr>
          <w:rFonts w:hint="default" w:ascii="Times New Roman" w:hAnsi="Times New Roman" w:eastAsia="方正黑体_GBK" w:cs="Times New Roman"/>
          <w:color w:val="auto"/>
          <w:sz w:val="32"/>
          <w:szCs w:val="32"/>
          <w:shd w:val="clear" w:color="auto" w:fill="auto"/>
        </w:rPr>
        <w:t>三、</w:t>
      </w:r>
      <w:r>
        <w:rPr>
          <w:rFonts w:hint="eastAsia" w:ascii="Times New Roman" w:hAnsi="Times New Roman" w:eastAsia="方正黑体_GBK" w:cs="Times New Roman"/>
          <w:color w:val="auto"/>
          <w:sz w:val="32"/>
          <w:szCs w:val="32"/>
          <w:shd w:val="clear" w:color="auto" w:fill="auto"/>
          <w:lang w:eastAsia="zh-CN"/>
        </w:rPr>
        <w:t>“</w:t>
      </w:r>
      <w:r>
        <w:rPr>
          <w:rFonts w:hint="default" w:ascii="Times New Roman" w:hAnsi="Times New Roman" w:eastAsia="方正黑体_GBK" w:cs="Times New Roman"/>
          <w:color w:val="auto"/>
          <w:sz w:val="32"/>
          <w:szCs w:val="32"/>
          <w:shd w:val="clear" w:color="auto" w:fill="auto"/>
        </w:rPr>
        <w:t>三公</w:t>
      </w:r>
      <w:r>
        <w:rPr>
          <w:rFonts w:hint="eastAsia" w:ascii="Times New Roman" w:hAnsi="Times New Roman" w:eastAsia="方正黑体_GBK" w:cs="Times New Roman"/>
          <w:color w:val="auto"/>
          <w:sz w:val="32"/>
          <w:szCs w:val="32"/>
          <w:shd w:val="clear" w:color="auto" w:fill="auto"/>
          <w:lang w:eastAsia="zh-CN"/>
        </w:rPr>
        <w:t>”</w:t>
      </w:r>
      <w:r>
        <w:rPr>
          <w:rFonts w:hint="default" w:ascii="Times New Roman" w:hAnsi="Times New Roman" w:eastAsia="方正黑体_GBK" w:cs="Times New Roman"/>
          <w:color w:val="auto"/>
          <w:sz w:val="32"/>
          <w:szCs w:val="32"/>
          <w:shd w:val="clear" w:color="auto" w:fill="auto"/>
        </w:rPr>
        <w:t>经费情况说明</w:t>
      </w:r>
    </w:p>
    <w:p w14:paraId="1E6E39CE">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（一）</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三公</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经费支出总体情况说明</w:t>
      </w:r>
    </w:p>
    <w:p w14:paraId="1D8DCBE0">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三公</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经费支出共计1.57万元，较年初预算数</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，主要原因是我单位认真贯彻落实中央</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八项规定</w:t>
      </w:r>
      <w:r>
        <w:rPr>
          <w:rFonts w:hint="eastAsia" w:ascii="Times New Roman" w:hAnsi="Times New Roman" w:eastAsia="方正仿宋_GBK" w:cs="Times New Roman"/>
          <w:color w:val="auto"/>
          <w:sz w:val="32"/>
          <w:szCs w:val="32"/>
          <w:shd w:val="clear" w:color="auto" w:fill="auto"/>
          <w:lang w:eastAsia="zh-CN"/>
        </w:rPr>
        <w:t>”</w:t>
      </w:r>
      <w:r>
        <w:rPr>
          <w:rFonts w:hint="default" w:ascii="Times New Roman" w:hAnsi="Times New Roman" w:eastAsia="方正仿宋_GBK" w:cs="Times New Roman"/>
          <w:color w:val="auto"/>
          <w:sz w:val="32"/>
          <w:szCs w:val="32"/>
          <w:shd w:val="clear" w:color="auto" w:fill="auto"/>
        </w:rPr>
        <w:t>精神和厉行节约要求，严控三公经费。较上年支出</w:t>
      </w:r>
      <w:r>
        <w:rPr>
          <w:rFonts w:hint="default" w:ascii="Times New Roman" w:hAnsi="Times New Roman" w:eastAsia="方正仿宋_GBK" w:cs="Times New Roman"/>
          <w:color w:val="auto"/>
          <w:sz w:val="32"/>
          <w:szCs w:val="32"/>
          <w:shd w:val="clear" w:color="auto" w:fill="auto"/>
          <w:lang w:eastAsia="zh-CN"/>
        </w:rPr>
        <w:t>数</w:t>
      </w:r>
      <w:r>
        <w:rPr>
          <w:rFonts w:hint="default" w:ascii="Times New Roman" w:hAnsi="Times New Roman" w:eastAsia="方正仿宋_GBK" w:cs="Times New Roman"/>
          <w:color w:val="auto"/>
          <w:sz w:val="32"/>
          <w:szCs w:val="32"/>
          <w:shd w:val="clear" w:color="auto" w:fill="auto"/>
          <w:lang w:eastAsia="zh-CN"/>
          <w:woUserID w:val="1"/>
        </w:rPr>
        <w:t>无增减</w:t>
      </w:r>
      <w:r>
        <w:rPr>
          <w:rFonts w:hint="default"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val="en-US" w:eastAsia="zh-CN"/>
        </w:rPr>
        <w:t>本单位</w:t>
      </w:r>
      <w:r>
        <w:rPr>
          <w:rFonts w:hint="default" w:ascii="Times New Roman" w:hAnsi="Times New Roman" w:eastAsia="方正仿宋_GBK" w:cs="Times New Roman"/>
          <w:color w:val="auto"/>
          <w:sz w:val="32"/>
          <w:szCs w:val="32"/>
          <w:shd w:val="clear" w:color="auto" w:fill="auto"/>
        </w:rPr>
        <w:t>厉行节约，严控三公经费。</w:t>
      </w:r>
    </w:p>
    <w:p w14:paraId="6778F67D">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（二）</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三公</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经费分项支出情况</w:t>
      </w:r>
    </w:p>
    <w:p w14:paraId="6585BD9C">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年度本单位因公出国（境）费用0.00万元，费用支出较年初预算数</w:t>
      </w:r>
      <w:r>
        <w:rPr>
          <w:rFonts w:hint="default" w:ascii="Times New Roman" w:hAnsi="Times New Roman" w:eastAsia="方正仿宋_GBK" w:cs="Times New Roman"/>
          <w:color w:val="auto"/>
          <w:sz w:val="32"/>
          <w:szCs w:val="32"/>
          <w:shd w:val="clear" w:color="auto" w:fill="auto"/>
          <w:lang w:val="en-US"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default" w:ascii="Times New Roman" w:hAnsi="Times New Roman" w:eastAsia="方正仿宋_GBK" w:cs="Times New Roman"/>
          <w:color w:val="auto"/>
          <w:sz w:val="32"/>
          <w:szCs w:val="32"/>
          <w:shd w:val="clear" w:color="auto" w:fill="auto"/>
          <w:lang w:val="en-US" w:eastAsia="zh-CN"/>
          <w:woUserID w:val="1"/>
        </w:rPr>
        <w:t>无增减。</w:t>
      </w:r>
      <w:r>
        <w:rPr>
          <w:rFonts w:hint="default" w:ascii="Times New Roman" w:hAnsi="Times New Roman" w:eastAsia="方正仿宋_GBK" w:cs="Times New Roman"/>
          <w:color w:val="auto"/>
          <w:sz w:val="32"/>
          <w:szCs w:val="32"/>
          <w:shd w:val="clear" w:color="auto" w:fill="auto"/>
          <w:lang w:eastAsia="zh-CN"/>
          <w:woUserID w:val="1"/>
        </w:rPr>
        <w:t>本</w:t>
      </w:r>
      <w:r>
        <w:rPr>
          <w:rFonts w:hint="default" w:ascii="Times New Roman" w:hAnsi="Times New Roman" w:eastAsia="方正仿宋_GBK" w:cs="Times New Roman"/>
          <w:color w:val="auto"/>
          <w:sz w:val="32"/>
          <w:szCs w:val="32"/>
          <w:shd w:val="clear" w:color="auto" w:fill="auto"/>
        </w:rPr>
        <w:t>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年度未发生因公出国（境）费用</w:t>
      </w:r>
      <w:r>
        <w:rPr>
          <w:rFonts w:hint="default" w:ascii="Times New Roman" w:hAnsi="Times New Roman" w:eastAsia="方正仿宋_GBK" w:cs="Times New Roman"/>
          <w:color w:val="auto"/>
          <w:sz w:val="32"/>
          <w:szCs w:val="32"/>
          <w:shd w:val="clear" w:color="auto" w:fill="auto"/>
          <w:woUserID w:val="1"/>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color w:val="auto"/>
          <w:sz w:val="32"/>
          <w:szCs w:val="32"/>
          <w:shd w:val="clear" w:color="auto" w:fill="auto"/>
        </w:rPr>
        <w:t>。</w:t>
      </w:r>
    </w:p>
    <w:p w14:paraId="329DA4AF">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公务车购置费0.00万元，费用支出较年初预算数</w:t>
      </w:r>
      <w:r>
        <w:rPr>
          <w:rFonts w:hint="default" w:ascii="Times New Roman" w:hAnsi="Times New Roman" w:eastAsia="方正仿宋_GBK" w:cs="Times New Roman"/>
          <w:color w:val="auto"/>
          <w:sz w:val="32"/>
          <w:szCs w:val="32"/>
          <w:shd w:val="clear" w:color="auto" w:fill="auto"/>
          <w:lang w:val="en-US"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default" w:ascii="Times New Roman" w:hAnsi="Times New Roman" w:eastAsia="方正仿宋_GBK" w:cs="Times New Roman"/>
          <w:color w:val="auto"/>
          <w:sz w:val="32"/>
          <w:szCs w:val="32"/>
          <w:shd w:val="clear" w:color="auto" w:fill="auto"/>
          <w:lang w:val="en-US" w:eastAsia="zh-CN"/>
          <w:woUserID w:val="1"/>
        </w:rPr>
        <w:t>无增减。</w:t>
      </w:r>
      <w:r>
        <w:rPr>
          <w:rFonts w:hint="default" w:ascii="Times New Roman" w:hAnsi="Times New Roman" w:eastAsia="方正仿宋_GBK" w:cs="Times New Roman"/>
          <w:color w:val="auto"/>
          <w:sz w:val="32"/>
          <w:szCs w:val="32"/>
          <w:shd w:val="clear" w:color="auto" w:fill="auto"/>
          <w:woUserID w:val="1"/>
        </w:rPr>
        <w:t>本</w:t>
      </w:r>
      <w:r>
        <w:rPr>
          <w:rFonts w:hint="default" w:ascii="Times New Roman" w:hAnsi="Times New Roman" w:eastAsia="方正仿宋_GBK" w:cs="Times New Roman"/>
          <w:color w:val="auto"/>
          <w:sz w:val="32"/>
          <w:szCs w:val="32"/>
          <w:shd w:val="clear" w:color="auto" w:fill="auto"/>
        </w:rPr>
        <w:t>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年度未发生</w:t>
      </w:r>
      <w:r>
        <w:rPr>
          <w:rFonts w:hint="default" w:ascii="Times New Roman" w:hAnsi="Times New Roman" w:eastAsia="方正仿宋_GBK" w:cs="Times New Roman"/>
          <w:color w:val="auto"/>
          <w:sz w:val="32"/>
          <w:szCs w:val="32"/>
          <w:shd w:val="clear" w:color="auto" w:fill="auto"/>
          <w:lang w:val="en-US" w:eastAsia="zh-CN"/>
        </w:rPr>
        <w:t>公务车</w:t>
      </w:r>
      <w:r>
        <w:rPr>
          <w:rFonts w:hint="default" w:ascii="Times New Roman" w:hAnsi="Times New Roman" w:eastAsia="方正仿宋_GBK" w:cs="Times New Roman"/>
          <w:color w:val="auto"/>
          <w:sz w:val="32"/>
          <w:szCs w:val="32"/>
          <w:shd w:val="clear" w:color="auto" w:fill="auto"/>
        </w:rPr>
        <w:t>购置费</w:t>
      </w:r>
      <w:r>
        <w:rPr>
          <w:rFonts w:hint="default" w:ascii="Times New Roman" w:hAnsi="Times New Roman" w:eastAsia="方正仿宋_GBK" w:cs="Times New Roman"/>
          <w:color w:val="auto"/>
          <w:sz w:val="32"/>
          <w:szCs w:val="32"/>
          <w:shd w:val="clear" w:color="auto" w:fill="auto"/>
          <w:woUserID w:val="1"/>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color w:val="auto"/>
          <w:sz w:val="32"/>
          <w:szCs w:val="32"/>
          <w:shd w:val="clear" w:color="auto" w:fill="auto"/>
        </w:rPr>
        <w:t>。</w:t>
      </w:r>
    </w:p>
    <w:p w14:paraId="3E305358">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lang w:eastAsia="zh-CN"/>
        </w:rPr>
      </w:pPr>
      <w:r>
        <w:rPr>
          <w:rFonts w:hint="default" w:ascii="Times New Roman" w:hAnsi="Times New Roman" w:eastAsia="方正仿宋_GBK" w:cs="Times New Roman"/>
          <w:color w:val="auto"/>
          <w:sz w:val="32"/>
          <w:szCs w:val="32"/>
          <w:shd w:val="clear" w:color="auto" w:fill="auto"/>
        </w:rPr>
        <w:t>公务车运行维护费1.57万元，主要用于校车维修</w:t>
      </w:r>
      <w:r>
        <w:rPr>
          <w:rFonts w:hint="default" w:ascii="Times New Roman" w:hAnsi="Times New Roman" w:eastAsia="方正仿宋_GBK" w:cs="Times New Roman"/>
          <w:color w:val="auto"/>
          <w:sz w:val="32"/>
          <w:szCs w:val="32"/>
          <w:shd w:val="clear" w:color="auto" w:fill="auto"/>
          <w:lang w:val="en-US" w:eastAsia="zh-CN"/>
        </w:rPr>
        <w:t>及保险</w:t>
      </w:r>
      <w:r>
        <w:rPr>
          <w:rFonts w:hint="default" w:ascii="Times New Roman" w:hAnsi="Times New Roman" w:eastAsia="方正仿宋_GBK" w:cs="Times New Roman"/>
          <w:color w:val="auto"/>
          <w:sz w:val="32"/>
          <w:szCs w:val="32"/>
          <w:shd w:val="clear" w:color="auto" w:fill="auto"/>
        </w:rPr>
        <w:t>。费用支出较年初预算数</w:t>
      </w:r>
      <w:r>
        <w:rPr>
          <w:rFonts w:hint="default" w:ascii="Times New Roman" w:hAnsi="Times New Roman" w:eastAsia="方正仿宋_GBK" w:cs="Times New Roman"/>
          <w:color w:val="auto"/>
          <w:sz w:val="32"/>
          <w:szCs w:val="32"/>
          <w:shd w:val="clear" w:color="auto" w:fill="auto"/>
          <w:lang w:eastAsia="zh-CN"/>
        </w:rPr>
        <w:t>无增减</w:t>
      </w:r>
      <w:r>
        <w:rPr>
          <w:rFonts w:hint="default" w:ascii="Times New Roman" w:hAnsi="Times New Roman" w:eastAsia="方正仿宋_GBK" w:cs="Times New Roman"/>
          <w:color w:val="auto"/>
          <w:sz w:val="32"/>
          <w:szCs w:val="32"/>
          <w:shd w:val="clear" w:color="auto" w:fill="auto"/>
        </w:rPr>
        <w:t>，主要原因</w:t>
      </w:r>
      <w:r>
        <w:rPr>
          <w:rFonts w:hint="default" w:ascii="Times New Roman" w:hAnsi="Times New Roman" w:eastAsia="方正仿宋_GBK" w:cs="Times New Roman"/>
          <w:color w:val="auto"/>
          <w:sz w:val="32"/>
          <w:szCs w:val="32"/>
          <w:shd w:val="clear" w:color="auto" w:fill="auto"/>
          <w:lang w:eastAsia="zh-CN"/>
        </w:rPr>
        <w:t>是</w:t>
      </w:r>
      <w:r>
        <w:rPr>
          <w:rFonts w:hint="default" w:ascii="Times New Roman" w:hAnsi="Times New Roman" w:eastAsia="方正仿宋_GBK" w:cs="Times New Roman"/>
          <w:color w:val="auto"/>
          <w:sz w:val="32"/>
          <w:szCs w:val="32"/>
          <w:shd w:val="clear" w:color="auto" w:fill="auto"/>
          <w:lang w:val="en-US" w:eastAsia="zh-CN"/>
        </w:rPr>
        <w:t>本</w:t>
      </w:r>
      <w:r>
        <w:rPr>
          <w:rFonts w:hint="default" w:ascii="Times New Roman" w:hAnsi="Times New Roman" w:eastAsia="方正仿宋_GBK" w:cs="Times New Roman"/>
          <w:color w:val="auto"/>
          <w:sz w:val="32"/>
          <w:szCs w:val="32"/>
          <w:shd w:val="clear" w:color="auto" w:fill="auto"/>
          <w:lang w:eastAsia="zh-CN"/>
        </w:rPr>
        <w:t>单位厉行节约，严控三公经费。较上年支出数无增减，主要原因是</w:t>
      </w:r>
      <w:r>
        <w:rPr>
          <w:rFonts w:hint="default" w:ascii="Times New Roman" w:hAnsi="Times New Roman" w:eastAsia="方正仿宋_GBK" w:cs="Times New Roman"/>
          <w:color w:val="auto"/>
          <w:sz w:val="32"/>
          <w:szCs w:val="32"/>
          <w:shd w:val="clear" w:color="auto" w:fill="auto"/>
          <w:lang w:val="en-US" w:eastAsia="zh-CN"/>
        </w:rPr>
        <w:t>本</w:t>
      </w:r>
      <w:r>
        <w:rPr>
          <w:rFonts w:hint="default" w:ascii="Times New Roman" w:hAnsi="Times New Roman" w:eastAsia="方正仿宋_GBK" w:cs="Times New Roman"/>
          <w:color w:val="auto"/>
          <w:sz w:val="32"/>
          <w:szCs w:val="32"/>
          <w:shd w:val="clear" w:color="auto" w:fill="auto"/>
          <w:lang w:eastAsia="zh-CN"/>
        </w:rPr>
        <w:t>单位厉行节约，严控三公经费。</w:t>
      </w:r>
    </w:p>
    <w:p w14:paraId="1DC0C947">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公务接待费0.00万元，费用支出较年初预算数</w:t>
      </w:r>
      <w:r>
        <w:rPr>
          <w:rFonts w:hint="default" w:ascii="Times New Roman" w:hAnsi="Times New Roman" w:eastAsia="方正仿宋_GBK" w:cs="Times New Roman"/>
          <w:color w:val="auto"/>
          <w:sz w:val="32"/>
          <w:szCs w:val="32"/>
          <w:shd w:val="clear" w:color="auto" w:fill="auto"/>
          <w:lang w:val="en-US" w:eastAsia="zh-CN"/>
        </w:rPr>
        <w:t>无增减，</w:t>
      </w:r>
      <w:r>
        <w:rPr>
          <w:rFonts w:hint="default" w:ascii="Times New Roman" w:hAnsi="Times New Roman" w:eastAsia="方正仿宋_GBK" w:cs="Times New Roman"/>
          <w:color w:val="auto"/>
          <w:sz w:val="32"/>
          <w:szCs w:val="32"/>
          <w:shd w:val="clear" w:color="auto" w:fill="auto"/>
        </w:rPr>
        <w:t>较上年支出数</w:t>
      </w:r>
      <w:r>
        <w:rPr>
          <w:rFonts w:hint="default" w:ascii="Times New Roman" w:hAnsi="Times New Roman" w:eastAsia="方正仿宋_GBK" w:cs="Times New Roman"/>
          <w:color w:val="auto"/>
          <w:sz w:val="32"/>
          <w:szCs w:val="32"/>
          <w:shd w:val="clear" w:color="auto" w:fill="auto"/>
          <w:lang w:val="en-US" w:eastAsia="zh-CN"/>
          <w:woUserID w:val="1"/>
        </w:rPr>
        <w:t>无增减。</w:t>
      </w:r>
      <w:r>
        <w:rPr>
          <w:rFonts w:hint="default" w:ascii="Times New Roman" w:hAnsi="Times New Roman" w:eastAsia="方正仿宋_GBK" w:cs="Times New Roman"/>
          <w:color w:val="auto"/>
          <w:sz w:val="32"/>
          <w:szCs w:val="32"/>
          <w:shd w:val="clear" w:color="auto" w:fill="auto"/>
          <w:woUserID w:val="1"/>
        </w:rPr>
        <w:t>本</w:t>
      </w:r>
      <w:r>
        <w:rPr>
          <w:rFonts w:hint="default" w:ascii="Times New Roman" w:hAnsi="Times New Roman" w:eastAsia="方正仿宋_GBK" w:cs="Times New Roman"/>
          <w:color w:val="auto"/>
          <w:sz w:val="32"/>
          <w:szCs w:val="32"/>
          <w:shd w:val="clear" w:color="auto" w:fill="auto"/>
        </w:rPr>
        <w:t>单位202</w:t>
      </w:r>
      <w:r>
        <w:rPr>
          <w:rFonts w:hint="default" w:ascii="Times New Roman" w:hAnsi="Times New Roman" w:eastAsia="方正仿宋_GBK" w:cs="Times New Roman"/>
          <w:color w:val="auto"/>
          <w:sz w:val="32"/>
          <w:szCs w:val="32"/>
          <w:shd w:val="clear" w:color="auto" w:fill="auto"/>
          <w:lang w:val="en-US" w:eastAsia="zh-CN"/>
        </w:rPr>
        <w:t>4</w:t>
      </w:r>
      <w:r>
        <w:rPr>
          <w:rFonts w:hint="default" w:ascii="Times New Roman" w:hAnsi="Times New Roman" w:eastAsia="方正仿宋_GBK" w:cs="Times New Roman"/>
          <w:color w:val="auto"/>
          <w:sz w:val="32"/>
          <w:szCs w:val="32"/>
          <w:shd w:val="clear" w:color="auto" w:fill="auto"/>
        </w:rPr>
        <w:t>年度未发生公务接待费</w:t>
      </w:r>
      <w:r>
        <w:rPr>
          <w:rFonts w:hint="default" w:ascii="Times New Roman" w:hAnsi="Times New Roman" w:eastAsia="方正仿宋_GBK" w:cs="Times New Roman"/>
          <w:color w:val="auto"/>
          <w:sz w:val="32"/>
          <w:szCs w:val="32"/>
          <w:shd w:val="clear" w:color="auto" w:fill="auto"/>
          <w:woUserID w:val="1"/>
        </w:rPr>
        <w:t>支出</w:t>
      </w:r>
      <w:r>
        <w:rPr>
          <w:rFonts w:hint="default" w:ascii="Times New Roman" w:hAnsi="Times New Roman" w:eastAsia="方正仿宋_GBK" w:cs="Times New Roman"/>
          <w:sz w:val="32"/>
          <w:szCs w:val="32"/>
          <w:shd w:val="clear" w:color="auto" w:fill="FFFFFF"/>
        </w:rPr>
        <w:t>，与上年决算数持平</w:t>
      </w:r>
      <w:r>
        <w:rPr>
          <w:rFonts w:hint="default" w:ascii="Times New Roman" w:hAnsi="Times New Roman" w:eastAsia="方正仿宋_GBK" w:cs="Times New Roman"/>
          <w:color w:val="auto"/>
          <w:sz w:val="32"/>
          <w:szCs w:val="32"/>
          <w:shd w:val="clear" w:color="auto" w:fill="auto"/>
        </w:rPr>
        <w:t>。</w:t>
      </w:r>
    </w:p>
    <w:p w14:paraId="531E291A">
      <w:pPr>
        <w:pStyle w:val="8"/>
        <w:keepNext w:val="0"/>
        <w:keepLines w:val="0"/>
        <w:pageBreakBefore w:val="0"/>
        <w:widowControl/>
        <w:shd w:val="clear" w:color="auto"/>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shd w:val="clear" w:color="auto" w:fill="auto"/>
        </w:rPr>
      </w:pPr>
      <w:r>
        <w:rPr>
          <w:rStyle w:val="11"/>
          <w:rFonts w:hint="default" w:ascii="Times New Roman" w:hAnsi="Times New Roman" w:eastAsia="方正楷体_GBK" w:cs="Times New Roman"/>
          <w:b w:val="0"/>
          <w:bCs w:val="0"/>
          <w:color w:val="auto"/>
          <w:sz w:val="32"/>
          <w:szCs w:val="32"/>
          <w:shd w:val="clear" w:color="auto" w:fill="auto"/>
        </w:rPr>
        <w:t>（三）</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三公</w:t>
      </w:r>
      <w:r>
        <w:rPr>
          <w:rStyle w:val="11"/>
          <w:rFonts w:hint="eastAsia" w:ascii="Times New Roman" w:hAnsi="Times New Roman" w:eastAsia="方正楷体_GBK" w:cs="Times New Roman"/>
          <w:b w:val="0"/>
          <w:bCs w:val="0"/>
          <w:color w:val="auto"/>
          <w:sz w:val="32"/>
          <w:szCs w:val="32"/>
          <w:shd w:val="clear" w:color="auto" w:fill="auto"/>
          <w:lang w:eastAsia="zh-CN"/>
        </w:rPr>
        <w:t>”</w:t>
      </w:r>
      <w:r>
        <w:rPr>
          <w:rStyle w:val="11"/>
          <w:rFonts w:hint="default" w:ascii="Times New Roman" w:hAnsi="Times New Roman" w:eastAsia="方正楷体_GBK" w:cs="Times New Roman"/>
          <w:b w:val="0"/>
          <w:bCs w:val="0"/>
          <w:color w:val="auto"/>
          <w:sz w:val="32"/>
          <w:szCs w:val="32"/>
          <w:shd w:val="clear" w:color="auto" w:fill="auto"/>
        </w:rPr>
        <w:t>经费实物量情况</w:t>
      </w:r>
    </w:p>
    <w:p w14:paraId="0628A46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年度本单位因公出国（境）共计0个团组，0人；公务用车购置0辆，公务车保有量为1辆；国内公务接待0批次0人，其中：国内外事接待0批次，0人；国（境）外公务接待0批次，0人。202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人均接待费0.00元，车均购置费0.00万元，车均维护费1.57万元。</w:t>
      </w:r>
    </w:p>
    <w:p w14:paraId="780BE19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四、其他需要说明的事项</w:t>
      </w:r>
    </w:p>
    <w:p w14:paraId="70E04157">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（一）财政拨款会议费和培训费情况说明</w:t>
      </w:r>
    </w:p>
    <w:p w14:paraId="08C97D8F">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本年度会议费支出0.00万元，</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lang w:val="en-US" w:eastAsia="zh-CN"/>
        </w:rPr>
        <w:t>2023年度相比，无增减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主要原因是本单位202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年度未发生会议费用支出。本年度培训费支出</w:t>
      </w:r>
      <w:r>
        <w:rPr>
          <w:rFonts w:hint="default" w:ascii="Times New Roman" w:hAnsi="Times New Roman" w:eastAsia="方正仿宋_GBK" w:cs="Times New Roman"/>
          <w:color w:val="auto"/>
          <w:sz w:val="32"/>
          <w:szCs w:val="32"/>
          <w:lang w:val="en-US" w:eastAsia="zh-CN"/>
        </w:rPr>
        <w:t>18.59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与</w:t>
      </w:r>
      <w:r>
        <w:rPr>
          <w:rFonts w:hint="default" w:ascii="Times New Roman" w:hAnsi="Times New Roman" w:eastAsia="方正仿宋_GBK" w:cs="Times New Roman"/>
          <w:color w:val="auto"/>
          <w:sz w:val="32"/>
          <w:szCs w:val="32"/>
          <w:lang w:val="en-US" w:eastAsia="zh-CN"/>
        </w:rPr>
        <w:t>2023年度相比，减少7.01</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lang w:eastAsia="zh-CN"/>
        </w:rPr>
        <w:t>下降</w:t>
      </w:r>
      <w:r>
        <w:rPr>
          <w:rFonts w:hint="default" w:ascii="Times New Roman" w:hAnsi="Times New Roman" w:eastAsia="方正仿宋_GBK" w:cs="Times New Roman"/>
          <w:color w:val="auto"/>
          <w:sz w:val="32"/>
          <w:szCs w:val="32"/>
          <w:lang w:val="en-US" w:eastAsia="zh-CN"/>
        </w:rPr>
        <w:t>27.4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主要原因是</w:t>
      </w:r>
      <w:r>
        <w:rPr>
          <w:rFonts w:hint="eastAsia" w:ascii="Times New Roman" w:hAnsi="Times New Roman" w:eastAsia="方正仿宋_GBK" w:cs="Times New Roman"/>
          <w:color w:val="auto"/>
          <w:sz w:val="32"/>
          <w:szCs w:val="32"/>
          <w:lang w:val="en-US" w:eastAsia="zh-CN"/>
        </w:rPr>
        <w:t>厉行节约，</w:t>
      </w:r>
      <w:r>
        <w:rPr>
          <w:rFonts w:hint="default" w:ascii="Times New Roman" w:hAnsi="Times New Roman" w:eastAsia="方正仿宋_GBK" w:cs="Times New Roman"/>
          <w:color w:val="auto"/>
          <w:sz w:val="32"/>
          <w:szCs w:val="32"/>
          <w:lang w:val="en-US" w:eastAsia="zh-CN"/>
        </w:rPr>
        <w:t>减少教职工外出培训</w:t>
      </w:r>
      <w:r>
        <w:rPr>
          <w:rFonts w:hint="eastAsia" w:ascii="Times New Roman" w:hAnsi="Times New Roman" w:eastAsia="方正仿宋_GBK" w:cs="Times New Roman"/>
          <w:color w:val="auto"/>
          <w:sz w:val="32"/>
          <w:szCs w:val="32"/>
          <w:lang w:val="en-US" w:eastAsia="zh-CN"/>
        </w:rPr>
        <w:t>，以线上培训为主。</w:t>
      </w:r>
    </w:p>
    <w:p w14:paraId="49D82AE7">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（二）机关运行经费情况说明</w:t>
      </w:r>
    </w:p>
    <w:p w14:paraId="59549BA1">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按照部门决算列报口径，我单位不在机关运行经费统计范围之内。</w:t>
      </w:r>
    </w:p>
    <w:p w14:paraId="2A8B4B8C">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（三）国有资产占用情况说明</w:t>
      </w:r>
    </w:p>
    <w:p w14:paraId="3888CF21">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截至202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12月31日，本单位共有车辆1辆，其中，副部（省）级及以上领导用车0辆、主要领导干部用车0辆、机要通信用车0辆、应急保障用车1辆、执法执勤用车0辆，特种专业技术用车0辆，离退休干部用车0辆，其他用车0辆。单价50万元（含）以上通用设备0台（套），单价100万元（含）以上专用设备0台（套）。</w:t>
      </w:r>
    </w:p>
    <w:p w14:paraId="5BB0FFD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（四）政府采购支出情况说明</w:t>
      </w:r>
    </w:p>
    <w:p w14:paraId="4D415B9C">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年度本</w:t>
      </w:r>
      <w:r>
        <w:rPr>
          <w:rFonts w:hint="default" w:ascii="Times New Roman" w:hAnsi="Times New Roman" w:eastAsia="方正仿宋_GBK" w:cs="Times New Roman"/>
          <w:color w:val="auto"/>
          <w:sz w:val="32"/>
          <w:szCs w:val="32"/>
          <w:lang w:eastAsia="zh-CN"/>
        </w:rPr>
        <w:t>单位</w:t>
      </w:r>
      <w:r>
        <w:rPr>
          <w:rFonts w:hint="default" w:ascii="Times New Roman" w:hAnsi="Times New Roman" w:eastAsia="方正仿宋_GBK" w:cs="Times New Roman"/>
          <w:color w:val="auto"/>
          <w:sz w:val="32"/>
          <w:szCs w:val="32"/>
        </w:rPr>
        <w:t>政府采购支出总额</w:t>
      </w:r>
      <w:r>
        <w:rPr>
          <w:rFonts w:hint="default" w:ascii="Times New Roman" w:hAnsi="Times New Roman" w:eastAsia="方正仿宋_GBK" w:cs="Times New Roman"/>
          <w:color w:val="auto"/>
          <w:sz w:val="32"/>
          <w:szCs w:val="32"/>
          <w:lang w:val="en-US" w:eastAsia="zh-CN"/>
        </w:rPr>
        <w:t>63.49</w:t>
      </w:r>
      <w:r>
        <w:rPr>
          <w:rFonts w:hint="default" w:ascii="Times New Roman" w:hAnsi="Times New Roman" w:eastAsia="方正仿宋_GBK" w:cs="Times New Roman"/>
          <w:color w:val="auto"/>
          <w:sz w:val="32"/>
          <w:szCs w:val="32"/>
        </w:rPr>
        <w:t>万元，其中：政府采购货物支出</w:t>
      </w:r>
      <w:r>
        <w:rPr>
          <w:rFonts w:hint="default" w:ascii="Times New Roman" w:hAnsi="Times New Roman" w:eastAsia="方正仿宋_GBK" w:cs="Times New Roman"/>
          <w:color w:val="auto"/>
          <w:sz w:val="32"/>
          <w:szCs w:val="32"/>
          <w:lang w:val="en-US" w:eastAsia="zh-CN"/>
        </w:rPr>
        <w:t>63.49</w:t>
      </w:r>
      <w:r>
        <w:rPr>
          <w:rFonts w:hint="default" w:ascii="Times New Roman" w:hAnsi="Times New Roman" w:eastAsia="方正仿宋_GBK" w:cs="Times New Roman"/>
          <w:color w:val="auto"/>
          <w:sz w:val="32"/>
          <w:szCs w:val="32"/>
        </w:rPr>
        <w:t>万元、政府采购工程支出</w:t>
      </w:r>
      <w:r>
        <w:rPr>
          <w:rFonts w:hint="default" w:ascii="Times New Roman" w:hAnsi="Times New Roman" w:eastAsia="方正仿宋_GBK" w:cs="Times New Roman"/>
          <w:color w:val="auto"/>
          <w:sz w:val="32"/>
          <w:szCs w:val="32"/>
          <w:lang w:val="en-US" w:eastAsia="zh-CN"/>
        </w:rPr>
        <w:t>0.00</w:t>
      </w:r>
      <w:r>
        <w:rPr>
          <w:rFonts w:hint="default" w:ascii="Times New Roman" w:hAnsi="Times New Roman" w:eastAsia="方正仿宋_GBK" w:cs="Times New Roman"/>
          <w:color w:val="auto"/>
          <w:sz w:val="32"/>
          <w:szCs w:val="32"/>
        </w:rPr>
        <w:t>万元、政府采购服务支出0.00万元。授予中小企业合同金额</w:t>
      </w:r>
      <w:r>
        <w:rPr>
          <w:rFonts w:hint="default" w:ascii="Times New Roman" w:hAnsi="Times New Roman" w:eastAsia="方正仿宋_GBK" w:cs="Times New Roman"/>
          <w:color w:val="auto"/>
          <w:sz w:val="32"/>
          <w:szCs w:val="32"/>
          <w:lang w:val="en-US" w:eastAsia="zh-CN"/>
        </w:rPr>
        <w:t>63.13</w:t>
      </w:r>
      <w:r>
        <w:rPr>
          <w:rFonts w:hint="default" w:ascii="Times New Roman" w:hAnsi="Times New Roman" w:eastAsia="方正仿宋_GBK" w:cs="Times New Roman"/>
          <w:color w:val="auto"/>
          <w:sz w:val="32"/>
          <w:szCs w:val="32"/>
        </w:rPr>
        <w:t>万元，占政府采购支出总额的</w:t>
      </w:r>
      <w:r>
        <w:rPr>
          <w:rFonts w:hint="default" w:ascii="Times New Roman" w:hAnsi="Times New Roman" w:eastAsia="方正仿宋_GBK" w:cs="Times New Roman"/>
          <w:color w:val="auto"/>
          <w:sz w:val="32"/>
          <w:szCs w:val="32"/>
          <w:lang w:val="en-US" w:eastAsia="zh-CN"/>
        </w:rPr>
        <w:t>99.43</w:t>
      </w:r>
      <w:r>
        <w:rPr>
          <w:rFonts w:hint="default" w:ascii="Times New Roman" w:hAnsi="Times New Roman" w:eastAsia="方正仿宋_GBK" w:cs="Times New Roman"/>
          <w:color w:val="auto"/>
          <w:sz w:val="32"/>
          <w:szCs w:val="32"/>
        </w:rPr>
        <w:t>%，其中：授予小微企业合同金额</w:t>
      </w:r>
      <w:r>
        <w:rPr>
          <w:rFonts w:hint="default" w:ascii="Times New Roman" w:hAnsi="Times New Roman" w:eastAsia="方正仿宋_GBK" w:cs="Times New Roman"/>
          <w:color w:val="auto"/>
          <w:sz w:val="32"/>
          <w:szCs w:val="32"/>
          <w:lang w:val="en-US" w:eastAsia="zh-CN"/>
        </w:rPr>
        <w:t>63.13</w:t>
      </w:r>
      <w:r>
        <w:rPr>
          <w:rFonts w:hint="default" w:ascii="Times New Roman" w:hAnsi="Times New Roman" w:eastAsia="方正仿宋_GBK" w:cs="Times New Roman"/>
          <w:color w:val="auto"/>
          <w:sz w:val="32"/>
          <w:szCs w:val="32"/>
        </w:rPr>
        <w:t>万元，占政府采购支出总额的</w:t>
      </w:r>
      <w:r>
        <w:rPr>
          <w:rFonts w:hint="default" w:ascii="Times New Roman" w:hAnsi="Times New Roman" w:eastAsia="方正仿宋_GBK" w:cs="Times New Roman"/>
          <w:color w:val="auto"/>
          <w:sz w:val="32"/>
          <w:szCs w:val="32"/>
          <w:lang w:val="en-US" w:eastAsia="zh-CN"/>
        </w:rPr>
        <w:t>99.43</w:t>
      </w:r>
      <w:r>
        <w:rPr>
          <w:rFonts w:hint="default" w:ascii="Times New Roman" w:hAnsi="Times New Roman" w:eastAsia="方正仿宋_GBK" w:cs="Times New Roman"/>
          <w:color w:val="auto"/>
          <w:sz w:val="32"/>
          <w:szCs w:val="32"/>
        </w:rPr>
        <w:t>%。主要用于采购</w:t>
      </w:r>
      <w:r>
        <w:rPr>
          <w:rFonts w:hint="default" w:ascii="Times New Roman" w:hAnsi="Times New Roman" w:eastAsia="方正仿宋_GBK" w:cs="Times New Roman"/>
          <w:color w:val="auto"/>
          <w:sz w:val="32"/>
          <w:szCs w:val="32"/>
          <w:lang w:eastAsia="zh-CN"/>
        </w:rPr>
        <w:t>办公</w:t>
      </w:r>
      <w:r>
        <w:rPr>
          <w:rFonts w:hint="default" w:ascii="Times New Roman" w:hAnsi="Times New Roman" w:eastAsia="方正仿宋_GBK" w:cs="Times New Roman"/>
          <w:color w:val="auto"/>
          <w:sz w:val="32"/>
          <w:szCs w:val="32"/>
        </w:rPr>
        <w:t>设备。</w:t>
      </w:r>
    </w:p>
    <w:p w14:paraId="38CB618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五、</w:t>
      </w:r>
      <w:r>
        <w:rPr>
          <w:rFonts w:hint="default" w:ascii="Times New Roman" w:hAnsi="Times New Roman" w:eastAsia="方正黑体_GBK" w:cs="Times New Roman"/>
          <w:color w:val="auto"/>
          <w:sz w:val="32"/>
          <w:szCs w:val="32"/>
          <w:lang w:val="en-US" w:eastAsia="zh-CN"/>
        </w:rPr>
        <w:t>2024年度</w:t>
      </w:r>
      <w:r>
        <w:rPr>
          <w:rFonts w:hint="default" w:ascii="Times New Roman" w:hAnsi="Times New Roman" w:eastAsia="方正黑体_GBK" w:cs="Times New Roman"/>
          <w:color w:val="auto"/>
          <w:sz w:val="32"/>
          <w:szCs w:val="32"/>
        </w:rPr>
        <w:t>预算绩效管理情况说明</w:t>
      </w:r>
    </w:p>
    <w:p w14:paraId="6F1B6BD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default" w:ascii="Times New Roman" w:hAnsi="Times New Roman" w:eastAsia="方正楷体_GBK" w:cs="Times New Roman"/>
          <w:b w:val="0"/>
          <w:bCs w:val="0"/>
          <w:color w:val="auto"/>
          <w:sz w:val="32"/>
          <w:szCs w:val="32"/>
        </w:rPr>
        <w:t>（一）单位自评情况</w:t>
      </w:r>
    </w:p>
    <w:p w14:paraId="2BC33FE0">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cs="Times New Roman"/>
          <w:b/>
          <w:color w:val="auto"/>
          <w:sz w:val="32"/>
          <w:szCs w:val="32"/>
          <w:lang w:eastAsia="zh-CN"/>
        </w:rPr>
      </w:pPr>
      <w:r>
        <w:rPr>
          <w:rFonts w:hint="default" w:ascii="Times New Roman" w:hAnsi="Times New Roman" w:eastAsia="方正仿宋_GBK" w:cs="Times New Roman"/>
          <w:color w:val="auto"/>
          <w:sz w:val="32"/>
          <w:szCs w:val="32"/>
        </w:rPr>
        <w:t>根据预算绩效管理要求，我单位对</w:t>
      </w:r>
      <w:r>
        <w:rPr>
          <w:rFonts w:hint="default"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个项目开展了绩效自评，涉及财政拨款项目支出</w:t>
      </w:r>
      <w:r>
        <w:rPr>
          <w:rFonts w:hint="default" w:ascii="Times New Roman" w:hAnsi="Times New Roman" w:eastAsia="方正仿宋_GBK" w:cs="Times New Roman"/>
          <w:color w:val="auto"/>
          <w:sz w:val="32"/>
          <w:szCs w:val="32"/>
          <w:lang w:val="en-US" w:eastAsia="zh-CN"/>
        </w:rPr>
        <w:t>540.58</w:t>
      </w:r>
      <w:r>
        <w:rPr>
          <w:rFonts w:hint="default" w:ascii="Times New Roman" w:hAnsi="Times New Roman" w:eastAsia="方正仿宋_GBK" w:cs="Times New Roman"/>
          <w:color w:val="auto"/>
          <w:sz w:val="32"/>
          <w:szCs w:val="32"/>
        </w:rPr>
        <w:t>万元。</w:t>
      </w:r>
    </w:p>
    <w:p w14:paraId="5CABF757">
      <w:pPr>
        <w:keepNext w:val="0"/>
        <w:keepLines w:val="0"/>
        <w:pageBreakBefore w:val="0"/>
        <w:widowControl/>
        <w:kinsoku/>
        <w:wordWrap/>
        <w:overflowPunct/>
        <w:topLinePunct w:val="0"/>
        <w:autoSpaceDN/>
        <w:bidi w:val="0"/>
        <w:adjustRightInd/>
        <w:snapToGrid/>
        <w:spacing w:line="600" w:lineRule="exact"/>
        <w:jc w:val="center"/>
        <w:textAlignment w:val="bottom"/>
        <w:rPr>
          <w:rFonts w:hint="eastAsia" w:ascii="方正黑体_GBK" w:hAnsi="方正黑体_GBK" w:eastAsia="方正黑体_GBK" w:cs="方正黑体_GBK"/>
          <w:b w:val="0"/>
          <w:bCs/>
          <w:color w:val="auto"/>
          <w:sz w:val="28"/>
          <w:szCs w:val="28"/>
        </w:rPr>
      </w:pPr>
      <w:r>
        <w:rPr>
          <w:rFonts w:hint="eastAsia" w:ascii="方正黑体_GBK" w:hAnsi="方正黑体_GBK" w:eastAsia="方正黑体_GBK" w:cs="方正黑体_GBK"/>
          <w:b w:val="0"/>
          <w:bCs/>
          <w:color w:val="auto"/>
          <w:sz w:val="28"/>
          <w:szCs w:val="28"/>
          <w:lang w:eastAsia="zh-CN"/>
        </w:rPr>
        <w:t>石桥铺小学</w:t>
      </w:r>
      <w:r>
        <w:rPr>
          <w:rFonts w:hint="eastAsia" w:ascii="方正黑体_GBK" w:hAnsi="方正黑体_GBK" w:eastAsia="方正黑体_GBK" w:cs="方正黑体_GBK"/>
          <w:color w:val="auto"/>
          <w:sz w:val="28"/>
          <w:szCs w:val="28"/>
          <w:lang w:val="en-US" w:eastAsia="zh-CN" w:bidi="ar-SA"/>
        </w:rPr>
        <w:t>2024</w:t>
      </w:r>
      <w:r>
        <w:rPr>
          <w:rFonts w:hint="eastAsia" w:ascii="方正黑体_GBK" w:hAnsi="方正黑体_GBK" w:eastAsia="方正黑体_GBK" w:cs="方正黑体_GBK"/>
          <w:b w:val="0"/>
          <w:bCs/>
          <w:color w:val="auto"/>
          <w:sz w:val="28"/>
          <w:szCs w:val="28"/>
        </w:rPr>
        <w:t>年度项目支出绩效自评表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
        <w:gridCol w:w="831"/>
        <w:gridCol w:w="1214"/>
        <w:gridCol w:w="764"/>
        <w:gridCol w:w="831"/>
        <w:gridCol w:w="750"/>
        <w:gridCol w:w="791"/>
        <w:gridCol w:w="914"/>
        <w:gridCol w:w="723"/>
        <w:gridCol w:w="777"/>
        <w:gridCol w:w="788"/>
      </w:tblGrid>
      <w:tr w14:paraId="6CFF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43" w:type="dxa"/>
            <w:tcBorders>
              <w:top w:val="single" w:color="auto" w:sz="4" w:space="0"/>
            </w:tcBorders>
            <w:noWrap w:val="0"/>
            <w:vAlign w:val="center"/>
          </w:tcPr>
          <w:p w14:paraId="3F13E40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序号</w:t>
            </w:r>
          </w:p>
        </w:tc>
        <w:tc>
          <w:tcPr>
            <w:tcW w:w="831" w:type="dxa"/>
            <w:tcBorders>
              <w:top w:val="single" w:color="auto" w:sz="4" w:space="0"/>
            </w:tcBorders>
            <w:noWrap w:val="0"/>
            <w:vAlign w:val="center"/>
          </w:tcPr>
          <w:p w14:paraId="78F22DF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项目名称</w:t>
            </w:r>
          </w:p>
        </w:tc>
        <w:tc>
          <w:tcPr>
            <w:tcW w:w="1214" w:type="dxa"/>
            <w:tcBorders>
              <w:top w:val="single" w:color="auto" w:sz="4" w:space="0"/>
            </w:tcBorders>
            <w:noWrap w:val="0"/>
            <w:vAlign w:val="center"/>
          </w:tcPr>
          <w:p w14:paraId="7E634DD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指标名称</w:t>
            </w:r>
          </w:p>
        </w:tc>
        <w:tc>
          <w:tcPr>
            <w:tcW w:w="764" w:type="dxa"/>
            <w:tcBorders>
              <w:top w:val="single" w:color="auto" w:sz="4" w:space="0"/>
            </w:tcBorders>
            <w:noWrap w:val="0"/>
            <w:vAlign w:val="center"/>
          </w:tcPr>
          <w:p w14:paraId="2901A48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指标性质</w:t>
            </w:r>
          </w:p>
        </w:tc>
        <w:tc>
          <w:tcPr>
            <w:tcW w:w="831" w:type="dxa"/>
            <w:tcBorders>
              <w:top w:val="single" w:color="auto" w:sz="4" w:space="0"/>
            </w:tcBorders>
            <w:noWrap w:val="0"/>
            <w:vAlign w:val="center"/>
          </w:tcPr>
          <w:p w14:paraId="3905A73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指标值</w:t>
            </w:r>
          </w:p>
        </w:tc>
        <w:tc>
          <w:tcPr>
            <w:tcW w:w="750" w:type="dxa"/>
            <w:tcBorders>
              <w:top w:val="single" w:color="auto" w:sz="4" w:space="0"/>
            </w:tcBorders>
            <w:noWrap w:val="0"/>
            <w:vAlign w:val="center"/>
          </w:tcPr>
          <w:p w14:paraId="4184CCE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计量单位</w:t>
            </w:r>
          </w:p>
        </w:tc>
        <w:tc>
          <w:tcPr>
            <w:tcW w:w="791" w:type="dxa"/>
            <w:tcBorders>
              <w:top w:val="single" w:color="auto" w:sz="4" w:space="0"/>
            </w:tcBorders>
            <w:noWrap w:val="0"/>
            <w:vAlign w:val="center"/>
          </w:tcPr>
          <w:p w14:paraId="7093131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指标权重</w:t>
            </w:r>
          </w:p>
        </w:tc>
        <w:tc>
          <w:tcPr>
            <w:tcW w:w="914" w:type="dxa"/>
            <w:tcBorders>
              <w:top w:val="single" w:color="auto" w:sz="4" w:space="0"/>
            </w:tcBorders>
            <w:noWrap w:val="0"/>
            <w:vAlign w:val="center"/>
          </w:tcPr>
          <w:p w14:paraId="68C936F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全年完成值</w:t>
            </w:r>
          </w:p>
        </w:tc>
        <w:tc>
          <w:tcPr>
            <w:tcW w:w="723" w:type="dxa"/>
            <w:tcBorders>
              <w:top w:val="single" w:color="auto" w:sz="4" w:space="0"/>
            </w:tcBorders>
            <w:noWrap w:val="0"/>
            <w:vAlign w:val="center"/>
          </w:tcPr>
          <w:p w14:paraId="17E0755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指标得分</w:t>
            </w:r>
          </w:p>
        </w:tc>
        <w:tc>
          <w:tcPr>
            <w:tcW w:w="777" w:type="dxa"/>
            <w:tcBorders>
              <w:top w:val="single" w:color="auto" w:sz="4" w:space="0"/>
            </w:tcBorders>
            <w:noWrap w:val="0"/>
            <w:vAlign w:val="center"/>
          </w:tcPr>
          <w:p w14:paraId="5E0FBCF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说明</w:t>
            </w:r>
          </w:p>
        </w:tc>
        <w:tc>
          <w:tcPr>
            <w:tcW w:w="788" w:type="dxa"/>
            <w:tcBorders>
              <w:top w:val="single" w:color="auto" w:sz="4" w:space="0"/>
            </w:tcBorders>
            <w:noWrap w:val="0"/>
            <w:vAlign w:val="center"/>
          </w:tcPr>
          <w:p w14:paraId="491A4FA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黑体_GBK" w:cs="Times New Roman"/>
                <w:color w:val="auto"/>
                <w:sz w:val="20"/>
                <w:szCs w:val="20"/>
              </w:rPr>
            </w:pPr>
            <w:r>
              <w:rPr>
                <w:rFonts w:hint="default" w:ascii="Times New Roman" w:hAnsi="Times New Roman" w:eastAsia="方正黑体_GBK" w:cs="Times New Roman"/>
                <w:color w:val="auto"/>
                <w:kern w:val="0"/>
                <w:sz w:val="20"/>
                <w:szCs w:val="20"/>
                <w:lang w:bidi="ar"/>
              </w:rPr>
              <w:t>自评得分</w:t>
            </w:r>
          </w:p>
        </w:tc>
      </w:tr>
      <w:tr w14:paraId="6CD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vMerge w:val="restart"/>
            <w:noWrap/>
            <w:vAlign w:val="center"/>
          </w:tcPr>
          <w:p w14:paraId="5FE2E88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kern w:val="0"/>
                <w:sz w:val="20"/>
                <w:szCs w:val="20"/>
                <w:lang w:bidi="ar"/>
              </w:rPr>
              <w:t>1</w:t>
            </w:r>
          </w:p>
        </w:tc>
        <w:tc>
          <w:tcPr>
            <w:tcW w:w="831" w:type="dxa"/>
            <w:vMerge w:val="restart"/>
            <w:noWrap/>
            <w:vAlign w:val="center"/>
          </w:tcPr>
          <w:p w14:paraId="70F7F81D">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2024年学前教育家庭经济困难幼儿资助专项经费</w:t>
            </w:r>
          </w:p>
        </w:tc>
        <w:tc>
          <w:tcPr>
            <w:tcW w:w="1214" w:type="dxa"/>
            <w:noWrap/>
            <w:vAlign w:val="center"/>
          </w:tcPr>
          <w:p w14:paraId="5D01F9C9">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资助学生数量</w:t>
            </w:r>
          </w:p>
        </w:tc>
        <w:tc>
          <w:tcPr>
            <w:tcW w:w="764" w:type="dxa"/>
            <w:noWrap/>
            <w:vAlign w:val="center"/>
          </w:tcPr>
          <w:p w14:paraId="2CDC541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28D4BBAA">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default" w:ascii="Times New Roman" w:hAnsi="Times New Roman" w:eastAsia="方正仿宋_GBK" w:cs="Times New Roman"/>
                <w:color w:val="auto"/>
                <w:sz w:val="20"/>
                <w:szCs w:val="20"/>
                <w:lang w:val="en-US" w:eastAsia="zh-CN"/>
              </w:rPr>
              <w:t>3</w:t>
            </w:r>
          </w:p>
        </w:tc>
        <w:tc>
          <w:tcPr>
            <w:tcW w:w="750" w:type="dxa"/>
            <w:noWrap/>
            <w:vAlign w:val="center"/>
          </w:tcPr>
          <w:p w14:paraId="4CE8325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人次</w:t>
            </w:r>
          </w:p>
          <w:p w14:paraId="1A73787E">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p>
        </w:tc>
        <w:tc>
          <w:tcPr>
            <w:tcW w:w="791" w:type="dxa"/>
            <w:noWrap/>
            <w:vAlign w:val="center"/>
          </w:tcPr>
          <w:p w14:paraId="11273A0F">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noWrap/>
            <w:vAlign w:val="center"/>
          </w:tcPr>
          <w:p w14:paraId="551463B3">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3</w:t>
            </w:r>
          </w:p>
        </w:tc>
        <w:tc>
          <w:tcPr>
            <w:tcW w:w="723" w:type="dxa"/>
            <w:noWrap/>
            <w:vAlign w:val="center"/>
          </w:tcPr>
          <w:p w14:paraId="4B8B7B39">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noWrap/>
            <w:vAlign w:val="center"/>
          </w:tcPr>
          <w:p w14:paraId="5FB5676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p>
        </w:tc>
        <w:tc>
          <w:tcPr>
            <w:tcW w:w="788" w:type="dxa"/>
            <w:vMerge w:val="restart"/>
            <w:noWrap/>
            <w:vAlign w:val="center"/>
          </w:tcPr>
          <w:p w14:paraId="46AF562A">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100</w:t>
            </w:r>
          </w:p>
        </w:tc>
      </w:tr>
      <w:tr w14:paraId="6DBE5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vMerge w:val="continue"/>
            <w:noWrap/>
            <w:vAlign w:val="center"/>
          </w:tcPr>
          <w:p w14:paraId="61A9E29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33816F8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7FD0C62B">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资助到位时间</w:t>
            </w:r>
          </w:p>
        </w:tc>
        <w:tc>
          <w:tcPr>
            <w:tcW w:w="764" w:type="dxa"/>
            <w:noWrap/>
            <w:vAlign w:val="center"/>
          </w:tcPr>
          <w:p w14:paraId="69204B24">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6B3488DC">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30</w:t>
            </w:r>
          </w:p>
        </w:tc>
        <w:tc>
          <w:tcPr>
            <w:tcW w:w="750" w:type="dxa"/>
            <w:noWrap/>
            <w:vAlign w:val="center"/>
          </w:tcPr>
          <w:p w14:paraId="496898CD">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天</w:t>
            </w:r>
          </w:p>
        </w:tc>
        <w:tc>
          <w:tcPr>
            <w:tcW w:w="791" w:type="dxa"/>
            <w:noWrap/>
            <w:vAlign w:val="center"/>
          </w:tcPr>
          <w:p w14:paraId="26DB92C1">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914" w:type="dxa"/>
            <w:noWrap/>
            <w:vAlign w:val="center"/>
          </w:tcPr>
          <w:p w14:paraId="2A9CF84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30</w:t>
            </w:r>
          </w:p>
        </w:tc>
        <w:tc>
          <w:tcPr>
            <w:tcW w:w="723" w:type="dxa"/>
            <w:noWrap/>
            <w:vAlign w:val="center"/>
          </w:tcPr>
          <w:p w14:paraId="41DAC4DD">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777" w:type="dxa"/>
            <w:noWrap/>
            <w:vAlign w:val="center"/>
          </w:tcPr>
          <w:p w14:paraId="00F89646">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p>
        </w:tc>
        <w:tc>
          <w:tcPr>
            <w:tcW w:w="788" w:type="dxa"/>
            <w:vMerge w:val="continue"/>
            <w:noWrap/>
            <w:vAlign w:val="center"/>
          </w:tcPr>
          <w:p w14:paraId="4E526C5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color w:val="auto"/>
                <w:sz w:val="20"/>
                <w:szCs w:val="20"/>
                <w:lang w:val="en-US" w:eastAsia="zh-CN"/>
              </w:rPr>
            </w:pPr>
          </w:p>
        </w:tc>
      </w:tr>
      <w:tr w14:paraId="41033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543" w:type="dxa"/>
            <w:vMerge w:val="continue"/>
            <w:noWrap/>
            <w:vAlign w:val="center"/>
          </w:tcPr>
          <w:p w14:paraId="5084DD6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0704C74C">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71E5BB1A">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补助金额</w:t>
            </w:r>
          </w:p>
        </w:tc>
        <w:tc>
          <w:tcPr>
            <w:tcW w:w="764" w:type="dxa"/>
            <w:noWrap/>
            <w:vAlign w:val="center"/>
          </w:tcPr>
          <w:p w14:paraId="2B2C868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5EA4BA1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28500</w:t>
            </w:r>
          </w:p>
        </w:tc>
        <w:tc>
          <w:tcPr>
            <w:tcW w:w="750" w:type="dxa"/>
            <w:noWrap/>
            <w:vAlign w:val="center"/>
          </w:tcPr>
          <w:p w14:paraId="16C9DEE3">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元</w:t>
            </w:r>
          </w:p>
        </w:tc>
        <w:tc>
          <w:tcPr>
            <w:tcW w:w="791" w:type="dxa"/>
            <w:noWrap/>
            <w:vAlign w:val="center"/>
          </w:tcPr>
          <w:p w14:paraId="22821ED0">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914" w:type="dxa"/>
            <w:noWrap/>
            <w:vAlign w:val="center"/>
          </w:tcPr>
          <w:p w14:paraId="41743B9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28500</w:t>
            </w:r>
          </w:p>
        </w:tc>
        <w:tc>
          <w:tcPr>
            <w:tcW w:w="723" w:type="dxa"/>
            <w:noWrap/>
            <w:vAlign w:val="center"/>
          </w:tcPr>
          <w:p w14:paraId="6D57E3B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777" w:type="dxa"/>
            <w:noWrap/>
            <w:vAlign w:val="center"/>
          </w:tcPr>
          <w:p w14:paraId="2424859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p>
        </w:tc>
        <w:tc>
          <w:tcPr>
            <w:tcW w:w="788" w:type="dxa"/>
            <w:vMerge w:val="continue"/>
            <w:noWrap/>
            <w:vAlign w:val="center"/>
          </w:tcPr>
          <w:p w14:paraId="57DB1329">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color w:val="auto"/>
                <w:sz w:val="20"/>
                <w:szCs w:val="20"/>
                <w:lang w:val="en-US" w:eastAsia="zh-CN"/>
              </w:rPr>
            </w:pPr>
          </w:p>
        </w:tc>
      </w:tr>
      <w:tr w14:paraId="5875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3" w:type="dxa"/>
            <w:vMerge w:val="continue"/>
            <w:noWrap/>
            <w:vAlign w:val="center"/>
          </w:tcPr>
          <w:p w14:paraId="1DBD841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04AB10B7">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00DA98FB">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提高教育教学社会满意度</w:t>
            </w:r>
          </w:p>
        </w:tc>
        <w:tc>
          <w:tcPr>
            <w:tcW w:w="764" w:type="dxa"/>
            <w:noWrap/>
            <w:vAlign w:val="center"/>
          </w:tcPr>
          <w:p w14:paraId="292F57F9">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44CA6C0E">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w:t>
            </w:r>
          </w:p>
        </w:tc>
        <w:tc>
          <w:tcPr>
            <w:tcW w:w="750" w:type="dxa"/>
            <w:noWrap/>
            <w:vAlign w:val="center"/>
          </w:tcPr>
          <w:p w14:paraId="4BEDF7AF">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791" w:type="dxa"/>
            <w:noWrap/>
            <w:vAlign w:val="center"/>
          </w:tcPr>
          <w:p w14:paraId="5C6DAD0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914" w:type="dxa"/>
            <w:noWrap/>
            <w:vAlign w:val="center"/>
          </w:tcPr>
          <w:p w14:paraId="1A151BF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w:t>
            </w:r>
          </w:p>
        </w:tc>
        <w:tc>
          <w:tcPr>
            <w:tcW w:w="723" w:type="dxa"/>
            <w:noWrap/>
            <w:vAlign w:val="center"/>
          </w:tcPr>
          <w:p w14:paraId="084C9987">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20</w:t>
            </w:r>
          </w:p>
        </w:tc>
        <w:tc>
          <w:tcPr>
            <w:tcW w:w="777" w:type="dxa"/>
            <w:noWrap/>
            <w:vAlign w:val="center"/>
          </w:tcPr>
          <w:p w14:paraId="203BC841">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color w:val="auto"/>
                <w:sz w:val="20"/>
                <w:szCs w:val="20"/>
              </w:rPr>
            </w:pPr>
          </w:p>
        </w:tc>
        <w:tc>
          <w:tcPr>
            <w:tcW w:w="788" w:type="dxa"/>
            <w:vMerge w:val="continue"/>
            <w:noWrap/>
            <w:vAlign w:val="center"/>
          </w:tcPr>
          <w:p w14:paraId="7E9ED944">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color w:val="auto"/>
                <w:sz w:val="20"/>
                <w:szCs w:val="20"/>
              </w:rPr>
            </w:pPr>
          </w:p>
        </w:tc>
      </w:tr>
      <w:tr w14:paraId="5261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43" w:type="dxa"/>
            <w:vMerge w:val="continue"/>
            <w:noWrap/>
            <w:vAlign w:val="center"/>
          </w:tcPr>
          <w:p w14:paraId="024BDBC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1DB095F5">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06023ED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eastAsia="zh-CN"/>
              </w:rPr>
            </w:pPr>
            <w:r>
              <w:rPr>
                <w:rFonts w:hint="eastAsia" w:ascii="方正仿宋_GBK" w:hAnsi="方正仿宋_GBK" w:eastAsia="方正仿宋_GBK" w:cs="方正仿宋_GBK"/>
                <w:color w:val="auto"/>
                <w:sz w:val="20"/>
                <w:szCs w:val="20"/>
                <w:lang w:eastAsia="zh-CN"/>
              </w:rPr>
              <w:t>受助学生及家长满意度</w:t>
            </w:r>
          </w:p>
        </w:tc>
        <w:tc>
          <w:tcPr>
            <w:tcW w:w="764" w:type="dxa"/>
            <w:noWrap/>
            <w:vAlign w:val="center"/>
          </w:tcPr>
          <w:p w14:paraId="2047DB4E">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3FFEBF65">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98</w:t>
            </w:r>
          </w:p>
        </w:tc>
        <w:tc>
          <w:tcPr>
            <w:tcW w:w="750" w:type="dxa"/>
            <w:noWrap/>
            <w:vAlign w:val="center"/>
          </w:tcPr>
          <w:p w14:paraId="0EF0A903">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791" w:type="dxa"/>
            <w:noWrap/>
            <w:vAlign w:val="center"/>
          </w:tcPr>
          <w:p w14:paraId="47E2D13C">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noWrap/>
            <w:vAlign w:val="center"/>
          </w:tcPr>
          <w:p w14:paraId="7CE3CA26">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98</w:t>
            </w:r>
          </w:p>
        </w:tc>
        <w:tc>
          <w:tcPr>
            <w:tcW w:w="723" w:type="dxa"/>
            <w:noWrap/>
            <w:vAlign w:val="center"/>
          </w:tcPr>
          <w:p w14:paraId="39B4A271">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noWrap/>
            <w:vAlign w:val="center"/>
          </w:tcPr>
          <w:p w14:paraId="2674ACED">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color w:val="auto"/>
                <w:sz w:val="20"/>
                <w:szCs w:val="20"/>
              </w:rPr>
            </w:pPr>
          </w:p>
        </w:tc>
        <w:tc>
          <w:tcPr>
            <w:tcW w:w="788" w:type="dxa"/>
            <w:vMerge w:val="continue"/>
            <w:noWrap/>
            <w:vAlign w:val="center"/>
          </w:tcPr>
          <w:p w14:paraId="2CAEA116">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color w:val="auto"/>
                <w:sz w:val="20"/>
                <w:szCs w:val="20"/>
              </w:rPr>
            </w:pPr>
          </w:p>
        </w:tc>
      </w:tr>
      <w:tr w14:paraId="3C46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543" w:type="dxa"/>
            <w:vMerge w:val="continue"/>
            <w:noWrap/>
            <w:vAlign w:val="center"/>
          </w:tcPr>
          <w:p w14:paraId="4350E8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2E944B86">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noWrap/>
            <w:vAlign w:val="center"/>
          </w:tcPr>
          <w:p w14:paraId="48E306CD">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r>
              <w:rPr>
                <w:rFonts w:hint="eastAsia" w:ascii="方正仿宋_GBK" w:hAnsi="方正仿宋_GBK" w:eastAsia="方正仿宋_GBK" w:cs="方正仿宋_GBK"/>
                <w:color w:val="auto"/>
                <w:sz w:val="20"/>
                <w:szCs w:val="20"/>
                <w:lang w:eastAsia="zh-CN"/>
              </w:rPr>
              <w:t>资助标准</w:t>
            </w:r>
          </w:p>
        </w:tc>
        <w:tc>
          <w:tcPr>
            <w:tcW w:w="764" w:type="dxa"/>
            <w:noWrap/>
            <w:vAlign w:val="center"/>
          </w:tcPr>
          <w:p w14:paraId="277BC46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val="en-US" w:eastAsia="zh-CN"/>
              </w:rPr>
              <w:t>=</w:t>
            </w:r>
          </w:p>
        </w:tc>
        <w:tc>
          <w:tcPr>
            <w:tcW w:w="831" w:type="dxa"/>
            <w:noWrap/>
            <w:vAlign w:val="center"/>
          </w:tcPr>
          <w:p w14:paraId="237842FE">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950</w:t>
            </w:r>
          </w:p>
        </w:tc>
        <w:tc>
          <w:tcPr>
            <w:tcW w:w="750" w:type="dxa"/>
            <w:noWrap/>
            <w:vAlign w:val="center"/>
          </w:tcPr>
          <w:p w14:paraId="082AD2D8">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lang w:val="en-US" w:eastAsia="zh-CN"/>
              </w:rPr>
            </w:pPr>
            <w:r>
              <w:rPr>
                <w:rFonts w:hint="eastAsia" w:ascii="方正仿宋_GBK" w:hAnsi="方正仿宋_GBK" w:eastAsia="方正仿宋_GBK" w:cs="方正仿宋_GBK"/>
                <w:color w:val="auto"/>
                <w:sz w:val="20"/>
                <w:szCs w:val="20"/>
                <w:lang w:eastAsia="zh-CN"/>
              </w:rPr>
              <w:t>人</w:t>
            </w:r>
            <w:r>
              <w:rPr>
                <w:rFonts w:hint="eastAsia" w:ascii="方正仿宋_GBK" w:hAnsi="方正仿宋_GBK" w:eastAsia="方正仿宋_GBK" w:cs="方正仿宋_GBK"/>
                <w:color w:val="auto"/>
                <w:sz w:val="20"/>
                <w:szCs w:val="20"/>
                <w:lang w:val="en-US" w:eastAsia="zh-CN"/>
              </w:rPr>
              <w:t>/月</w:t>
            </w:r>
          </w:p>
        </w:tc>
        <w:tc>
          <w:tcPr>
            <w:tcW w:w="791" w:type="dxa"/>
            <w:noWrap/>
            <w:vAlign w:val="center"/>
          </w:tcPr>
          <w:p w14:paraId="57B19074">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noWrap/>
            <w:vAlign w:val="center"/>
          </w:tcPr>
          <w:p w14:paraId="2FD82D38">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950</w:t>
            </w:r>
          </w:p>
        </w:tc>
        <w:tc>
          <w:tcPr>
            <w:tcW w:w="723" w:type="dxa"/>
            <w:noWrap/>
            <w:vAlign w:val="center"/>
          </w:tcPr>
          <w:p w14:paraId="7FF9001A">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noWrap/>
            <w:vAlign w:val="center"/>
          </w:tcPr>
          <w:p w14:paraId="7CC95853">
            <w:pPr>
              <w:keepNext w:val="0"/>
              <w:keepLines w:val="0"/>
              <w:pageBreakBefore w:val="0"/>
              <w:widowControl/>
              <w:kinsoku/>
              <w:wordWrap/>
              <w:overflowPunct/>
              <w:topLinePunct w:val="0"/>
              <w:autoSpaceDE/>
              <w:autoSpaceDN/>
              <w:bidi w:val="0"/>
              <w:adjustRightInd/>
              <w:snapToGrid/>
              <w:spacing w:line="260" w:lineRule="exact"/>
              <w:rPr>
                <w:rFonts w:hint="eastAsia" w:ascii="方正仿宋_GBK" w:hAnsi="方正仿宋_GBK" w:eastAsia="方正仿宋_GBK" w:cs="方正仿宋_GBK"/>
                <w:color w:val="auto"/>
                <w:sz w:val="20"/>
                <w:szCs w:val="20"/>
              </w:rPr>
            </w:pPr>
          </w:p>
        </w:tc>
        <w:tc>
          <w:tcPr>
            <w:tcW w:w="788" w:type="dxa"/>
            <w:vMerge w:val="continue"/>
            <w:noWrap/>
            <w:vAlign w:val="center"/>
          </w:tcPr>
          <w:p w14:paraId="6C8FC2E3">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cs="Times New Roman"/>
                <w:color w:val="auto"/>
                <w:sz w:val="20"/>
                <w:szCs w:val="20"/>
              </w:rPr>
            </w:pPr>
          </w:p>
        </w:tc>
      </w:tr>
      <w:tr w14:paraId="2CB2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543" w:type="dxa"/>
            <w:vMerge w:val="continue"/>
            <w:noWrap/>
            <w:vAlign w:val="center"/>
          </w:tcPr>
          <w:p w14:paraId="713865B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方正仿宋_GBK" w:hAnsi="方正仿宋_GBK" w:eastAsia="方正仿宋_GBK" w:cs="方正仿宋_GBK"/>
                <w:color w:val="auto"/>
                <w:sz w:val="20"/>
                <w:szCs w:val="20"/>
              </w:rPr>
            </w:pPr>
          </w:p>
        </w:tc>
        <w:tc>
          <w:tcPr>
            <w:tcW w:w="831" w:type="dxa"/>
            <w:vMerge w:val="continue"/>
            <w:noWrap/>
            <w:vAlign w:val="center"/>
          </w:tcPr>
          <w:p w14:paraId="6A94D3F9">
            <w:pPr>
              <w:keepNext w:val="0"/>
              <w:keepLines w:val="0"/>
              <w:pageBreakBefore w:val="0"/>
              <w:widowControl/>
              <w:kinsoku/>
              <w:wordWrap/>
              <w:overflowPunct/>
              <w:topLinePunct w:val="0"/>
              <w:autoSpaceDE/>
              <w:autoSpaceDN/>
              <w:bidi w:val="0"/>
              <w:adjustRightInd/>
              <w:snapToGrid/>
              <w:spacing w:line="260" w:lineRule="exact"/>
              <w:jc w:val="center"/>
              <w:rPr>
                <w:rFonts w:hint="eastAsia" w:ascii="方正仿宋_GBK" w:hAnsi="方正仿宋_GBK" w:eastAsia="方正仿宋_GBK" w:cs="方正仿宋_GBK"/>
                <w:color w:val="auto"/>
                <w:sz w:val="20"/>
                <w:szCs w:val="20"/>
              </w:rPr>
            </w:pPr>
          </w:p>
        </w:tc>
        <w:tc>
          <w:tcPr>
            <w:tcW w:w="1214" w:type="dxa"/>
            <w:shd w:val="clear" w:color="auto" w:fill="auto"/>
            <w:noWrap/>
            <w:vAlign w:val="center"/>
          </w:tcPr>
          <w:p w14:paraId="0ADDAD64">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执行率</w:t>
            </w:r>
          </w:p>
        </w:tc>
        <w:tc>
          <w:tcPr>
            <w:tcW w:w="764" w:type="dxa"/>
            <w:shd w:val="clear" w:color="auto" w:fill="auto"/>
            <w:noWrap/>
            <w:vAlign w:val="center"/>
          </w:tcPr>
          <w:p w14:paraId="704A7A97">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831" w:type="dxa"/>
            <w:shd w:val="clear" w:color="auto" w:fill="auto"/>
            <w:noWrap/>
            <w:vAlign w:val="center"/>
          </w:tcPr>
          <w:p w14:paraId="54D2C08B">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100</w:t>
            </w:r>
          </w:p>
        </w:tc>
        <w:tc>
          <w:tcPr>
            <w:tcW w:w="750" w:type="dxa"/>
            <w:shd w:val="clear" w:color="auto" w:fill="auto"/>
            <w:noWrap/>
            <w:vAlign w:val="center"/>
          </w:tcPr>
          <w:p w14:paraId="16318D4B">
            <w:pPr>
              <w:keepNext w:val="0"/>
              <w:keepLines w:val="0"/>
              <w:pageBreakBefore w:val="0"/>
              <w:widowControl/>
              <w:kinsoku/>
              <w:wordWrap/>
              <w:overflowPunct/>
              <w:topLinePunct w:val="0"/>
              <w:autoSpaceDE/>
              <w:autoSpaceDN/>
              <w:bidi w:val="0"/>
              <w:adjustRightInd/>
              <w:snapToGrid/>
              <w:spacing w:line="300" w:lineRule="exact"/>
              <w:jc w:val="center"/>
              <w:rPr>
                <w:rFonts w:hint="eastAsia" w:ascii="方正仿宋_GBK" w:hAnsi="方正仿宋_GBK" w:eastAsia="方正仿宋_GBK" w:cs="方正仿宋_GBK"/>
                <w:color w:val="000000"/>
                <w:sz w:val="20"/>
                <w:szCs w:val="20"/>
                <w:lang w:val="en-US" w:eastAsia="zh-CN" w:bidi="ar-SA"/>
              </w:rPr>
            </w:pPr>
            <w:r>
              <w:rPr>
                <w:rFonts w:hint="eastAsia" w:ascii="方正仿宋_GBK" w:hAnsi="方正仿宋_GBK" w:eastAsia="方正仿宋_GBK" w:cs="方正仿宋_GBK"/>
                <w:color w:val="000000"/>
                <w:sz w:val="20"/>
                <w:szCs w:val="20"/>
              </w:rPr>
              <w:t>%</w:t>
            </w:r>
          </w:p>
        </w:tc>
        <w:tc>
          <w:tcPr>
            <w:tcW w:w="791" w:type="dxa"/>
            <w:shd w:val="clear" w:color="auto" w:fill="auto"/>
            <w:noWrap/>
            <w:vAlign w:val="center"/>
          </w:tcPr>
          <w:p w14:paraId="43FB35F2">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914" w:type="dxa"/>
            <w:shd w:val="clear" w:color="auto" w:fill="auto"/>
            <w:noWrap/>
            <w:vAlign w:val="center"/>
          </w:tcPr>
          <w:p w14:paraId="4806D696">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100</w:t>
            </w:r>
          </w:p>
        </w:tc>
        <w:tc>
          <w:tcPr>
            <w:tcW w:w="723" w:type="dxa"/>
            <w:shd w:val="clear" w:color="auto" w:fill="auto"/>
            <w:noWrap/>
            <w:vAlign w:val="center"/>
          </w:tcPr>
          <w:p w14:paraId="6B2ECCE3">
            <w:pPr>
              <w:keepNext w:val="0"/>
              <w:keepLines w:val="0"/>
              <w:pageBreakBefore w:val="0"/>
              <w:widowControl/>
              <w:kinsoku/>
              <w:wordWrap/>
              <w:overflowPunct/>
              <w:topLinePunct w:val="0"/>
              <w:autoSpaceDE/>
              <w:autoSpaceDN/>
              <w:bidi w:val="0"/>
              <w:adjustRightInd/>
              <w:snapToGrid/>
              <w:spacing w:line="260" w:lineRule="exact"/>
              <w:jc w:val="center"/>
              <w:rPr>
                <w:rFonts w:hint="eastAsia" w:ascii="Times New Roman" w:hAnsi="Times New Roman" w:eastAsia="方正仿宋_GBK" w:cs="Times New Roman"/>
                <w:color w:val="auto"/>
                <w:sz w:val="20"/>
                <w:szCs w:val="20"/>
                <w:lang w:val="en-US" w:eastAsia="zh-CN"/>
              </w:rPr>
            </w:pPr>
            <w:r>
              <w:rPr>
                <w:rFonts w:hint="eastAsia" w:ascii="Times New Roman" w:hAnsi="Times New Roman" w:eastAsia="方正仿宋_GBK" w:cs="Times New Roman"/>
                <w:color w:val="auto"/>
                <w:sz w:val="20"/>
                <w:szCs w:val="20"/>
                <w:lang w:val="en-US" w:eastAsia="zh-CN"/>
              </w:rPr>
              <w:t>10</w:t>
            </w:r>
          </w:p>
        </w:tc>
        <w:tc>
          <w:tcPr>
            <w:tcW w:w="777" w:type="dxa"/>
            <w:shd w:val="clear" w:color="auto" w:fill="auto"/>
            <w:noWrap/>
            <w:vAlign w:val="center"/>
          </w:tcPr>
          <w:p w14:paraId="6B66B648">
            <w:pPr>
              <w:keepNext w:val="0"/>
              <w:keepLines w:val="0"/>
              <w:pageBreakBefore w:val="0"/>
              <w:widowControl/>
              <w:kinsoku/>
              <w:wordWrap/>
              <w:overflowPunct/>
              <w:topLinePunct w:val="0"/>
              <w:autoSpaceDE/>
              <w:autoSpaceDN/>
              <w:bidi w:val="0"/>
              <w:adjustRightInd/>
              <w:snapToGrid/>
              <w:spacing w:line="300" w:lineRule="exact"/>
              <w:rPr>
                <w:rFonts w:hint="eastAsia" w:ascii="方正仿宋_GBK" w:hAnsi="方正仿宋_GBK" w:eastAsia="方正仿宋_GBK" w:cs="方正仿宋_GBK"/>
                <w:color w:val="000000"/>
                <w:sz w:val="20"/>
                <w:szCs w:val="20"/>
                <w:lang w:val="en-US" w:eastAsia="zh-CN" w:bidi="ar-SA"/>
              </w:rPr>
            </w:pPr>
          </w:p>
        </w:tc>
        <w:tc>
          <w:tcPr>
            <w:tcW w:w="788" w:type="dxa"/>
            <w:shd w:val="clear" w:color="auto" w:fill="auto"/>
            <w:noWrap/>
            <w:vAlign w:val="center"/>
          </w:tcPr>
          <w:p w14:paraId="144A0455">
            <w:pPr>
              <w:keepNext w:val="0"/>
              <w:keepLines w:val="0"/>
              <w:pageBreakBefore w:val="0"/>
              <w:widowControl/>
              <w:kinsoku/>
              <w:wordWrap/>
              <w:overflowPunct/>
              <w:topLinePunct w:val="0"/>
              <w:autoSpaceDE/>
              <w:autoSpaceDN/>
              <w:bidi w:val="0"/>
              <w:adjustRightInd/>
              <w:snapToGrid/>
              <w:spacing w:line="300" w:lineRule="exact"/>
              <w:jc w:val="center"/>
              <w:rPr>
                <w:rFonts w:hint="default" w:ascii="方正仿宋_GBK" w:hAnsi="方正仿宋_GBK" w:eastAsia="方正仿宋_GBK" w:cs="方正仿宋_GBK"/>
                <w:color w:val="000000"/>
                <w:sz w:val="20"/>
                <w:szCs w:val="20"/>
                <w:lang w:val="en-US" w:eastAsia="zh-CN" w:bidi="ar-SA"/>
              </w:rPr>
            </w:pPr>
          </w:p>
        </w:tc>
      </w:tr>
    </w:tbl>
    <w:p w14:paraId="1E582632">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楷体_GBK" w:cs="Times New Roman"/>
          <w:b w:val="0"/>
          <w:bCs w:val="0"/>
          <w:color w:val="auto"/>
          <w:sz w:val="32"/>
          <w:szCs w:val="32"/>
        </w:rPr>
      </w:pPr>
      <w:r>
        <w:rPr>
          <w:rStyle w:val="11"/>
          <w:rFonts w:hint="eastAsia" w:ascii="Times New Roman" w:hAnsi="Times New Roman" w:eastAsia="方正楷体_GBK" w:cs="Times New Roman"/>
          <w:b w:val="0"/>
          <w:bCs w:val="0"/>
          <w:color w:val="auto"/>
          <w:sz w:val="32"/>
          <w:szCs w:val="32"/>
          <w:lang w:val="en-US" w:eastAsia="zh-CN"/>
        </w:rPr>
        <w:t>（二）</w:t>
      </w:r>
      <w:r>
        <w:rPr>
          <w:rStyle w:val="11"/>
          <w:rFonts w:hint="default" w:ascii="Times New Roman" w:hAnsi="Times New Roman" w:eastAsia="方正楷体_GBK" w:cs="Times New Roman"/>
          <w:b w:val="0"/>
          <w:bCs w:val="0"/>
          <w:color w:val="auto"/>
          <w:sz w:val="32"/>
          <w:szCs w:val="32"/>
          <w:lang w:val="en-US" w:eastAsia="zh-CN"/>
        </w:rPr>
        <w:t>单位</w:t>
      </w:r>
      <w:r>
        <w:rPr>
          <w:rStyle w:val="11"/>
          <w:rFonts w:hint="default" w:ascii="Times New Roman" w:hAnsi="Times New Roman" w:eastAsia="方正楷体_GBK" w:cs="Times New Roman"/>
          <w:b w:val="0"/>
          <w:bCs w:val="0"/>
          <w:color w:val="auto"/>
          <w:sz w:val="32"/>
          <w:szCs w:val="32"/>
        </w:rPr>
        <w:t>重点绩效评价情况</w:t>
      </w:r>
    </w:p>
    <w:p w14:paraId="18E9871D">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我单位对</w:t>
      </w:r>
      <w:r>
        <w:rPr>
          <w:rFonts w:hint="default" w:ascii="Times New Roman" w:hAnsi="Times New Roman" w:eastAsia="方正仿宋_GBK" w:cs="Times New Roman"/>
          <w:color w:val="auto"/>
          <w:sz w:val="32"/>
          <w:szCs w:val="32"/>
          <w:lang w:val="en-US" w:eastAsia="zh-CN"/>
        </w:rPr>
        <w:t>2024年学前教育家庭经济困难幼儿资助专项经费</w:t>
      </w:r>
      <w:r>
        <w:rPr>
          <w:rFonts w:hint="default" w:ascii="Times New Roman" w:hAnsi="Times New Roman" w:eastAsia="方正仿宋_GBK" w:cs="Times New Roman"/>
          <w:color w:val="auto"/>
          <w:sz w:val="32"/>
          <w:szCs w:val="32"/>
        </w:rPr>
        <w:t>开展了绩效评价，涉及财政拨款项目资金</w:t>
      </w:r>
      <w:r>
        <w:rPr>
          <w:rFonts w:hint="default" w:ascii="Times New Roman" w:hAnsi="Times New Roman" w:eastAsia="方正仿宋_GBK" w:cs="Times New Roman"/>
          <w:color w:val="auto"/>
          <w:sz w:val="32"/>
          <w:szCs w:val="32"/>
          <w:lang w:val="en-US" w:eastAsia="zh-CN"/>
        </w:rPr>
        <w:t>2.85</w:t>
      </w:r>
      <w:r>
        <w:rPr>
          <w:rFonts w:hint="default" w:ascii="Times New Roman" w:hAnsi="Times New Roman" w:eastAsia="方正仿宋_GBK" w:cs="Times New Roman"/>
          <w:color w:val="auto"/>
          <w:sz w:val="32"/>
          <w:szCs w:val="32"/>
        </w:rPr>
        <w:t>万元，评价得分</w:t>
      </w:r>
      <w:r>
        <w:rPr>
          <w:rFonts w:hint="default" w:ascii="Times New Roman" w:hAnsi="Times New Roman" w:eastAsia="方正仿宋_GBK" w:cs="Times New Roman"/>
          <w:color w:val="auto"/>
          <w:sz w:val="32"/>
          <w:szCs w:val="32"/>
          <w:lang w:val="en-US" w:eastAsia="zh-CN"/>
        </w:rPr>
        <w:t>100</w:t>
      </w:r>
      <w:r>
        <w:rPr>
          <w:rFonts w:hint="default" w:ascii="Times New Roman" w:hAnsi="Times New Roman" w:eastAsia="方正仿宋_GBK" w:cs="Times New Roman"/>
          <w:color w:val="auto"/>
          <w:sz w:val="32"/>
          <w:szCs w:val="32"/>
        </w:rPr>
        <w:t>分，评价等次为</w:t>
      </w:r>
      <w:r>
        <w:rPr>
          <w:rFonts w:hint="default" w:ascii="Times New Roman" w:hAnsi="Times New Roman" w:eastAsia="方正仿宋_GBK" w:cs="Times New Roman"/>
          <w:color w:val="auto"/>
          <w:sz w:val="32"/>
          <w:szCs w:val="32"/>
          <w:lang w:eastAsia="zh-CN"/>
        </w:rPr>
        <w:t>优</w:t>
      </w:r>
      <w:r>
        <w:rPr>
          <w:rFonts w:hint="eastAsia" w:ascii="Times New Roman" w:hAnsi="Times New Roman" w:eastAsia="方正仿宋_GBK" w:cs="Times New Roman"/>
          <w:color w:val="auto"/>
          <w:sz w:val="32"/>
          <w:szCs w:val="32"/>
          <w:lang w:eastAsia="zh-CN"/>
        </w:rPr>
        <w:t>，</w:t>
      </w:r>
      <w:bookmarkStart w:id="0" w:name="_GoBack"/>
      <w:bookmarkEnd w:id="0"/>
      <w:r>
        <w:rPr>
          <w:rFonts w:hint="default" w:ascii="Times New Roman" w:hAnsi="Times New Roman" w:eastAsia="方正仿宋_GBK" w:cs="Times New Roman"/>
          <w:kern w:val="0"/>
          <w:sz w:val="32"/>
          <w:szCs w:val="32"/>
          <w:shd w:val="clear" w:fill="FFFFFF"/>
          <w:lang w:val="en-US" w:eastAsia="zh-CN" w:bidi="ar-SA"/>
        </w:rPr>
        <w:t>绩效评价中，未发现明显问题，财政资金均实行专项管理，专款专用。在项目实施过程中，严格按专项资金管理办法和各项财务管理制度执行，审批流程齐全、附件资料完整，资金使用无截留、挤占、挪用、虚列支出等情况</w:t>
      </w:r>
      <w:r>
        <w:rPr>
          <w:rFonts w:hint="default" w:ascii="Times New Roman" w:hAnsi="Times New Roman" w:eastAsia="方正仿宋_GBK" w:cs="Times New Roman"/>
          <w:color w:val="auto"/>
          <w:sz w:val="32"/>
          <w:szCs w:val="32"/>
          <w:lang w:eastAsia="zh-CN"/>
        </w:rPr>
        <w:t>。</w:t>
      </w:r>
    </w:p>
    <w:p w14:paraId="1C45711F">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leftChars="200"/>
        <w:jc w:val="both"/>
        <w:textAlignment w:val="auto"/>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（三）财政绩效评价情况</w:t>
      </w:r>
    </w:p>
    <w:p w14:paraId="6A80A123">
      <w:pPr>
        <w:pStyle w:val="8"/>
        <w:keepNext w:val="0"/>
        <w:keepLines w:val="0"/>
        <w:pageBreakBefore w:val="0"/>
        <w:widowControl/>
        <w:numPr>
          <w:ilvl w:val="0"/>
          <w:numId w:val="0"/>
        </w:numPr>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财政重点绩效评价由区财政局统一公开。</w:t>
      </w:r>
    </w:p>
    <w:p w14:paraId="2871B47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六、专业名词解释</w:t>
      </w:r>
    </w:p>
    <w:p w14:paraId="7F846A4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（一）财政拨款收入：</w:t>
      </w:r>
      <w:r>
        <w:rPr>
          <w:rFonts w:hint="default" w:ascii="Times New Roman" w:hAnsi="Times New Roman" w:eastAsia="方正仿宋_GBK" w:cs="Times New Roman"/>
          <w:color w:val="auto"/>
          <w:sz w:val="32"/>
          <w:szCs w:val="32"/>
        </w:rPr>
        <w:t>指本年度从本级财政部门取得的财政拨款，包括一般公共预算财政拨款和政府性基金预算财政拨款。</w:t>
      </w:r>
    </w:p>
    <w:p w14:paraId="0BE422A9">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（二）事业收入：</w:t>
      </w:r>
      <w:r>
        <w:rPr>
          <w:rFonts w:hint="default" w:ascii="Times New Roman" w:hAnsi="Times New Roman" w:eastAsia="方正仿宋_GBK" w:cs="Times New Roman"/>
          <w:color w:val="auto"/>
          <w:sz w:val="32"/>
          <w:szCs w:val="32"/>
        </w:rPr>
        <w:t>指事业单位开展专业业务活动及其辅助活动取得的现金流入；事业单位收到的财政专户实际核拨的教育收费等资金在此反映。</w:t>
      </w:r>
    </w:p>
    <w:p w14:paraId="4F961B9A">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（三）经营收入：</w:t>
      </w:r>
      <w:r>
        <w:rPr>
          <w:rFonts w:hint="default" w:ascii="Times New Roman" w:hAnsi="Times New Roman" w:eastAsia="方正仿宋_GBK" w:cs="Times New Roman"/>
          <w:color w:val="auto"/>
          <w:sz w:val="32"/>
          <w:szCs w:val="32"/>
        </w:rPr>
        <w:t>指事业单位在专业业务活动及其辅助活动之外开展非独立核算经营活动取得的现金流入。</w:t>
      </w:r>
    </w:p>
    <w:p w14:paraId="596CB488">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（四）其他收入：</w:t>
      </w:r>
      <w:r>
        <w:rPr>
          <w:rFonts w:hint="default" w:ascii="Times New Roman" w:hAnsi="Times New Roman" w:eastAsia="方正仿宋_GBK" w:cs="Times New Roman"/>
          <w:color w:val="auto"/>
          <w:sz w:val="32"/>
          <w:szCs w:val="32"/>
        </w:rPr>
        <w:t>指单位取得的除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97DE7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（五）使用非财政拨款结余：</w:t>
      </w:r>
      <w:r>
        <w:rPr>
          <w:rFonts w:hint="default" w:ascii="Times New Roman" w:hAnsi="Times New Roman" w:eastAsia="方正仿宋_GBK" w:cs="Times New Roman"/>
          <w:color w:val="auto"/>
          <w:sz w:val="32"/>
          <w:szCs w:val="32"/>
        </w:rPr>
        <w:t>指单位在当年的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财政拨款收入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经营收入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其他收入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等不足以安排当年支出的情况下，使用以前年度积累的非财政拨款结余弥补本年度收支缺口的资金。</w:t>
      </w:r>
    </w:p>
    <w:p w14:paraId="31AA2081">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（六）年初结转和结余：</w:t>
      </w:r>
      <w:r>
        <w:rPr>
          <w:rFonts w:hint="default" w:ascii="Times New Roman" w:hAnsi="Times New Roman" w:eastAsia="方正仿宋_GBK" w:cs="Times New Roman"/>
          <w:color w:val="auto"/>
          <w:sz w:val="32"/>
          <w:szCs w:val="32"/>
        </w:rPr>
        <w:t>指单位上年结转本年使用的基本支出结转、项目支出结转和结余、经营结余。</w:t>
      </w:r>
    </w:p>
    <w:p w14:paraId="21D3911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（七）结余分配：</w:t>
      </w:r>
      <w:r>
        <w:rPr>
          <w:rFonts w:hint="default" w:ascii="Times New Roman" w:hAnsi="Times New Roman" w:eastAsia="方正仿宋_GBK" w:cs="Times New Roman"/>
          <w:color w:val="auto"/>
          <w:sz w:val="32"/>
          <w:szCs w:val="32"/>
        </w:rPr>
        <w:t>指单位按照国家有关规定，缴纳所得税、提取专用基金、转入非财政拨款结余等当年结余的分配情况。</w:t>
      </w:r>
    </w:p>
    <w:p w14:paraId="6754C0FC">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（八）年末结转和结余：</w:t>
      </w:r>
      <w:r>
        <w:rPr>
          <w:rFonts w:hint="default" w:ascii="Times New Roman" w:hAnsi="Times New Roman" w:eastAsia="方正仿宋_GBK" w:cs="Times New Roman"/>
          <w:color w:val="auto"/>
          <w:sz w:val="32"/>
          <w:szCs w:val="32"/>
        </w:rPr>
        <w:t>指单位结转下年的基本支出结转、项目支出结转和结余、经营结余。</w:t>
      </w:r>
    </w:p>
    <w:p w14:paraId="1646CA6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（九）基本支出：</w:t>
      </w:r>
      <w:r>
        <w:rPr>
          <w:rFonts w:hint="default" w:ascii="Times New Roman" w:hAnsi="Times New Roman" w:eastAsia="方正仿宋_GBK" w:cs="Times New Roman"/>
          <w:color w:val="auto"/>
          <w:sz w:val="32"/>
          <w:szCs w:val="32"/>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工资福利支出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对个人和家庭的补助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；公用经费指政府收支分类经济科目中除</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工资福利支出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对个人和家庭的补助</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外的其他支出。</w:t>
      </w:r>
    </w:p>
    <w:p w14:paraId="18E93C29">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（十）项目支出：</w:t>
      </w:r>
      <w:r>
        <w:rPr>
          <w:rFonts w:hint="default" w:ascii="Times New Roman" w:hAnsi="Times New Roman" w:eastAsia="方正仿宋_GBK" w:cs="Times New Roman"/>
          <w:color w:val="auto"/>
          <w:sz w:val="32"/>
          <w:szCs w:val="32"/>
        </w:rPr>
        <w:t>指在基本支出之外为完成特定行政任务和事业发展目标所发生的支出。</w:t>
      </w:r>
    </w:p>
    <w:p w14:paraId="4F1C9FC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（十一）经营支出：</w:t>
      </w:r>
      <w:r>
        <w:rPr>
          <w:rFonts w:hint="default" w:ascii="Times New Roman" w:hAnsi="Times New Roman" w:eastAsia="方正仿宋_GBK" w:cs="Times New Roman"/>
          <w:color w:val="auto"/>
          <w:sz w:val="32"/>
          <w:szCs w:val="32"/>
        </w:rPr>
        <w:t>指事业单位在专业业务活动及其辅助活动之外开展非独立核算经营活动发生的支出。</w:t>
      </w:r>
    </w:p>
    <w:p w14:paraId="56C47CF6">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（十二）</w:t>
      </w:r>
      <w:r>
        <w:rPr>
          <w:rStyle w:val="11"/>
          <w:rFonts w:hint="eastAsia" w:ascii="Times New Roman" w:hAnsi="Times New Roman" w:eastAsia="方正楷体_GBK" w:cs="Times New Roman"/>
          <w:b w:val="0"/>
          <w:bCs w:val="0"/>
          <w:color w:val="auto"/>
          <w:sz w:val="32"/>
          <w:szCs w:val="32"/>
          <w:lang w:eastAsia="zh-CN"/>
        </w:rPr>
        <w:t>“</w:t>
      </w:r>
      <w:r>
        <w:rPr>
          <w:rStyle w:val="11"/>
          <w:rFonts w:hint="default" w:ascii="Times New Roman" w:hAnsi="Times New Roman" w:eastAsia="方正楷体_GBK" w:cs="Times New Roman"/>
          <w:b w:val="0"/>
          <w:bCs w:val="0"/>
          <w:color w:val="auto"/>
          <w:sz w:val="32"/>
          <w:szCs w:val="32"/>
        </w:rPr>
        <w:t>三公</w:t>
      </w:r>
      <w:r>
        <w:rPr>
          <w:rStyle w:val="11"/>
          <w:rFonts w:hint="eastAsia" w:ascii="Times New Roman" w:hAnsi="Times New Roman" w:eastAsia="方正楷体_GBK" w:cs="Times New Roman"/>
          <w:b w:val="0"/>
          <w:bCs w:val="0"/>
          <w:color w:val="auto"/>
          <w:sz w:val="32"/>
          <w:szCs w:val="32"/>
          <w:lang w:eastAsia="zh-CN"/>
        </w:rPr>
        <w:t>”</w:t>
      </w:r>
      <w:r>
        <w:rPr>
          <w:rStyle w:val="11"/>
          <w:rFonts w:hint="default" w:ascii="Times New Roman" w:hAnsi="Times New Roman" w:eastAsia="方正楷体_GBK" w:cs="Times New Roman"/>
          <w:b w:val="0"/>
          <w:bCs w:val="0"/>
          <w:color w:val="auto"/>
          <w:sz w:val="32"/>
          <w:szCs w:val="32"/>
        </w:rPr>
        <w:t>经费：</w:t>
      </w:r>
      <w:r>
        <w:rPr>
          <w:rFonts w:hint="default" w:ascii="Times New Roman" w:hAnsi="Times New Roman" w:eastAsia="方正仿宋_GBK" w:cs="Times New Roman"/>
          <w:color w:val="auto"/>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18BCDA4">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（十三）机关运行经费：</w:t>
      </w:r>
      <w:r>
        <w:rPr>
          <w:rFonts w:hint="default" w:ascii="Times New Roman" w:hAnsi="Times New Roman" w:eastAsia="方正仿宋_GBK" w:cs="Times New Roman"/>
          <w:color w:val="auto"/>
          <w:sz w:val="32"/>
          <w:szCs w:val="32"/>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14:paraId="742658B2">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（十四）工资福利支出（支出经济分类科目类级）：</w:t>
      </w:r>
      <w:r>
        <w:rPr>
          <w:rFonts w:hint="default" w:ascii="Times New Roman" w:hAnsi="Times New Roman" w:eastAsia="方正仿宋_GBK" w:cs="Times New Roman"/>
          <w:color w:val="auto"/>
          <w:sz w:val="32"/>
          <w:szCs w:val="32"/>
        </w:rPr>
        <w:t>反映单位开支的在职职工和编制外长期聘用人员的各类劳动报酬，以及为上述人员缴纳的各项社会保险费等。</w:t>
      </w:r>
    </w:p>
    <w:p w14:paraId="36A328BD">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（十五）商品和服务支出（支出经济分类科目类级）：</w:t>
      </w:r>
      <w:r>
        <w:rPr>
          <w:rFonts w:hint="default" w:ascii="Times New Roman" w:hAnsi="Times New Roman" w:eastAsia="方正仿宋_GBK" w:cs="Times New Roman"/>
          <w:color w:val="auto"/>
          <w:sz w:val="32"/>
          <w:szCs w:val="32"/>
        </w:rPr>
        <w:t>反映单位购买商品和服务的支出（不包括用于购置固定资产的支出、战略性和应急储备支出）。</w:t>
      </w:r>
    </w:p>
    <w:p w14:paraId="5FCDC0DF">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1"/>
          <w:rFonts w:hint="default" w:ascii="Times New Roman" w:hAnsi="Times New Roman" w:eastAsia="方正楷体_GBK" w:cs="Times New Roman"/>
          <w:b w:val="0"/>
          <w:bCs w:val="0"/>
          <w:color w:val="auto"/>
          <w:sz w:val="32"/>
          <w:szCs w:val="32"/>
        </w:rPr>
        <w:t>（十六）对个人和家庭的补助（支出经济分类科目类级）：</w:t>
      </w:r>
      <w:r>
        <w:rPr>
          <w:rFonts w:hint="default" w:ascii="Times New Roman" w:hAnsi="Times New Roman" w:eastAsia="方正仿宋_GBK" w:cs="Times New Roman"/>
          <w:color w:val="auto"/>
          <w:sz w:val="32"/>
          <w:szCs w:val="32"/>
        </w:rPr>
        <w:t>反映用于对个人和家庭的补助支出。</w:t>
      </w:r>
    </w:p>
    <w:p w14:paraId="484D5DEE">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b w:val="0"/>
          <w:color w:val="auto"/>
          <w:sz w:val="32"/>
          <w:szCs w:val="32"/>
        </w:rPr>
      </w:pPr>
      <w:r>
        <w:rPr>
          <w:rStyle w:val="11"/>
          <w:rFonts w:hint="default" w:ascii="Times New Roman" w:hAnsi="Times New Roman" w:eastAsia="方正楷体_GBK" w:cs="Times New Roman"/>
          <w:b w:val="0"/>
          <w:bCs w:val="0"/>
          <w:color w:val="auto"/>
          <w:sz w:val="32"/>
          <w:szCs w:val="32"/>
        </w:rPr>
        <w:t>（十七）其他资本性支出（支出经济分类科目类级）：</w:t>
      </w:r>
      <w:r>
        <w:rPr>
          <w:rFonts w:hint="default" w:ascii="Times New Roman" w:hAnsi="Times New Roman" w:eastAsia="方正仿宋_GBK" w:cs="Times New Roman"/>
          <w:color w:val="auto"/>
          <w:sz w:val="32"/>
          <w:szCs w:val="32"/>
        </w:rPr>
        <w:t>反映非各级发展与改革部门集中安排的用于购置固定资产、战略性和应急性储备、土地和无形资产，以及构建基础设施、大型修缮和财政支持企业更新改造所发生的支出。</w:t>
      </w:r>
    </w:p>
    <w:p w14:paraId="6BC2E5D6">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jc w:val="both"/>
        <w:textAlignment w:val="auto"/>
        <w:rPr>
          <w:rStyle w:val="11"/>
          <w:rFonts w:hint="default" w:ascii="Times New Roman" w:hAnsi="Times New Roman" w:eastAsia="方正黑体_GBK" w:cs="Times New Roman"/>
          <w:color w:val="auto"/>
          <w:sz w:val="32"/>
          <w:szCs w:val="32"/>
        </w:rPr>
      </w:pPr>
      <w:r>
        <w:rPr>
          <w:rStyle w:val="11"/>
          <w:rFonts w:hint="default" w:ascii="Times New Roman" w:hAnsi="Times New Roman" w:eastAsia="方正黑体_GBK" w:cs="Times New Roman"/>
          <w:b w:val="0"/>
          <w:color w:val="auto"/>
          <w:sz w:val="32"/>
          <w:szCs w:val="32"/>
        </w:rPr>
        <w:t>七、决算公开联系方式及信息反馈渠道</w:t>
      </w:r>
    </w:p>
    <w:p w14:paraId="55EB971D">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本单位决算公开信息反馈和联系方式：023-61968251</w:t>
      </w:r>
    </w:p>
    <w:p w14:paraId="489101F0">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p>
    <w:p w14:paraId="554C292C">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附件：1.收入支出决算总表</w:t>
      </w:r>
    </w:p>
    <w:p w14:paraId="48E2FA31">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2.收入决算表</w:t>
      </w:r>
    </w:p>
    <w:p w14:paraId="2008E1A4">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3.支出决算表</w:t>
      </w:r>
    </w:p>
    <w:p w14:paraId="4B27CE57">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4.财政拨款收入支出决算总表</w:t>
      </w:r>
    </w:p>
    <w:p w14:paraId="48CB104B">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5.一般公共预算财政拨款支出决算表</w:t>
      </w:r>
    </w:p>
    <w:p w14:paraId="27A6F3B6">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6.一般公共预算财政拨款基本支出决算表</w:t>
      </w:r>
    </w:p>
    <w:p w14:paraId="09795316">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7.政府性基金预算财政拨款收入支出决算表</w:t>
      </w:r>
    </w:p>
    <w:p w14:paraId="108DCF53">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8.国有资本经营预算财政拨款支出决算表</w:t>
      </w:r>
    </w:p>
    <w:p w14:paraId="1A721576">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ind w:firstLine="1600" w:firstLineChars="5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auto"/>
          <w:sz w:val="32"/>
          <w:szCs w:val="32"/>
          <w:shd w:val="clear" w:color="auto" w:fill="FFFFFF"/>
        </w:rPr>
        <w:t>9.机构运行信息表</w:t>
      </w:r>
    </w:p>
    <w:p w14:paraId="68851C57">
      <w:pPr>
        <w:pStyle w:val="12"/>
        <w:keepNext w:val="0"/>
        <w:keepLines w:val="0"/>
        <w:pageBreakBefore w:val="0"/>
        <w:widowControl/>
        <w:kinsoku/>
        <w:wordWrap/>
        <w:overflowPunct/>
        <w:topLinePunct w:val="0"/>
        <w:autoSpaceDE w:val="0"/>
        <w:autoSpaceDN/>
        <w:bidi w:val="0"/>
        <w:adjustRightInd/>
        <w:snapToGrid/>
        <w:spacing w:line="400" w:lineRule="exact"/>
        <w:ind w:firstLine="1600" w:firstLineChars="500"/>
        <w:jc w:val="both"/>
        <w:rPr>
          <w:rFonts w:hint="default" w:ascii="Times New Roman" w:hAnsi="Times New Roman" w:eastAsia="方正仿宋_GBK" w:cs="Times New Roman"/>
          <w:sz w:val="32"/>
          <w:szCs w:val="32"/>
          <w:shd w:val="clear" w:color="auto" w:fill="FFFFFF"/>
        </w:rPr>
      </w:pPr>
    </w:p>
    <w:p w14:paraId="64625E6B">
      <w:pPr>
        <w:pStyle w:val="12"/>
        <w:keepNext w:val="0"/>
        <w:keepLines w:val="0"/>
        <w:pageBreakBefore w:val="0"/>
        <w:widowControl/>
        <w:kinsoku/>
        <w:wordWrap/>
        <w:overflowPunct/>
        <w:topLinePunct w:val="0"/>
        <w:autoSpaceDE w:val="0"/>
        <w:autoSpaceDN/>
        <w:bidi w:val="0"/>
        <w:adjustRightInd/>
        <w:snapToGrid/>
        <w:spacing w:line="400" w:lineRule="exact"/>
        <w:ind w:firstLine="640"/>
        <w:jc w:val="both"/>
        <w:rPr>
          <w:rStyle w:val="11"/>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E017036">
      <w:pPr>
        <w:rPr>
          <w:rFonts w:hint="default" w:ascii="Times New Roman" w:hAnsi="Times New Roman" w:cs="Times New Roman"/>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36E33A0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757C0B65">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收入支出决算总表</w:t>
            </w:r>
          </w:p>
        </w:tc>
      </w:tr>
      <w:tr w14:paraId="5D31455A">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472D070">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2C266A1">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E392EB9">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A9F26FF">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14:paraId="03F8E356">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3FB23F7">
            <w:pPr>
              <w:spacing w:line="28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rPr>
              <w:t>重庆市高新技术产业开发区石桥铺小学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17FF203">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BD1650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568D3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E0E4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7CAAD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286A07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1DD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4E163">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E2A91">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B8376">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0E3605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6AD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E68F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3,032.56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09B2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D7F8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385B18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BA5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9C8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275D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A76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09773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DF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49EB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0C1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719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2E08AB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D2B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4EF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18C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A49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7A34C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AB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5764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139.10</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18C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91ED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2,591.98</w:t>
            </w:r>
            <w:r>
              <w:rPr>
                <w:rFonts w:hint="default" w:ascii="Times New Roman" w:hAnsi="Times New Roman" w:cs="Times New Roman"/>
                <w:color w:val="000000"/>
                <w:sz w:val="20"/>
              </w:rPr>
              <w:t xml:space="preserve"> </w:t>
            </w:r>
          </w:p>
        </w:tc>
      </w:tr>
      <w:tr w14:paraId="2110C8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4A4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8B8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B4C3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4E1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09537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58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4584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34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65AE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3A67D4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4041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7E0559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7DA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D822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292.05</w:t>
            </w:r>
            <w:r>
              <w:rPr>
                <w:rFonts w:hint="default" w:ascii="Times New Roman" w:hAnsi="Times New Roman" w:cs="Times New Roman"/>
                <w:color w:val="000000"/>
                <w:sz w:val="20"/>
              </w:rPr>
              <w:t xml:space="preserve"> </w:t>
            </w:r>
          </w:p>
        </w:tc>
      </w:tr>
      <w:tr w14:paraId="06C63E8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F09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71DBE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D070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C76A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113.27</w:t>
            </w:r>
            <w:r>
              <w:rPr>
                <w:rFonts w:hint="default" w:ascii="Times New Roman" w:hAnsi="Times New Roman" w:cs="Times New Roman"/>
                <w:color w:val="000000"/>
                <w:sz w:val="20"/>
              </w:rPr>
              <w:t xml:space="preserve"> </w:t>
            </w:r>
          </w:p>
        </w:tc>
      </w:tr>
      <w:tr w14:paraId="7A3C77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BBE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D08F3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59E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AEC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0092B8F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453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0AA15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1CF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76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45F4BA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B1EE">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BF6C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9848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591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3CD81D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18887">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1D1F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34D8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7C0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2639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018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A73B5">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445D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123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B811DB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E57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418A2">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94F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8CC3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75DDFE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1002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C0E13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064A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4CD6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944372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BA1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5B44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622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822D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45BC732">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969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4899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E2F2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75A2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D795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00EA">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691D9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8EE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D095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174.37</w:t>
            </w:r>
            <w:r>
              <w:rPr>
                <w:rFonts w:hint="default" w:ascii="Times New Roman" w:hAnsi="Times New Roman" w:cs="Times New Roman"/>
                <w:color w:val="000000"/>
                <w:sz w:val="20"/>
              </w:rPr>
              <w:t xml:space="preserve"> </w:t>
            </w:r>
          </w:p>
        </w:tc>
      </w:tr>
      <w:tr w14:paraId="3B10F7F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DBED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0623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AB53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56DF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64E15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ED864">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1190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E35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B16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DF6BC8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319D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63D0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788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9409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19E4A4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A1F6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F8F9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448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A29F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6FBECED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E2E2">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9F72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D2A0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937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D8070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ED5B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A59C">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CBB6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39E1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F119E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81FD">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3D78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F5D6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364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177EED5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ED66">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2B68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0A165">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C05E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r>
      <w:tr w14:paraId="5753A0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15AB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980A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5386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B47C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562E6E1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7E36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DF63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C8AC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A70C5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rPr>
              <w:t xml:space="preserve"> </w:t>
            </w:r>
          </w:p>
        </w:tc>
      </w:tr>
      <w:tr w14:paraId="4EB9CC4B">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F5B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3ABE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B90EAB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ADA8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3,171.66</w:t>
            </w:r>
            <w:r>
              <w:rPr>
                <w:rFonts w:hint="default" w:ascii="Times New Roman" w:hAnsi="Times New Roman" w:cs="Times New Roman"/>
                <w:color w:val="000000"/>
                <w:sz w:val="20"/>
              </w:rPr>
              <w:t xml:space="preserve"> </w:t>
            </w:r>
          </w:p>
        </w:tc>
      </w:tr>
    </w:tbl>
    <w:p w14:paraId="4FE894D1">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9"/>
        <w:tblW w:w="15322" w:type="dxa"/>
        <w:jc w:val="center"/>
        <w:tblLayout w:type="fixed"/>
        <w:tblCellMar>
          <w:top w:w="32" w:type="dxa"/>
          <w:left w:w="64" w:type="dxa"/>
          <w:bottom w:w="32" w:type="dxa"/>
          <w:right w:w="64" w:type="dxa"/>
        </w:tblCellMar>
      </w:tblPr>
      <w:tblGrid>
        <w:gridCol w:w="1777"/>
        <w:gridCol w:w="3742"/>
        <w:gridCol w:w="1329"/>
        <w:gridCol w:w="1128"/>
        <w:gridCol w:w="1400"/>
        <w:gridCol w:w="1000"/>
        <w:gridCol w:w="1130"/>
        <w:gridCol w:w="1270"/>
        <w:gridCol w:w="1411"/>
        <w:gridCol w:w="1135"/>
      </w:tblGrid>
      <w:tr w14:paraId="180B407B">
        <w:tblPrEx>
          <w:tblCellMar>
            <w:top w:w="32" w:type="dxa"/>
            <w:left w:w="64" w:type="dxa"/>
            <w:bottom w:w="32" w:type="dxa"/>
            <w:right w:w="64" w:type="dxa"/>
          </w:tblCellMar>
        </w:tblPrEx>
        <w:trPr>
          <w:trHeight w:val="431" w:hRule="atLeast"/>
          <w:jc w:val="center"/>
        </w:trPr>
        <w:tc>
          <w:tcPr>
            <w:tcW w:w="15322" w:type="dxa"/>
            <w:gridSpan w:val="10"/>
            <w:tcBorders>
              <w:top w:val="nil"/>
              <w:left w:val="nil"/>
              <w:bottom w:val="nil"/>
              <w:right w:val="nil"/>
            </w:tcBorders>
            <w:shd w:val="clear" w:color="auto" w:fill="auto"/>
            <w:noWrap/>
            <w:tcMar>
              <w:top w:w="15" w:type="dxa"/>
              <w:left w:w="15" w:type="dxa"/>
              <w:right w:w="15" w:type="dxa"/>
            </w:tcMar>
            <w:vAlign w:val="bottom"/>
          </w:tcPr>
          <w:p w14:paraId="63D5A260">
            <w:pPr>
              <w:keepNext w:val="0"/>
              <w:keepLines w:val="0"/>
              <w:widowControl/>
              <w:suppressLineNumbers w:val="0"/>
              <w:snapToGrid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收入决算表</w:t>
            </w:r>
          </w:p>
        </w:tc>
      </w:tr>
      <w:tr w14:paraId="0BEB9840">
        <w:tblPrEx>
          <w:tblCellMar>
            <w:top w:w="32" w:type="dxa"/>
            <w:left w:w="64" w:type="dxa"/>
            <w:bottom w:w="32" w:type="dxa"/>
            <w:right w:w="64" w:type="dxa"/>
          </w:tblCellMar>
        </w:tblPrEx>
        <w:trPr>
          <w:trHeight w:val="0" w:hRule="atLeast"/>
          <w:jc w:val="center"/>
        </w:trPr>
        <w:tc>
          <w:tcPr>
            <w:tcW w:w="6848" w:type="dxa"/>
            <w:gridSpan w:val="3"/>
            <w:vMerge w:val="restart"/>
            <w:tcBorders>
              <w:top w:val="nil"/>
              <w:left w:val="nil"/>
              <w:right w:val="nil"/>
            </w:tcBorders>
            <w:shd w:val="clear" w:color="auto" w:fill="auto"/>
            <w:noWrap/>
            <w:tcMar>
              <w:top w:w="15" w:type="dxa"/>
              <w:left w:w="15" w:type="dxa"/>
              <w:right w:w="15" w:type="dxa"/>
            </w:tcMar>
            <w:vAlign w:val="bottom"/>
          </w:tcPr>
          <w:p w14:paraId="33D3226E">
            <w:pPr>
              <w:snapToGrid w:val="0"/>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rPr>
              <w:t>重庆市高新技术产业开发区石桥铺小学</w:t>
            </w:r>
          </w:p>
        </w:tc>
        <w:tc>
          <w:tcPr>
            <w:tcW w:w="1128" w:type="dxa"/>
            <w:tcBorders>
              <w:top w:val="nil"/>
              <w:left w:val="nil"/>
              <w:bottom w:val="nil"/>
              <w:right w:val="nil"/>
            </w:tcBorders>
            <w:shd w:val="clear" w:color="auto" w:fill="auto"/>
            <w:noWrap/>
            <w:tcMar>
              <w:top w:w="15" w:type="dxa"/>
              <w:left w:w="15" w:type="dxa"/>
              <w:right w:w="15" w:type="dxa"/>
            </w:tcMar>
            <w:vAlign w:val="bottom"/>
          </w:tcPr>
          <w:p w14:paraId="21D16CA9">
            <w:pPr>
              <w:snapToGrid w:val="0"/>
              <w:rPr>
                <w:rFonts w:hint="default" w:ascii="Times New Roman" w:hAnsi="Times New Roman" w:cs="Times New Roman"/>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3BEA962F">
            <w:pPr>
              <w:snapToGrid w:val="0"/>
              <w:rPr>
                <w:rFonts w:hint="default" w:ascii="Times New Roman" w:hAnsi="Times New Roman" w:cs="Times New Roman"/>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14:paraId="0E6AC8FB">
            <w:pPr>
              <w:snapToGrid w:val="0"/>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noWrap/>
            <w:tcMar>
              <w:top w:w="15" w:type="dxa"/>
              <w:left w:w="15" w:type="dxa"/>
              <w:right w:w="15" w:type="dxa"/>
            </w:tcMar>
            <w:vAlign w:val="bottom"/>
          </w:tcPr>
          <w:p w14:paraId="2CA1358C">
            <w:pPr>
              <w:snapToGrid w:val="0"/>
              <w:rPr>
                <w:rFonts w:hint="default" w:ascii="Times New Roman" w:hAnsi="Times New Roman" w:cs="Times New Roman"/>
                <w:color w:val="000000"/>
                <w:sz w:val="20"/>
                <w:szCs w:val="20"/>
              </w:rPr>
            </w:pPr>
          </w:p>
        </w:tc>
        <w:tc>
          <w:tcPr>
            <w:tcW w:w="1270" w:type="dxa"/>
            <w:tcBorders>
              <w:top w:val="nil"/>
              <w:left w:val="nil"/>
              <w:bottom w:val="nil"/>
              <w:right w:val="nil"/>
            </w:tcBorders>
            <w:shd w:val="clear" w:color="auto" w:fill="auto"/>
            <w:noWrap/>
            <w:tcMar>
              <w:top w:w="15" w:type="dxa"/>
              <w:left w:w="15" w:type="dxa"/>
              <w:right w:w="15" w:type="dxa"/>
            </w:tcMar>
            <w:vAlign w:val="bottom"/>
          </w:tcPr>
          <w:p w14:paraId="43B8DD1B">
            <w:pPr>
              <w:snapToGrid w:val="0"/>
              <w:rPr>
                <w:rFonts w:hint="default" w:ascii="Times New Roman" w:hAnsi="Times New Roman" w:cs="Times New Roman"/>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33D18CE1">
            <w:pPr>
              <w:snapToGrid w:val="0"/>
              <w:rPr>
                <w:rFonts w:hint="default" w:ascii="Times New Roman" w:hAnsi="Times New Roman" w:cs="Times New Roman"/>
                <w:color w:val="000000"/>
                <w:sz w:val="20"/>
                <w:szCs w:val="20"/>
              </w:rPr>
            </w:pPr>
          </w:p>
        </w:tc>
        <w:tc>
          <w:tcPr>
            <w:tcW w:w="1135" w:type="dxa"/>
            <w:tcBorders>
              <w:top w:val="nil"/>
              <w:left w:val="nil"/>
              <w:bottom w:val="nil"/>
              <w:right w:val="nil"/>
            </w:tcBorders>
            <w:shd w:val="clear" w:color="auto" w:fill="auto"/>
            <w:noWrap/>
            <w:tcMar>
              <w:top w:w="15" w:type="dxa"/>
              <w:left w:w="15" w:type="dxa"/>
              <w:right w:w="15" w:type="dxa"/>
            </w:tcMar>
            <w:vAlign w:val="bottom"/>
          </w:tcPr>
          <w:p w14:paraId="5F4715EE">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14:paraId="4C0C84EA">
        <w:tblPrEx>
          <w:tblCellMar>
            <w:top w:w="32" w:type="dxa"/>
            <w:left w:w="64" w:type="dxa"/>
            <w:bottom w:w="32" w:type="dxa"/>
            <w:right w:w="64" w:type="dxa"/>
          </w:tblCellMar>
        </w:tblPrEx>
        <w:trPr>
          <w:trHeight w:val="0" w:hRule="atLeast"/>
          <w:jc w:val="center"/>
        </w:trPr>
        <w:tc>
          <w:tcPr>
            <w:tcW w:w="6848" w:type="dxa"/>
            <w:gridSpan w:val="3"/>
            <w:vMerge w:val="continue"/>
            <w:tcBorders>
              <w:left w:val="nil"/>
              <w:bottom w:val="nil"/>
              <w:right w:val="nil"/>
            </w:tcBorders>
            <w:shd w:val="clear" w:color="auto" w:fill="auto"/>
            <w:noWrap/>
            <w:tcMar>
              <w:top w:w="15" w:type="dxa"/>
              <w:left w:w="15" w:type="dxa"/>
              <w:right w:w="15" w:type="dxa"/>
            </w:tcMar>
            <w:vAlign w:val="bottom"/>
          </w:tcPr>
          <w:p w14:paraId="29B08D57">
            <w:pPr>
              <w:snapToGrid w:val="0"/>
              <w:rPr>
                <w:rFonts w:hint="default" w:ascii="Times New Roman" w:hAnsi="Times New Roman" w:cs="Times New Roman"/>
                <w:color w:val="000000"/>
                <w:sz w:val="20"/>
                <w:szCs w:val="20"/>
              </w:rPr>
            </w:pPr>
          </w:p>
        </w:tc>
        <w:tc>
          <w:tcPr>
            <w:tcW w:w="1128" w:type="dxa"/>
            <w:tcBorders>
              <w:top w:val="nil"/>
              <w:left w:val="nil"/>
              <w:bottom w:val="nil"/>
              <w:right w:val="nil"/>
            </w:tcBorders>
            <w:shd w:val="clear" w:color="auto" w:fill="auto"/>
            <w:noWrap/>
            <w:tcMar>
              <w:top w:w="15" w:type="dxa"/>
              <w:left w:w="15" w:type="dxa"/>
              <w:right w:w="15" w:type="dxa"/>
            </w:tcMar>
            <w:vAlign w:val="bottom"/>
          </w:tcPr>
          <w:p w14:paraId="084B79B9">
            <w:pPr>
              <w:snapToGrid w:val="0"/>
              <w:rPr>
                <w:rFonts w:hint="default" w:ascii="Times New Roman" w:hAnsi="Times New Roman" w:cs="Times New Roman"/>
                <w:color w:val="000000"/>
                <w:sz w:val="20"/>
                <w:szCs w:val="20"/>
              </w:rPr>
            </w:pPr>
          </w:p>
        </w:tc>
        <w:tc>
          <w:tcPr>
            <w:tcW w:w="1400" w:type="dxa"/>
            <w:tcBorders>
              <w:top w:val="nil"/>
              <w:left w:val="nil"/>
              <w:bottom w:val="nil"/>
              <w:right w:val="nil"/>
            </w:tcBorders>
            <w:shd w:val="clear" w:color="auto" w:fill="auto"/>
            <w:noWrap/>
            <w:tcMar>
              <w:top w:w="15" w:type="dxa"/>
              <w:left w:w="15" w:type="dxa"/>
              <w:right w:w="15" w:type="dxa"/>
            </w:tcMar>
            <w:vAlign w:val="bottom"/>
          </w:tcPr>
          <w:p w14:paraId="0EE348E4">
            <w:pPr>
              <w:snapToGrid w:val="0"/>
              <w:rPr>
                <w:rFonts w:hint="default" w:ascii="Times New Roman" w:hAnsi="Times New Roman" w:cs="Times New Roman"/>
                <w:color w:val="000000"/>
                <w:sz w:val="20"/>
                <w:szCs w:val="20"/>
              </w:rPr>
            </w:pPr>
          </w:p>
        </w:tc>
        <w:tc>
          <w:tcPr>
            <w:tcW w:w="1000" w:type="dxa"/>
            <w:tcBorders>
              <w:top w:val="nil"/>
              <w:left w:val="nil"/>
              <w:bottom w:val="nil"/>
              <w:right w:val="nil"/>
            </w:tcBorders>
            <w:shd w:val="clear" w:color="auto" w:fill="auto"/>
            <w:noWrap/>
            <w:tcMar>
              <w:top w:w="15" w:type="dxa"/>
              <w:left w:w="15" w:type="dxa"/>
              <w:right w:w="15" w:type="dxa"/>
            </w:tcMar>
            <w:vAlign w:val="bottom"/>
          </w:tcPr>
          <w:p w14:paraId="40F1A644">
            <w:pPr>
              <w:snapToGrid w:val="0"/>
              <w:rPr>
                <w:rFonts w:hint="default" w:ascii="Times New Roman" w:hAnsi="Times New Roman" w:cs="Times New Roman"/>
                <w:color w:val="000000"/>
                <w:sz w:val="20"/>
                <w:szCs w:val="20"/>
              </w:rPr>
            </w:pPr>
          </w:p>
        </w:tc>
        <w:tc>
          <w:tcPr>
            <w:tcW w:w="1130" w:type="dxa"/>
            <w:tcBorders>
              <w:top w:val="nil"/>
              <w:left w:val="nil"/>
              <w:bottom w:val="nil"/>
              <w:right w:val="nil"/>
            </w:tcBorders>
            <w:shd w:val="clear" w:color="auto" w:fill="auto"/>
            <w:noWrap/>
            <w:tcMar>
              <w:top w:w="15" w:type="dxa"/>
              <w:left w:w="15" w:type="dxa"/>
              <w:right w:w="15" w:type="dxa"/>
            </w:tcMar>
            <w:vAlign w:val="bottom"/>
          </w:tcPr>
          <w:p w14:paraId="24B0C178">
            <w:pPr>
              <w:snapToGrid w:val="0"/>
              <w:rPr>
                <w:rFonts w:hint="default" w:ascii="Times New Roman" w:hAnsi="Times New Roman" w:cs="Times New Roman"/>
                <w:color w:val="000000"/>
                <w:sz w:val="20"/>
                <w:szCs w:val="20"/>
              </w:rPr>
            </w:pPr>
          </w:p>
        </w:tc>
        <w:tc>
          <w:tcPr>
            <w:tcW w:w="1270" w:type="dxa"/>
            <w:tcBorders>
              <w:top w:val="nil"/>
              <w:left w:val="nil"/>
              <w:bottom w:val="nil"/>
              <w:right w:val="nil"/>
            </w:tcBorders>
            <w:shd w:val="clear" w:color="auto" w:fill="auto"/>
            <w:noWrap/>
            <w:tcMar>
              <w:top w:w="15" w:type="dxa"/>
              <w:left w:w="15" w:type="dxa"/>
              <w:right w:w="15" w:type="dxa"/>
            </w:tcMar>
            <w:vAlign w:val="bottom"/>
          </w:tcPr>
          <w:p w14:paraId="576627FC">
            <w:pPr>
              <w:snapToGrid w:val="0"/>
              <w:rPr>
                <w:rFonts w:hint="default" w:ascii="Times New Roman" w:hAnsi="Times New Roman" w:cs="Times New Roman"/>
                <w:color w:val="000000"/>
                <w:sz w:val="20"/>
                <w:szCs w:val="20"/>
              </w:rPr>
            </w:pPr>
          </w:p>
        </w:tc>
        <w:tc>
          <w:tcPr>
            <w:tcW w:w="1411" w:type="dxa"/>
            <w:tcBorders>
              <w:top w:val="nil"/>
              <w:left w:val="nil"/>
              <w:bottom w:val="nil"/>
              <w:right w:val="nil"/>
            </w:tcBorders>
            <w:shd w:val="clear" w:color="auto" w:fill="auto"/>
            <w:noWrap/>
            <w:tcMar>
              <w:top w:w="15" w:type="dxa"/>
              <w:left w:w="15" w:type="dxa"/>
              <w:right w:w="15" w:type="dxa"/>
            </w:tcMar>
            <w:vAlign w:val="bottom"/>
          </w:tcPr>
          <w:p w14:paraId="0BE52619">
            <w:pPr>
              <w:snapToGrid w:val="0"/>
              <w:rPr>
                <w:rFonts w:hint="default" w:ascii="Times New Roman" w:hAnsi="Times New Roman" w:cs="Times New Roman"/>
                <w:color w:val="000000"/>
                <w:sz w:val="20"/>
                <w:szCs w:val="20"/>
              </w:rPr>
            </w:pPr>
          </w:p>
        </w:tc>
        <w:tc>
          <w:tcPr>
            <w:tcW w:w="1135" w:type="dxa"/>
            <w:tcBorders>
              <w:top w:val="nil"/>
              <w:left w:val="nil"/>
              <w:bottom w:val="nil"/>
              <w:right w:val="nil"/>
            </w:tcBorders>
            <w:shd w:val="clear" w:color="auto" w:fill="auto"/>
            <w:noWrap/>
            <w:tcMar>
              <w:top w:w="15" w:type="dxa"/>
              <w:left w:w="15" w:type="dxa"/>
              <w:right w:w="15" w:type="dxa"/>
            </w:tcMar>
            <w:vAlign w:val="bottom"/>
          </w:tcPr>
          <w:p w14:paraId="47B4BD01">
            <w:pPr>
              <w:snapToGrid w:val="0"/>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B68B78">
        <w:tblPrEx>
          <w:tblCellMar>
            <w:top w:w="32" w:type="dxa"/>
            <w:left w:w="64" w:type="dxa"/>
            <w:bottom w:w="32" w:type="dxa"/>
            <w:right w:w="64" w:type="dxa"/>
          </w:tblCellMar>
        </w:tblPrEx>
        <w:trPr>
          <w:trHeight w:val="139" w:hRule="atLeast"/>
          <w:jc w:val="center"/>
        </w:trPr>
        <w:tc>
          <w:tcPr>
            <w:tcW w:w="551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662B7C9A">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7FC33">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0A95F">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0882B">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F4A25D">
            <w:pPr>
              <w:snapToGrid w:val="0"/>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09BCD">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1614">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9BF9A">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245669C">
        <w:tblPrEx>
          <w:tblCellMar>
            <w:top w:w="32" w:type="dxa"/>
            <w:left w:w="64" w:type="dxa"/>
            <w:bottom w:w="32" w:type="dxa"/>
            <w:right w:w="64" w:type="dxa"/>
          </w:tblCellMar>
        </w:tblPrEx>
        <w:trPr>
          <w:trHeight w:val="312" w:hRule="atLeast"/>
          <w:jc w:val="center"/>
        </w:trPr>
        <w:tc>
          <w:tcPr>
            <w:tcW w:w="177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4EBF">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74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E4AC518">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7EE70">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B051D">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9156">
            <w:pPr>
              <w:snapToGrid w:val="0"/>
              <w:jc w:val="center"/>
              <w:rPr>
                <w:rFonts w:hint="default" w:ascii="Times New Roman" w:hAnsi="Times New Roman" w:cs="Times New Roman"/>
                <w:b/>
                <w:color w:val="000000"/>
                <w:sz w:val="20"/>
                <w:szCs w:val="20"/>
              </w:rPr>
            </w:pP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63EEA">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369A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EC4FB">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62E2E">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53E0">
            <w:pPr>
              <w:snapToGrid w:val="0"/>
              <w:jc w:val="center"/>
              <w:rPr>
                <w:rFonts w:hint="default" w:ascii="Times New Roman" w:hAnsi="Times New Roman" w:cs="Times New Roman"/>
                <w:b/>
                <w:color w:val="000000"/>
                <w:sz w:val="20"/>
                <w:szCs w:val="20"/>
              </w:rPr>
            </w:pPr>
          </w:p>
        </w:tc>
      </w:tr>
      <w:tr w14:paraId="698C70C2">
        <w:tblPrEx>
          <w:tblCellMar>
            <w:top w:w="32" w:type="dxa"/>
            <w:left w:w="64" w:type="dxa"/>
            <w:bottom w:w="32" w:type="dxa"/>
            <w:right w:w="64" w:type="dxa"/>
          </w:tblCellMar>
        </w:tblPrEx>
        <w:trPr>
          <w:trHeight w:val="312" w:hRule="atLeast"/>
          <w:jc w:val="center"/>
        </w:trPr>
        <w:tc>
          <w:tcPr>
            <w:tcW w:w="17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CA56D">
            <w:pPr>
              <w:snapToGrid w:val="0"/>
              <w:jc w:val="center"/>
              <w:rPr>
                <w:rFonts w:hint="default" w:ascii="Times New Roman" w:hAnsi="Times New Roman" w:cs="Times New Roman"/>
                <w:b/>
                <w:color w:val="000000"/>
                <w:sz w:val="20"/>
                <w:szCs w:val="20"/>
              </w:rPr>
            </w:pPr>
          </w:p>
        </w:tc>
        <w:tc>
          <w:tcPr>
            <w:tcW w:w="37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53A430">
            <w:pPr>
              <w:snapToGrid w:val="0"/>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4898">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DDC8F">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870D9">
            <w:pPr>
              <w:snapToGrid w:val="0"/>
              <w:jc w:val="center"/>
              <w:rPr>
                <w:rFonts w:hint="default" w:ascii="Times New Roman" w:hAnsi="Times New Roman" w:cs="Times New Roman"/>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8F6B">
            <w:pPr>
              <w:snapToGrid w:val="0"/>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2DAFE">
            <w:pPr>
              <w:snapToGrid w:val="0"/>
              <w:jc w:val="center"/>
              <w:rPr>
                <w:rFonts w:hint="default" w:ascii="Times New Roman" w:hAnsi="Times New Roman" w:cs="Times New Roman"/>
                <w:b/>
                <w:color w:val="000000"/>
                <w:sz w:val="20"/>
                <w:szCs w:val="20"/>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7CA4B">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23D10">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71EFA">
            <w:pPr>
              <w:snapToGrid w:val="0"/>
              <w:jc w:val="center"/>
              <w:rPr>
                <w:rFonts w:hint="default" w:ascii="Times New Roman" w:hAnsi="Times New Roman" w:cs="Times New Roman"/>
                <w:b/>
                <w:color w:val="000000"/>
                <w:sz w:val="20"/>
                <w:szCs w:val="20"/>
              </w:rPr>
            </w:pPr>
          </w:p>
        </w:tc>
      </w:tr>
      <w:tr w14:paraId="07E75B1C">
        <w:tblPrEx>
          <w:tblCellMar>
            <w:top w:w="32" w:type="dxa"/>
            <w:left w:w="64" w:type="dxa"/>
            <w:bottom w:w="32" w:type="dxa"/>
            <w:right w:w="64" w:type="dxa"/>
          </w:tblCellMar>
        </w:tblPrEx>
        <w:trPr>
          <w:trHeight w:val="312" w:hRule="atLeast"/>
          <w:jc w:val="center"/>
        </w:trPr>
        <w:tc>
          <w:tcPr>
            <w:tcW w:w="17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8C88">
            <w:pPr>
              <w:snapToGrid w:val="0"/>
              <w:jc w:val="center"/>
              <w:rPr>
                <w:rFonts w:hint="default" w:ascii="Times New Roman" w:hAnsi="Times New Roman" w:cs="Times New Roman"/>
                <w:b/>
                <w:color w:val="000000"/>
                <w:sz w:val="20"/>
                <w:szCs w:val="20"/>
              </w:rPr>
            </w:pPr>
          </w:p>
        </w:tc>
        <w:tc>
          <w:tcPr>
            <w:tcW w:w="37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210CCD9">
            <w:pPr>
              <w:snapToGrid w:val="0"/>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6288F">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EDCF5">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08387">
            <w:pPr>
              <w:snapToGrid w:val="0"/>
              <w:jc w:val="center"/>
              <w:rPr>
                <w:rFonts w:hint="default" w:ascii="Times New Roman" w:hAnsi="Times New Roman" w:cs="Times New Roman"/>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9E851">
            <w:pPr>
              <w:snapToGrid w:val="0"/>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1029A">
            <w:pPr>
              <w:snapToGrid w:val="0"/>
              <w:jc w:val="center"/>
              <w:rPr>
                <w:rFonts w:hint="default" w:ascii="Times New Roman" w:hAnsi="Times New Roman" w:cs="Times New Roman"/>
                <w:b/>
                <w:color w:val="000000"/>
                <w:sz w:val="20"/>
                <w:szCs w:val="20"/>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A6DA9">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7BA67">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CC7BC">
            <w:pPr>
              <w:snapToGrid w:val="0"/>
              <w:jc w:val="center"/>
              <w:rPr>
                <w:rFonts w:hint="default" w:ascii="Times New Roman" w:hAnsi="Times New Roman" w:cs="Times New Roman"/>
                <w:b/>
                <w:color w:val="000000"/>
                <w:sz w:val="20"/>
                <w:szCs w:val="20"/>
              </w:rPr>
            </w:pPr>
          </w:p>
        </w:tc>
      </w:tr>
      <w:tr w14:paraId="7CF43408">
        <w:tblPrEx>
          <w:tblCellMar>
            <w:top w:w="32" w:type="dxa"/>
            <w:left w:w="64" w:type="dxa"/>
            <w:bottom w:w="32" w:type="dxa"/>
            <w:right w:w="64" w:type="dxa"/>
          </w:tblCellMar>
        </w:tblPrEx>
        <w:trPr>
          <w:trHeight w:val="312" w:hRule="atLeast"/>
          <w:jc w:val="center"/>
        </w:trPr>
        <w:tc>
          <w:tcPr>
            <w:tcW w:w="17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02694">
            <w:pPr>
              <w:snapToGrid w:val="0"/>
              <w:jc w:val="center"/>
              <w:rPr>
                <w:rFonts w:hint="default" w:ascii="Times New Roman" w:hAnsi="Times New Roman" w:cs="Times New Roman"/>
                <w:b/>
                <w:color w:val="000000"/>
                <w:sz w:val="20"/>
                <w:szCs w:val="20"/>
              </w:rPr>
            </w:pPr>
          </w:p>
        </w:tc>
        <w:tc>
          <w:tcPr>
            <w:tcW w:w="374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7952C22">
            <w:pPr>
              <w:snapToGrid w:val="0"/>
              <w:jc w:val="center"/>
              <w:rPr>
                <w:rFonts w:hint="default" w:ascii="Times New Roman" w:hAnsi="Times New Roman" w:cs="Times New Roman"/>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1DB40">
            <w:pPr>
              <w:snapToGrid w:val="0"/>
              <w:jc w:val="center"/>
              <w:rPr>
                <w:rFonts w:hint="default" w:ascii="Times New Roman" w:hAnsi="Times New Roman" w:cs="Times New Roman"/>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E867">
            <w:pPr>
              <w:snapToGrid w:val="0"/>
              <w:jc w:val="center"/>
              <w:rPr>
                <w:rFonts w:hint="default" w:ascii="Times New Roman" w:hAnsi="Times New Roman" w:cs="Times New Roman"/>
                <w:b/>
                <w:color w:val="000000"/>
                <w:sz w:val="20"/>
                <w:szCs w:val="20"/>
              </w:rPr>
            </w:pP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A47BA">
            <w:pPr>
              <w:snapToGrid w:val="0"/>
              <w:jc w:val="center"/>
              <w:rPr>
                <w:rFonts w:hint="default" w:ascii="Times New Roman" w:hAnsi="Times New Roman" w:cs="Times New Roman"/>
                <w:b/>
                <w:color w:val="000000"/>
                <w:sz w:val="20"/>
                <w:szCs w:val="20"/>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C593F">
            <w:pPr>
              <w:snapToGrid w:val="0"/>
              <w:jc w:val="center"/>
              <w:rPr>
                <w:rFonts w:hint="default" w:ascii="Times New Roman" w:hAnsi="Times New Roman" w:cs="Times New Roman"/>
                <w:b/>
                <w:color w:val="000000"/>
                <w:sz w:val="20"/>
                <w:szCs w:val="20"/>
              </w:rPr>
            </w:pPr>
          </w:p>
        </w:tc>
        <w:tc>
          <w:tcPr>
            <w:tcW w:w="1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114F8">
            <w:pPr>
              <w:snapToGrid w:val="0"/>
              <w:jc w:val="center"/>
              <w:rPr>
                <w:rFonts w:hint="default" w:ascii="Times New Roman" w:hAnsi="Times New Roman" w:cs="Times New Roman"/>
                <w:b/>
                <w:color w:val="000000"/>
                <w:sz w:val="20"/>
                <w:szCs w:val="20"/>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3663C">
            <w:pPr>
              <w:snapToGrid w:val="0"/>
              <w:jc w:val="center"/>
              <w:rPr>
                <w:rFonts w:hint="default" w:ascii="Times New Roman" w:hAnsi="Times New Roman" w:cs="Times New Roman"/>
                <w:b/>
                <w:color w:val="000000"/>
                <w:sz w:val="20"/>
                <w:szCs w:val="20"/>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E4F69">
            <w:pPr>
              <w:snapToGrid w:val="0"/>
              <w:jc w:val="center"/>
              <w:rPr>
                <w:rFonts w:hint="default" w:ascii="Times New Roman" w:hAnsi="Times New Roman" w:cs="Times New Roman"/>
                <w:b/>
                <w:color w:val="000000"/>
                <w:sz w:val="20"/>
                <w:szCs w:val="20"/>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DCED6">
            <w:pPr>
              <w:snapToGrid w:val="0"/>
              <w:jc w:val="center"/>
              <w:rPr>
                <w:rFonts w:hint="default" w:ascii="Times New Roman" w:hAnsi="Times New Roman" w:cs="Times New Roman"/>
                <w:b/>
                <w:color w:val="000000"/>
                <w:sz w:val="20"/>
                <w:szCs w:val="20"/>
              </w:rPr>
            </w:pPr>
          </w:p>
        </w:tc>
      </w:tr>
      <w:tr w14:paraId="6492A34B">
        <w:tblPrEx>
          <w:tblCellMar>
            <w:top w:w="32" w:type="dxa"/>
            <w:left w:w="64" w:type="dxa"/>
            <w:bottom w:w="32" w:type="dxa"/>
            <w:right w:w="64" w:type="dxa"/>
          </w:tblCellMar>
        </w:tblPrEx>
        <w:trPr>
          <w:trHeight w:val="248" w:hRule="atLeast"/>
          <w:jc w:val="center"/>
        </w:trPr>
        <w:tc>
          <w:tcPr>
            <w:tcW w:w="55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530E">
            <w:pPr>
              <w:snapToGrid w:val="0"/>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F52E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3,171.66</w:t>
            </w:r>
            <w:r>
              <w:rPr>
                <w:rFonts w:hint="default" w:ascii="Times New Roman" w:hAnsi="Times New Roman" w:cs="Times New Roman"/>
                <w:b/>
                <w:color w:val="000000"/>
                <w:sz w:val="20"/>
              </w:rPr>
              <w:t xml:space="preserve"> </w:t>
            </w:r>
          </w:p>
        </w:tc>
        <w:tc>
          <w:tcPr>
            <w:tcW w:w="11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C9DB7">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3,032.56</w:t>
            </w:r>
            <w:r>
              <w:rPr>
                <w:rFonts w:hint="default" w:ascii="Times New Roman" w:hAnsi="Times New Roman" w:cs="Times New Roman"/>
                <w:b/>
                <w:color w:val="000000"/>
                <w:sz w:val="20"/>
              </w:rPr>
              <w:t xml:space="preserve"> </w:t>
            </w:r>
          </w:p>
        </w:tc>
        <w:tc>
          <w:tcPr>
            <w:tcW w:w="14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40115">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0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FAD68">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139.10</w:t>
            </w:r>
            <w:r>
              <w:rPr>
                <w:rFonts w:hint="default" w:ascii="Times New Roman" w:hAnsi="Times New Roman" w:cs="Times New Roman"/>
                <w:b/>
                <w:color w:val="000000"/>
                <w:sz w:val="20"/>
              </w:rPr>
              <w:t xml:space="preserve"> </w:t>
            </w:r>
          </w:p>
        </w:tc>
        <w:tc>
          <w:tcPr>
            <w:tcW w:w="11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9BADE">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139.10</w:t>
            </w:r>
            <w:r>
              <w:rPr>
                <w:rFonts w:hint="default" w:ascii="Times New Roman" w:hAnsi="Times New Roman" w:cs="Times New Roman"/>
                <w:b/>
                <w:color w:val="000000"/>
                <w:sz w:val="20"/>
              </w:rPr>
              <w:t xml:space="preserve"> </w:t>
            </w:r>
          </w:p>
        </w:tc>
        <w:tc>
          <w:tcPr>
            <w:tcW w:w="12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BD3C">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4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E77DF">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115A9">
            <w:pPr>
              <w:wordWrap w:val="0"/>
              <w:snapToGrid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56EB097D">
        <w:tblPrEx>
          <w:tblCellMar>
            <w:top w:w="32" w:type="dxa"/>
            <w:left w:w="64" w:type="dxa"/>
            <w:bottom w:w="32" w:type="dxa"/>
            <w:right w:w="64" w:type="dxa"/>
          </w:tblCellMar>
        </w:tblPrEx>
        <w:trPr>
          <w:trHeight w:val="9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FFF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0B67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7E2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B72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01A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797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91E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96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320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F61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3F933CE0">
        <w:tblPrEx>
          <w:tblCellMar>
            <w:top w:w="32" w:type="dxa"/>
            <w:left w:w="64" w:type="dxa"/>
            <w:bottom w:w="32" w:type="dxa"/>
            <w:right w:w="64" w:type="dxa"/>
          </w:tblCellMar>
        </w:tblPrEx>
        <w:trPr>
          <w:trHeight w:val="181"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146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F54E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83D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E66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8B9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38E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035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139.10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DB6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13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5CE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8B1C44">
        <w:tblPrEx>
          <w:tblCellMar>
            <w:top w:w="32" w:type="dxa"/>
            <w:left w:w="64" w:type="dxa"/>
            <w:bottom w:w="32" w:type="dxa"/>
            <w:right w:w="64" w:type="dxa"/>
          </w:tblCellMar>
        </w:tblPrEx>
        <w:trPr>
          <w:trHeight w:val="149"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E7E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0A46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2A45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206.82</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388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70.72</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E22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FB2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136.10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FD8A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136.10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995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70E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CEA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2557690">
        <w:tblPrEx>
          <w:tblCellMar>
            <w:top w:w="32" w:type="dxa"/>
            <w:left w:w="64" w:type="dxa"/>
            <w:bottom w:w="32" w:type="dxa"/>
            <w:right w:w="64" w:type="dxa"/>
          </w:tblCellMar>
        </w:tblPrEx>
        <w:trPr>
          <w:trHeight w:val="134"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6B2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DDD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A84A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2,385.16</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606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2,382.16</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A5C2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3AE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FEC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474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7C6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13B4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8D105FC">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C5A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52E0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64BC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B324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A3B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B62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94D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D73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0870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A29C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33995BC">
        <w:tblPrEx>
          <w:tblCellMar>
            <w:top w:w="32" w:type="dxa"/>
            <w:left w:w="64" w:type="dxa"/>
            <w:bottom w:w="32" w:type="dxa"/>
            <w:right w:w="64" w:type="dxa"/>
          </w:tblCellMar>
        </w:tblPrEx>
        <w:trPr>
          <w:trHeight w:val="22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C6CD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D87F">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921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C4DB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820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989E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6F1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F87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D93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54C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B199F63">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991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B2C0">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28A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601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F1A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AD04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F95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588C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C22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710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C2D1209">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EF1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D577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9F30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A8C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71F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DCFC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FC1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3BCF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4BF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AC4B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018AE75E">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53E5">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5E36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520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CDD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25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1F7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568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94A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622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DFE7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451A6B2">
        <w:tblPrEx>
          <w:tblCellMar>
            <w:top w:w="32" w:type="dxa"/>
            <w:left w:w="64" w:type="dxa"/>
            <w:bottom w:w="32" w:type="dxa"/>
            <w:right w:w="64" w:type="dxa"/>
          </w:tblCellMar>
        </w:tblPrEx>
        <w:trPr>
          <w:trHeight w:val="106"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CC23">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3076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2B2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D17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7F01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9CD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175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854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0660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28D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A074E5E">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6E9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6C5B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4A23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238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4AC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76F1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BC0F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7B9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509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792D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D2ABEEB">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24C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7D08">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0AF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374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6C3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FD0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BF8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729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CB5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E4E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4B65941">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A5B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959EC">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FBD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9472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3D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E838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7532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6E3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170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0ADA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249ACD29">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BFE1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B460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588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4698">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00BA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EC1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4EEE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B5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CE98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CE9F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1036197">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79D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55444">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072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F7A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8D7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9399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C73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8E56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549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D737A">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C113EE9">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900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81546">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C0D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F3C2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64D1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348BB">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FD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DBC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0C9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EC3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6ABC39A">
        <w:tblPrEx>
          <w:tblCellMar>
            <w:top w:w="32" w:type="dxa"/>
            <w:left w:w="64" w:type="dxa"/>
            <w:bottom w:w="32" w:type="dxa"/>
            <w:right w:w="64" w:type="dxa"/>
          </w:tblCellMar>
        </w:tblPrEx>
        <w:trPr>
          <w:trHeight w:val="0" w:hRule="atLeast"/>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CA419">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C467">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8BB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ED5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9D5B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52F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63417">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0D31">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379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A79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685D88A">
        <w:tblPrEx>
          <w:tblCellMar>
            <w:top w:w="32" w:type="dxa"/>
            <w:left w:w="64" w:type="dxa"/>
            <w:bottom w:w="32" w:type="dxa"/>
            <w:right w:w="64" w:type="dxa"/>
          </w:tblCellMar>
        </w:tblPrEx>
        <w:trPr>
          <w:trHeight w:val="0" w:hRule="atLeast"/>
          <w:jc w:val="center"/>
        </w:trPr>
        <w:tc>
          <w:tcPr>
            <w:tcW w:w="1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52EB">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74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30480E">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84F13">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EB16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180F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385C">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AAD46">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C929">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336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4634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286DC68">
        <w:tblPrEx>
          <w:tblCellMar>
            <w:top w:w="32" w:type="dxa"/>
            <w:left w:w="64" w:type="dxa"/>
            <w:bottom w:w="32" w:type="dxa"/>
            <w:right w:w="64" w:type="dxa"/>
          </w:tblCellMar>
        </w:tblPrEx>
        <w:trPr>
          <w:trHeight w:val="0" w:hRule="atLeast"/>
          <w:jc w:val="center"/>
        </w:trPr>
        <w:tc>
          <w:tcPr>
            <w:tcW w:w="17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8AE1">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374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4B8AA">
            <w:pPr>
              <w:snapToGrid w:val="0"/>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D14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0B322">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97DD">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F1C0E">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CA085">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4E60">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4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237F4">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1D4F">
            <w:pPr>
              <w:wordWrap w:val="0"/>
              <w:snapToGrid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2FF9B69A">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82773CB">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3"/>
        <w:gridCol w:w="1958"/>
      </w:tblGrid>
      <w:tr w14:paraId="44CCF4A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35DD3A0">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支出决算表</w:t>
            </w:r>
          </w:p>
        </w:tc>
      </w:tr>
      <w:tr w14:paraId="7061FE3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9A698AA">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重庆市高新技术产业开发区石桥铺小学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BB623CA">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8B6667">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40533EF">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B6EA0D0">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895BAE4">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14:paraId="2F21C83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095D90C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F28F68A">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A5FDB40">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5B00FD">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CF6E7CC">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D199FB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FCFC95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F1B1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41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662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EB8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7A4F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6C3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8B5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7C0A83E9">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10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9786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0BF7D">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4748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0098">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441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C42A8">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A65B6">
            <w:pPr>
              <w:jc w:val="center"/>
              <w:rPr>
                <w:rFonts w:hint="default" w:ascii="Times New Roman" w:hAnsi="Times New Roman" w:cs="Times New Roman"/>
                <w:b/>
                <w:color w:val="000000"/>
                <w:sz w:val="20"/>
                <w:szCs w:val="20"/>
              </w:rPr>
            </w:pPr>
          </w:p>
        </w:tc>
      </w:tr>
      <w:tr w14:paraId="5B5D593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0E413">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CAA0AE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DAED9">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53A3">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57D1">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631B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0B63">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105C6">
            <w:pPr>
              <w:jc w:val="center"/>
              <w:rPr>
                <w:rFonts w:hint="default" w:ascii="Times New Roman" w:hAnsi="Times New Roman" w:cs="Times New Roman"/>
                <w:b/>
                <w:color w:val="000000"/>
                <w:sz w:val="20"/>
                <w:szCs w:val="20"/>
              </w:rPr>
            </w:pPr>
          </w:p>
        </w:tc>
      </w:tr>
      <w:tr w14:paraId="419AE2C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CF310">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E6E396">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A719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E9A67">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196ED">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9976D">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AB48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F77B3">
            <w:pPr>
              <w:jc w:val="center"/>
              <w:rPr>
                <w:rFonts w:hint="default" w:ascii="Times New Roman" w:hAnsi="Times New Roman" w:cs="Times New Roman"/>
                <w:b/>
                <w:color w:val="000000"/>
                <w:sz w:val="20"/>
                <w:szCs w:val="20"/>
              </w:rPr>
            </w:pPr>
          </w:p>
        </w:tc>
      </w:tr>
      <w:tr w14:paraId="4F028842">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4A50">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98CFDF5">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19E4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3E5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7AB23">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4B8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305B">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0C42D">
            <w:pPr>
              <w:jc w:val="center"/>
              <w:rPr>
                <w:rFonts w:hint="default" w:ascii="Times New Roman" w:hAnsi="Times New Roman" w:cs="Times New Roman"/>
                <w:b/>
                <w:color w:val="000000"/>
                <w:sz w:val="20"/>
                <w:szCs w:val="20"/>
              </w:rPr>
            </w:pPr>
          </w:p>
        </w:tc>
      </w:tr>
      <w:tr w14:paraId="2D3D63EE">
        <w:tblPrEx>
          <w:tblCellMar>
            <w:top w:w="0" w:type="dxa"/>
            <w:left w:w="0" w:type="dxa"/>
            <w:bottom w:w="0" w:type="dxa"/>
            <w:right w:w="0" w:type="dxa"/>
          </w:tblCellMar>
        </w:tblPrEx>
        <w:trPr>
          <w:trHeight w:val="206"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AA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8AF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3,171.66</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7F2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2,491.98</w:t>
            </w:r>
            <w:r>
              <w:rPr>
                <w:rFonts w:hint="default" w:ascii="Times New Roman" w:hAnsi="Times New Roman" w:cs="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9B0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679.68</w:t>
            </w:r>
            <w:r>
              <w:rPr>
                <w:rFonts w:hint="default" w:ascii="Times New Roman" w:hAnsi="Times New Roman" w:cs="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ED1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CB4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A3B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7BFBABB9">
        <w:tblPrEx>
          <w:tblCellMar>
            <w:top w:w="0" w:type="dxa"/>
            <w:left w:w="0" w:type="dxa"/>
            <w:bottom w:w="0" w:type="dxa"/>
            <w:right w:w="0" w:type="dxa"/>
          </w:tblCellMar>
        </w:tblPrEx>
        <w:trPr>
          <w:trHeight w:val="24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9D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0F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C73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DB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C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679.68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64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D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E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27F6C2E">
        <w:tblPrEx>
          <w:tblCellMar>
            <w:top w:w="0" w:type="dxa"/>
            <w:left w:w="0" w:type="dxa"/>
            <w:bottom w:w="0" w:type="dxa"/>
            <w:right w:w="0" w:type="dxa"/>
          </w:tblCellMar>
        </w:tblPrEx>
        <w:trPr>
          <w:trHeight w:val="1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D1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E3B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37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2,591.98</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061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C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679.68</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C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50A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2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0E39FE0">
        <w:tblPrEx>
          <w:tblCellMar>
            <w:top w:w="0" w:type="dxa"/>
            <w:left w:w="0" w:type="dxa"/>
            <w:bottom w:w="0" w:type="dxa"/>
            <w:right w:w="0" w:type="dxa"/>
          </w:tblCellMar>
        </w:tblPrEx>
        <w:trPr>
          <w:trHeight w:val="21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E01E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FBE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73E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206.82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5D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18.79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563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188.03</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9C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C9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6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73997615">
        <w:tblPrEx>
          <w:tblCellMar>
            <w:top w:w="0" w:type="dxa"/>
            <w:left w:w="0" w:type="dxa"/>
            <w:bottom w:w="0" w:type="dxa"/>
            <w:right w:w="0" w:type="dxa"/>
          </w:tblCellMar>
        </w:tblPrEx>
        <w:trPr>
          <w:trHeight w:val="14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9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848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FD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2,385.16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8B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1,893.52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24C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491.65</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F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EAF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27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24277AB">
        <w:tblPrEx>
          <w:tblCellMar>
            <w:top w:w="0" w:type="dxa"/>
            <w:left w:w="0" w:type="dxa"/>
            <w:bottom w:w="0" w:type="dxa"/>
            <w:right w:w="0" w:type="dxa"/>
          </w:tblCellMar>
        </w:tblPrEx>
        <w:trPr>
          <w:trHeight w:val="19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B0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609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2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A1B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59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40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94F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F69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145F314">
        <w:tblPrEx>
          <w:tblCellMar>
            <w:top w:w="0" w:type="dxa"/>
            <w:left w:w="0" w:type="dxa"/>
            <w:bottom w:w="0" w:type="dxa"/>
            <w:right w:w="0" w:type="dxa"/>
          </w:tblCellMar>
        </w:tblPrEx>
        <w:trPr>
          <w:trHeight w:val="31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585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AB2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D6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5D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5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DA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F8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B5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AB73356">
        <w:tblPrEx>
          <w:tblCellMar>
            <w:top w:w="0" w:type="dxa"/>
            <w:left w:w="0" w:type="dxa"/>
            <w:bottom w:w="0" w:type="dxa"/>
            <w:right w:w="0" w:type="dxa"/>
          </w:tblCellMar>
        </w:tblPrEx>
        <w:trPr>
          <w:trHeight w:val="311"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BE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C22B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0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CB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F9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63A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221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92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0F2761">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888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CCA5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485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2EB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8A4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D93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10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7A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CCD3C9">
        <w:tblPrEx>
          <w:tblCellMar>
            <w:top w:w="0" w:type="dxa"/>
            <w:left w:w="0" w:type="dxa"/>
            <w:bottom w:w="0" w:type="dxa"/>
            <w:right w:w="0" w:type="dxa"/>
          </w:tblCellMar>
        </w:tblPrEx>
        <w:trPr>
          <w:trHeight w:val="2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2A88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C13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781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6F9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AD1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3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094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D1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8ED483D">
        <w:tblPrEx>
          <w:tblCellMar>
            <w:top w:w="0" w:type="dxa"/>
            <w:left w:w="0" w:type="dxa"/>
            <w:bottom w:w="0" w:type="dxa"/>
            <w:right w:w="0" w:type="dxa"/>
          </w:tblCellMar>
        </w:tblPrEx>
        <w:trPr>
          <w:trHeight w:val="240"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8FB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B67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8B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BB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71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52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0DB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93E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71ECC0F">
        <w:tblPrEx>
          <w:tblCellMar>
            <w:top w:w="0" w:type="dxa"/>
            <w:left w:w="0" w:type="dxa"/>
            <w:bottom w:w="0" w:type="dxa"/>
            <w:right w:w="0" w:type="dxa"/>
          </w:tblCellMar>
        </w:tblPrEx>
        <w:trPr>
          <w:trHeight w:val="269"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AFF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D04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25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E1E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C91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AE6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7A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7C3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38049FE4">
        <w:tblPrEx>
          <w:tblCellMar>
            <w:top w:w="0" w:type="dxa"/>
            <w:left w:w="0" w:type="dxa"/>
            <w:bottom w:w="0" w:type="dxa"/>
            <w:right w:w="0" w:type="dxa"/>
          </w:tblCellMar>
        </w:tblPrEx>
        <w:trPr>
          <w:trHeight w:val="226"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8D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27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9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C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82D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8DF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C26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2D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294F542">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83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873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8A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973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33F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26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C1D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349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17035533">
        <w:tblPrEx>
          <w:tblCellMar>
            <w:top w:w="0" w:type="dxa"/>
            <w:left w:w="0" w:type="dxa"/>
            <w:bottom w:w="0" w:type="dxa"/>
            <w:right w:w="0" w:type="dxa"/>
          </w:tblCellMar>
        </w:tblPrEx>
        <w:trPr>
          <w:trHeight w:val="268"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93A0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996F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EC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C73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B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5B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11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04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C0BA726">
        <w:tblPrEx>
          <w:tblCellMar>
            <w:top w:w="0" w:type="dxa"/>
            <w:left w:w="0" w:type="dxa"/>
            <w:bottom w:w="0" w:type="dxa"/>
            <w:right w:w="0" w:type="dxa"/>
          </w:tblCellMar>
        </w:tblPrEx>
        <w:trPr>
          <w:trHeight w:val="227"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9F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24E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D2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F3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A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1F6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ED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BFF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97116B">
        <w:tblPrEx>
          <w:tblCellMar>
            <w:top w:w="0" w:type="dxa"/>
            <w:left w:w="0" w:type="dxa"/>
            <w:bottom w:w="0" w:type="dxa"/>
            <w:right w:w="0" w:type="dxa"/>
          </w:tblCellMar>
        </w:tblPrEx>
        <w:trPr>
          <w:trHeight w:val="284"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8A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8D51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FC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325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C7A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19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A5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68D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F13D75">
        <w:tblPrEx>
          <w:tblCellMar>
            <w:top w:w="0" w:type="dxa"/>
            <w:left w:w="0" w:type="dxa"/>
            <w:bottom w:w="0" w:type="dxa"/>
            <w:right w:w="0" w:type="dxa"/>
          </w:tblCellMar>
        </w:tblPrEx>
        <w:trPr>
          <w:trHeight w:val="283"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BF4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CEF0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345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AE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43C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16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9D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FEA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7E67A211">
        <w:tblPrEx>
          <w:tblCellMar>
            <w:top w:w="0" w:type="dxa"/>
            <w:left w:w="0" w:type="dxa"/>
            <w:bottom w:w="0" w:type="dxa"/>
            <w:right w:w="0" w:type="dxa"/>
          </w:tblCellMar>
        </w:tblPrEx>
        <w:trPr>
          <w:trHeight w:val="27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49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D4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BC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385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8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A64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89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28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F9CBCE4">
        <w:tblPrEx>
          <w:tblCellMar>
            <w:top w:w="0" w:type="dxa"/>
            <w:left w:w="0" w:type="dxa"/>
            <w:bottom w:w="0" w:type="dxa"/>
            <w:right w:w="0" w:type="dxa"/>
          </w:tblCellMar>
        </w:tblPrEx>
        <w:trPr>
          <w:trHeight w:val="38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B1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175"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1A223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E1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9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8D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4C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BA3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C0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1C7490A6">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p w14:paraId="45FE11E0">
      <w:pPr>
        <w:rPr>
          <w:rFonts w:hint="default" w:ascii="Times New Roman" w:hAnsi="Times New Roman" w:cs="Times New Roman"/>
          <w:sz w:val="21"/>
          <w:szCs w:val="21"/>
        </w:rPr>
      </w:pPr>
    </w:p>
    <w:tbl>
      <w:tblPr>
        <w:tblStyle w:val="9"/>
        <w:tblW w:w="4789" w:type="pct"/>
        <w:tblInd w:w="0" w:type="dxa"/>
        <w:tblLayout w:type="autofit"/>
        <w:tblCellMar>
          <w:top w:w="0" w:type="dxa"/>
          <w:left w:w="0" w:type="dxa"/>
          <w:bottom w:w="0" w:type="dxa"/>
          <w:right w:w="0" w:type="dxa"/>
        </w:tblCellMar>
      </w:tblPr>
      <w:tblGrid>
        <w:gridCol w:w="2967"/>
        <w:gridCol w:w="1520"/>
        <w:gridCol w:w="3179"/>
        <w:gridCol w:w="1693"/>
        <w:gridCol w:w="1693"/>
        <w:gridCol w:w="1694"/>
        <w:gridCol w:w="1929"/>
      </w:tblGrid>
      <w:tr w14:paraId="33BEE40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66D921">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财政拨款收入支出决算总表</w:t>
            </w:r>
          </w:p>
        </w:tc>
      </w:tr>
      <w:tr w14:paraId="6B8B822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31DFF30">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446D6AE5">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C0682D">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6A0EBA6">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5F596CB">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14:paraId="10A3EF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2563DE0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74DE0D9">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85A8F8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08688BC">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D46F2F">
            <w:pPr>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E5F371B">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FF4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914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08228C0B">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6CC8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AFE9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BB209">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7C93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68B6243E">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02814">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1023">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F0FB9">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5012">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C00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4DA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EC1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02B6A2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ED31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49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23F6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5F1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C07F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846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332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B65DB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C2B5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7FF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92F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2F2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FB51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72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D229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4DEC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61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548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DC4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AD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7CF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4C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C4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C35899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241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C71A8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CC4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FCD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FF64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66A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4D7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0ED6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0AD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B54A71">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41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A2B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2,452.88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BE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2,452.88</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5CA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570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33D70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D66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91FA5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52E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71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F1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8586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B6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1ECB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9B2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E3871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B0C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114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1D9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000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A0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8971B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229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067F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46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AA2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292.05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9C0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292.05</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B0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51A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79403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2CC2">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1D6844">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E6E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C2D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2BB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113.27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109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8FD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E383B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21F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C39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C7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56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64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71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CA0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61714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C638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B77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AA4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C0B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901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41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22F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6EB0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A9A0">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DEB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58D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A62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84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5847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96B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98C5E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621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BA53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0463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35DC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54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5F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2A6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80FAC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18AE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9A6C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B65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1F48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26E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781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F5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B672A7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98DA">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A7BB8">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A3CD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26EC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B4C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960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EF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0F38A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23CB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A7709">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906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8B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7C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EFA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7D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9D96F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2E97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DA1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A38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C2E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8D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FF3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66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15627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896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AC8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741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099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405A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470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C1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ECA73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8A6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A0F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7487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57E7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B9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174.37</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43DE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2238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F4386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785CF">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BE675">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531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A2F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5C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633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7E7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11194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A48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508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059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62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C620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F4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41C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83826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450B7">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3E6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219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54E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52D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82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FC4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1D59B5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C0EC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0402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258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FAE4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802F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E8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11B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6A4D2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DD987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22F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30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231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3F43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96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E4D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5E098D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038B6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0EA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A86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F7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C8F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1F5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FA3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FB987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2DD7F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9FB60">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5AF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1E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3401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72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AF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2CE51E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932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0E8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7706">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C73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26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B1A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DB7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C921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DDD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920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5DE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7458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F3B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AE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16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D7799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5CB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456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76A8AC">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7CA0E0">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951C5">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8AB">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42897">
            <w:pPr>
              <w:spacing w:line="200" w:lineRule="exact"/>
              <w:rPr>
                <w:rFonts w:hint="default" w:ascii="Times New Roman" w:hAnsi="Times New Roman" w:cs="Times New Roman"/>
                <w:color w:val="000000"/>
                <w:sz w:val="18"/>
                <w:szCs w:val="18"/>
              </w:rPr>
            </w:pPr>
          </w:p>
        </w:tc>
      </w:tr>
      <w:tr w14:paraId="190ACE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832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4E7B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21D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84DF">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5A44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E3AF">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1339B">
            <w:pPr>
              <w:spacing w:line="200" w:lineRule="exact"/>
              <w:jc w:val="right"/>
              <w:rPr>
                <w:rFonts w:hint="default" w:ascii="Times New Roman" w:hAnsi="Times New Roman" w:cs="Times New Roman"/>
                <w:color w:val="000000"/>
                <w:sz w:val="18"/>
                <w:szCs w:val="18"/>
              </w:rPr>
            </w:pPr>
          </w:p>
        </w:tc>
      </w:tr>
      <w:tr w14:paraId="0BF7FA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3D385">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3FF4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26CD7">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680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C98E">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8E5B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D292F">
            <w:pPr>
              <w:spacing w:line="200" w:lineRule="exact"/>
              <w:jc w:val="right"/>
              <w:rPr>
                <w:rFonts w:hint="default" w:ascii="Times New Roman" w:hAnsi="Times New Roman" w:cs="Times New Roman"/>
                <w:color w:val="000000"/>
                <w:sz w:val="18"/>
                <w:szCs w:val="18"/>
              </w:rPr>
            </w:pPr>
          </w:p>
        </w:tc>
      </w:tr>
      <w:tr w14:paraId="1B5C878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1A35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D02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9F638">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308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28E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3,032.56</w:t>
            </w:r>
            <w:r>
              <w:rPr>
                <w:rFonts w:hint="default" w:ascii="Times New Roman" w:hAnsi="Times New Roman" w:cs="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DF2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66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bl>
    <w:p w14:paraId="507162F9">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5041" w:type="pct"/>
        <w:tblInd w:w="0" w:type="dxa"/>
        <w:tblLayout w:type="fixed"/>
        <w:tblCellMar>
          <w:top w:w="0" w:type="dxa"/>
          <w:left w:w="0" w:type="dxa"/>
          <w:bottom w:w="0" w:type="dxa"/>
          <w:right w:w="0" w:type="dxa"/>
        </w:tblCellMar>
      </w:tblPr>
      <w:tblGrid>
        <w:gridCol w:w="1306"/>
        <w:gridCol w:w="4073"/>
        <w:gridCol w:w="3306"/>
        <w:gridCol w:w="3297"/>
        <w:gridCol w:w="3466"/>
      </w:tblGrid>
      <w:tr w14:paraId="65A3C7DF">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CF03BF3">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一般公共预算财政拨款支出决算表</w:t>
            </w:r>
          </w:p>
        </w:tc>
      </w:tr>
      <w:tr w14:paraId="0B977AAA">
        <w:tblPrEx>
          <w:tblCellMar>
            <w:top w:w="0" w:type="dxa"/>
            <w:left w:w="0" w:type="dxa"/>
            <w:bottom w:w="0" w:type="dxa"/>
            <w:right w:w="0" w:type="dxa"/>
          </w:tblCellMar>
        </w:tblPrEx>
        <w:trPr>
          <w:trHeight w:val="255" w:hRule="atLeast"/>
        </w:trPr>
        <w:tc>
          <w:tcPr>
            <w:tcW w:w="2811" w:type="pct"/>
            <w:gridSpan w:val="3"/>
            <w:vMerge w:val="restart"/>
            <w:tcBorders>
              <w:top w:val="nil"/>
              <w:left w:val="nil"/>
              <w:right w:val="nil"/>
            </w:tcBorders>
            <w:shd w:val="clear" w:color="auto" w:fill="auto"/>
            <w:noWrap/>
            <w:tcMar>
              <w:top w:w="15" w:type="dxa"/>
              <w:left w:w="15" w:type="dxa"/>
              <w:right w:w="15" w:type="dxa"/>
            </w:tcMar>
            <w:vAlign w:val="bottom"/>
          </w:tcPr>
          <w:p w14:paraId="21AB4356">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1067" w:type="pct"/>
            <w:tcBorders>
              <w:top w:val="nil"/>
              <w:left w:val="nil"/>
              <w:bottom w:val="nil"/>
              <w:right w:val="nil"/>
            </w:tcBorders>
            <w:shd w:val="clear" w:color="auto" w:fill="auto"/>
            <w:noWrap/>
            <w:tcMar>
              <w:top w:w="15" w:type="dxa"/>
              <w:left w:w="15" w:type="dxa"/>
              <w:right w:w="15" w:type="dxa"/>
            </w:tcMar>
            <w:vAlign w:val="bottom"/>
          </w:tcPr>
          <w:p w14:paraId="0392CDBA">
            <w:pPr>
              <w:rPr>
                <w:rFonts w:hint="default" w:ascii="Times New Roman" w:hAnsi="Times New Roman" w:cs="Times New Roman"/>
                <w:color w:val="000000"/>
                <w:sz w:val="20"/>
                <w:szCs w:val="20"/>
              </w:rPr>
            </w:pPr>
          </w:p>
        </w:tc>
        <w:tc>
          <w:tcPr>
            <w:tcW w:w="1121" w:type="pct"/>
            <w:tcBorders>
              <w:top w:val="nil"/>
              <w:left w:val="nil"/>
              <w:bottom w:val="nil"/>
              <w:right w:val="nil"/>
            </w:tcBorders>
            <w:shd w:val="clear" w:color="auto" w:fill="auto"/>
            <w:noWrap/>
            <w:tcMar>
              <w:top w:w="15" w:type="dxa"/>
              <w:left w:w="15" w:type="dxa"/>
              <w:right w:w="15" w:type="dxa"/>
            </w:tcMar>
            <w:vAlign w:val="bottom"/>
          </w:tcPr>
          <w:p w14:paraId="4328DDD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14:paraId="2780B025">
        <w:tblPrEx>
          <w:tblCellMar>
            <w:top w:w="0" w:type="dxa"/>
            <w:left w:w="0" w:type="dxa"/>
            <w:bottom w:w="0" w:type="dxa"/>
            <w:right w:w="0" w:type="dxa"/>
          </w:tblCellMar>
        </w:tblPrEx>
        <w:trPr>
          <w:trHeight w:val="285" w:hRule="atLeast"/>
        </w:trPr>
        <w:tc>
          <w:tcPr>
            <w:tcW w:w="2811" w:type="pct"/>
            <w:gridSpan w:val="3"/>
            <w:vMerge w:val="continue"/>
            <w:tcBorders>
              <w:left w:val="nil"/>
              <w:bottom w:val="nil"/>
              <w:right w:val="nil"/>
            </w:tcBorders>
            <w:shd w:val="clear" w:color="auto" w:fill="auto"/>
            <w:noWrap/>
            <w:tcMar>
              <w:top w:w="15" w:type="dxa"/>
              <w:left w:w="15" w:type="dxa"/>
              <w:right w:w="15" w:type="dxa"/>
            </w:tcMar>
            <w:vAlign w:val="bottom"/>
          </w:tcPr>
          <w:p w14:paraId="1BB98D76">
            <w:pPr>
              <w:rPr>
                <w:rFonts w:hint="default" w:ascii="Times New Roman" w:hAnsi="Times New Roman" w:cs="Times New Roman"/>
                <w:color w:val="000000"/>
                <w:sz w:val="20"/>
                <w:szCs w:val="20"/>
              </w:rPr>
            </w:pPr>
          </w:p>
        </w:tc>
        <w:tc>
          <w:tcPr>
            <w:tcW w:w="1067" w:type="pct"/>
            <w:tcBorders>
              <w:top w:val="nil"/>
              <w:left w:val="nil"/>
              <w:bottom w:val="nil"/>
              <w:right w:val="nil"/>
            </w:tcBorders>
            <w:shd w:val="clear" w:color="auto" w:fill="auto"/>
            <w:noWrap/>
            <w:tcMar>
              <w:top w:w="15" w:type="dxa"/>
              <w:left w:w="15" w:type="dxa"/>
              <w:right w:w="15" w:type="dxa"/>
            </w:tcMar>
            <w:vAlign w:val="bottom"/>
          </w:tcPr>
          <w:p w14:paraId="321C99E8">
            <w:pPr>
              <w:rPr>
                <w:rFonts w:hint="default" w:ascii="Times New Roman" w:hAnsi="Times New Roman" w:cs="Times New Roman"/>
                <w:color w:val="000000"/>
                <w:sz w:val="20"/>
                <w:szCs w:val="20"/>
              </w:rPr>
            </w:pPr>
          </w:p>
        </w:tc>
        <w:tc>
          <w:tcPr>
            <w:tcW w:w="1121" w:type="pct"/>
            <w:tcBorders>
              <w:top w:val="nil"/>
              <w:left w:val="nil"/>
              <w:bottom w:val="nil"/>
              <w:right w:val="nil"/>
            </w:tcBorders>
            <w:shd w:val="clear" w:color="auto" w:fill="auto"/>
            <w:noWrap/>
            <w:tcMar>
              <w:top w:w="15" w:type="dxa"/>
              <w:left w:w="15" w:type="dxa"/>
              <w:right w:w="15" w:type="dxa"/>
            </w:tcMar>
            <w:vAlign w:val="bottom"/>
          </w:tcPr>
          <w:p w14:paraId="02ABFF43">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471E2B3">
        <w:tblPrEx>
          <w:tblCellMar>
            <w:top w:w="0" w:type="dxa"/>
            <w:left w:w="0" w:type="dxa"/>
            <w:bottom w:w="0" w:type="dxa"/>
            <w:right w:w="0" w:type="dxa"/>
          </w:tblCellMar>
        </w:tblPrEx>
        <w:trPr>
          <w:trHeight w:val="308" w:hRule="atLeast"/>
        </w:trPr>
        <w:tc>
          <w:tcPr>
            <w:tcW w:w="174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64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58"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98FD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0FC61CD2">
        <w:tblPrEx>
          <w:tblCellMar>
            <w:top w:w="0" w:type="dxa"/>
            <w:left w:w="0" w:type="dxa"/>
            <w:bottom w:w="0" w:type="dxa"/>
            <w:right w:w="0" w:type="dxa"/>
          </w:tblCellMar>
        </w:tblPrEx>
        <w:trPr>
          <w:trHeight w:val="326"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20F4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1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DC00D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328D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6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D796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2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BEC5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1D15CA25">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C3FCE">
            <w:pPr>
              <w:jc w:val="center"/>
              <w:rPr>
                <w:rFonts w:hint="default" w:ascii="Times New Roman" w:hAnsi="Times New Roman" w:cs="Times New Roman"/>
                <w:b/>
                <w:color w:val="000000"/>
                <w:sz w:val="20"/>
                <w:szCs w:val="20"/>
              </w:rPr>
            </w:pPr>
          </w:p>
        </w:tc>
        <w:tc>
          <w:tcPr>
            <w:tcW w:w="13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90FF8">
            <w:pPr>
              <w:jc w:val="center"/>
              <w:rPr>
                <w:rFonts w:hint="default" w:ascii="Times New Roman" w:hAnsi="Times New Roman" w:cs="Times New Roman"/>
                <w:b/>
                <w:color w:val="000000"/>
                <w:sz w:val="20"/>
                <w:szCs w:val="20"/>
              </w:rPr>
            </w:pPr>
          </w:p>
        </w:tc>
        <w:tc>
          <w:tcPr>
            <w:tcW w:w="10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C71A4">
            <w:pPr>
              <w:jc w:val="center"/>
              <w:rPr>
                <w:rFonts w:hint="default" w:ascii="Times New Roman" w:hAnsi="Times New Roman" w:cs="Times New Roman"/>
                <w:b/>
                <w:color w:val="000000"/>
                <w:sz w:val="20"/>
                <w:szCs w:val="20"/>
              </w:rPr>
            </w:pPr>
          </w:p>
        </w:tc>
        <w:tc>
          <w:tcPr>
            <w:tcW w:w="10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B748B2">
            <w:pPr>
              <w:jc w:val="center"/>
              <w:rPr>
                <w:rFonts w:hint="default" w:ascii="Times New Roman" w:hAnsi="Times New Roman" w:cs="Times New Roman"/>
                <w:b/>
                <w:color w:val="000000"/>
                <w:sz w:val="20"/>
                <w:szCs w:val="20"/>
              </w:rPr>
            </w:pPr>
          </w:p>
        </w:tc>
        <w:tc>
          <w:tcPr>
            <w:tcW w:w="11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B894F">
            <w:pPr>
              <w:jc w:val="center"/>
              <w:rPr>
                <w:rFonts w:hint="default" w:ascii="Times New Roman" w:hAnsi="Times New Roman" w:cs="Times New Roman"/>
                <w:b/>
                <w:color w:val="000000"/>
                <w:sz w:val="20"/>
                <w:szCs w:val="20"/>
              </w:rPr>
            </w:pPr>
          </w:p>
        </w:tc>
      </w:tr>
      <w:tr w14:paraId="5F68A1C6">
        <w:tblPrEx>
          <w:tblCellMar>
            <w:top w:w="0" w:type="dxa"/>
            <w:left w:w="0" w:type="dxa"/>
            <w:bottom w:w="0" w:type="dxa"/>
            <w:right w:w="0" w:type="dxa"/>
          </w:tblCellMar>
        </w:tblPrEx>
        <w:trPr>
          <w:trHeight w:val="615"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9A3E8">
            <w:pPr>
              <w:jc w:val="center"/>
              <w:rPr>
                <w:rFonts w:hint="default" w:ascii="Times New Roman" w:hAnsi="Times New Roman" w:cs="Times New Roman"/>
                <w:b/>
                <w:color w:val="000000"/>
                <w:sz w:val="20"/>
                <w:szCs w:val="20"/>
              </w:rPr>
            </w:pPr>
          </w:p>
        </w:tc>
        <w:tc>
          <w:tcPr>
            <w:tcW w:w="131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3AC44">
            <w:pPr>
              <w:jc w:val="center"/>
              <w:rPr>
                <w:rFonts w:hint="default" w:ascii="Times New Roman" w:hAnsi="Times New Roman" w:cs="Times New Roman"/>
                <w:b/>
                <w:color w:val="000000"/>
                <w:sz w:val="20"/>
                <w:szCs w:val="20"/>
              </w:rPr>
            </w:pPr>
          </w:p>
        </w:tc>
        <w:tc>
          <w:tcPr>
            <w:tcW w:w="10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C75A">
            <w:pPr>
              <w:jc w:val="center"/>
              <w:rPr>
                <w:rFonts w:hint="default" w:ascii="Times New Roman" w:hAnsi="Times New Roman" w:cs="Times New Roman"/>
                <w:b/>
                <w:color w:val="000000"/>
                <w:sz w:val="20"/>
                <w:szCs w:val="20"/>
              </w:rPr>
            </w:pPr>
          </w:p>
        </w:tc>
        <w:tc>
          <w:tcPr>
            <w:tcW w:w="106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26941">
            <w:pPr>
              <w:jc w:val="center"/>
              <w:rPr>
                <w:rFonts w:hint="default" w:ascii="Times New Roman" w:hAnsi="Times New Roman" w:cs="Times New Roman"/>
                <w:b/>
                <w:color w:val="000000"/>
                <w:sz w:val="20"/>
                <w:szCs w:val="20"/>
              </w:rPr>
            </w:pPr>
          </w:p>
        </w:tc>
        <w:tc>
          <w:tcPr>
            <w:tcW w:w="112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03A70">
            <w:pPr>
              <w:jc w:val="center"/>
              <w:rPr>
                <w:rFonts w:hint="default" w:ascii="Times New Roman" w:hAnsi="Times New Roman" w:cs="Times New Roman"/>
                <w:b/>
                <w:color w:val="000000"/>
                <w:sz w:val="20"/>
                <w:szCs w:val="20"/>
              </w:rPr>
            </w:pPr>
          </w:p>
        </w:tc>
      </w:tr>
      <w:tr w14:paraId="4EC2F581">
        <w:tblPrEx>
          <w:tblCellMar>
            <w:top w:w="0" w:type="dxa"/>
            <w:left w:w="0" w:type="dxa"/>
            <w:bottom w:w="0" w:type="dxa"/>
            <w:right w:w="0" w:type="dxa"/>
          </w:tblCellMar>
        </w:tblPrEx>
        <w:trPr>
          <w:trHeight w:val="308" w:hRule="atLeast"/>
        </w:trPr>
        <w:tc>
          <w:tcPr>
            <w:tcW w:w="1741"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4985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D55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3,032.56</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0C1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2,491.98</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CA1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540.58</w:t>
            </w:r>
            <w:r>
              <w:rPr>
                <w:rFonts w:hint="default" w:ascii="Times New Roman" w:hAnsi="Times New Roman" w:cs="Times New Roman"/>
                <w:b/>
                <w:color w:val="000000"/>
                <w:sz w:val="20"/>
              </w:rPr>
              <w:t xml:space="preserve"> </w:t>
            </w:r>
          </w:p>
        </w:tc>
      </w:tr>
      <w:tr w14:paraId="389843D8">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68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F5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026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FAF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A9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540.58</w:t>
            </w:r>
            <w:r>
              <w:rPr>
                <w:rFonts w:hint="default" w:ascii="Times New Roman" w:hAnsi="Times New Roman" w:cs="Times New Roman"/>
                <w:b/>
                <w:color w:val="000000"/>
                <w:sz w:val="20"/>
              </w:rPr>
              <w:t xml:space="preserve"> </w:t>
            </w:r>
          </w:p>
        </w:tc>
      </w:tr>
      <w:tr w14:paraId="6497419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55B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8BD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A7F6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2,452.88</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854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1,912.30</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BAA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540.58</w:t>
            </w:r>
            <w:r>
              <w:rPr>
                <w:rFonts w:hint="default" w:ascii="Times New Roman" w:hAnsi="Times New Roman" w:cs="Times New Roman"/>
                <w:b/>
                <w:color w:val="000000"/>
                <w:sz w:val="20"/>
              </w:rPr>
              <w:t xml:space="preserve"> </w:t>
            </w:r>
          </w:p>
        </w:tc>
      </w:tr>
      <w:tr w14:paraId="068CE4E4">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933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8E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220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70.72</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004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18.79</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A4B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51.93</w:t>
            </w:r>
            <w:r>
              <w:rPr>
                <w:rFonts w:hint="default" w:ascii="Times New Roman" w:hAnsi="Times New Roman" w:cs="Times New Roman"/>
                <w:color w:val="000000"/>
                <w:sz w:val="20"/>
              </w:rPr>
              <w:t xml:space="preserve"> </w:t>
            </w:r>
          </w:p>
        </w:tc>
      </w:tr>
      <w:tr w14:paraId="430129D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BB8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95C3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小学教育</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77A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2,382.16</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312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1,893.52</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688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488.65</w:t>
            </w:r>
            <w:r>
              <w:rPr>
                <w:rFonts w:hint="default" w:ascii="Times New Roman" w:hAnsi="Times New Roman" w:cs="Times New Roman"/>
                <w:color w:val="000000"/>
                <w:sz w:val="20"/>
              </w:rPr>
              <w:t xml:space="preserve"> </w:t>
            </w:r>
          </w:p>
        </w:tc>
      </w:tr>
      <w:tr w14:paraId="45F720C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B05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03A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5C1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30B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292.05</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286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DB99A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FFB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22C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D8D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62A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284.70</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4260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69B2107">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5F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3F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55B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8DE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180.79</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8A2D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1481D75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AC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D7D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44F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64E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94.92</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34E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5884CD4D">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2D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3F6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BBE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FC2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9.00</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04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29ECD48">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02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A7C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0EF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57C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7.34</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D04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3621C4D">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BDA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D18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192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3C1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7.34</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E8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9D4A66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DC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A73C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B2B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CAC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492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62623605">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AC5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623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671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84C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113.27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6A8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59B813F5">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817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3D2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65E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48E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83.96</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4BF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6EFB49AE">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24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595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348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AAF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29.30</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D19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2B9757D6">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5F3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F695E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0E01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CCC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844E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03A3914E">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AC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7F8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A377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6F2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174.37</w:t>
            </w:r>
            <w:r>
              <w:rPr>
                <w:rFonts w:hint="default" w:ascii="Times New Roman" w:hAnsi="Times New Roman" w:cs="Times New Roman"/>
                <w:b/>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2C86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rPr>
              <w:t xml:space="preserve"> </w:t>
            </w:r>
          </w:p>
        </w:tc>
      </w:tr>
      <w:tr w14:paraId="4B37A88A">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990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76C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12F2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02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158.66</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8B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r w14:paraId="4F6999A5">
        <w:tblPrEx>
          <w:tblCellMar>
            <w:top w:w="0" w:type="dxa"/>
            <w:left w:w="0" w:type="dxa"/>
            <w:bottom w:w="0" w:type="dxa"/>
            <w:right w:w="0" w:type="dxa"/>
          </w:tblCellMar>
        </w:tblPrEx>
        <w:trPr>
          <w:trHeight w:val="30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B0D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2210203</w:t>
            </w:r>
          </w:p>
        </w:tc>
        <w:tc>
          <w:tcPr>
            <w:tcW w:w="13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4FA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购房补贴</w:t>
            </w:r>
          </w:p>
        </w:tc>
        <w:tc>
          <w:tcPr>
            <w:tcW w:w="10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051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0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5F4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15.71</w:t>
            </w:r>
            <w:r>
              <w:rPr>
                <w:rFonts w:hint="default" w:ascii="Times New Roman" w:hAnsi="Times New Roman" w:cs="Times New Roman"/>
                <w:color w:val="000000"/>
                <w:sz w:val="20"/>
              </w:rPr>
              <w:t xml:space="preserve"> </w:t>
            </w:r>
          </w:p>
        </w:tc>
        <w:tc>
          <w:tcPr>
            <w:tcW w:w="112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370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7A6ADA20">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p>
    <w:p w14:paraId="0D468BCC">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993"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6"/>
      </w:tblGrid>
      <w:tr w14:paraId="4504AEB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B03FD35">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一般公共预算财政拨款基本支出决算表</w:t>
            </w:r>
          </w:p>
        </w:tc>
      </w:tr>
      <w:tr w14:paraId="6885681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EEDF359">
            <w:pPr>
              <w:spacing w:line="28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51D0C95F">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5E54D40">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33F6F5C">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7469A19">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14:paraId="33FE67E3">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537F8BAA">
            <w:pPr>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B1A80B2">
            <w:pPr>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1139B6B">
            <w:pPr>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65D846C">
            <w:pPr>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9455BA">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B77B6B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9A4C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F17E1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55D329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10196">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3B5A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E959A">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5D01">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A61D5">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D3E02">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AC12B">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628E37">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78DF9E">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1D3F77F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435FB">
            <w:pPr>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F080B6">
            <w:pPr>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D38CC">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5E621">
            <w:pPr>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6C8EA8">
            <w:pPr>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AEE6CE">
            <w:pPr>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E957A">
            <w:pPr>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C4C00">
            <w:pPr>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A4EE2">
            <w:pPr>
              <w:spacing w:line="192" w:lineRule="exact"/>
              <w:jc w:val="center"/>
              <w:rPr>
                <w:rFonts w:hint="default" w:ascii="Times New Roman" w:hAnsi="Times New Roman" w:cs="Times New Roman"/>
                <w:b/>
                <w:color w:val="000000"/>
                <w:sz w:val="18"/>
                <w:szCs w:val="18"/>
              </w:rPr>
            </w:pPr>
          </w:p>
        </w:tc>
      </w:tr>
      <w:tr w14:paraId="7BCD7B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2D0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CBFD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5A8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1,917.65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169A">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295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4B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254.27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03936">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8BA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68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39.50</w:t>
            </w:r>
            <w:r>
              <w:rPr>
                <w:rFonts w:hint="default" w:ascii="Times New Roman" w:hAnsi="Times New Roman" w:cs="Times New Roman"/>
                <w:color w:val="000000"/>
                <w:sz w:val="18"/>
              </w:rPr>
              <w:t xml:space="preserve"> </w:t>
            </w:r>
          </w:p>
        </w:tc>
      </w:tr>
      <w:tr w14:paraId="43500C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E64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9D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987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532.34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72A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3A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49B2C">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45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527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C92C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D277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085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A9C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C86D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30.64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1D3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017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CED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03C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04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625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39.50</w:t>
            </w:r>
            <w:r>
              <w:rPr>
                <w:rFonts w:hint="default" w:ascii="Times New Roman" w:hAnsi="Times New Roman" w:cs="Times New Roman"/>
                <w:color w:val="000000"/>
                <w:sz w:val="18"/>
              </w:rPr>
              <w:t xml:space="preserve"> </w:t>
            </w:r>
          </w:p>
        </w:tc>
      </w:tr>
      <w:tr w14:paraId="033F95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5E3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EC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C672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C7F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EF2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C45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C4F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EFD0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E32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68FCF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AC90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0E73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01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704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665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0AA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86F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B2D6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320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93A0E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027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ACF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CDA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811.98</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EE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F74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0FA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B3B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513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0FB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980ED2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B3E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C0A6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83D6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180.79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879C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445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60D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739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31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559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8A6DB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D68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256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221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94.92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561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FEC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4EA1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23.53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45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3AC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5CE6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26EF5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038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01F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C72B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69.72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D13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04A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D46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7D2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B8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EEC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1ED7E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FB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5E4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828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11C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6A64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489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7.49</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1C8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81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CE3D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38FF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6B1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E5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69E1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17.23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8515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EA7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3B3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97C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07E3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309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1462A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543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8E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EF4B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158.66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285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E8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92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DF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C5B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CFE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CDE87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5E9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AF02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0BB6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21.36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2F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1E0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C8E1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D58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98C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D9D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D563F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ABC4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4D7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49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399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7B94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A84C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BF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8648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C90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61CF8E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86AF">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C33D4">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EAD5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280.57</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025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29BF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0C6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F83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C21E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A35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293C3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D2C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3A8B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97C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114F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4AB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F03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10.75</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77C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276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AA37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E6921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C03D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05E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018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000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272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7BF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307B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E0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8A6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4FCAA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C0B9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AEA3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E14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8FD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8576">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0EF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5.26</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2F8E">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4AE5">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7D021">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E9DE94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D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F1A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6DEA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7.34</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054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737B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D93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B2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E129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F87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F43D2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9D7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AD22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6AE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249.42</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E86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ABA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046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465C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2D6E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7EF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179F9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4D1F">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F4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862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BD09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F6BF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E85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72.13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182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703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BA9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1AB66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192B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731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30F7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23.80</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812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D05B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A63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042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550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216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68D968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46C5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8CC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FEA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2EE2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2AA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EC42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46.71</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049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CC60">
            <w:pPr>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E733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5EF83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7C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1EE4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690A">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5B26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B3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57A8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28.73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AC7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D020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0F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02E37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FFE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932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AF2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7114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1C9B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F8C2">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2808">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EFE3">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148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0AF6DBB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EA779">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E50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8CD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FCD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FC3E">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53BF">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101A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910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C81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F34703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09E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51F6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580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BFE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5D7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E916">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D955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20C1">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951F8">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99E49F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4D70">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04A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FE0D37">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81055">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EBE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F244D">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31.83</w:t>
            </w: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7C6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EC64">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D5954">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316884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CA765">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70C9">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7D6045">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2A9BC">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62BB">
            <w:pPr>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ECCB">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A321A">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82A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7A8C9">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D1DF2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22D6">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5CE18">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C217F1">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A971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C7E2">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0F1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AC488">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0ED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F367E">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7CE85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4CF5">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AFCB7">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C195B">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5C0C">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4040">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06A3">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184F">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B58A4">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45D02">
            <w:pPr>
              <w:spacing w:line="192" w:lineRule="exact"/>
              <w:jc w:val="right"/>
              <w:rPr>
                <w:rFonts w:hint="default" w:ascii="Times New Roman" w:hAnsi="Times New Roman" w:cs="Times New Roman"/>
                <w:color w:val="000000"/>
                <w:sz w:val="18"/>
                <w:szCs w:val="18"/>
              </w:rPr>
            </w:pPr>
          </w:p>
        </w:tc>
      </w:tr>
      <w:tr w14:paraId="68FCC7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9B88">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0A2A3">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998E9F">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8DDB">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5DC7">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34F10">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BD7E">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8EDA">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EB1D">
            <w:pPr>
              <w:spacing w:line="192" w:lineRule="exact"/>
              <w:jc w:val="right"/>
              <w:rPr>
                <w:rFonts w:hint="default" w:ascii="Times New Roman" w:hAnsi="Times New Roman" w:cs="Times New Roman"/>
                <w:color w:val="000000"/>
                <w:sz w:val="18"/>
                <w:szCs w:val="18"/>
              </w:rPr>
            </w:pPr>
          </w:p>
        </w:tc>
      </w:tr>
      <w:tr w14:paraId="5945E7C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C051">
            <w:pPr>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83BC">
            <w:pPr>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00758">
            <w:pPr>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2E42D">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DF33">
            <w:pPr>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FA67">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7B4DF">
            <w:pPr>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44FC">
            <w:pPr>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6A2F">
            <w:pPr>
              <w:spacing w:line="192" w:lineRule="exact"/>
              <w:jc w:val="right"/>
              <w:rPr>
                <w:rFonts w:hint="default" w:ascii="Times New Roman" w:hAnsi="Times New Roman" w:cs="Times New Roman"/>
                <w:color w:val="000000"/>
                <w:sz w:val="18"/>
                <w:szCs w:val="18"/>
              </w:rPr>
            </w:pPr>
          </w:p>
        </w:tc>
      </w:tr>
      <w:tr w14:paraId="29F03CE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1C7B8">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7F8C46">
            <w:pPr>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2,198.21</w:t>
            </w:r>
            <w:r>
              <w:rPr>
                <w:rFonts w:hint="default" w:ascii="Times New Roman" w:hAnsi="Times New Roman" w:cs="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FA2ED">
            <w:pPr>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45835">
            <w:pPr>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293.77</w:t>
            </w:r>
            <w:r>
              <w:rPr>
                <w:rFonts w:hint="default" w:ascii="Times New Roman" w:hAnsi="Times New Roman" w:cs="Times New Roman"/>
                <w:color w:val="000000"/>
                <w:sz w:val="18"/>
              </w:rPr>
              <w:t xml:space="preserve"> </w:t>
            </w:r>
          </w:p>
        </w:tc>
      </w:tr>
    </w:tbl>
    <w:p w14:paraId="363A77E5">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4999" w:type="pct"/>
        <w:tblInd w:w="0" w:type="dxa"/>
        <w:tblLayout w:type="fixed"/>
        <w:tblCellMar>
          <w:top w:w="0" w:type="dxa"/>
          <w:left w:w="0" w:type="dxa"/>
          <w:bottom w:w="0" w:type="dxa"/>
          <w:right w:w="0" w:type="dxa"/>
        </w:tblCellMar>
      </w:tblPr>
      <w:tblGrid>
        <w:gridCol w:w="1320"/>
        <w:gridCol w:w="3593"/>
        <w:gridCol w:w="1701"/>
        <w:gridCol w:w="1701"/>
        <w:gridCol w:w="1701"/>
        <w:gridCol w:w="1701"/>
        <w:gridCol w:w="1765"/>
        <w:gridCol w:w="1838"/>
      </w:tblGrid>
      <w:tr w14:paraId="4443ABD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0A15AEC">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政府性基金预算财政拨款收入支出决算表</w:t>
            </w:r>
          </w:p>
        </w:tc>
      </w:tr>
      <w:tr w14:paraId="5F6785F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E52A8BA">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1222C47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7115AC4">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4224C14">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7C776D9">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1839E12">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14:paraId="76286789">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080D00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BE5C0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2F672F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7E374E7">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0D5D1A1">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E8AB827">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27ABB99">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E0EE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A65CC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AEA9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F5C0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10E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A72840E">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B035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06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729AF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C1B7E">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6718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109A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D01C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C4AC3">
            <w:pPr>
              <w:jc w:val="center"/>
              <w:rPr>
                <w:rFonts w:hint="default" w:ascii="Times New Roman" w:hAnsi="Times New Roman" w:cs="Times New Roman"/>
                <w:b/>
                <w:color w:val="000000"/>
                <w:sz w:val="20"/>
                <w:szCs w:val="20"/>
              </w:rPr>
            </w:pPr>
          </w:p>
        </w:tc>
      </w:tr>
      <w:tr w14:paraId="30B34B8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FFFC4">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2A707">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985106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602A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96584">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9F43A">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03498">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B886E">
            <w:pPr>
              <w:jc w:val="center"/>
              <w:rPr>
                <w:rFonts w:hint="default" w:ascii="Times New Roman" w:hAnsi="Times New Roman" w:cs="Times New Roman"/>
                <w:b/>
                <w:color w:val="000000"/>
                <w:sz w:val="20"/>
                <w:szCs w:val="20"/>
              </w:rPr>
            </w:pPr>
          </w:p>
        </w:tc>
      </w:tr>
      <w:tr w14:paraId="159CE4B5">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A6D75">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BF6DD">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66F42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920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43D8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023A7">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3A785">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A37A">
            <w:pPr>
              <w:jc w:val="center"/>
              <w:rPr>
                <w:rFonts w:hint="default" w:ascii="Times New Roman" w:hAnsi="Times New Roman" w:cs="Times New Roman"/>
                <w:b/>
                <w:color w:val="000000"/>
                <w:sz w:val="20"/>
                <w:szCs w:val="20"/>
              </w:rPr>
            </w:pPr>
          </w:p>
        </w:tc>
      </w:tr>
      <w:tr w14:paraId="09C279E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8978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A61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2D8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FA7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B507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01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972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314F2707">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17DA0">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594A0">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750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351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0D3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4D9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7A9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4B5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rPr>
              <w:t xml:space="preserve"> </w:t>
            </w:r>
          </w:p>
        </w:tc>
      </w:tr>
    </w:tbl>
    <w:p w14:paraId="6918508F">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23BAA0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E2EDC2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693EE12">
            <w:pPr>
              <w:keepNext w:val="0"/>
              <w:keepLines w:val="0"/>
              <w:widowControl/>
              <w:suppressLineNumbers w:val="0"/>
              <w:jc w:val="center"/>
              <w:textAlignment w:val="bottom"/>
              <w:rPr>
                <w:rFonts w:hint="default" w:ascii="Times New Roman" w:hAnsi="Times New Roman" w:cs="Times New Roman"/>
                <w:b/>
                <w:color w:val="000000"/>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国有资本经营预算财政拨款支出决算表</w:t>
            </w:r>
          </w:p>
        </w:tc>
      </w:tr>
      <w:tr w14:paraId="32F223DC">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7F78C5D3">
            <w:pPr>
              <w:spacing w:line="280" w:lineRule="exact"/>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重庆市高新技术产业开发区石桥铺小学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75ABE1">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D48B23B">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14:paraId="72808204">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814D952">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91BFAB3">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52E22EE">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5126A43">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FF714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94657D">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307CFC1D">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E2C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4F14B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8834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E074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C562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33B1A71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D9C0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4A822">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2B06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1C26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081399">
            <w:pPr>
              <w:jc w:val="center"/>
              <w:rPr>
                <w:rFonts w:hint="default" w:ascii="Times New Roman" w:hAnsi="Times New Roman" w:cs="Times New Roman"/>
                <w:b/>
                <w:color w:val="000000"/>
                <w:sz w:val="20"/>
                <w:szCs w:val="20"/>
              </w:rPr>
            </w:pPr>
          </w:p>
        </w:tc>
      </w:tr>
      <w:tr w14:paraId="5AF5970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8338">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3E5A3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622B">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330D15">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9A98B">
            <w:pPr>
              <w:jc w:val="center"/>
              <w:rPr>
                <w:rFonts w:hint="default" w:ascii="Times New Roman" w:hAnsi="Times New Roman" w:cs="Times New Roman"/>
                <w:b/>
                <w:color w:val="000000"/>
                <w:sz w:val="20"/>
                <w:szCs w:val="20"/>
              </w:rPr>
            </w:pPr>
          </w:p>
        </w:tc>
      </w:tr>
      <w:tr w14:paraId="7772FB03">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30945">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A866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32B5C">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7D9A4">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BD4F54">
            <w:pPr>
              <w:jc w:val="center"/>
              <w:rPr>
                <w:rFonts w:hint="default" w:ascii="Times New Roman" w:hAnsi="Times New Roman" w:cs="Times New Roman"/>
                <w:b/>
                <w:color w:val="000000"/>
                <w:sz w:val="20"/>
                <w:szCs w:val="20"/>
              </w:rPr>
            </w:pPr>
          </w:p>
        </w:tc>
      </w:tr>
      <w:tr w14:paraId="182D18C3">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4E9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C14F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81D5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10C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rPr>
              <w:t xml:space="preserve"> </w:t>
            </w:r>
          </w:p>
        </w:tc>
      </w:tr>
      <w:tr w14:paraId="21BCD14E">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0EF0">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A941EE">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2A7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DCF91">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238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070CB009">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6EE2B583">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2502E943">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80F13E9">
            <w:pPr>
              <w:keepNext w:val="0"/>
              <w:keepLines w:val="0"/>
              <w:widowControl/>
              <w:suppressLineNumbers w:val="0"/>
              <w:jc w:val="center"/>
              <w:textAlignment w:val="bottom"/>
              <w:rPr>
                <w:rFonts w:hint="default" w:ascii="Times New Roman" w:hAnsi="Times New Roman" w:cs="Times New Roman"/>
                <w:b/>
                <w:color w:val="000000"/>
                <w:kern w:val="2"/>
                <w:sz w:val="32"/>
                <w:szCs w:val="32"/>
              </w:rPr>
            </w:pPr>
            <w:r>
              <w:rPr>
                <w:rFonts w:hint="default" w:ascii="Times New Roman" w:hAnsi="Times New Roman" w:eastAsia="宋体" w:cs="Times New Roman"/>
                <w:b/>
                <w:bCs/>
                <w:i w:val="0"/>
                <w:iCs w:val="0"/>
                <w:color w:val="000000"/>
                <w:kern w:val="0"/>
                <w:sz w:val="44"/>
                <w:szCs w:val="44"/>
                <w:u w:val="none"/>
                <w:lang w:val="en-US" w:eastAsia="zh-CN" w:bidi="ar"/>
              </w:rPr>
              <w:t>机构运行信息表</w:t>
            </w:r>
          </w:p>
        </w:tc>
      </w:tr>
      <w:tr w14:paraId="3C5FB7D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2B92D279">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3CD7BD50">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4F575899">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7E06842A">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32A0628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14:paraId="16030B0C">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7F1273">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rPr>
              <w:t>重庆市高新技术产业开发区石桥铺小学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BDF81B5">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46D76EFD">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108D799">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63A5D522">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6065B2">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20C40B">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026C1">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A5B9C3">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9B3E6">
            <w:pPr>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226093F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D7FEBA">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三公</w:t>
            </w:r>
            <w:r>
              <w:rPr>
                <w:rFonts w:hint="eastAsia" w:ascii="Times New Roman" w:hAnsi="Times New Roman" w:cs="Times New Roman"/>
                <w:b/>
                <w:color w:val="000000"/>
                <w:kern w:val="2"/>
                <w:sz w:val="16"/>
                <w:szCs w:val="16"/>
                <w:lang w:eastAsia="zh-CN"/>
              </w:rPr>
              <w:t>”</w:t>
            </w:r>
            <w:r>
              <w:rPr>
                <w:rFonts w:hint="default" w:ascii="Times New Roman" w:hAnsi="Times New Roman" w:cs="Times New Roman"/>
                <w:b/>
                <w:color w:val="000000"/>
                <w:kern w:val="2"/>
                <w:sz w:val="16"/>
                <w:szCs w:val="16"/>
              </w:rPr>
              <w:t>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6498F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4DEC5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30D33D">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6F8D2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0B61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3850AF">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F49DB">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95FD8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80672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D1DD8C">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9898C3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81E8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CDEFA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50C4D0">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EB44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1BC05">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6971F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B07F4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32DC9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CA9F4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04FA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B0C374">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8BB35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F12E6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59EC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F8F83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795D0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F6797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3B8091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64222D">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0B4C6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DDB8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1.57</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18DF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100719">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50A6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57ED6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DBFF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0EE63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B8E2E">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9AFD6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341AF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0EF48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E3684">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3D275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4B14B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606EE7">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C5D38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A3C16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F9B1C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FEBAB9">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D9F7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371F6">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rPr>
              <w:t xml:space="preserve"> </w:t>
            </w:r>
          </w:p>
        </w:tc>
      </w:tr>
      <w:tr w14:paraId="78C65EA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13E3E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561275">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00C1D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F03C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BE167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145A52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3063E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F38C5E">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33008">
            <w:pPr>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9BD8D5">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D4860A">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2A4D46B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5E32D1">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EB2B4C">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B1C12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8F983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E736A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3B1F4B9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93EF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5566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2B5D1F">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54314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713FA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744DD5A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3372CC">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C6D61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B90173">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6C3A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79743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549954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09E6C4">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F96BE6">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DA706">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7763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9F609">
            <w:pPr>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504D04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414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88CC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8C81E">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F1FB5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7AD3E">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63.49</w:t>
            </w:r>
            <w:r>
              <w:rPr>
                <w:rFonts w:hint="default" w:ascii="Times New Roman" w:hAnsi="Times New Roman" w:cs="Times New Roman"/>
                <w:color w:val="000000"/>
                <w:sz w:val="18"/>
              </w:rPr>
              <w:t xml:space="preserve"> </w:t>
            </w:r>
          </w:p>
        </w:tc>
      </w:tr>
      <w:tr w14:paraId="544AEF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A7EA4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44B7A7">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80D985">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2A9D37">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E34C5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63.49</w:t>
            </w:r>
            <w:r>
              <w:rPr>
                <w:rFonts w:hint="default" w:ascii="Times New Roman" w:hAnsi="Times New Roman" w:cs="Times New Roman"/>
                <w:color w:val="000000"/>
                <w:sz w:val="18"/>
              </w:rPr>
              <w:t xml:space="preserve"> </w:t>
            </w:r>
          </w:p>
        </w:tc>
      </w:tr>
      <w:tr w14:paraId="038167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DEB0A9">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8B669">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C54BE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23CB3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64C07D">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85E10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88752">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98A3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647D34">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C42EBB">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940F33">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rPr>
              <w:t xml:space="preserve"> </w:t>
            </w:r>
          </w:p>
        </w:tc>
      </w:tr>
      <w:tr w14:paraId="40D4191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30474A">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FA5F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1EAFC">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A6C90">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F6BD7F">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63.13</w:t>
            </w:r>
            <w:r>
              <w:rPr>
                <w:rFonts w:hint="default" w:ascii="Times New Roman" w:hAnsi="Times New Roman" w:cs="Times New Roman"/>
                <w:color w:val="000000"/>
                <w:sz w:val="18"/>
              </w:rPr>
              <w:t xml:space="preserve"> </w:t>
            </w:r>
          </w:p>
        </w:tc>
      </w:tr>
      <w:tr w14:paraId="796C70A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BCAEA8">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A3DBB">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3CA22">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29FA06">
            <w:pPr>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5574F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63.13</w:t>
            </w:r>
            <w:r>
              <w:rPr>
                <w:rFonts w:hint="default" w:ascii="Times New Roman" w:hAnsi="Times New Roman" w:cs="Times New Roman"/>
                <w:color w:val="000000"/>
                <w:sz w:val="18"/>
              </w:rPr>
              <w:t xml:space="preserve"> </w:t>
            </w:r>
          </w:p>
        </w:tc>
      </w:tr>
      <w:tr w14:paraId="38B8DD72">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4C3E8">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19F308">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EB6698">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07402">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7968C">
            <w:pPr>
              <w:spacing w:line="280" w:lineRule="exact"/>
              <w:jc w:val="right"/>
              <w:rPr>
                <w:rFonts w:hint="default" w:ascii="Times New Roman" w:hAnsi="Times New Roman" w:cs="Times New Roman"/>
                <w:color w:val="000000"/>
                <w:kern w:val="2"/>
                <w:sz w:val="16"/>
                <w:szCs w:val="16"/>
              </w:rPr>
            </w:pPr>
          </w:p>
        </w:tc>
      </w:tr>
      <w:tr w14:paraId="17DC8D49">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B07B4">
            <w:pPr>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8DCA1">
            <w:pPr>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2B967">
            <w:pPr>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18.59</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241D1">
            <w:pPr>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877CAC">
            <w:pPr>
              <w:spacing w:line="280" w:lineRule="exact"/>
              <w:jc w:val="right"/>
              <w:rPr>
                <w:rFonts w:hint="default" w:ascii="Times New Roman" w:hAnsi="Times New Roman" w:cs="Times New Roman"/>
                <w:color w:val="000000"/>
                <w:kern w:val="2"/>
                <w:sz w:val="16"/>
                <w:szCs w:val="16"/>
              </w:rPr>
            </w:pPr>
          </w:p>
        </w:tc>
      </w:tr>
      <w:tr w14:paraId="06F6E94C">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114D0">
            <w:pPr>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BEF9D">
            <w:pPr>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6E3470">
            <w:pPr>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0.70</w:t>
            </w:r>
            <w:r>
              <w:rPr>
                <w:rFonts w:hint="default" w:ascii="Times New Roman" w:hAnsi="Times New Roman" w:cs="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49320">
            <w:pPr>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3CAE30">
            <w:pPr>
              <w:spacing w:line="280" w:lineRule="exact"/>
              <w:jc w:val="right"/>
              <w:rPr>
                <w:rFonts w:hint="default" w:ascii="Times New Roman" w:hAnsi="Times New Roman" w:cs="Times New Roman"/>
                <w:color w:val="000000"/>
                <w:sz w:val="16"/>
                <w:szCs w:val="16"/>
              </w:rPr>
            </w:pPr>
          </w:p>
        </w:tc>
      </w:tr>
    </w:tbl>
    <w:p w14:paraId="5B275A90">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经费支出预决算情况。其中，预算数为</w:t>
      </w:r>
      <w:r>
        <w:rPr>
          <w:rFonts w:hint="eastAsia" w:ascii="Times New Roman" w:hAnsi="Times New Roman" w:cs="Times New Roman"/>
          <w:sz w:val="18"/>
          <w:szCs w:val="18"/>
          <w:lang w:eastAsia="zh-CN"/>
        </w:rPr>
        <w:t>“</w:t>
      </w:r>
      <w:r>
        <w:rPr>
          <w:rFonts w:hint="default" w:ascii="Times New Roman" w:hAnsi="Times New Roman" w:cs="Times New Roman"/>
          <w:sz w:val="18"/>
          <w:szCs w:val="18"/>
        </w:rPr>
        <w:t>三公</w:t>
      </w:r>
      <w:r>
        <w:rPr>
          <w:rFonts w:hint="eastAsia" w:ascii="Times New Roman" w:hAnsi="Times New Roman" w:cs="Times New Roman"/>
          <w:sz w:val="18"/>
          <w:szCs w:val="18"/>
          <w:lang w:eastAsia="zh-CN"/>
        </w:rPr>
        <w:t>”</w:t>
      </w:r>
      <w:r>
        <w:rPr>
          <w:rFonts w:hint="default" w:ascii="Times New Roman" w:hAnsi="Times New Roman" w:cs="Times New Roman"/>
          <w:sz w:val="18"/>
          <w:szCs w:val="18"/>
        </w:rPr>
        <w:t>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6DB8C">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12495E3">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612495E3">
                    <w:pPr>
                      <w:pStyle w:val="4"/>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A5BF0">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67D13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067D137">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29 -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D58813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D58813E">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920B1">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63"/>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4ZDExMmU1MWUxYzMyMTJmOGZmYTcxOGEzMDM5YTcifQ=="/>
  </w:docVars>
  <w:rsids>
    <w:rsidRoot w:val="00B03CCD"/>
    <w:rsid w:val="000D7BCC"/>
    <w:rsid w:val="002D65DC"/>
    <w:rsid w:val="00550ABE"/>
    <w:rsid w:val="007B419D"/>
    <w:rsid w:val="009B67B8"/>
    <w:rsid w:val="00B03CCD"/>
    <w:rsid w:val="00C362DD"/>
    <w:rsid w:val="00FB6534"/>
    <w:rsid w:val="00FF5189"/>
    <w:rsid w:val="01474EBF"/>
    <w:rsid w:val="019020B1"/>
    <w:rsid w:val="01F3521E"/>
    <w:rsid w:val="02056D00"/>
    <w:rsid w:val="024E173C"/>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1C3A38"/>
    <w:rsid w:val="0B9335CE"/>
    <w:rsid w:val="0BA10C97"/>
    <w:rsid w:val="0C554661"/>
    <w:rsid w:val="0C7927C4"/>
    <w:rsid w:val="0C9B098C"/>
    <w:rsid w:val="0CE80A8F"/>
    <w:rsid w:val="0D0E73B0"/>
    <w:rsid w:val="0D472B48"/>
    <w:rsid w:val="0D673E11"/>
    <w:rsid w:val="0DB50EFE"/>
    <w:rsid w:val="0DD25DDB"/>
    <w:rsid w:val="0DDA54E4"/>
    <w:rsid w:val="0E3A5F83"/>
    <w:rsid w:val="0E9478E1"/>
    <w:rsid w:val="0F836721"/>
    <w:rsid w:val="103645A3"/>
    <w:rsid w:val="107B59E5"/>
    <w:rsid w:val="10AA219D"/>
    <w:rsid w:val="11003CB0"/>
    <w:rsid w:val="11124E18"/>
    <w:rsid w:val="111445C7"/>
    <w:rsid w:val="11261DA0"/>
    <w:rsid w:val="1158083A"/>
    <w:rsid w:val="11F03528"/>
    <w:rsid w:val="12771554"/>
    <w:rsid w:val="129973FF"/>
    <w:rsid w:val="12C921C4"/>
    <w:rsid w:val="12DA353E"/>
    <w:rsid w:val="13850DCB"/>
    <w:rsid w:val="13871C70"/>
    <w:rsid w:val="13A71CB4"/>
    <w:rsid w:val="13AF1D43"/>
    <w:rsid w:val="13CE1647"/>
    <w:rsid w:val="14200702"/>
    <w:rsid w:val="144F3F11"/>
    <w:rsid w:val="153B33C3"/>
    <w:rsid w:val="1580711B"/>
    <w:rsid w:val="16D80EBF"/>
    <w:rsid w:val="18360DD0"/>
    <w:rsid w:val="189B0D0B"/>
    <w:rsid w:val="18E03A42"/>
    <w:rsid w:val="19313430"/>
    <w:rsid w:val="194A1770"/>
    <w:rsid w:val="19B906A4"/>
    <w:rsid w:val="19BC4734"/>
    <w:rsid w:val="1A1F744B"/>
    <w:rsid w:val="1AB10093"/>
    <w:rsid w:val="1B501DE7"/>
    <w:rsid w:val="1B6F15B6"/>
    <w:rsid w:val="1B7966EB"/>
    <w:rsid w:val="1BAA2EDC"/>
    <w:rsid w:val="1BC027C5"/>
    <w:rsid w:val="1C0320AA"/>
    <w:rsid w:val="1C387FA6"/>
    <w:rsid w:val="1C865EAE"/>
    <w:rsid w:val="1C9D24FF"/>
    <w:rsid w:val="1CC57360"/>
    <w:rsid w:val="1CE157EE"/>
    <w:rsid w:val="1D014A01"/>
    <w:rsid w:val="1D022362"/>
    <w:rsid w:val="1D091B60"/>
    <w:rsid w:val="1D6D1692"/>
    <w:rsid w:val="1D794AE5"/>
    <w:rsid w:val="1D814B1F"/>
    <w:rsid w:val="1DD26311"/>
    <w:rsid w:val="1DE57DAF"/>
    <w:rsid w:val="1EB45334"/>
    <w:rsid w:val="1EF67CA4"/>
    <w:rsid w:val="1F213FD9"/>
    <w:rsid w:val="1FCD26AF"/>
    <w:rsid w:val="20642787"/>
    <w:rsid w:val="20C83310"/>
    <w:rsid w:val="20EC77A3"/>
    <w:rsid w:val="21556F04"/>
    <w:rsid w:val="216838F8"/>
    <w:rsid w:val="22403BD3"/>
    <w:rsid w:val="24741C49"/>
    <w:rsid w:val="24AF1021"/>
    <w:rsid w:val="24B92327"/>
    <w:rsid w:val="24D3717D"/>
    <w:rsid w:val="2533755C"/>
    <w:rsid w:val="26396DF4"/>
    <w:rsid w:val="266B763B"/>
    <w:rsid w:val="27167136"/>
    <w:rsid w:val="276C2FD5"/>
    <w:rsid w:val="27B23302"/>
    <w:rsid w:val="27D424D7"/>
    <w:rsid w:val="27EE00B2"/>
    <w:rsid w:val="285722C3"/>
    <w:rsid w:val="28DC1FF8"/>
    <w:rsid w:val="29310A5F"/>
    <w:rsid w:val="29C37A35"/>
    <w:rsid w:val="2A076083"/>
    <w:rsid w:val="2A306CA5"/>
    <w:rsid w:val="2A73162E"/>
    <w:rsid w:val="2AFA2E94"/>
    <w:rsid w:val="2B167953"/>
    <w:rsid w:val="2B200583"/>
    <w:rsid w:val="2B4104F9"/>
    <w:rsid w:val="2B8209DE"/>
    <w:rsid w:val="2C6762A3"/>
    <w:rsid w:val="2D3D4CB8"/>
    <w:rsid w:val="2D5F4C37"/>
    <w:rsid w:val="2D8D7A26"/>
    <w:rsid w:val="2DC72F38"/>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4818B1"/>
    <w:rsid w:val="36C9128A"/>
    <w:rsid w:val="37841E99"/>
    <w:rsid w:val="379C594F"/>
    <w:rsid w:val="37BF1123"/>
    <w:rsid w:val="37C85E36"/>
    <w:rsid w:val="37CB7AC8"/>
    <w:rsid w:val="38BC1135"/>
    <w:rsid w:val="38BE4696"/>
    <w:rsid w:val="39B82A39"/>
    <w:rsid w:val="39F33306"/>
    <w:rsid w:val="3A202DA0"/>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05D578C"/>
    <w:rsid w:val="411B6CE5"/>
    <w:rsid w:val="412070D7"/>
    <w:rsid w:val="41314E40"/>
    <w:rsid w:val="415C674B"/>
    <w:rsid w:val="426C1EA8"/>
    <w:rsid w:val="42E86A87"/>
    <w:rsid w:val="43136432"/>
    <w:rsid w:val="436D237B"/>
    <w:rsid w:val="43B3053B"/>
    <w:rsid w:val="43E344A0"/>
    <w:rsid w:val="443A3B12"/>
    <w:rsid w:val="44487B36"/>
    <w:rsid w:val="44EF6BE8"/>
    <w:rsid w:val="45102FBE"/>
    <w:rsid w:val="45A30364"/>
    <w:rsid w:val="45B531EE"/>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0849EF"/>
    <w:rsid w:val="4C484CE5"/>
    <w:rsid w:val="4DAC4ACA"/>
    <w:rsid w:val="4DD06F63"/>
    <w:rsid w:val="4E043596"/>
    <w:rsid w:val="4E7C3473"/>
    <w:rsid w:val="4E9B0C57"/>
    <w:rsid w:val="4EA8523F"/>
    <w:rsid w:val="4F186D58"/>
    <w:rsid w:val="4F224836"/>
    <w:rsid w:val="4F231B40"/>
    <w:rsid w:val="50FA3B38"/>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70F757A"/>
    <w:rsid w:val="57AB581E"/>
    <w:rsid w:val="5842572D"/>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375B23"/>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B96CB1"/>
    <w:rsid w:val="66EE5541"/>
    <w:rsid w:val="67086152"/>
    <w:rsid w:val="687E45FE"/>
    <w:rsid w:val="692172FD"/>
    <w:rsid w:val="6A3829EE"/>
    <w:rsid w:val="6A924CB7"/>
    <w:rsid w:val="6AE0292E"/>
    <w:rsid w:val="6B0016D2"/>
    <w:rsid w:val="6B474EF5"/>
    <w:rsid w:val="6BC27679"/>
    <w:rsid w:val="6BC54EFE"/>
    <w:rsid w:val="6C0737CC"/>
    <w:rsid w:val="6C560CAE"/>
    <w:rsid w:val="6CD15296"/>
    <w:rsid w:val="6D903FF5"/>
    <w:rsid w:val="6DA955B8"/>
    <w:rsid w:val="6DE346AB"/>
    <w:rsid w:val="6FFB2E76"/>
    <w:rsid w:val="706A67A0"/>
    <w:rsid w:val="70AB70D6"/>
    <w:rsid w:val="70DE5507"/>
    <w:rsid w:val="71C34D91"/>
    <w:rsid w:val="71ED38AA"/>
    <w:rsid w:val="723F3B65"/>
    <w:rsid w:val="729055BB"/>
    <w:rsid w:val="72DB435C"/>
    <w:rsid w:val="738549F4"/>
    <w:rsid w:val="73AB2F2C"/>
    <w:rsid w:val="74ED1B1B"/>
    <w:rsid w:val="750837F0"/>
    <w:rsid w:val="762A73EF"/>
    <w:rsid w:val="7631412E"/>
    <w:rsid w:val="764F62AB"/>
    <w:rsid w:val="765C45EC"/>
    <w:rsid w:val="768A7619"/>
    <w:rsid w:val="7714640F"/>
    <w:rsid w:val="77EA362A"/>
    <w:rsid w:val="77F35CA4"/>
    <w:rsid w:val="780E2ADE"/>
    <w:rsid w:val="78623556"/>
    <w:rsid w:val="7875383E"/>
    <w:rsid w:val="78D87374"/>
    <w:rsid w:val="796B01E8"/>
    <w:rsid w:val="796D60A4"/>
    <w:rsid w:val="79A031D5"/>
    <w:rsid w:val="79A52681"/>
    <w:rsid w:val="7A1525F7"/>
    <w:rsid w:val="7A3E6CB6"/>
    <w:rsid w:val="7A99799F"/>
    <w:rsid w:val="7AAB4252"/>
    <w:rsid w:val="7B1D3764"/>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5013</Words>
  <Characters>5644</Characters>
  <Lines>129</Lines>
  <Paragraphs>36</Paragraphs>
  <TotalTime>0</TotalTime>
  <ScaleCrop>false</ScaleCrop>
  <LinksUpToDate>false</LinksUpToDate>
  <CharactersWithSpaces>5693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2025-10-21T05:19:00Z</dcterms:created>
  <dc:creator>Administrator</dc:creator>
  <cp:lastModifiedBy>Yan</cp:lastModifiedBy>
  <dcterms:modified xsi:type="dcterms:W3CDTF">2025-10-23T09:05:35Z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eyJoZGlkIjoiZWYxYTQ2NjMyMTNkMWU5MDEzOWUyOTUzM2EyMjNjZjEiLCJ1c2VySWQiOiIxMTM5Mjk4OTE4In0=</vt:lpwstr>
  </property>
</Properties>
</file>